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D3089" w14:textId="77777777" w:rsidR="00C02410" w:rsidRDefault="00C02410" w:rsidP="00C02410">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GB" w:eastAsia="en-GB"/>
        </w:rPr>
        <w:drawing>
          <wp:inline distT="0" distB="0" distL="0" distR="0" wp14:anchorId="7E98B181" wp14:editId="42DE8EA9">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7BC30791" w:rsidR="00C02410" w:rsidRDefault="00AF1FA9" w:rsidP="00C02410">
      <w:pPr>
        <w:pStyle w:val="ProductNumber"/>
      </w:pPr>
      <w:r>
        <w:t>9B19N009</w:t>
      </w:r>
    </w:p>
    <w:p w14:paraId="4E057522" w14:textId="7A113CB1" w:rsidR="00D75295" w:rsidRDefault="00D75295" w:rsidP="00D75295">
      <w:pPr>
        <w:jc w:val="right"/>
        <w:rPr>
          <w:rFonts w:ascii="Arial" w:hAnsi="Arial"/>
          <w:b/>
        </w:rPr>
      </w:pPr>
    </w:p>
    <w:p w14:paraId="02524312" w14:textId="77777777" w:rsidR="001901C0" w:rsidRPr="001901C0" w:rsidRDefault="001901C0" w:rsidP="00D75295">
      <w:pPr>
        <w:jc w:val="right"/>
        <w:rPr>
          <w:rFonts w:ascii="Arial" w:hAnsi="Arial"/>
          <w:b/>
        </w:rPr>
      </w:pPr>
    </w:p>
    <w:p w14:paraId="2F03D26A" w14:textId="767E23E3" w:rsidR="00662EA3" w:rsidRDefault="00AF1FA9" w:rsidP="00013360">
      <w:pPr>
        <w:pStyle w:val="CaseTitle"/>
        <w:spacing w:after="0" w:line="240" w:lineRule="auto"/>
        <w:rPr>
          <w:sz w:val="20"/>
          <w:szCs w:val="20"/>
        </w:rPr>
      </w:pPr>
      <w:r w:rsidRPr="00CB3BFB">
        <w:rPr>
          <w:rFonts w:eastAsia="Times New Roman"/>
          <w:szCs w:val="20"/>
          <w:lang w:val="en-GB"/>
        </w:rPr>
        <w:t>ChimpChange: How to Raise Capital to Grow</w:t>
      </w:r>
      <w:r w:rsidR="00662EA3">
        <w:rPr>
          <w:rStyle w:val="EndnoteReference"/>
          <w:rFonts w:eastAsia="Times New Roman"/>
          <w:szCs w:val="20"/>
          <w:lang w:val="en-GB"/>
        </w:rPr>
        <w:endnoteReference w:id="1"/>
      </w:r>
    </w:p>
    <w:p w14:paraId="40ABF6FD" w14:textId="77777777" w:rsidR="00662EA3" w:rsidRDefault="00662EA3" w:rsidP="00013360">
      <w:pPr>
        <w:pStyle w:val="CaseTitle"/>
        <w:spacing w:after="0" w:line="240" w:lineRule="auto"/>
        <w:rPr>
          <w:sz w:val="20"/>
          <w:szCs w:val="20"/>
        </w:rPr>
      </w:pPr>
    </w:p>
    <w:p w14:paraId="202F1085" w14:textId="77777777" w:rsidR="00662EA3" w:rsidRPr="00013360" w:rsidRDefault="00662EA3" w:rsidP="00013360">
      <w:pPr>
        <w:pStyle w:val="CaseTitle"/>
        <w:spacing w:after="0" w:line="240" w:lineRule="auto"/>
        <w:rPr>
          <w:sz w:val="20"/>
          <w:szCs w:val="20"/>
        </w:rPr>
      </w:pPr>
    </w:p>
    <w:p w14:paraId="58B0C73F" w14:textId="7F4A9B2C" w:rsidR="00662EA3" w:rsidRPr="00287D6F" w:rsidRDefault="00662EA3" w:rsidP="00086B26">
      <w:pPr>
        <w:pStyle w:val="StyleCopyrightStatementAfter0ptBottomSinglesolidline1"/>
        <w:rPr>
          <w:lang w:val="en-GB"/>
        </w:rPr>
      </w:pPr>
      <w:r w:rsidRPr="00CB3BFB">
        <w:rPr>
          <w:lang w:val="en-GB"/>
        </w:rPr>
        <w:t>Stephen Sapp</w:t>
      </w:r>
      <w:r w:rsidRPr="00FD7E52">
        <w:rPr>
          <w:rFonts w:cs="Arial"/>
          <w:szCs w:val="16"/>
          <w:lang w:val="en-CA"/>
        </w:rPr>
        <w:t xml:space="preserve"> </w:t>
      </w:r>
      <w:r w:rsidRPr="00287D6F">
        <w:rPr>
          <w:lang w:val="en-GB"/>
        </w:rPr>
        <w:t>wrote this case solely to provide material for class discussion. The author do</w:t>
      </w:r>
      <w:r>
        <w:rPr>
          <w:lang w:val="en-GB"/>
        </w:rPr>
        <w:t>es</w:t>
      </w:r>
      <w:r w:rsidRPr="00287D6F">
        <w:rPr>
          <w:lang w:val="en-GB"/>
        </w:rPr>
        <w:t xml:space="preserve"> not intend to illustrate either effective or ineffective handling of a managerial situation. The author may have disguised certain names and other identifying information to protect confidentiality.</w:t>
      </w:r>
    </w:p>
    <w:p w14:paraId="10D89D5F" w14:textId="77777777" w:rsidR="00662EA3" w:rsidRDefault="00662EA3" w:rsidP="00086B26">
      <w:pPr>
        <w:pStyle w:val="StyleCopyrightStatementAfter0ptBottomSinglesolidline1"/>
        <w:rPr>
          <w:lang w:val="en-GB"/>
        </w:rPr>
      </w:pPr>
    </w:p>
    <w:p w14:paraId="406933A3" w14:textId="5B3E0815" w:rsidR="00662EA3" w:rsidRPr="00A323B0" w:rsidRDefault="00662EA3" w:rsidP="00A323B0">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1EEEBFE5" w14:textId="77777777" w:rsidR="00662EA3" w:rsidRPr="00A323B0" w:rsidRDefault="00662EA3" w:rsidP="00A323B0">
      <w:pPr>
        <w:pStyle w:val="StyleStyleCopyrightStatementAfter0ptBottomSinglesolid"/>
        <w:rPr>
          <w:rFonts w:cs="Arial"/>
          <w:szCs w:val="16"/>
        </w:rPr>
      </w:pPr>
    </w:p>
    <w:p w14:paraId="3922E14F" w14:textId="2EA6FB88" w:rsidR="00662EA3" w:rsidRPr="00C02410" w:rsidRDefault="00662EA3" w:rsidP="00A323B0">
      <w:pPr>
        <w:pStyle w:val="StyleStyleCopyrightStatementAfter0ptBottomSinglesolid"/>
        <w:rPr>
          <w:rFonts w:cs="Arial"/>
          <w:szCs w:val="16"/>
        </w:rPr>
      </w:pPr>
      <w:r w:rsidRPr="00A323B0">
        <w:rPr>
          <w:rFonts w:cs="Arial"/>
          <w:iCs w:val="0"/>
          <w:color w:val="auto"/>
          <w:szCs w:val="16"/>
        </w:rPr>
        <w:t>Copyright © 20</w:t>
      </w:r>
      <w:r>
        <w:rPr>
          <w:rFonts w:cs="Arial"/>
          <w:iCs w:val="0"/>
          <w:color w:val="auto"/>
          <w:szCs w:val="16"/>
        </w:rPr>
        <w:t>19</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Version: 20</w:t>
      </w:r>
      <w:r>
        <w:rPr>
          <w:rFonts w:cs="Arial"/>
          <w:iCs w:val="0"/>
          <w:color w:val="auto"/>
          <w:szCs w:val="16"/>
        </w:rPr>
        <w:t>19</w:t>
      </w:r>
      <w:r w:rsidRPr="00A323B0">
        <w:rPr>
          <w:rFonts w:cs="Arial"/>
          <w:iCs w:val="0"/>
          <w:color w:val="auto"/>
          <w:szCs w:val="16"/>
        </w:rPr>
        <w:t>-</w:t>
      </w:r>
      <w:r>
        <w:rPr>
          <w:rFonts w:cs="Arial"/>
          <w:iCs w:val="0"/>
          <w:color w:val="auto"/>
          <w:szCs w:val="16"/>
        </w:rPr>
        <w:t>0</w:t>
      </w:r>
      <w:r w:rsidR="000F25FD">
        <w:rPr>
          <w:rFonts w:cs="Arial"/>
          <w:iCs w:val="0"/>
          <w:color w:val="auto"/>
          <w:szCs w:val="16"/>
        </w:rPr>
        <w:t>5</w:t>
      </w:r>
      <w:r w:rsidRPr="00A323B0">
        <w:rPr>
          <w:rFonts w:cs="Arial"/>
          <w:iCs w:val="0"/>
          <w:color w:val="auto"/>
          <w:szCs w:val="16"/>
        </w:rPr>
        <w:t>-</w:t>
      </w:r>
      <w:r w:rsidR="000F25FD">
        <w:rPr>
          <w:rFonts w:cs="Arial"/>
          <w:iCs w:val="0"/>
          <w:color w:val="auto"/>
          <w:szCs w:val="16"/>
        </w:rPr>
        <w:t>10</w:t>
      </w:r>
    </w:p>
    <w:p w14:paraId="0A2A54E4" w14:textId="77777777" w:rsidR="00662EA3" w:rsidRPr="00F60786" w:rsidRDefault="00662EA3" w:rsidP="00751E0B">
      <w:pPr>
        <w:pStyle w:val="StyleCopyrightStatementAfter0ptBottomSinglesolidline1"/>
        <w:rPr>
          <w:rFonts w:ascii="Times New Roman" w:hAnsi="Times New Roman"/>
          <w:sz w:val="20"/>
        </w:rPr>
      </w:pPr>
    </w:p>
    <w:p w14:paraId="3E92D987" w14:textId="61760381" w:rsidR="00662EA3" w:rsidRPr="00A000EC" w:rsidRDefault="00662EA3" w:rsidP="0073621D">
      <w:pPr>
        <w:pStyle w:val="BodyTextMain"/>
        <w:rPr>
          <w:lang w:val="en-GB"/>
        </w:rPr>
      </w:pPr>
      <w:r>
        <w:rPr>
          <w:lang w:val="en-GB"/>
        </w:rPr>
        <w:t>O</w:t>
      </w:r>
      <w:r w:rsidRPr="00A000EC">
        <w:rPr>
          <w:lang w:val="en-GB"/>
        </w:rPr>
        <w:t xml:space="preserve">n May 3, 2016, Thomas Andrews, a young investment banker, was examining the current situation of </w:t>
      </w:r>
      <w:proofErr w:type="spellStart"/>
      <w:r w:rsidRPr="00A000EC">
        <w:rPr>
          <w:lang w:val="en-GB"/>
        </w:rPr>
        <w:t>ChimpChange</w:t>
      </w:r>
      <w:proofErr w:type="spellEnd"/>
      <w:r w:rsidRPr="00A000EC">
        <w:rPr>
          <w:lang w:val="en-GB"/>
        </w:rPr>
        <w:t xml:space="preserve"> Limited (</w:t>
      </w:r>
      <w:proofErr w:type="spellStart"/>
      <w:r w:rsidRPr="00A000EC">
        <w:rPr>
          <w:lang w:val="en-GB"/>
        </w:rPr>
        <w:t>ChimpChange</w:t>
      </w:r>
      <w:proofErr w:type="spellEnd"/>
      <w:r w:rsidRPr="00A000EC">
        <w:rPr>
          <w:lang w:val="en-GB"/>
        </w:rPr>
        <w:t>)</w:t>
      </w:r>
      <w:r w:rsidRPr="00A000EC">
        <w:rPr>
          <w:sz w:val="16"/>
          <w:szCs w:val="16"/>
          <w:lang w:val="en-GB"/>
        </w:rPr>
        <w:t xml:space="preserve">, </w:t>
      </w:r>
      <w:r w:rsidRPr="00A000EC">
        <w:rPr>
          <w:lang w:val="en-GB"/>
        </w:rPr>
        <w:t xml:space="preserve">a financial technology (fintech) start-up based in California. After working to develop the necessary platform, establish the required banking relationships, and obtain regulatory approvals, </w:t>
      </w:r>
      <w:proofErr w:type="spellStart"/>
      <w:r w:rsidRPr="00A000EC">
        <w:rPr>
          <w:lang w:val="en-GB"/>
        </w:rPr>
        <w:t>ChimpChange</w:t>
      </w:r>
      <w:proofErr w:type="spellEnd"/>
      <w:r w:rsidRPr="00A000EC">
        <w:rPr>
          <w:lang w:val="en-GB"/>
        </w:rPr>
        <w:t xml:space="preserve"> had launched the general-release version of its application (app) and started full operations in August 2015 (see Exhibit 1). Within the first nine months, the company already had 80,000 customers, but it needed more to reach its break-even point.</w:t>
      </w:r>
    </w:p>
    <w:p w14:paraId="22AFE7C9" w14:textId="77777777" w:rsidR="00662EA3" w:rsidRPr="00A000EC" w:rsidRDefault="00662EA3" w:rsidP="0073621D">
      <w:pPr>
        <w:pStyle w:val="BodyTextMain"/>
        <w:rPr>
          <w:lang w:val="en-GB"/>
        </w:rPr>
      </w:pPr>
    </w:p>
    <w:p w14:paraId="515BD865" w14:textId="77777777" w:rsidR="00662EA3" w:rsidRDefault="00662EA3" w:rsidP="0073621D">
      <w:pPr>
        <w:pStyle w:val="BodyTextMain"/>
        <w:rPr>
          <w:lang w:val="en-GB"/>
        </w:rPr>
      </w:pPr>
      <w:proofErr w:type="spellStart"/>
      <w:r w:rsidRPr="00A000EC">
        <w:rPr>
          <w:lang w:val="en-GB"/>
        </w:rPr>
        <w:t>ChimpChange</w:t>
      </w:r>
      <w:proofErr w:type="spellEnd"/>
      <w:r w:rsidRPr="00A000EC">
        <w:rPr>
          <w:lang w:val="en-GB"/>
        </w:rPr>
        <w:t xml:space="preserve"> was positioned as a credible disruptor to the status quo in the banking industry; it had a strong value proposition and was poised for growth. To attain sufficient scale to be profitable required significant investments in customer acquisition, and the company still had a negative cash flow. The company was not projected to break even until it had about 250,000 customers.</w:t>
      </w:r>
      <w:r w:rsidRPr="00A000EC">
        <w:rPr>
          <w:vertAlign w:val="superscript"/>
          <w:lang w:val="en-GB"/>
        </w:rPr>
        <w:endnoteReference w:id="2"/>
      </w:r>
      <w:r w:rsidRPr="00A000EC">
        <w:rPr>
          <w:lang w:val="en-GB"/>
        </w:rPr>
        <w:t xml:space="preserve"> </w:t>
      </w:r>
      <w:proofErr w:type="spellStart"/>
      <w:r w:rsidRPr="00A000EC">
        <w:rPr>
          <w:lang w:val="en-GB"/>
        </w:rPr>
        <w:t>ChimpChange</w:t>
      </w:r>
      <w:proofErr w:type="spellEnd"/>
      <w:r w:rsidRPr="00A000EC">
        <w:rPr>
          <w:lang w:val="en-GB"/>
        </w:rPr>
        <w:t xml:space="preserve"> had already completed several rounds of financing to get it through the software development and regulatory approval stages. These financing rounds included investments from friends and family, angel investors, and venture capitalists (VCs). Although these investments had provided the company with the capital to get to this point, they had also required it to give up a large degree of control (through both ownership and positions on the board). Andrews wondered what would be the best way for the company to raise the necessary funding to achieve its objectives. The alternatives included either a series C funding round</w:t>
      </w:r>
      <w:r w:rsidRPr="00A000EC">
        <w:rPr>
          <w:vertAlign w:val="superscript"/>
          <w:lang w:val="en-GB"/>
        </w:rPr>
        <w:endnoteReference w:id="3"/>
      </w:r>
      <w:r w:rsidRPr="00A000EC">
        <w:rPr>
          <w:lang w:val="en-GB"/>
        </w:rPr>
        <w:t xml:space="preserve"> or the completion of an initial public offering (IPO) to raise the funds needed to both pay for operational expenses and the marketing to acquire the customers necessary for the firm to reach the break-even point. Determining the best way to raise this capital was not easy. It was important to carefully weigh all of the options, as any decision could have implications that would extend far into the future. </w:t>
      </w:r>
    </w:p>
    <w:p w14:paraId="1B9A30BD" w14:textId="77777777" w:rsidR="00662EA3" w:rsidRDefault="00662EA3" w:rsidP="0073621D">
      <w:pPr>
        <w:pStyle w:val="BodyTextMain"/>
        <w:rPr>
          <w:lang w:val="en-GB"/>
        </w:rPr>
      </w:pPr>
    </w:p>
    <w:p w14:paraId="60B07625" w14:textId="77777777" w:rsidR="00662EA3" w:rsidRPr="00A000EC" w:rsidRDefault="00662EA3" w:rsidP="0073621D">
      <w:pPr>
        <w:pStyle w:val="BodyTextMain"/>
        <w:rPr>
          <w:lang w:val="en-GB"/>
        </w:rPr>
      </w:pPr>
    </w:p>
    <w:p w14:paraId="5CB49FDF" w14:textId="77777777" w:rsidR="00662EA3" w:rsidRPr="00A000EC" w:rsidRDefault="00662EA3" w:rsidP="0073621D">
      <w:pPr>
        <w:pStyle w:val="Casehead1"/>
        <w:rPr>
          <w:lang w:val="en-GB"/>
        </w:rPr>
      </w:pPr>
      <w:r w:rsidRPr="00A000EC">
        <w:rPr>
          <w:lang w:val="en-GB"/>
        </w:rPr>
        <w:t>Disruption in the Banking Industry</w:t>
      </w:r>
    </w:p>
    <w:p w14:paraId="186621EE" w14:textId="77777777" w:rsidR="00662EA3" w:rsidRPr="00A000EC" w:rsidRDefault="00662EA3" w:rsidP="0073621D">
      <w:pPr>
        <w:pStyle w:val="BodyTextMain"/>
        <w:rPr>
          <w:lang w:val="en-GB"/>
        </w:rPr>
      </w:pPr>
    </w:p>
    <w:p w14:paraId="21305ADD" w14:textId="77777777" w:rsidR="00662EA3" w:rsidRPr="00A000EC" w:rsidRDefault="00662EA3" w:rsidP="0073621D">
      <w:pPr>
        <w:pStyle w:val="BodyTextMain"/>
        <w:rPr>
          <w:lang w:val="en-GB"/>
        </w:rPr>
      </w:pPr>
      <w:r w:rsidRPr="00A000EC">
        <w:rPr>
          <w:lang w:val="en-GB"/>
        </w:rPr>
        <w:t>Few people questioned the idea that the banking industry would look quite different by 2025. The traditional banking model was being challenged from all sides. Traditionally, banks were large buildings that inspired confidence and made customers feel safe leaving their money there until they needed it. Consequently, banks were places where people saved money, and they got chequing accounts so they could access their money to pay bills. If they needed more money than they had saved, they could go to the bank to get a loan. Banks made money from the difference between the interest they paid on deposits or chequing accounts and the interest they earned on loans, as well as from fees for other financial and advisory services (see Exhibit 2).</w:t>
      </w:r>
    </w:p>
    <w:p w14:paraId="32B8B96C" w14:textId="77777777" w:rsidR="00662EA3" w:rsidRPr="00A000EC" w:rsidRDefault="00662EA3" w:rsidP="0073621D">
      <w:pPr>
        <w:pStyle w:val="BodyTextMain"/>
        <w:rPr>
          <w:lang w:val="en-GB"/>
        </w:rPr>
      </w:pPr>
      <w:r w:rsidRPr="00A000EC">
        <w:rPr>
          <w:lang w:val="en-GB"/>
        </w:rPr>
        <w:lastRenderedPageBreak/>
        <w:t>More recently, banks had branched out into offering different services and products to increase their fees and trading incomes. In fact, some of these products and practices were believed to have led to the global financial crisis in 2008.</w:t>
      </w:r>
      <w:r w:rsidRPr="00A000EC">
        <w:rPr>
          <w:vertAlign w:val="superscript"/>
          <w:lang w:val="en-GB"/>
        </w:rPr>
        <w:endnoteReference w:id="4"/>
      </w:r>
      <w:r w:rsidRPr="00A000EC">
        <w:rPr>
          <w:lang w:val="en-GB"/>
        </w:rPr>
        <w:t xml:space="preserve"> As a result, banks—which had been among the most trusted brands before the financial crisis—were now listed within the top 10 least trusted brands by millennials.</w:t>
      </w:r>
      <w:r w:rsidRPr="00A000EC">
        <w:rPr>
          <w:vertAlign w:val="superscript"/>
          <w:lang w:val="en-GB"/>
        </w:rPr>
        <w:endnoteReference w:id="5"/>
      </w:r>
      <w:r w:rsidRPr="00A000EC">
        <w:rPr>
          <w:lang w:val="en-GB"/>
        </w:rPr>
        <w:t xml:space="preserve"> This change in the level of trust enjoyed by banks had allowed for the disruption of the banking industry by entrants who could offer basic banking services at lower prices. Many of these competitors were part of the technology movement called fintech.</w:t>
      </w:r>
    </w:p>
    <w:p w14:paraId="73AE3215" w14:textId="77777777" w:rsidR="00662EA3" w:rsidRPr="00A000EC" w:rsidRDefault="00662EA3" w:rsidP="0073621D">
      <w:pPr>
        <w:pStyle w:val="BodyTextMain"/>
        <w:rPr>
          <w:lang w:val="en-GB"/>
        </w:rPr>
      </w:pPr>
    </w:p>
    <w:p w14:paraId="7CC44543" w14:textId="77777777" w:rsidR="00662EA3" w:rsidRPr="00662EA3" w:rsidRDefault="00662EA3" w:rsidP="0073621D">
      <w:pPr>
        <w:pStyle w:val="BodyTextMain"/>
        <w:rPr>
          <w:lang w:val="en-GB"/>
        </w:rPr>
      </w:pPr>
    </w:p>
    <w:p w14:paraId="10A2224A" w14:textId="77777777" w:rsidR="00662EA3" w:rsidRPr="00A000EC" w:rsidRDefault="00662EA3" w:rsidP="0073621D">
      <w:pPr>
        <w:pStyle w:val="Casehead1"/>
        <w:rPr>
          <w:lang w:val="en-GB"/>
        </w:rPr>
      </w:pPr>
      <w:r w:rsidRPr="00A000EC">
        <w:rPr>
          <w:lang w:val="en-GB"/>
        </w:rPr>
        <w:t>Fintech</w:t>
      </w:r>
    </w:p>
    <w:p w14:paraId="370A299B" w14:textId="77777777" w:rsidR="00662EA3" w:rsidRPr="00A000EC" w:rsidRDefault="00662EA3" w:rsidP="0073621D">
      <w:pPr>
        <w:pStyle w:val="BodyTextMain"/>
        <w:rPr>
          <w:lang w:val="en-GB"/>
        </w:rPr>
      </w:pPr>
    </w:p>
    <w:p w14:paraId="1BEAE60B" w14:textId="77777777" w:rsidR="00662EA3" w:rsidRPr="00A000EC" w:rsidRDefault="00662EA3" w:rsidP="0073621D">
      <w:pPr>
        <w:pStyle w:val="BodyTextMain"/>
        <w:rPr>
          <w:lang w:val="en-GB"/>
        </w:rPr>
      </w:pPr>
      <w:r w:rsidRPr="00A000EC">
        <w:rPr>
          <w:lang w:val="en-GB"/>
        </w:rPr>
        <w:t>Fintech was an emerging financial services sector that relied on technology-based solutions to execute financial transactions in a manner similar to banks, but with lower costs. Since the Internet revolution, fintech had grown explosively and now included a broad variety of apps for personal and commercial finance. Because these firms often offered services similar to those of traditional banks, fintech innovations were viewed as disruptors that affected traditional financial institutions.</w:t>
      </w:r>
    </w:p>
    <w:p w14:paraId="1D87F975" w14:textId="77777777" w:rsidR="00662EA3" w:rsidRPr="00A000EC" w:rsidRDefault="00662EA3" w:rsidP="0073621D">
      <w:pPr>
        <w:pStyle w:val="BodyTextMain"/>
        <w:rPr>
          <w:lang w:val="en-GB"/>
        </w:rPr>
      </w:pPr>
    </w:p>
    <w:p w14:paraId="0479BF98" w14:textId="77777777" w:rsidR="00662EA3" w:rsidRPr="00A000EC" w:rsidRDefault="00662EA3" w:rsidP="0073621D">
      <w:pPr>
        <w:pStyle w:val="BodyTextMain"/>
        <w:rPr>
          <w:lang w:val="en-GB"/>
        </w:rPr>
      </w:pPr>
      <w:r w:rsidRPr="00A000EC">
        <w:rPr>
          <w:lang w:val="en-GB"/>
        </w:rPr>
        <w:t>The large margins in financial services had attracted many small companies, and this resulted in the fintech sector receiving significant investor interest: start-ups received $17.4 billion</w:t>
      </w:r>
      <w:r w:rsidRPr="00A000EC">
        <w:rPr>
          <w:vertAlign w:val="superscript"/>
          <w:lang w:val="en-GB"/>
        </w:rPr>
        <w:endnoteReference w:id="6"/>
      </w:r>
      <w:r w:rsidRPr="00A000EC">
        <w:rPr>
          <w:lang w:val="en-GB"/>
        </w:rPr>
        <w:t xml:space="preserve"> in funding in 2016 and were expected to receive even more in 2017, according to </w:t>
      </w:r>
      <w:r w:rsidRPr="00A000EC">
        <w:rPr>
          <w:i/>
          <w:lang w:val="en-GB"/>
        </w:rPr>
        <w:t>Forbes</w:t>
      </w:r>
      <w:r w:rsidRPr="00A000EC">
        <w:rPr>
          <w:lang w:val="en-GB"/>
        </w:rPr>
        <w:t>. By 2016, it was estimated that there were over 20 fintech unicorns</w:t>
      </w:r>
      <w:r w:rsidRPr="00A000EC">
        <w:rPr>
          <w:vertAlign w:val="superscript"/>
          <w:lang w:val="en-GB"/>
        </w:rPr>
        <w:endnoteReference w:id="7"/>
      </w:r>
      <w:r w:rsidRPr="00A000EC">
        <w:rPr>
          <w:lang w:val="en-GB"/>
        </w:rPr>
        <w:t xml:space="preserve"> globally, valued at a total of $83.8 billion.</w:t>
      </w:r>
      <w:r w:rsidRPr="00A000EC">
        <w:rPr>
          <w:vertAlign w:val="superscript"/>
          <w:lang w:val="en-GB"/>
        </w:rPr>
        <w:endnoteReference w:id="8"/>
      </w:r>
      <w:r w:rsidRPr="00A000EC">
        <w:rPr>
          <w:lang w:val="en-GB"/>
        </w:rPr>
        <w:t xml:space="preserve"> Due to the large margins in banking in North America, this region produced most of the fintech start-ups, followed by Asia.</w:t>
      </w:r>
      <w:r w:rsidRPr="00A000EC">
        <w:rPr>
          <w:vertAlign w:val="superscript"/>
          <w:lang w:val="en-GB"/>
        </w:rPr>
        <w:endnoteReference w:id="9"/>
      </w:r>
      <w:r w:rsidRPr="00A000EC">
        <w:rPr>
          <w:lang w:val="en-GB"/>
        </w:rPr>
        <w:t xml:space="preserve"> Some of the most active areas of fintech innovation included (1) cryptocurrency; (2) blockchain or distributed ledger technology; (3) “</w:t>
      </w:r>
      <w:proofErr w:type="spellStart"/>
      <w:r w:rsidRPr="00A000EC">
        <w:rPr>
          <w:lang w:val="en-GB"/>
        </w:rPr>
        <w:t>insurtech</w:t>
      </w:r>
      <w:proofErr w:type="spellEnd"/>
      <w:r w:rsidRPr="00A000EC">
        <w:rPr>
          <w:lang w:val="en-GB"/>
        </w:rPr>
        <w:t>” or insurance technology, to streamline insurance; (4) “</w:t>
      </w:r>
      <w:proofErr w:type="spellStart"/>
      <w:r w:rsidRPr="00A000EC">
        <w:rPr>
          <w:lang w:val="en-GB"/>
        </w:rPr>
        <w:t>regtech</w:t>
      </w:r>
      <w:proofErr w:type="spellEnd"/>
      <w:r w:rsidRPr="00A000EC">
        <w:rPr>
          <w:lang w:val="en-GB"/>
        </w:rPr>
        <w:t xml:space="preserve">” or regulation technology, to meet industry compliance rules; (5) </w:t>
      </w:r>
      <w:proofErr w:type="spellStart"/>
      <w:r w:rsidRPr="00A000EC">
        <w:rPr>
          <w:lang w:val="en-GB"/>
        </w:rPr>
        <w:t>robo</w:t>
      </w:r>
      <w:proofErr w:type="spellEnd"/>
      <w:r w:rsidRPr="00A000EC">
        <w:rPr>
          <w:lang w:val="en-GB"/>
        </w:rPr>
        <w:t>-advisors; and (6) cybersecurity. Fintech was able to influence the financial services industry (see Exhibit 3), and a main target of fintech firms were members of the millennial generation.</w:t>
      </w:r>
    </w:p>
    <w:p w14:paraId="4DB7E5A3" w14:textId="77777777" w:rsidR="00662EA3" w:rsidRPr="00A000EC" w:rsidRDefault="00662EA3" w:rsidP="0073621D">
      <w:pPr>
        <w:pStyle w:val="BodyTextMain"/>
        <w:rPr>
          <w:lang w:val="en-GB"/>
        </w:rPr>
      </w:pPr>
    </w:p>
    <w:p w14:paraId="28B8EB60" w14:textId="77777777" w:rsidR="00662EA3" w:rsidRPr="00A000EC" w:rsidRDefault="00662EA3" w:rsidP="0073621D">
      <w:pPr>
        <w:pStyle w:val="BodyTextMain"/>
        <w:rPr>
          <w:lang w:val="en-GB"/>
        </w:rPr>
      </w:pPr>
    </w:p>
    <w:p w14:paraId="24D3E00B" w14:textId="77777777" w:rsidR="00662EA3" w:rsidRPr="00A000EC" w:rsidRDefault="00662EA3" w:rsidP="0073621D">
      <w:pPr>
        <w:pStyle w:val="Casehead2"/>
        <w:rPr>
          <w:lang w:val="en-GB"/>
        </w:rPr>
      </w:pPr>
      <w:r w:rsidRPr="00A000EC">
        <w:rPr>
          <w:lang w:val="en-GB"/>
        </w:rPr>
        <w:t>Millennials</w:t>
      </w:r>
    </w:p>
    <w:p w14:paraId="6F46D591" w14:textId="77777777" w:rsidR="00662EA3" w:rsidRPr="00662EA3" w:rsidRDefault="00662EA3" w:rsidP="0073621D">
      <w:pPr>
        <w:pStyle w:val="BodyTextMain"/>
        <w:rPr>
          <w:lang w:val="en-GB"/>
        </w:rPr>
      </w:pPr>
    </w:p>
    <w:p w14:paraId="0B7C1823" w14:textId="0EDC8C86" w:rsidR="00662EA3" w:rsidRPr="00A000EC" w:rsidRDefault="00662EA3" w:rsidP="0073621D">
      <w:pPr>
        <w:pStyle w:val="BodyTextMain"/>
        <w:rPr>
          <w:lang w:val="en-GB"/>
        </w:rPr>
      </w:pPr>
      <w:r w:rsidRPr="00A000EC">
        <w:rPr>
          <w:lang w:val="en-GB"/>
        </w:rPr>
        <w:t>Millennials were individuals born between 1980 and 2000. They were the largest demographic in the United States, with 92.2 million people or 28 per cent of the total US population.</w:t>
      </w:r>
      <w:r w:rsidRPr="00A000EC">
        <w:rPr>
          <w:vertAlign w:val="superscript"/>
          <w:lang w:val="en-GB"/>
        </w:rPr>
        <w:endnoteReference w:id="10"/>
      </w:r>
      <w:r w:rsidRPr="00A000EC">
        <w:rPr>
          <w:lang w:val="en-GB"/>
        </w:rPr>
        <w:t xml:space="preserve"> Millennials were the first generation to grow up using the Internet, mobile technologies, and social media to conduct transactions and share their opinions and experiences. As a result, they were very comfortable using technology in all aspects of their lives. When Viacom Media Network surveyed Americans to study the differences between millennials and other generations in the United States, one of its most striking findings was that, in the United States, the banking and financial services industry was identified as the industry most likely to experience a change as a result of the increasing power of this generation. It also noted the following key findings: (1) all four of the leading banks in the United States were among the 10 brands least loved by millennials; (2) 33 per cent of respondents believed that they did not require the services of a bank; (3) nearly half of millennials were relying on start-ups to overhaul banks and their service offerings; (4) 70 per cent of millennials anticipated that the way they would access their money and pay for items would be completely different in five years’ time; (5) 38 per cent of millennials did not use traditional bank branch networks, and more than one-quarter visited a branch less than once per year; and (6) 90 per cent of U.S. millennials used digital banking methods, including online banking and banking on mobile devices, for executing day-to-day transactions.</w:t>
      </w:r>
      <w:r w:rsidRPr="00A000EC">
        <w:rPr>
          <w:vertAlign w:val="superscript"/>
          <w:lang w:val="en-GB"/>
        </w:rPr>
        <w:endnoteReference w:id="11"/>
      </w:r>
    </w:p>
    <w:p w14:paraId="32B69EF4" w14:textId="77777777" w:rsidR="00662EA3" w:rsidRPr="00A000EC" w:rsidRDefault="00662EA3" w:rsidP="0073621D">
      <w:pPr>
        <w:pStyle w:val="BodyTextMain"/>
        <w:rPr>
          <w:lang w:val="en-GB"/>
        </w:rPr>
      </w:pPr>
    </w:p>
    <w:p w14:paraId="22FCBEE0" w14:textId="473CB82D" w:rsidR="00662EA3" w:rsidRPr="00A000EC" w:rsidRDefault="00662EA3" w:rsidP="0073621D">
      <w:pPr>
        <w:pStyle w:val="BodyTextMain"/>
        <w:rPr>
          <w:lang w:val="en-GB"/>
        </w:rPr>
      </w:pPr>
      <w:r w:rsidRPr="00A000EC">
        <w:rPr>
          <w:lang w:val="en-GB"/>
        </w:rPr>
        <w:t xml:space="preserve">This made the millennials an ideal target group for fintech disruptors such as </w:t>
      </w:r>
      <w:proofErr w:type="spellStart"/>
      <w:r w:rsidRPr="00A000EC">
        <w:rPr>
          <w:lang w:val="en-GB"/>
        </w:rPr>
        <w:t>ChimpChange</w:t>
      </w:r>
      <w:proofErr w:type="spellEnd"/>
      <w:r w:rsidRPr="00A000EC">
        <w:rPr>
          <w:lang w:val="en-GB"/>
        </w:rPr>
        <w:t xml:space="preserve">. Millennials may have not liked banks, but they did need them. As of 2013, it was estimated that 20 per cent of US </w:t>
      </w:r>
      <w:r w:rsidRPr="00A000EC">
        <w:rPr>
          <w:lang w:val="en-GB"/>
        </w:rPr>
        <w:lastRenderedPageBreak/>
        <w:t>households were “underbanked” (i.e., they did not have sufficient access to standard banking services such as credit cards, bank loans, and other retail banking products). For example, about 30 per cent of the underbanked households did not have savings accounts. Even though underbanked households did not have bank accounts, 90.5 per cent of this group was likely to have access to mobile phones and 64.5 per cent</w:t>
      </w:r>
      <w:r w:rsidRPr="00A000EC" w:rsidDel="00886C20">
        <w:rPr>
          <w:lang w:val="en-GB"/>
        </w:rPr>
        <w:t xml:space="preserve"> </w:t>
      </w:r>
      <w:r w:rsidRPr="00A000EC">
        <w:rPr>
          <w:lang w:val="en-GB"/>
        </w:rPr>
        <w:t>was likely to have access to smart phones, compared with 59 per cent of fully banked households. “Underbanked households were also considerably more likely (32.4 per cent) than the fully banked (21.6 per cent) to use mobile banking as their main banking method.”</w:t>
      </w:r>
      <w:r w:rsidRPr="00A000EC">
        <w:rPr>
          <w:vertAlign w:val="superscript"/>
          <w:lang w:val="en-GB"/>
        </w:rPr>
        <w:endnoteReference w:id="12"/>
      </w:r>
    </w:p>
    <w:p w14:paraId="55334EBF" w14:textId="77777777" w:rsidR="00662EA3" w:rsidRPr="00A000EC" w:rsidRDefault="00662EA3" w:rsidP="0073621D">
      <w:pPr>
        <w:pStyle w:val="BodyTextMain"/>
        <w:rPr>
          <w:lang w:val="en-GB"/>
        </w:rPr>
      </w:pPr>
    </w:p>
    <w:p w14:paraId="2C60D825" w14:textId="77777777" w:rsidR="00662EA3" w:rsidRPr="00A000EC" w:rsidRDefault="00662EA3" w:rsidP="0073621D">
      <w:pPr>
        <w:pStyle w:val="BodyTextMain"/>
        <w:rPr>
          <w:lang w:val="en-GB"/>
        </w:rPr>
      </w:pPr>
    </w:p>
    <w:p w14:paraId="1A50C65B" w14:textId="77777777" w:rsidR="00662EA3" w:rsidRPr="00A000EC" w:rsidRDefault="00662EA3" w:rsidP="0073621D">
      <w:pPr>
        <w:pStyle w:val="Casehead1"/>
        <w:rPr>
          <w:lang w:val="en-GB"/>
        </w:rPr>
      </w:pPr>
      <w:r w:rsidRPr="00A000EC">
        <w:rPr>
          <w:lang w:val="en-GB"/>
        </w:rPr>
        <w:t>History of ChimpChange</w:t>
      </w:r>
    </w:p>
    <w:p w14:paraId="27D64C67" w14:textId="77777777" w:rsidR="00662EA3" w:rsidRPr="00A000EC" w:rsidRDefault="00662EA3" w:rsidP="0073621D">
      <w:pPr>
        <w:pStyle w:val="BodyTextMain"/>
        <w:rPr>
          <w:lang w:val="en-GB"/>
        </w:rPr>
      </w:pPr>
    </w:p>
    <w:p w14:paraId="633DDFDC" w14:textId="77777777" w:rsidR="00662EA3" w:rsidRPr="00A000EC" w:rsidRDefault="00662EA3" w:rsidP="0073621D">
      <w:pPr>
        <w:pStyle w:val="BodyTextMain"/>
        <w:rPr>
          <w:lang w:val="en-GB"/>
        </w:rPr>
      </w:pPr>
      <w:r w:rsidRPr="00A000EC">
        <w:rPr>
          <w:lang w:val="en-GB"/>
        </w:rPr>
        <w:t xml:space="preserve">In 2013, Ashley </w:t>
      </w:r>
      <w:proofErr w:type="spellStart"/>
      <w:r w:rsidRPr="00A000EC">
        <w:rPr>
          <w:lang w:val="en-GB"/>
        </w:rPr>
        <w:t>Shilkin</w:t>
      </w:r>
      <w:proofErr w:type="spellEnd"/>
      <w:r w:rsidRPr="00A000EC">
        <w:rPr>
          <w:lang w:val="en-GB"/>
        </w:rPr>
        <w:t xml:space="preserve"> began to work on a business model that would provide low-cost banking services to underserved groups. He had a vision that banking could be done differently, and this resulted in the founding of </w:t>
      </w:r>
      <w:proofErr w:type="spellStart"/>
      <w:r w:rsidRPr="00A000EC">
        <w:rPr>
          <w:lang w:val="en-GB"/>
        </w:rPr>
        <w:t>ChimpChange</w:t>
      </w:r>
      <w:proofErr w:type="spellEnd"/>
      <w:r w:rsidRPr="00A000EC">
        <w:rPr>
          <w:lang w:val="en-GB"/>
        </w:rPr>
        <w:t>. At the time, he was the chief financial officer (CFO) of CO2 Australia Limited, a company that he helped grow from AU$30 million to AU$300 million</w:t>
      </w:r>
      <w:r w:rsidRPr="00A000EC">
        <w:rPr>
          <w:vertAlign w:val="superscript"/>
          <w:lang w:val="en-GB"/>
        </w:rPr>
        <w:endnoteReference w:id="13"/>
      </w:r>
      <w:r w:rsidRPr="00A000EC">
        <w:rPr>
          <w:lang w:val="en-GB"/>
        </w:rPr>
        <w:t xml:space="preserve"> over a five-year period. After being unable to secure a partnership with any of the few large players that dominated the Australian banking industry, </w:t>
      </w:r>
      <w:proofErr w:type="spellStart"/>
      <w:r w:rsidRPr="00A000EC">
        <w:rPr>
          <w:lang w:val="en-GB"/>
        </w:rPr>
        <w:t>Shilkin</w:t>
      </w:r>
      <w:proofErr w:type="spellEnd"/>
      <w:r w:rsidRPr="00A000EC">
        <w:rPr>
          <w:lang w:val="en-GB"/>
        </w:rPr>
        <w:t xml:space="preserve"> travelled to the United States to pursue the idea there: </w:t>
      </w:r>
    </w:p>
    <w:p w14:paraId="57C1EFF5" w14:textId="77777777" w:rsidR="00662EA3" w:rsidRPr="00A000EC" w:rsidRDefault="00662EA3" w:rsidP="0073621D">
      <w:pPr>
        <w:pStyle w:val="BodyTextMain"/>
        <w:rPr>
          <w:lang w:val="en-GB"/>
        </w:rPr>
      </w:pPr>
    </w:p>
    <w:p w14:paraId="461F7F91" w14:textId="77777777" w:rsidR="00662EA3" w:rsidRPr="00662EA3" w:rsidRDefault="00662EA3" w:rsidP="0073621D">
      <w:pPr>
        <w:pStyle w:val="BodyTextMain"/>
        <w:ind w:left="720"/>
        <w:rPr>
          <w:lang w:val="en-GB"/>
        </w:rPr>
      </w:pPr>
      <w:r w:rsidRPr="00662EA3">
        <w:rPr>
          <w:lang w:val="en-GB"/>
        </w:rPr>
        <w:t>As I vacationed to the U.S., I particularly saw a multitude of problems which I thought didn’t need to exist. I asked myself why banks charge high monthly account keeping fees to such a huge portion of the population, why overdraft fees are so high, why it costs $25 to wire transfer someone money domestically and it still takes overnight. Finally, I asked myself why bank accounts have failed to incorporate technology to add more value to the customer user experience. My gut told me there must be a better way, so I quit my job and dedicated my life to find it.</w:t>
      </w:r>
      <w:r w:rsidRPr="00662EA3">
        <w:rPr>
          <w:vertAlign w:val="superscript"/>
          <w:lang w:val="en-GB"/>
        </w:rPr>
        <w:endnoteReference w:id="14"/>
      </w:r>
    </w:p>
    <w:p w14:paraId="416DB74A" w14:textId="77777777" w:rsidR="00662EA3" w:rsidRPr="00A000EC" w:rsidRDefault="00662EA3" w:rsidP="0073621D">
      <w:pPr>
        <w:pStyle w:val="BodyTextMain"/>
        <w:rPr>
          <w:lang w:val="en-GB"/>
        </w:rPr>
      </w:pPr>
    </w:p>
    <w:p w14:paraId="291D7504" w14:textId="77777777" w:rsidR="00662EA3" w:rsidRPr="00A000EC" w:rsidRDefault="00662EA3" w:rsidP="0073621D">
      <w:pPr>
        <w:pStyle w:val="BodyTextMain"/>
        <w:rPr>
          <w:lang w:val="en-GB"/>
        </w:rPr>
      </w:pPr>
      <w:proofErr w:type="spellStart"/>
      <w:r w:rsidRPr="00A000EC">
        <w:rPr>
          <w:lang w:val="en-GB"/>
        </w:rPr>
        <w:t>Shilkin</w:t>
      </w:r>
      <w:proofErr w:type="spellEnd"/>
      <w:r w:rsidRPr="00A000EC">
        <w:rPr>
          <w:lang w:val="en-GB"/>
        </w:rPr>
        <w:t xml:space="preserve"> quit his job in 2013 and moved to Los Angeles to pursue his idea. With money from family and friends and the financial support of an angel investor, his former CEO at CO2, </w:t>
      </w:r>
      <w:proofErr w:type="spellStart"/>
      <w:r w:rsidRPr="00A000EC">
        <w:rPr>
          <w:lang w:val="en-GB"/>
        </w:rPr>
        <w:t>Shilkin</w:t>
      </w:r>
      <w:proofErr w:type="spellEnd"/>
      <w:r w:rsidRPr="00A000EC">
        <w:rPr>
          <w:lang w:val="en-GB"/>
        </w:rPr>
        <w:t xml:space="preserve"> spent two years developing the </w:t>
      </w:r>
      <w:proofErr w:type="spellStart"/>
      <w:r w:rsidRPr="00A000EC">
        <w:rPr>
          <w:lang w:val="en-GB"/>
        </w:rPr>
        <w:t>ChimpChange</w:t>
      </w:r>
      <w:proofErr w:type="spellEnd"/>
      <w:r w:rsidRPr="00A000EC">
        <w:rPr>
          <w:lang w:val="en-GB"/>
        </w:rPr>
        <w:t xml:space="preserve"> platform and establishing all of the necessary relationships with financial institutions and regulators.</w:t>
      </w:r>
      <w:r w:rsidRPr="00A000EC">
        <w:rPr>
          <w:vertAlign w:val="superscript"/>
          <w:lang w:val="en-GB"/>
        </w:rPr>
        <w:endnoteReference w:id="15"/>
      </w:r>
      <w:r w:rsidRPr="00A000EC">
        <w:rPr>
          <w:lang w:val="en-GB"/>
        </w:rPr>
        <w:t xml:space="preserve"> </w:t>
      </w:r>
    </w:p>
    <w:p w14:paraId="6A1ED9D7" w14:textId="77777777" w:rsidR="00662EA3" w:rsidRPr="00A000EC" w:rsidRDefault="00662EA3" w:rsidP="0073621D">
      <w:pPr>
        <w:pStyle w:val="BodyTextMain"/>
        <w:rPr>
          <w:lang w:val="en-GB"/>
        </w:rPr>
      </w:pPr>
    </w:p>
    <w:p w14:paraId="3C980092" w14:textId="77777777" w:rsidR="00662EA3" w:rsidRPr="00A000EC" w:rsidRDefault="00662EA3" w:rsidP="0073621D">
      <w:pPr>
        <w:pStyle w:val="BodyTextMain"/>
        <w:rPr>
          <w:lang w:val="en-GB"/>
        </w:rPr>
      </w:pPr>
      <w:proofErr w:type="spellStart"/>
      <w:r w:rsidRPr="00A000EC">
        <w:rPr>
          <w:lang w:val="en-GB"/>
        </w:rPr>
        <w:t>ChimpChange’s</w:t>
      </w:r>
      <w:proofErr w:type="spellEnd"/>
      <w:r w:rsidRPr="00A000EC">
        <w:rPr>
          <w:lang w:val="en-GB"/>
        </w:rPr>
        <w:t xml:space="preserve"> value proposition was based on addressing two of the main pillars required to succeed in banking: price and analytics.</w:t>
      </w:r>
      <w:r w:rsidRPr="00A000EC">
        <w:rPr>
          <w:vertAlign w:val="superscript"/>
          <w:lang w:val="en-GB"/>
        </w:rPr>
        <w:endnoteReference w:id="16"/>
      </w:r>
      <w:r w:rsidRPr="00A000EC">
        <w:rPr>
          <w:lang w:val="en-GB"/>
        </w:rPr>
        <w:t xml:space="preserve"> Many people in </w:t>
      </w:r>
      <w:proofErr w:type="spellStart"/>
      <w:r w:rsidRPr="00A000EC">
        <w:rPr>
          <w:lang w:val="en-GB"/>
        </w:rPr>
        <w:t>Shilkin’s</w:t>
      </w:r>
      <w:proofErr w:type="spellEnd"/>
      <w:r w:rsidRPr="00A000EC">
        <w:rPr>
          <w:lang w:val="en-GB"/>
        </w:rPr>
        <w:t xml:space="preserve"> target market were “middle to low income earners, who are being charged $10–$20 in monthly account keeping fees plus overdraft fees by their bank.”</w:t>
      </w:r>
      <w:r w:rsidRPr="00A000EC">
        <w:rPr>
          <w:vertAlign w:val="superscript"/>
          <w:lang w:val="en-GB"/>
        </w:rPr>
        <w:endnoteReference w:id="17"/>
      </w:r>
      <w:r w:rsidRPr="00A000EC">
        <w:rPr>
          <w:lang w:val="en-GB"/>
        </w:rPr>
        <w:t xml:space="preserve"> </w:t>
      </w:r>
      <w:proofErr w:type="spellStart"/>
      <w:r w:rsidRPr="00A000EC">
        <w:rPr>
          <w:lang w:val="en-GB"/>
        </w:rPr>
        <w:t>ChimpChange</w:t>
      </w:r>
      <w:proofErr w:type="spellEnd"/>
      <w:r w:rsidRPr="00A000EC">
        <w:rPr>
          <w:lang w:val="en-GB"/>
        </w:rPr>
        <w:t xml:space="preserve"> wanted to address the first pillar by launching a service that would not charge monthly fees (see Exhibit 2). For the second pillar, it would provide many of the services not provided by the standard banks to enhance the customers’ experience. </w:t>
      </w:r>
    </w:p>
    <w:p w14:paraId="2E5AB75C" w14:textId="77777777" w:rsidR="00662EA3" w:rsidRPr="00A000EC" w:rsidRDefault="00662EA3" w:rsidP="0073621D">
      <w:pPr>
        <w:pStyle w:val="BodyTextMain"/>
        <w:rPr>
          <w:lang w:val="en-GB"/>
        </w:rPr>
      </w:pPr>
    </w:p>
    <w:p w14:paraId="6939017C" w14:textId="77777777" w:rsidR="00662EA3" w:rsidRPr="00A000EC" w:rsidRDefault="00662EA3" w:rsidP="0073621D">
      <w:pPr>
        <w:pStyle w:val="BodyTextMain"/>
        <w:rPr>
          <w:lang w:val="en-GB"/>
        </w:rPr>
      </w:pPr>
    </w:p>
    <w:p w14:paraId="4AFAF3AC" w14:textId="77777777" w:rsidR="00662EA3" w:rsidRPr="00A000EC" w:rsidRDefault="00662EA3" w:rsidP="0073621D">
      <w:pPr>
        <w:pStyle w:val="Casehead1"/>
        <w:rPr>
          <w:lang w:val="en-GB"/>
        </w:rPr>
      </w:pPr>
      <w:r w:rsidRPr="00A000EC">
        <w:rPr>
          <w:lang w:val="en-GB"/>
        </w:rPr>
        <w:t>POSITIONING</w:t>
      </w:r>
    </w:p>
    <w:p w14:paraId="1862F078" w14:textId="77777777" w:rsidR="00662EA3" w:rsidRPr="00A000EC" w:rsidRDefault="00662EA3" w:rsidP="0073621D">
      <w:pPr>
        <w:pStyle w:val="BodyTextMain"/>
        <w:rPr>
          <w:lang w:val="en-GB"/>
        </w:rPr>
      </w:pPr>
    </w:p>
    <w:p w14:paraId="26AFDD0C" w14:textId="77777777" w:rsidR="00662EA3" w:rsidRPr="00A000EC" w:rsidRDefault="00662EA3" w:rsidP="0073621D">
      <w:pPr>
        <w:pStyle w:val="BodyTextMain"/>
        <w:rPr>
          <w:lang w:val="en-GB"/>
        </w:rPr>
      </w:pPr>
      <w:proofErr w:type="spellStart"/>
      <w:r w:rsidRPr="00A000EC">
        <w:rPr>
          <w:lang w:val="en-GB"/>
        </w:rPr>
        <w:t>ChimpChange</w:t>
      </w:r>
      <w:proofErr w:type="spellEnd"/>
      <w:r w:rsidRPr="00A000EC">
        <w:rPr>
          <w:lang w:val="en-GB"/>
        </w:rPr>
        <w:t xml:space="preserve"> developed a digital banking platform specifically targeted to millennials as “a digital alternative to high cost and rigid traditional retail banking offerings.” The platform allowed customers to establish bank accounts insured by the Federal Deposit Insurance Corporation and to make instant peer-to-peer transfers. The company also issued a branded debit Mastercard, which allowed customers to deposit and withdraw funds at retail stores and at 24,000 automated teller machines (ATMs) across the United States. </w:t>
      </w:r>
      <w:proofErr w:type="spellStart"/>
      <w:r w:rsidRPr="00A000EC">
        <w:rPr>
          <w:lang w:val="en-GB"/>
        </w:rPr>
        <w:t>ChimpChange’s</w:t>
      </w:r>
      <w:proofErr w:type="spellEnd"/>
      <w:r w:rsidRPr="00A000EC">
        <w:rPr>
          <w:lang w:val="en-GB"/>
        </w:rPr>
        <w:t xml:space="preserve"> business model generated revenues through interchange fees, network ATM fees, and other platform fees such as cheque clearing, budgeting tools, foreign exchange, and bill payments.</w:t>
      </w:r>
      <w:r w:rsidRPr="00A000EC">
        <w:rPr>
          <w:vertAlign w:val="superscript"/>
          <w:lang w:val="en-GB"/>
        </w:rPr>
        <w:endnoteReference w:id="18"/>
      </w:r>
      <w:r w:rsidRPr="00A000EC">
        <w:rPr>
          <w:lang w:val="en-GB"/>
        </w:rPr>
        <w:t xml:space="preserve"> </w:t>
      </w:r>
    </w:p>
    <w:p w14:paraId="43BFEAB4" w14:textId="77777777" w:rsidR="00662EA3" w:rsidRPr="00A000EC" w:rsidRDefault="00662EA3" w:rsidP="0073621D">
      <w:pPr>
        <w:pStyle w:val="BodyTextMain"/>
        <w:rPr>
          <w:lang w:val="en-GB"/>
        </w:rPr>
      </w:pPr>
    </w:p>
    <w:p w14:paraId="349BD0F6" w14:textId="77777777" w:rsidR="00662EA3" w:rsidRPr="00A000EC" w:rsidRDefault="00662EA3" w:rsidP="0073621D">
      <w:pPr>
        <w:pStyle w:val="BodyTextMain"/>
        <w:rPr>
          <w:lang w:val="en-GB"/>
        </w:rPr>
      </w:pPr>
      <w:r w:rsidRPr="00A000EC">
        <w:rPr>
          <w:lang w:val="en-GB"/>
        </w:rPr>
        <w:lastRenderedPageBreak/>
        <w:t>Through its early stages (before June 2014), the company had received seed financing from friends and family, as well as an angel investor who purchased almost 18 million shares, helping the company raise $1.1 million.</w:t>
      </w:r>
      <w:r w:rsidRPr="00A000EC">
        <w:rPr>
          <w:vertAlign w:val="superscript"/>
          <w:lang w:val="en-GB"/>
        </w:rPr>
        <w:endnoteReference w:id="19"/>
      </w:r>
      <w:r w:rsidRPr="00A000EC">
        <w:rPr>
          <w:lang w:val="en-GB"/>
        </w:rPr>
        <w:t xml:space="preserve"> This led to an implied share price of $0.06. In November 2014 and February 2015, the same individuals were approached again as the idea progressed and more capital was needed to develop the platform. In total, another $1.5 million was raised at implied share prices of $0.23 and $0.31, respectively. In July 2015, before the official release of the app, the company raised a further $2.265 million at an implied share price of $0.41</w:t>
      </w:r>
      <w:r w:rsidRPr="00A000EC">
        <w:rPr>
          <w:vertAlign w:val="superscript"/>
          <w:lang w:val="en-GB"/>
        </w:rPr>
        <w:endnoteReference w:id="20"/>
      </w:r>
      <w:r w:rsidRPr="00A000EC">
        <w:rPr>
          <w:lang w:val="en-GB"/>
        </w:rPr>
        <w:t xml:space="preserve"> through a series A round of funding from venture capital firms. This money was to help attract new customers and pay for finishing the app. </w:t>
      </w:r>
      <w:proofErr w:type="spellStart"/>
      <w:r w:rsidRPr="00A000EC">
        <w:rPr>
          <w:lang w:val="en-GB"/>
        </w:rPr>
        <w:t>ChimpChange</w:t>
      </w:r>
      <w:proofErr w:type="spellEnd"/>
      <w:r w:rsidRPr="00A000EC">
        <w:rPr>
          <w:lang w:val="en-GB"/>
        </w:rPr>
        <w:t xml:space="preserve"> was now able to access VCs because it had cash inflows from the beta version of the app. </w:t>
      </w:r>
    </w:p>
    <w:p w14:paraId="58AC317A" w14:textId="77777777" w:rsidR="00662EA3" w:rsidRPr="00A000EC" w:rsidRDefault="00662EA3" w:rsidP="0073621D">
      <w:pPr>
        <w:pStyle w:val="BodyTextMain"/>
        <w:rPr>
          <w:lang w:val="en-GB"/>
        </w:rPr>
      </w:pPr>
    </w:p>
    <w:p w14:paraId="60F2F36E" w14:textId="77777777" w:rsidR="00662EA3" w:rsidRPr="00A000EC" w:rsidRDefault="00662EA3" w:rsidP="0073621D">
      <w:pPr>
        <w:pStyle w:val="BodyTextMain"/>
        <w:rPr>
          <w:lang w:val="en-GB"/>
        </w:rPr>
      </w:pPr>
      <w:r w:rsidRPr="00A000EC">
        <w:rPr>
          <w:lang w:val="en-GB"/>
        </w:rPr>
        <w:t xml:space="preserve">Despite launching only the general-release version of its app in August 2015, </w:t>
      </w:r>
      <w:proofErr w:type="spellStart"/>
      <w:r w:rsidRPr="00A000EC">
        <w:rPr>
          <w:lang w:val="en-GB"/>
        </w:rPr>
        <w:t>ChimpChange</w:t>
      </w:r>
      <w:proofErr w:type="spellEnd"/>
      <w:r w:rsidRPr="00A000EC">
        <w:rPr>
          <w:lang w:val="en-GB"/>
        </w:rPr>
        <w:t xml:space="preserve"> had over 80,000 customers within the first nine months.</w:t>
      </w:r>
      <w:r w:rsidRPr="00A000EC">
        <w:rPr>
          <w:vertAlign w:val="superscript"/>
          <w:lang w:val="en-GB"/>
        </w:rPr>
        <w:endnoteReference w:id="21"/>
      </w:r>
      <w:r w:rsidRPr="00A000EC">
        <w:rPr>
          <w:lang w:val="en-GB"/>
        </w:rPr>
        <w:t xml:space="preserve"> </w:t>
      </w:r>
      <w:proofErr w:type="spellStart"/>
      <w:r w:rsidRPr="00A000EC">
        <w:rPr>
          <w:lang w:val="en-GB"/>
        </w:rPr>
        <w:t>Shilkin</w:t>
      </w:r>
      <w:proofErr w:type="spellEnd"/>
      <w:r w:rsidRPr="00A000EC">
        <w:rPr>
          <w:lang w:val="en-GB"/>
        </w:rPr>
        <w:t xml:space="preserve"> needed more customers; if he could triple the number of clients by the end of 2017, the company would reach its break-even point. To achieve this, </w:t>
      </w:r>
      <w:proofErr w:type="spellStart"/>
      <w:r w:rsidRPr="00A000EC">
        <w:rPr>
          <w:lang w:val="en-GB"/>
        </w:rPr>
        <w:t>ChimpChange</w:t>
      </w:r>
      <w:proofErr w:type="spellEnd"/>
      <w:r w:rsidRPr="00A000EC">
        <w:rPr>
          <w:lang w:val="en-GB"/>
        </w:rPr>
        <w:t xml:space="preserve"> developed a marketing budget of $100,000–$200,000 per month. Early signs showed that the average customer acquisition cost (CAC) was well below the budgeted level of $25 per customer and considerably less than the industry average.</w:t>
      </w:r>
      <w:r w:rsidRPr="00A000EC">
        <w:rPr>
          <w:vertAlign w:val="superscript"/>
          <w:lang w:val="en-GB"/>
        </w:rPr>
        <w:endnoteReference w:id="22"/>
      </w:r>
      <w:r w:rsidRPr="00A000EC">
        <w:rPr>
          <w:lang w:val="en-GB"/>
        </w:rPr>
        <w:t xml:space="preserve"> To move in this direction, the company underwent a series B round of fundraising from VC firms for $4.033 million in December 2015. Operations were starting and money was needed to execute transactions and to cover operating costs, customer acquisitions, and further product development. The implied share price of this funding round was $0.51.</w:t>
      </w:r>
      <w:r w:rsidRPr="00A000EC">
        <w:rPr>
          <w:vertAlign w:val="superscript"/>
          <w:lang w:val="en-GB"/>
        </w:rPr>
        <w:endnoteReference w:id="23"/>
      </w:r>
    </w:p>
    <w:p w14:paraId="6371A231" w14:textId="77777777" w:rsidR="00662EA3" w:rsidRPr="00A000EC" w:rsidRDefault="00662EA3" w:rsidP="0073621D">
      <w:pPr>
        <w:pStyle w:val="BodyTextMain"/>
        <w:rPr>
          <w:lang w:val="en-GB"/>
        </w:rPr>
      </w:pPr>
    </w:p>
    <w:p w14:paraId="19682CD6" w14:textId="77777777" w:rsidR="00662EA3" w:rsidRPr="00A000EC" w:rsidRDefault="00662EA3" w:rsidP="0073621D">
      <w:pPr>
        <w:pStyle w:val="BodyTextMain"/>
        <w:rPr>
          <w:lang w:val="en-GB"/>
        </w:rPr>
      </w:pPr>
      <w:r w:rsidRPr="00A000EC">
        <w:rPr>
          <w:lang w:val="en-GB"/>
        </w:rPr>
        <w:t xml:space="preserve">With some revenue being generated and with increasing experience in customer acquisition, it was now possible to make some forecasts for the future. Specifically, </w:t>
      </w:r>
      <w:proofErr w:type="spellStart"/>
      <w:r w:rsidRPr="00A000EC">
        <w:rPr>
          <w:lang w:val="en-GB"/>
        </w:rPr>
        <w:t>ChimpChange</w:t>
      </w:r>
      <w:proofErr w:type="spellEnd"/>
      <w:r w:rsidRPr="00A000EC">
        <w:rPr>
          <w:lang w:val="en-GB"/>
        </w:rPr>
        <w:t xml:space="preserve"> had originally budgeted for an average CAC of $25.00 per user but had spent only $16.50 per customer through the end of 2015, and this figure been decreasing through early 2016. It was forecasted to go down to $15.00, where it was expected to stay over the next 10 years.</w:t>
      </w:r>
      <w:r w:rsidRPr="00A000EC">
        <w:rPr>
          <w:vertAlign w:val="superscript"/>
          <w:lang w:val="en-GB"/>
        </w:rPr>
        <w:endnoteReference w:id="24"/>
      </w:r>
      <w:r w:rsidRPr="00A000EC">
        <w:rPr>
          <w:lang w:val="en-GB"/>
        </w:rPr>
        <w:t xml:space="preserve"> The CAC for </w:t>
      </w:r>
      <w:proofErr w:type="spellStart"/>
      <w:r w:rsidRPr="00A000EC">
        <w:rPr>
          <w:lang w:val="en-GB"/>
        </w:rPr>
        <w:t>ChimpChange</w:t>
      </w:r>
      <w:proofErr w:type="spellEnd"/>
      <w:r w:rsidRPr="00A000EC">
        <w:rPr>
          <w:lang w:val="en-GB"/>
        </w:rPr>
        <w:t xml:space="preserve"> was interestingly low when compared to the CAC for traditional financial services firms, which often ranged $1,500–$2,000 per retail customer. It was much lower for fintech firms, where it ranged $5–$300 per user.</w:t>
      </w:r>
      <w:r w:rsidRPr="00A000EC">
        <w:rPr>
          <w:vertAlign w:val="superscript"/>
          <w:lang w:val="en-GB"/>
        </w:rPr>
        <w:endnoteReference w:id="25"/>
      </w:r>
      <w:r w:rsidRPr="00A000EC">
        <w:rPr>
          <w:lang w:val="en-GB"/>
        </w:rPr>
        <w:t xml:space="preserve"> </w:t>
      </w:r>
      <w:proofErr w:type="spellStart"/>
      <w:r w:rsidRPr="00A000EC">
        <w:rPr>
          <w:lang w:val="en-GB"/>
        </w:rPr>
        <w:t>Shilkin</w:t>
      </w:r>
      <w:proofErr w:type="spellEnd"/>
      <w:r w:rsidRPr="00A000EC">
        <w:rPr>
          <w:lang w:val="en-GB"/>
        </w:rPr>
        <w:t xml:space="preserve"> and his team were telling the market that they expected their total customer base to approach 250,000 (the number of users at which the company could attain its cash-flow break-even point) by the end of 2017. Although the growth rate in customer acquisition would slow gradually over the next five to seven years, it was expected to reach 1.5 million customers within 10 years.</w:t>
      </w:r>
      <w:r w:rsidRPr="00A000EC">
        <w:rPr>
          <w:vertAlign w:val="superscript"/>
          <w:lang w:val="en-GB"/>
        </w:rPr>
        <w:endnoteReference w:id="26"/>
      </w:r>
      <w:r w:rsidRPr="00A000EC">
        <w:rPr>
          <w:lang w:val="en-GB"/>
        </w:rPr>
        <w:t xml:space="preserve"> As of May 2016, after including all of the necessary expenses to make it to the break-even point, management estimated that the company’s marketing budget would need to be $12 million to execute the growth strategy to get them to the next level.</w:t>
      </w:r>
      <w:r w:rsidRPr="00A000EC">
        <w:rPr>
          <w:vertAlign w:val="superscript"/>
          <w:lang w:val="en-GB"/>
        </w:rPr>
        <w:endnoteReference w:id="27"/>
      </w:r>
      <w:r w:rsidRPr="00A000EC">
        <w:rPr>
          <w:lang w:val="en-GB"/>
        </w:rPr>
        <w:t xml:space="preserve"> </w:t>
      </w:r>
    </w:p>
    <w:p w14:paraId="4C8CCAF5" w14:textId="77777777" w:rsidR="00662EA3" w:rsidRPr="00A000EC" w:rsidRDefault="00662EA3" w:rsidP="0073621D">
      <w:pPr>
        <w:pStyle w:val="BodyTextMain"/>
        <w:rPr>
          <w:lang w:val="en-GB"/>
        </w:rPr>
      </w:pPr>
    </w:p>
    <w:p w14:paraId="50530234" w14:textId="77777777" w:rsidR="00662EA3" w:rsidRPr="00A000EC" w:rsidRDefault="00662EA3" w:rsidP="0073621D">
      <w:pPr>
        <w:pStyle w:val="BodyTextMain"/>
        <w:rPr>
          <w:lang w:val="en-GB"/>
        </w:rPr>
      </w:pPr>
      <w:r w:rsidRPr="00A000EC">
        <w:rPr>
          <w:lang w:val="en-GB"/>
        </w:rPr>
        <w:t xml:space="preserve">The current financials indicated that the firm would be out of cash in less than one year under current conditions, so the company needed to access capital quickly (see Exhibits 4 and 5). Burning cash at this rate was not unusual for technology firms in the early stages of their growth, so it was unlikely that investors would view </w:t>
      </w:r>
      <w:proofErr w:type="spellStart"/>
      <w:r w:rsidRPr="00A000EC">
        <w:rPr>
          <w:lang w:val="en-GB"/>
        </w:rPr>
        <w:t>ChimpChange’s</w:t>
      </w:r>
      <w:proofErr w:type="spellEnd"/>
      <w:r w:rsidRPr="00A000EC">
        <w:rPr>
          <w:lang w:val="en-GB"/>
        </w:rPr>
        <w:t xml:space="preserve"> financial situation as a concern. However, </w:t>
      </w:r>
      <w:proofErr w:type="spellStart"/>
      <w:r w:rsidRPr="00A000EC">
        <w:rPr>
          <w:lang w:val="en-GB"/>
        </w:rPr>
        <w:t>ChimpChange</w:t>
      </w:r>
      <w:proofErr w:type="spellEnd"/>
      <w:r w:rsidRPr="00A000EC">
        <w:rPr>
          <w:lang w:val="en-GB"/>
        </w:rPr>
        <w:t xml:space="preserve"> did need to access further capital and consider the pros and cons of the different potential sources of capital. Its largest current shareholder and original angel investor was very supportive of the direction being taken and gave his approval for this next step. As was typical for angel investors, however, he was now interested in decreasing his 47 per cent position to less than 20 per cent in order to realize some return from his investment, and other investors were interested in decreasing his control.</w:t>
      </w:r>
      <w:r w:rsidRPr="00A000EC">
        <w:rPr>
          <w:vertAlign w:val="superscript"/>
          <w:lang w:val="en-GB"/>
        </w:rPr>
        <w:endnoteReference w:id="28"/>
      </w:r>
      <w:r w:rsidRPr="00A000EC">
        <w:rPr>
          <w:lang w:val="en-GB"/>
        </w:rPr>
        <w:t xml:space="preserve">  </w:t>
      </w:r>
    </w:p>
    <w:p w14:paraId="1B885FA2" w14:textId="77777777" w:rsidR="00662EA3" w:rsidRPr="00A000EC" w:rsidRDefault="00662EA3" w:rsidP="0073621D">
      <w:pPr>
        <w:pStyle w:val="BodyTextMain"/>
        <w:rPr>
          <w:lang w:val="en-GB"/>
        </w:rPr>
      </w:pPr>
    </w:p>
    <w:p w14:paraId="59C97C0D" w14:textId="77777777" w:rsidR="00662EA3" w:rsidRPr="00A000EC" w:rsidRDefault="00662EA3" w:rsidP="0073621D">
      <w:pPr>
        <w:pStyle w:val="BodyTextMain"/>
        <w:rPr>
          <w:lang w:val="en-GB"/>
        </w:rPr>
      </w:pPr>
      <w:r w:rsidRPr="00A000EC">
        <w:rPr>
          <w:lang w:val="en-GB"/>
        </w:rPr>
        <w:t xml:space="preserve">Consequently, </w:t>
      </w:r>
      <w:proofErr w:type="spellStart"/>
      <w:r w:rsidRPr="00A000EC">
        <w:rPr>
          <w:lang w:val="en-GB"/>
        </w:rPr>
        <w:t>Shilkin</w:t>
      </w:r>
      <w:proofErr w:type="spellEnd"/>
      <w:r w:rsidRPr="00A000EC">
        <w:rPr>
          <w:lang w:val="en-GB"/>
        </w:rPr>
        <w:t xml:space="preserve"> had to consider other potential sources of capital. Approaching the company’s current financial partners (e.g., venture capital funders) was an option, but this would mean these partners, who already had representatives in both senior management positions and on the board, would obtain more control and an even stronger voice on the board (see Exhibit 6). The company could approach strategic partners, but Australian banks had not been very interested earlier. Would Australian or U.S. </w:t>
      </w:r>
      <w:r w:rsidRPr="00A000EC">
        <w:rPr>
          <w:lang w:val="en-GB"/>
        </w:rPr>
        <w:lastRenderedPageBreak/>
        <w:t xml:space="preserve">banks be interested now that the company had moved beyond the proof of concept stage? </w:t>
      </w:r>
      <w:proofErr w:type="spellStart"/>
      <w:r w:rsidRPr="00A000EC">
        <w:rPr>
          <w:lang w:val="en-GB"/>
        </w:rPr>
        <w:t>Shilkin</w:t>
      </w:r>
      <w:proofErr w:type="spellEnd"/>
      <w:r w:rsidRPr="00A000EC">
        <w:rPr>
          <w:lang w:val="en-GB"/>
        </w:rPr>
        <w:t xml:space="preserve"> could also consider raising money through a public listing, or IPO, in either Australia or the United States.</w:t>
      </w:r>
    </w:p>
    <w:p w14:paraId="21A8F363" w14:textId="77777777" w:rsidR="00662EA3" w:rsidRPr="00A000EC" w:rsidRDefault="00662EA3" w:rsidP="0073621D">
      <w:pPr>
        <w:pStyle w:val="BodyTextMain"/>
        <w:rPr>
          <w:lang w:val="en-GB"/>
        </w:rPr>
      </w:pPr>
    </w:p>
    <w:p w14:paraId="698DEFAF" w14:textId="77777777" w:rsidR="00662EA3" w:rsidRPr="00A000EC" w:rsidRDefault="00662EA3" w:rsidP="0073621D">
      <w:pPr>
        <w:pStyle w:val="BodyTextMain"/>
        <w:rPr>
          <w:lang w:val="en-GB"/>
        </w:rPr>
      </w:pPr>
      <w:r w:rsidRPr="00A000EC">
        <w:rPr>
          <w:lang w:val="en-GB"/>
        </w:rPr>
        <w:t xml:space="preserve">The amount of required capital was known, but an important consideration was how much of the firm would have to be sold to raise that capital. The valuation would depend on many different factors, so a key question future investors would want to understand involved the competitive environment and risks that </w:t>
      </w:r>
      <w:proofErr w:type="spellStart"/>
      <w:r w:rsidRPr="00A000EC">
        <w:rPr>
          <w:lang w:val="en-GB"/>
        </w:rPr>
        <w:t>ChimpChange</w:t>
      </w:r>
      <w:proofErr w:type="spellEnd"/>
      <w:r w:rsidRPr="00A000EC">
        <w:rPr>
          <w:lang w:val="en-GB"/>
        </w:rPr>
        <w:t xml:space="preserve"> would be facing in trying to implement its business model and grow.</w:t>
      </w:r>
    </w:p>
    <w:p w14:paraId="0530FACC" w14:textId="77777777" w:rsidR="00662EA3" w:rsidRPr="00A000EC" w:rsidRDefault="00662EA3" w:rsidP="0073621D">
      <w:pPr>
        <w:pStyle w:val="BodyTextMain"/>
        <w:rPr>
          <w:lang w:val="en-GB"/>
        </w:rPr>
      </w:pPr>
    </w:p>
    <w:p w14:paraId="43121F01" w14:textId="77777777" w:rsidR="00662EA3" w:rsidRPr="00A000EC" w:rsidRDefault="00662EA3" w:rsidP="0073621D">
      <w:pPr>
        <w:pStyle w:val="BodyTextMain"/>
        <w:rPr>
          <w:lang w:val="en-GB"/>
        </w:rPr>
      </w:pPr>
    </w:p>
    <w:p w14:paraId="293C3A5D" w14:textId="77777777" w:rsidR="00662EA3" w:rsidRPr="00A000EC" w:rsidRDefault="00662EA3" w:rsidP="0073621D">
      <w:pPr>
        <w:pStyle w:val="Casehead1"/>
        <w:rPr>
          <w:lang w:val="en-GB"/>
        </w:rPr>
      </w:pPr>
      <w:r w:rsidRPr="00A000EC">
        <w:rPr>
          <w:lang w:val="en-GB"/>
        </w:rPr>
        <w:t>Competitive Environment</w:t>
      </w:r>
    </w:p>
    <w:p w14:paraId="0697C2D4" w14:textId="77777777" w:rsidR="00662EA3" w:rsidRPr="00A000EC" w:rsidRDefault="00662EA3" w:rsidP="0073621D">
      <w:pPr>
        <w:pStyle w:val="BodyTextMain"/>
        <w:rPr>
          <w:lang w:val="en-GB"/>
        </w:rPr>
      </w:pPr>
    </w:p>
    <w:p w14:paraId="0719E59C" w14:textId="77777777" w:rsidR="00662EA3" w:rsidRPr="00A000EC" w:rsidRDefault="00662EA3" w:rsidP="0073621D">
      <w:pPr>
        <w:pStyle w:val="BodyTextMain"/>
        <w:rPr>
          <w:lang w:val="en-GB"/>
        </w:rPr>
      </w:pPr>
      <w:r w:rsidRPr="00A000EC">
        <w:rPr>
          <w:lang w:val="en-GB"/>
        </w:rPr>
        <w:t xml:space="preserve">As a disruptor in an industry with large incumbents and many barriers to entry, </w:t>
      </w:r>
      <w:proofErr w:type="spellStart"/>
      <w:r w:rsidRPr="00A000EC">
        <w:rPr>
          <w:lang w:val="en-GB"/>
        </w:rPr>
        <w:t>ChimpChange</w:t>
      </w:r>
      <w:proofErr w:type="spellEnd"/>
      <w:r w:rsidRPr="00A000EC">
        <w:rPr>
          <w:lang w:val="en-GB"/>
        </w:rPr>
        <w:t xml:space="preserve"> operated in an environment with many competitive risks. Most importantly, incumbent financial institutions had strong customer relationships and broad product portfolios, making it important for new entrants to clearly identify their points of differentiation. New entrants all</w:t>
      </w:r>
      <w:r w:rsidRPr="00A000EC" w:rsidDel="006C532E">
        <w:rPr>
          <w:lang w:val="en-GB"/>
        </w:rPr>
        <w:t xml:space="preserve"> </w:t>
      </w:r>
      <w:r w:rsidRPr="00A000EC">
        <w:rPr>
          <w:lang w:val="en-GB"/>
        </w:rPr>
        <w:t xml:space="preserve">had low barriers to entry and limited product portfolios and were chasing the same customer base, so newer entrants generally competed on price. The primary risks to </w:t>
      </w:r>
      <w:proofErr w:type="spellStart"/>
      <w:r w:rsidRPr="00A000EC">
        <w:rPr>
          <w:lang w:val="en-GB"/>
        </w:rPr>
        <w:t>ChimpChange</w:t>
      </w:r>
      <w:proofErr w:type="spellEnd"/>
      <w:r w:rsidRPr="00A000EC">
        <w:rPr>
          <w:lang w:val="en-GB"/>
        </w:rPr>
        <w:t xml:space="preserve"> related to its rate of customer acquisition, the volume of use of its platform, potential losses of customers to competing platforms, the strength of its partner relationships, research and development, regulations, and cybersecurity regarding customer information. </w:t>
      </w:r>
    </w:p>
    <w:p w14:paraId="078A33B1" w14:textId="77777777" w:rsidR="00662EA3" w:rsidRPr="00A000EC" w:rsidRDefault="00662EA3" w:rsidP="0073621D">
      <w:pPr>
        <w:pStyle w:val="BodyTextMain"/>
        <w:rPr>
          <w:lang w:val="en-GB"/>
        </w:rPr>
      </w:pPr>
    </w:p>
    <w:p w14:paraId="5BEDD29C" w14:textId="77777777" w:rsidR="00662EA3" w:rsidRPr="00A000EC" w:rsidRDefault="00662EA3" w:rsidP="0073621D">
      <w:pPr>
        <w:pStyle w:val="BodyTextMain"/>
        <w:rPr>
          <w:lang w:val="en-GB"/>
        </w:rPr>
      </w:pPr>
      <w:proofErr w:type="spellStart"/>
      <w:r w:rsidRPr="00A000EC">
        <w:rPr>
          <w:lang w:val="en-GB"/>
        </w:rPr>
        <w:t>ChimpChange</w:t>
      </w:r>
      <w:proofErr w:type="spellEnd"/>
      <w:r w:rsidRPr="00A000EC">
        <w:rPr>
          <w:lang w:val="en-GB"/>
        </w:rPr>
        <w:t xml:space="preserve"> experienced moderate industry rivalry, as a low but increasing number of pure-play digital banks were entering the market. Traditional banks had historically underserved low-value accounts, such as those of the millennials </w:t>
      </w:r>
      <w:proofErr w:type="spellStart"/>
      <w:r w:rsidRPr="00A000EC">
        <w:rPr>
          <w:lang w:val="en-GB"/>
        </w:rPr>
        <w:t>ChimpChange</w:t>
      </w:r>
      <w:proofErr w:type="spellEnd"/>
      <w:r w:rsidRPr="00A000EC">
        <w:rPr>
          <w:lang w:val="en-GB"/>
        </w:rPr>
        <w:t xml:space="preserve"> was targeting, due to the limited profit opportunities associated with these accounts. However, with the advent of fintech app solutions, traditional banks were increasingly acknowledging this market segment. As technology enabled start-ups and new platforms to attain scale rapidly, the threat of new entrants was high. Overall, this was a large, underserved market (there were about 92 million millennials in the United States alone</w:t>
      </w:r>
      <w:r w:rsidRPr="00A000EC">
        <w:rPr>
          <w:vertAlign w:val="superscript"/>
          <w:lang w:val="en-GB"/>
        </w:rPr>
        <w:endnoteReference w:id="29"/>
      </w:r>
      <w:r w:rsidRPr="00A000EC">
        <w:rPr>
          <w:lang w:val="en-GB"/>
        </w:rPr>
        <w:t>) with large competitive pressures.</w:t>
      </w:r>
    </w:p>
    <w:p w14:paraId="4DB5852F" w14:textId="77777777" w:rsidR="00662EA3" w:rsidRPr="00A000EC" w:rsidRDefault="00662EA3" w:rsidP="0073621D">
      <w:pPr>
        <w:pStyle w:val="BodyTextMain"/>
        <w:rPr>
          <w:lang w:val="en-GB"/>
        </w:rPr>
      </w:pPr>
    </w:p>
    <w:p w14:paraId="47C34619" w14:textId="77777777" w:rsidR="00662EA3" w:rsidRPr="00A000EC" w:rsidRDefault="00662EA3" w:rsidP="0073621D">
      <w:pPr>
        <w:pStyle w:val="BodyTextMain"/>
        <w:rPr>
          <w:lang w:val="en-GB"/>
        </w:rPr>
      </w:pPr>
      <w:r w:rsidRPr="00A000EC">
        <w:rPr>
          <w:lang w:val="en-GB"/>
        </w:rPr>
        <w:t xml:space="preserve">Increased adoption of functions like Apple Pay and Google Wallet could increase the attraction of services like </w:t>
      </w:r>
      <w:proofErr w:type="spellStart"/>
      <w:r w:rsidRPr="00A000EC">
        <w:rPr>
          <w:lang w:val="en-GB"/>
        </w:rPr>
        <w:t>ChimpChange</w:t>
      </w:r>
      <w:proofErr w:type="spellEnd"/>
      <w:r w:rsidRPr="00A000EC">
        <w:rPr>
          <w:lang w:val="en-GB"/>
        </w:rPr>
        <w:t>, as the ease of syncing debit cards and mobile apps attracted users. Supplier inputs included sponsor bank and payment processing partners, both of whom had alternative players, who largely competed on a price basis. Switching costs to buyers (bank customers) were typically high from an effort and logistical viewpoint, but buyers bore very low financial costs in establishing new bank accounts. Accordingly, customers could typically demand higher savings rates, lower lending rates, and better functionality.</w:t>
      </w:r>
    </w:p>
    <w:p w14:paraId="296507BF" w14:textId="77777777" w:rsidR="00662EA3" w:rsidRPr="00A000EC" w:rsidRDefault="00662EA3" w:rsidP="0073621D">
      <w:pPr>
        <w:pStyle w:val="BodyTextMain"/>
        <w:rPr>
          <w:lang w:val="en-GB"/>
        </w:rPr>
      </w:pPr>
    </w:p>
    <w:p w14:paraId="23E6FBFC" w14:textId="77777777" w:rsidR="00662EA3" w:rsidRPr="00A000EC" w:rsidRDefault="00662EA3" w:rsidP="0073621D">
      <w:pPr>
        <w:pStyle w:val="BodyTextMain"/>
        <w:rPr>
          <w:lang w:val="en-GB"/>
        </w:rPr>
      </w:pPr>
      <w:r w:rsidRPr="00A000EC">
        <w:rPr>
          <w:lang w:val="en-GB"/>
        </w:rPr>
        <w:t xml:space="preserve">Some of the advantages </w:t>
      </w:r>
      <w:proofErr w:type="spellStart"/>
      <w:r w:rsidRPr="00A000EC">
        <w:rPr>
          <w:lang w:val="en-GB"/>
        </w:rPr>
        <w:t>ChimpChange</w:t>
      </w:r>
      <w:proofErr w:type="spellEnd"/>
      <w:r w:rsidRPr="00A000EC">
        <w:rPr>
          <w:lang w:val="en-GB"/>
        </w:rPr>
        <w:t xml:space="preserve"> had in this space included a first-mover advantage and a growing customer base. Its platform and business models were operational and were demonstrating their scalability, allowing for a forecast of break-even status in a year or so. This was a large market with many potential customers, but the customers could be very willing to change service providers.</w:t>
      </w:r>
    </w:p>
    <w:p w14:paraId="6F5DC4F7" w14:textId="77777777" w:rsidR="00662EA3" w:rsidRPr="00A000EC" w:rsidRDefault="00662EA3" w:rsidP="0073621D">
      <w:pPr>
        <w:pStyle w:val="BodyTextMain"/>
        <w:rPr>
          <w:lang w:val="en-GB"/>
        </w:rPr>
      </w:pPr>
    </w:p>
    <w:p w14:paraId="7B5A3070" w14:textId="77777777" w:rsidR="00662EA3" w:rsidRPr="00A000EC" w:rsidRDefault="00662EA3" w:rsidP="0073621D">
      <w:pPr>
        <w:pStyle w:val="BodyTextMain"/>
        <w:rPr>
          <w:lang w:val="en-GB"/>
        </w:rPr>
      </w:pPr>
    </w:p>
    <w:p w14:paraId="4E012A81" w14:textId="77777777" w:rsidR="00662EA3" w:rsidRPr="00A000EC" w:rsidRDefault="00662EA3" w:rsidP="0073621D">
      <w:pPr>
        <w:pStyle w:val="Casehead1"/>
        <w:rPr>
          <w:lang w:val="en-GB"/>
        </w:rPr>
      </w:pPr>
      <w:r w:rsidRPr="00A000EC">
        <w:rPr>
          <w:lang w:val="en-GB"/>
        </w:rPr>
        <w:t>Raising Capital</w:t>
      </w:r>
    </w:p>
    <w:p w14:paraId="1DC86D68" w14:textId="77777777" w:rsidR="00662EA3" w:rsidRPr="00A000EC" w:rsidRDefault="00662EA3" w:rsidP="0073621D">
      <w:pPr>
        <w:pStyle w:val="BodyTextMain"/>
        <w:rPr>
          <w:lang w:val="en-GB"/>
        </w:rPr>
      </w:pPr>
    </w:p>
    <w:p w14:paraId="2D1A00C1" w14:textId="77777777" w:rsidR="00662EA3" w:rsidRPr="00A000EC" w:rsidRDefault="00662EA3" w:rsidP="0073621D">
      <w:pPr>
        <w:pStyle w:val="BodyTextMain"/>
        <w:rPr>
          <w:lang w:val="en-GB"/>
        </w:rPr>
      </w:pPr>
      <w:r w:rsidRPr="00A000EC">
        <w:rPr>
          <w:lang w:val="en-GB"/>
        </w:rPr>
        <w:t xml:space="preserve">A first step to determining how to raise the required $12 million was to consider the valuation the company would receive by accessing different types of capital. Although completing an IPO could raise the largest amount of capital—and likely at the highest valuation—it would come with many constraints due to the requirements for disclosure and compliance for a publicly listed company. Raising capital through either VCs or a strategic partner would require giving up more control, but it would require less disclosure and it could provide important advice. The company and its investors were familiar with these </w:t>
      </w:r>
      <w:r w:rsidRPr="00A000EC">
        <w:rPr>
          <w:lang w:val="en-GB"/>
        </w:rPr>
        <w:lastRenderedPageBreak/>
        <w:t xml:space="preserve">trade-offs as </w:t>
      </w:r>
      <w:proofErr w:type="spellStart"/>
      <w:r w:rsidRPr="00A000EC">
        <w:rPr>
          <w:lang w:val="en-GB"/>
        </w:rPr>
        <w:t>ChimpChange</w:t>
      </w:r>
      <w:proofErr w:type="spellEnd"/>
      <w:r w:rsidRPr="00A000EC">
        <w:rPr>
          <w:lang w:val="en-GB"/>
        </w:rPr>
        <w:t xml:space="preserve"> had experience with several different means of raising capital over its short lifetime.  </w:t>
      </w:r>
    </w:p>
    <w:p w14:paraId="599BBB03" w14:textId="77777777" w:rsidR="00662EA3" w:rsidRPr="00A000EC" w:rsidRDefault="00662EA3" w:rsidP="0073621D">
      <w:pPr>
        <w:pStyle w:val="BodyTextMain"/>
        <w:rPr>
          <w:lang w:val="en-GB"/>
        </w:rPr>
      </w:pPr>
    </w:p>
    <w:p w14:paraId="46624632" w14:textId="77777777" w:rsidR="00662EA3" w:rsidRPr="00A000EC" w:rsidRDefault="00662EA3" w:rsidP="0073621D">
      <w:pPr>
        <w:pStyle w:val="BodyTextMain"/>
        <w:rPr>
          <w:lang w:val="en-GB"/>
        </w:rPr>
      </w:pPr>
      <w:r w:rsidRPr="00A000EC">
        <w:rPr>
          <w:lang w:val="en-GB"/>
        </w:rPr>
        <w:t xml:space="preserve">One of the major issues with raising capital for a high-growth start-up was its valuation. How would VC or private equity (PE) investors value the firm? Would their valuation be different than that of an IPO? Would it depend on the listing exchange? It was important to estimate the value for </w:t>
      </w:r>
      <w:proofErr w:type="spellStart"/>
      <w:r w:rsidRPr="00A000EC">
        <w:rPr>
          <w:lang w:val="en-GB"/>
        </w:rPr>
        <w:t>ChimpChange</w:t>
      </w:r>
      <w:proofErr w:type="spellEnd"/>
      <w:r w:rsidRPr="00A000EC">
        <w:rPr>
          <w:lang w:val="en-GB"/>
        </w:rPr>
        <w:t xml:space="preserve"> under the different alternatives before moving forward with raising capital, both to understand the value to shareholders of the firm and to estimate the amount of the firm that would have to be sold to raise the required $12 million. </w:t>
      </w:r>
    </w:p>
    <w:p w14:paraId="432BB96A" w14:textId="77777777" w:rsidR="00662EA3" w:rsidRPr="00A000EC" w:rsidRDefault="00662EA3" w:rsidP="0073621D">
      <w:pPr>
        <w:pStyle w:val="BodyTextMain"/>
        <w:rPr>
          <w:lang w:val="en-GB"/>
        </w:rPr>
      </w:pPr>
    </w:p>
    <w:p w14:paraId="7F74FBC2" w14:textId="77777777" w:rsidR="00662EA3" w:rsidRPr="00A000EC" w:rsidRDefault="00662EA3" w:rsidP="0073621D">
      <w:pPr>
        <w:pStyle w:val="BodyTextMain"/>
        <w:rPr>
          <w:lang w:val="en-GB"/>
        </w:rPr>
      </w:pPr>
      <w:r w:rsidRPr="00A000EC">
        <w:rPr>
          <w:lang w:val="en-GB"/>
        </w:rPr>
        <w:t xml:space="preserve">A natural starting point was to consider how much investors had paid for similar firms in this industry, and this would provide a nice benchmark for </w:t>
      </w:r>
      <w:proofErr w:type="spellStart"/>
      <w:r w:rsidRPr="00A000EC">
        <w:rPr>
          <w:lang w:val="en-GB"/>
        </w:rPr>
        <w:t>ChimpChange’s</w:t>
      </w:r>
      <w:proofErr w:type="spellEnd"/>
      <w:r w:rsidRPr="00A000EC">
        <w:rPr>
          <w:lang w:val="en-GB"/>
        </w:rPr>
        <w:t xml:space="preserve"> current value. Most comparable firms were being valued on a per-customer basis. The lifetime customer value of a low to medium saver for a traditional bank ranged between $3,000 and $7,500 and could be significantly higher, depending on the other services the customers used. </w:t>
      </w:r>
      <w:proofErr w:type="spellStart"/>
      <w:r w:rsidRPr="00A000EC">
        <w:rPr>
          <w:lang w:val="en-GB"/>
        </w:rPr>
        <w:t>ChimpChange</w:t>
      </w:r>
      <w:proofErr w:type="spellEnd"/>
      <w:r w:rsidRPr="00A000EC">
        <w:rPr>
          <w:lang w:val="en-GB"/>
        </w:rPr>
        <w:t xml:space="preserve"> offered only chequing and savings accounts, so the lifetime customer value would be considerably lower for </w:t>
      </w:r>
      <w:proofErr w:type="spellStart"/>
      <w:r w:rsidRPr="00A000EC">
        <w:rPr>
          <w:lang w:val="en-GB"/>
        </w:rPr>
        <w:t>ChimpChange</w:t>
      </w:r>
      <w:proofErr w:type="spellEnd"/>
      <w:r w:rsidRPr="00A000EC">
        <w:rPr>
          <w:lang w:val="en-GB"/>
        </w:rPr>
        <w:t xml:space="preserve"> (see Exhibit 7). For example, Simple Finance Technology Corp. was acquired for an average price of $1,560 per customer, which was broken down as $1,200 per user $3,300 per active user.</w:t>
      </w:r>
      <w:r w:rsidRPr="00A000EC">
        <w:rPr>
          <w:vertAlign w:val="superscript"/>
          <w:lang w:val="en-GB"/>
        </w:rPr>
        <w:endnoteReference w:id="30"/>
      </w:r>
      <w:r w:rsidRPr="00A000EC">
        <w:rPr>
          <w:lang w:val="en-GB"/>
        </w:rPr>
        <w:t xml:space="preserve"> Similarly, </w:t>
      </w:r>
      <w:proofErr w:type="spellStart"/>
      <w:r w:rsidRPr="00A000EC">
        <w:rPr>
          <w:lang w:val="en-GB"/>
        </w:rPr>
        <w:t>ChimpChange</w:t>
      </w:r>
      <w:proofErr w:type="spellEnd"/>
      <w:r w:rsidRPr="00A000EC">
        <w:rPr>
          <w:lang w:val="en-GB"/>
        </w:rPr>
        <w:t xml:space="preserve"> could look at comparable firms’ valuations on different stock exchanges (see Exhibit 8). </w:t>
      </w:r>
    </w:p>
    <w:p w14:paraId="45EB4307" w14:textId="77777777" w:rsidR="00662EA3" w:rsidRPr="00A000EC" w:rsidRDefault="00662EA3" w:rsidP="0073621D">
      <w:pPr>
        <w:pStyle w:val="BodyTextMain"/>
        <w:rPr>
          <w:lang w:val="en-GB"/>
        </w:rPr>
      </w:pPr>
    </w:p>
    <w:p w14:paraId="6D773FA1" w14:textId="77777777" w:rsidR="00662EA3" w:rsidRPr="00A000EC" w:rsidRDefault="00662EA3" w:rsidP="0073621D">
      <w:pPr>
        <w:pStyle w:val="BodyTextMain"/>
        <w:rPr>
          <w:lang w:val="en-GB"/>
        </w:rPr>
      </w:pPr>
      <w:r w:rsidRPr="00A000EC">
        <w:rPr>
          <w:lang w:val="en-GB"/>
        </w:rPr>
        <w:t xml:space="preserve">Because </w:t>
      </w:r>
      <w:proofErr w:type="spellStart"/>
      <w:r w:rsidRPr="00A000EC">
        <w:rPr>
          <w:lang w:val="en-GB"/>
        </w:rPr>
        <w:t>ChimpChange</w:t>
      </w:r>
      <w:proofErr w:type="spellEnd"/>
      <w:r w:rsidRPr="00A000EC">
        <w:rPr>
          <w:lang w:val="en-GB"/>
        </w:rPr>
        <w:t xml:space="preserve"> was located in the United States and </w:t>
      </w:r>
      <w:proofErr w:type="spellStart"/>
      <w:r w:rsidRPr="00A000EC">
        <w:rPr>
          <w:lang w:val="en-GB"/>
        </w:rPr>
        <w:t>Shilkin</w:t>
      </w:r>
      <w:proofErr w:type="spellEnd"/>
      <w:r w:rsidRPr="00A000EC">
        <w:rPr>
          <w:lang w:val="en-GB"/>
        </w:rPr>
        <w:t xml:space="preserve"> and many of his initial investors were Australian, it was natural to consider listing on either the Nasdaq Stock Market (Nasdaq) in the United States or the Australian Securities Exchange (ASX). The ASX was striving to become the location for small- and medium-sized firms to launch their IPOs and was becoming a natural stepping stone to listings on the Nasdaq or Hong Kong exchanges.</w:t>
      </w:r>
      <w:r w:rsidRPr="00A000EC">
        <w:rPr>
          <w:vertAlign w:val="superscript"/>
          <w:lang w:val="en-GB"/>
        </w:rPr>
        <w:endnoteReference w:id="31"/>
      </w:r>
      <w:r w:rsidRPr="00A000EC">
        <w:rPr>
          <w:lang w:val="en-GB"/>
        </w:rPr>
        <w:t xml:space="preserve"> </w:t>
      </w:r>
    </w:p>
    <w:p w14:paraId="12D0E666" w14:textId="77777777" w:rsidR="00662EA3" w:rsidRPr="00A000EC" w:rsidRDefault="00662EA3" w:rsidP="0073621D">
      <w:pPr>
        <w:pStyle w:val="BodyTextMain"/>
        <w:rPr>
          <w:lang w:val="en-GB"/>
        </w:rPr>
      </w:pPr>
    </w:p>
    <w:p w14:paraId="73238189" w14:textId="77777777" w:rsidR="00662EA3" w:rsidRPr="00A000EC" w:rsidRDefault="00662EA3" w:rsidP="0073621D">
      <w:pPr>
        <w:pStyle w:val="BodyTextMain"/>
        <w:rPr>
          <w:lang w:val="en-GB"/>
        </w:rPr>
      </w:pPr>
      <w:r w:rsidRPr="00A000EC">
        <w:rPr>
          <w:lang w:val="en-GB"/>
        </w:rPr>
        <w:t>Over the previous five years, the ASX had been called the “Nasdaq of Asia Pacific” after nearly doubling its technology listings.</w:t>
      </w:r>
      <w:r w:rsidRPr="00A000EC">
        <w:rPr>
          <w:vertAlign w:val="superscript"/>
          <w:lang w:val="en-GB"/>
        </w:rPr>
        <w:endnoteReference w:id="32"/>
      </w:r>
      <w:r w:rsidRPr="00A000EC">
        <w:rPr>
          <w:lang w:val="en-GB"/>
        </w:rPr>
        <w:t xml:space="preserve"> The ASX had 224 technology companies listed with a market capitalization of AU$69 billion ($55 billion). The ASX had been able to position itself as a technology leader because there was no Nasdaq-type technology exchange in the Asia-Pacific region, and technology and innovation had exploded in the region. Other major exchanges in the region, in particular the Hong Kong and Singapore exchanges, had marketed themselves as leaders in the technology space by being more corporate-governance friendly, but were focused on larger firms. ASX’s strategy was to target tech companies with small to medium capitalization, worth under $1 billion. As a result, the ASX had attracted companies from Ireland, New Zealand, Israel, Germany, Singapore, Malaysia, and the United States, as well as a growing number of domestic technology companies.</w:t>
      </w:r>
      <w:r w:rsidRPr="00A000EC">
        <w:rPr>
          <w:vertAlign w:val="superscript"/>
          <w:lang w:val="en-GB"/>
        </w:rPr>
        <w:endnoteReference w:id="33"/>
      </w:r>
      <w:r w:rsidRPr="00A000EC">
        <w:rPr>
          <w:lang w:val="en-GB"/>
        </w:rPr>
        <w:t xml:space="preserve"> </w:t>
      </w:r>
    </w:p>
    <w:p w14:paraId="342D6499" w14:textId="77777777" w:rsidR="00662EA3" w:rsidRPr="00A000EC" w:rsidRDefault="00662EA3" w:rsidP="0073621D">
      <w:pPr>
        <w:pStyle w:val="BodyTextMain"/>
        <w:rPr>
          <w:lang w:val="en-GB"/>
        </w:rPr>
      </w:pPr>
    </w:p>
    <w:p w14:paraId="4C7916C6" w14:textId="77777777" w:rsidR="00662EA3" w:rsidRPr="00A000EC" w:rsidRDefault="00662EA3" w:rsidP="0073621D">
      <w:pPr>
        <w:pStyle w:val="BodyTextMain"/>
        <w:rPr>
          <w:lang w:val="en-GB"/>
        </w:rPr>
      </w:pPr>
    </w:p>
    <w:p w14:paraId="5C6B97EC" w14:textId="77777777" w:rsidR="00662EA3" w:rsidRPr="00A000EC" w:rsidRDefault="00662EA3" w:rsidP="0073621D">
      <w:pPr>
        <w:pStyle w:val="Casehead2"/>
        <w:rPr>
          <w:lang w:val="en-GB"/>
        </w:rPr>
      </w:pPr>
      <w:r w:rsidRPr="00A000EC">
        <w:rPr>
          <w:lang w:val="en-GB"/>
        </w:rPr>
        <w:t>Valuation</w:t>
      </w:r>
    </w:p>
    <w:p w14:paraId="26B02B74" w14:textId="77777777" w:rsidR="00662EA3" w:rsidRPr="00A000EC" w:rsidRDefault="00662EA3" w:rsidP="0073621D">
      <w:pPr>
        <w:pStyle w:val="BodyTextMain"/>
        <w:rPr>
          <w:lang w:val="en-GB"/>
        </w:rPr>
      </w:pPr>
    </w:p>
    <w:p w14:paraId="4F7FB823" w14:textId="77777777" w:rsidR="00662EA3" w:rsidRPr="00A000EC" w:rsidRDefault="00662EA3" w:rsidP="0073621D">
      <w:pPr>
        <w:pStyle w:val="BodyTextMain"/>
        <w:rPr>
          <w:lang w:val="en-GB"/>
        </w:rPr>
      </w:pPr>
      <w:r w:rsidRPr="00A000EC">
        <w:rPr>
          <w:lang w:val="en-GB"/>
        </w:rPr>
        <w:t xml:space="preserve">Valuing a company at such an early stage in its development was difficult. Although there were two and a half years of operating history for </w:t>
      </w:r>
      <w:proofErr w:type="spellStart"/>
      <w:r w:rsidRPr="00A000EC">
        <w:rPr>
          <w:lang w:val="en-GB"/>
        </w:rPr>
        <w:t>ChimpChange</w:t>
      </w:r>
      <w:proofErr w:type="spellEnd"/>
      <w:r w:rsidRPr="00A000EC">
        <w:rPr>
          <w:lang w:val="en-GB"/>
        </w:rPr>
        <w:t>, and the company had acquired over 80,000 customers in its first nine months, it had only $41,000 in revenues.</w:t>
      </w:r>
      <w:r w:rsidRPr="00A000EC">
        <w:rPr>
          <w:vertAlign w:val="superscript"/>
          <w:lang w:val="en-GB"/>
        </w:rPr>
        <w:endnoteReference w:id="34"/>
      </w:r>
      <w:r w:rsidRPr="00A000EC">
        <w:rPr>
          <w:lang w:val="en-GB"/>
        </w:rPr>
        <w:t xml:space="preserve"> The reason for the low revenue figure was that only 25 per cent of the company’s customers had taken debit cards. </w:t>
      </w:r>
      <w:proofErr w:type="spellStart"/>
      <w:r w:rsidRPr="00A000EC">
        <w:rPr>
          <w:lang w:val="en-GB"/>
        </w:rPr>
        <w:t>ChimpChange</w:t>
      </w:r>
      <w:proofErr w:type="spellEnd"/>
      <w:r w:rsidRPr="00A000EC">
        <w:rPr>
          <w:lang w:val="en-GB"/>
        </w:rPr>
        <w:t xml:space="preserve"> customers could open debit card accounts once they felt comfortable with the platform, but that would take time. If customers used their </w:t>
      </w:r>
      <w:proofErr w:type="spellStart"/>
      <w:r w:rsidRPr="00A000EC">
        <w:rPr>
          <w:lang w:val="en-GB"/>
        </w:rPr>
        <w:t>ChimpChange</w:t>
      </w:r>
      <w:proofErr w:type="spellEnd"/>
      <w:r w:rsidRPr="00A000EC">
        <w:rPr>
          <w:lang w:val="en-GB"/>
        </w:rPr>
        <w:t xml:space="preserve"> debit cards within three years, it would earn the company between $3 and $4 per month per customer.</w:t>
      </w:r>
      <w:r w:rsidRPr="00A000EC">
        <w:rPr>
          <w:vertAlign w:val="superscript"/>
          <w:lang w:val="en-GB"/>
        </w:rPr>
        <w:endnoteReference w:id="35"/>
      </w:r>
      <w:r w:rsidRPr="00A000EC">
        <w:rPr>
          <w:lang w:val="en-GB"/>
        </w:rPr>
        <w:t xml:space="preserve"> As more services were added, this per-customer revenue was expected to increase over the subsequent five to seven years, likely growing to about $7–$8 per month over this period.</w:t>
      </w:r>
    </w:p>
    <w:p w14:paraId="71C7FCFD" w14:textId="77777777" w:rsidR="00662EA3" w:rsidRPr="00A000EC" w:rsidRDefault="00662EA3" w:rsidP="0073621D">
      <w:pPr>
        <w:pStyle w:val="BodyTextMain"/>
        <w:rPr>
          <w:lang w:val="en-GB"/>
        </w:rPr>
      </w:pPr>
    </w:p>
    <w:p w14:paraId="204173CB" w14:textId="09330EC5" w:rsidR="00662EA3" w:rsidRPr="00A000EC" w:rsidRDefault="00662EA3" w:rsidP="0073621D">
      <w:pPr>
        <w:pStyle w:val="BodyTextMain"/>
        <w:rPr>
          <w:lang w:val="en-GB"/>
        </w:rPr>
      </w:pPr>
      <w:r w:rsidRPr="00A000EC">
        <w:rPr>
          <w:lang w:val="en-GB"/>
        </w:rPr>
        <w:lastRenderedPageBreak/>
        <w:t xml:space="preserve">Assuming that </w:t>
      </w:r>
      <w:proofErr w:type="spellStart"/>
      <w:r w:rsidRPr="00A000EC">
        <w:rPr>
          <w:lang w:val="en-GB"/>
        </w:rPr>
        <w:t>ChimpChange</w:t>
      </w:r>
      <w:proofErr w:type="spellEnd"/>
      <w:r w:rsidRPr="00A000EC">
        <w:rPr>
          <w:lang w:val="en-GB"/>
        </w:rPr>
        <w:t xml:space="preserve"> continued to attract customers, within 10 years, it would have close to 1.5 million customers. Customer acquisition costs were expected to remain at $15 per customer for the next year. They were then expected to increase at an increasing rate up to an increase of 5 per cent per year in 5 years. The annual growth rate in acquisition costs was assumed to remain at 5 per</w:t>
      </w:r>
      <w:r>
        <w:rPr>
          <w:lang w:val="en-GB"/>
        </w:rPr>
        <w:t xml:space="preserve"> </w:t>
      </w:r>
      <w:r w:rsidRPr="00A000EC">
        <w:rPr>
          <w:lang w:val="en-GB"/>
        </w:rPr>
        <w:t>cent for the next 10 years as it became increasingly difficult to acquire new customers.</w:t>
      </w:r>
      <w:r w:rsidRPr="00A000EC">
        <w:rPr>
          <w:vertAlign w:val="superscript"/>
          <w:lang w:val="en-GB"/>
        </w:rPr>
        <w:endnoteReference w:id="36"/>
      </w:r>
      <w:r w:rsidRPr="00A000EC">
        <w:rPr>
          <w:lang w:val="en-GB"/>
        </w:rPr>
        <w:t xml:space="preserve"> Many of the company’s other costs, such as overhead costs for head office employees and professional fees, would grow at a rate similar to the customer growth rate. However, transaction costs per customer would increase slightly more rapidly as </w:t>
      </w:r>
      <w:proofErr w:type="spellStart"/>
      <w:r w:rsidRPr="00A000EC">
        <w:rPr>
          <w:lang w:val="en-GB"/>
        </w:rPr>
        <w:t>ChimpChange</w:t>
      </w:r>
      <w:proofErr w:type="spellEnd"/>
      <w:r w:rsidRPr="00A000EC">
        <w:rPr>
          <w:lang w:val="en-GB"/>
        </w:rPr>
        <w:t xml:space="preserve"> was expected to offer more services to its clients. These services would require increased costs per customer, which would partially offset the increased revenues from these services. The annual transaction costs per customer were expected to grow from $7 at the end of 2016 to $25 within five years and $30 within 10 years (see Exhibit 9).</w:t>
      </w:r>
      <w:r w:rsidRPr="00A000EC">
        <w:rPr>
          <w:vertAlign w:val="superscript"/>
          <w:lang w:val="en-GB"/>
        </w:rPr>
        <w:endnoteReference w:id="37"/>
      </w:r>
    </w:p>
    <w:p w14:paraId="0A03EC38" w14:textId="77777777" w:rsidR="00662EA3" w:rsidRPr="00A000EC" w:rsidRDefault="00662EA3" w:rsidP="0073621D">
      <w:pPr>
        <w:pStyle w:val="BodyTextMain"/>
        <w:rPr>
          <w:lang w:val="en-GB"/>
        </w:rPr>
      </w:pPr>
    </w:p>
    <w:p w14:paraId="5389E008" w14:textId="77777777" w:rsidR="00A000EC" w:rsidRPr="00A000EC" w:rsidRDefault="00662EA3" w:rsidP="0073621D">
      <w:pPr>
        <w:pStyle w:val="BodyTextMain"/>
        <w:rPr>
          <w:lang w:val="en-GB"/>
        </w:rPr>
      </w:pPr>
      <w:r w:rsidRPr="00A000EC">
        <w:rPr>
          <w:lang w:val="en-GB"/>
        </w:rPr>
        <w:t xml:space="preserve">Another major component to consider in estimating the value of </w:t>
      </w:r>
      <w:proofErr w:type="spellStart"/>
      <w:r w:rsidRPr="00A000EC">
        <w:rPr>
          <w:lang w:val="en-GB"/>
        </w:rPr>
        <w:t>ChimpChange</w:t>
      </w:r>
      <w:proofErr w:type="spellEnd"/>
      <w:r w:rsidRPr="00A000EC">
        <w:rPr>
          <w:lang w:val="en-GB"/>
        </w:rPr>
        <w:t xml:space="preserve"> was its cost of capital. While it was difficult to find comparable companies, most companies in this sector had a beta in the range between 1.2 and 1.5.</w:t>
      </w:r>
      <w:r w:rsidRPr="00A000EC">
        <w:rPr>
          <w:vertAlign w:val="superscript"/>
          <w:lang w:val="en-GB"/>
        </w:rPr>
        <w:endnoteReference w:id="38"/>
      </w:r>
      <w:r w:rsidRPr="00A000EC">
        <w:rPr>
          <w:lang w:val="en-GB"/>
        </w:rPr>
        <w:t xml:space="preserve"> </w:t>
      </w:r>
    </w:p>
    <w:p w14:paraId="6B647BE1" w14:textId="77777777" w:rsidR="00A000EC" w:rsidRPr="00A000EC" w:rsidRDefault="00A000EC" w:rsidP="0073621D">
      <w:pPr>
        <w:pStyle w:val="BodyTextMain"/>
        <w:rPr>
          <w:lang w:val="en-GB"/>
        </w:rPr>
      </w:pPr>
    </w:p>
    <w:p w14:paraId="08F152F0" w14:textId="77777777" w:rsidR="00A000EC" w:rsidRPr="00A000EC" w:rsidRDefault="00A000EC" w:rsidP="0073621D">
      <w:pPr>
        <w:pStyle w:val="BodyTextMain"/>
        <w:rPr>
          <w:lang w:val="en-GB"/>
        </w:rPr>
      </w:pPr>
    </w:p>
    <w:p w14:paraId="2D077FC1" w14:textId="77777777" w:rsidR="00A000EC" w:rsidRPr="00A000EC" w:rsidRDefault="00A000EC" w:rsidP="0073621D">
      <w:pPr>
        <w:pStyle w:val="Casehead1"/>
        <w:rPr>
          <w:lang w:val="en-GB"/>
        </w:rPr>
      </w:pPr>
      <w:r w:rsidRPr="00A000EC">
        <w:rPr>
          <w:lang w:val="en-GB"/>
        </w:rPr>
        <w:t>Decision</w:t>
      </w:r>
    </w:p>
    <w:p w14:paraId="13BCDC4B" w14:textId="77777777" w:rsidR="00A000EC" w:rsidRPr="00A000EC" w:rsidRDefault="00A000EC" w:rsidP="0073621D">
      <w:pPr>
        <w:pStyle w:val="BodyTextMain"/>
        <w:rPr>
          <w:lang w:val="en-GB"/>
        </w:rPr>
      </w:pPr>
    </w:p>
    <w:p w14:paraId="4F5BE02B" w14:textId="77777777" w:rsidR="00A000EC" w:rsidRPr="00A000EC" w:rsidRDefault="00A000EC" w:rsidP="0073621D">
      <w:pPr>
        <w:pStyle w:val="BodyTextMain"/>
        <w:rPr>
          <w:lang w:val="en-GB"/>
        </w:rPr>
      </w:pPr>
      <w:r w:rsidRPr="00A000EC">
        <w:rPr>
          <w:lang w:val="en-GB"/>
        </w:rPr>
        <w:t xml:space="preserve">With all of the necessary information in front of him, Andrews wanted to determine how </w:t>
      </w:r>
      <w:proofErr w:type="spellStart"/>
      <w:r w:rsidRPr="00A000EC">
        <w:rPr>
          <w:lang w:val="en-GB"/>
        </w:rPr>
        <w:t>ChimpChange</w:t>
      </w:r>
      <w:proofErr w:type="spellEnd"/>
      <w:r w:rsidRPr="00A000EC">
        <w:rPr>
          <w:lang w:val="en-GB"/>
        </w:rPr>
        <w:t xml:space="preserve"> could fund the necessary growth in customers. Raising AU$15 million or US$12 million, depending on the location, would require giving up some control. How much control would the company have to give up? What were the pros and cons of the different methods available for raising capital: returning to the original financial partners (VC and PE backers), finding a strategic partner, or launching an IPO in the United States or Australia? Was there some other alternative?</w:t>
      </w:r>
    </w:p>
    <w:p w14:paraId="2C183161" w14:textId="77777777" w:rsidR="00B87DC0" w:rsidRDefault="00B87DC0" w:rsidP="0073621D">
      <w:pPr>
        <w:pStyle w:val="BodyTextMain"/>
      </w:pPr>
    </w:p>
    <w:p w14:paraId="32700AE1" w14:textId="77777777" w:rsidR="004B2A4B" w:rsidRDefault="004B2A4B">
      <w:pPr>
        <w:spacing w:after="200" w:line="276" w:lineRule="auto"/>
        <w:rPr>
          <w:sz w:val="22"/>
          <w:szCs w:val="22"/>
        </w:rPr>
        <w:sectPr w:rsidR="004B2A4B" w:rsidSect="00662EA3">
          <w:headerReference w:type="default" r:id="rId9"/>
          <w:endnotePr>
            <w:numFmt w:val="decimal"/>
          </w:endnotePr>
          <w:type w:val="continuous"/>
          <w:pgSz w:w="12240" w:h="15840" w:code="1"/>
          <w:pgMar w:top="1080" w:right="1440" w:bottom="1440" w:left="1440" w:header="1080" w:footer="720" w:gutter="0"/>
          <w:cols w:space="720"/>
          <w:titlePg/>
          <w:docGrid w:linePitch="360"/>
        </w:sectPr>
      </w:pPr>
    </w:p>
    <w:p w14:paraId="60EBE959" w14:textId="77777777" w:rsidR="004B2A4B" w:rsidRPr="00CB3BFB" w:rsidRDefault="004B2A4B" w:rsidP="004B2A4B">
      <w:pPr>
        <w:pStyle w:val="Casehead1"/>
        <w:jc w:val="center"/>
        <w:rPr>
          <w:lang w:val="en-GB"/>
        </w:rPr>
      </w:pPr>
      <w:r w:rsidRPr="00CB3BFB">
        <w:rPr>
          <w:lang w:val="en-GB"/>
        </w:rPr>
        <w:lastRenderedPageBreak/>
        <w:t>Exhibit 1: ChimpChange Company Timeline</w:t>
      </w:r>
    </w:p>
    <w:p w14:paraId="5563D3AC" w14:textId="77777777" w:rsidR="004B2A4B" w:rsidRPr="00CB3BFB" w:rsidRDefault="004B2A4B" w:rsidP="004B2A4B">
      <w:pPr>
        <w:pStyle w:val="BodyTextMain"/>
        <w:rPr>
          <w:sz w:val="18"/>
          <w:szCs w:val="18"/>
          <w:lang w:val="en-GB"/>
        </w:rPr>
      </w:pPr>
    </w:p>
    <w:tbl>
      <w:tblPr>
        <w:tblpPr w:leftFromText="180" w:rightFromText="180" w:vertAnchor="text" w:horzAnchor="margin" w:tblpXSpec="center" w:tblpY="35"/>
        <w:tblW w:w="140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350"/>
        <w:gridCol w:w="1440"/>
        <w:gridCol w:w="1497"/>
        <w:gridCol w:w="1620"/>
        <w:gridCol w:w="1210"/>
        <w:gridCol w:w="1203"/>
        <w:gridCol w:w="1047"/>
        <w:gridCol w:w="1620"/>
        <w:gridCol w:w="1800"/>
        <w:gridCol w:w="1260"/>
      </w:tblGrid>
      <w:tr w:rsidR="00A456AE" w:rsidRPr="00A456AE" w14:paraId="4D7218BD" w14:textId="77777777" w:rsidTr="000F25FD">
        <w:trPr>
          <w:trHeight w:val="26"/>
        </w:trPr>
        <w:tc>
          <w:tcPr>
            <w:tcW w:w="1350" w:type="dxa"/>
            <w:shd w:val="clear" w:color="auto" w:fill="auto"/>
            <w:hideMark/>
          </w:tcPr>
          <w:p w14:paraId="71BC4D3D" w14:textId="77777777" w:rsidR="004B2A4B" w:rsidRPr="00A456AE" w:rsidRDefault="004B2A4B" w:rsidP="00A456AE">
            <w:pPr>
              <w:rPr>
                <w:rFonts w:ascii="Arial" w:hAnsi="Arial" w:cs="Arial"/>
                <w:color w:val="000000"/>
                <w:sz w:val="17"/>
                <w:szCs w:val="17"/>
                <w:lang w:val="en-GB"/>
              </w:rPr>
            </w:pPr>
            <w:r w:rsidRPr="00A456AE">
              <w:rPr>
                <w:rFonts w:ascii="Arial" w:hAnsi="Arial" w:cs="Arial"/>
                <w:color w:val="000000"/>
                <w:sz w:val="17"/>
                <w:szCs w:val="17"/>
                <w:lang w:val="en-GB"/>
              </w:rPr>
              <w:t xml:space="preserve">Ashley </w:t>
            </w:r>
            <w:proofErr w:type="spellStart"/>
            <w:r w:rsidRPr="00A456AE">
              <w:rPr>
                <w:rFonts w:ascii="Arial" w:hAnsi="Arial" w:cs="Arial"/>
                <w:color w:val="000000"/>
                <w:sz w:val="17"/>
                <w:szCs w:val="17"/>
                <w:lang w:val="en-GB"/>
              </w:rPr>
              <w:t>Shilkin</w:t>
            </w:r>
            <w:proofErr w:type="spellEnd"/>
            <w:r w:rsidRPr="00A456AE">
              <w:rPr>
                <w:rFonts w:ascii="Arial" w:hAnsi="Arial" w:cs="Arial"/>
                <w:color w:val="000000"/>
                <w:sz w:val="17"/>
                <w:szCs w:val="17"/>
                <w:lang w:val="en-GB"/>
              </w:rPr>
              <w:t xml:space="preserve"> founds </w:t>
            </w:r>
            <w:proofErr w:type="spellStart"/>
            <w:r w:rsidRPr="00A456AE">
              <w:rPr>
                <w:rFonts w:ascii="Arial" w:hAnsi="Arial" w:cs="Arial"/>
                <w:color w:val="000000"/>
                <w:sz w:val="17"/>
                <w:szCs w:val="17"/>
                <w:lang w:val="en-GB"/>
              </w:rPr>
              <w:t>ChimpChange</w:t>
            </w:r>
            <w:proofErr w:type="spellEnd"/>
            <w:r w:rsidRPr="00A456AE">
              <w:rPr>
                <w:rFonts w:ascii="Arial" w:hAnsi="Arial" w:cs="Arial"/>
                <w:color w:val="000000"/>
                <w:sz w:val="17"/>
                <w:szCs w:val="17"/>
                <w:lang w:val="en-GB"/>
              </w:rPr>
              <w:t xml:space="preserve"> with a view to developing a simple digital banking product.</w:t>
            </w:r>
          </w:p>
        </w:tc>
        <w:tc>
          <w:tcPr>
            <w:tcW w:w="1440" w:type="dxa"/>
            <w:shd w:val="clear" w:color="auto" w:fill="auto"/>
            <w:hideMark/>
          </w:tcPr>
          <w:p w14:paraId="5FEC229B" w14:textId="77777777" w:rsidR="004B2A4B" w:rsidRPr="00A456AE" w:rsidRDefault="004B2A4B" w:rsidP="00A456AE">
            <w:pPr>
              <w:rPr>
                <w:rFonts w:ascii="Arial" w:hAnsi="Arial" w:cs="Arial"/>
                <w:color w:val="000000"/>
                <w:sz w:val="17"/>
                <w:szCs w:val="17"/>
                <w:lang w:val="en-GB"/>
              </w:rPr>
            </w:pPr>
          </w:p>
        </w:tc>
        <w:tc>
          <w:tcPr>
            <w:tcW w:w="1497" w:type="dxa"/>
            <w:shd w:val="clear" w:color="auto" w:fill="auto"/>
            <w:hideMark/>
          </w:tcPr>
          <w:p w14:paraId="00F8817C" w14:textId="77777777" w:rsidR="004B2A4B" w:rsidRPr="00A456AE" w:rsidRDefault="004B2A4B" w:rsidP="00A456AE">
            <w:pPr>
              <w:rPr>
                <w:rFonts w:ascii="Arial" w:hAnsi="Arial" w:cs="Arial"/>
                <w:sz w:val="17"/>
                <w:szCs w:val="17"/>
                <w:lang w:val="en-GB"/>
              </w:rPr>
            </w:pPr>
          </w:p>
        </w:tc>
        <w:tc>
          <w:tcPr>
            <w:tcW w:w="1620" w:type="dxa"/>
            <w:shd w:val="clear" w:color="auto" w:fill="auto"/>
            <w:hideMark/>
          </w:tcPr>
          <w:p w14:paraId="588C181C" w14:textId="77777777" w:rsidR="004B2A4B" w:rsidRPr="00A456AE" w:rsidRDefault="004B2A4B" w:rsidP="00A456AE">
            <w:pPr>
              <w:rPr>
                <w:rFonts w:ascii="Arial" w:hAnsi="Arial" w:cs="Arial"/>
                <w:sz w:val="17"/>
                <w:szCs w:val="17"/>
                <w:lang w:val="en-GB"/>
              </w:rPr>
            </w:pPr>
            <w:r w:rsidRPr="00A456AE">
              <w:rPr>
                <w:rFonts w:ascii="Arial" w:hAnsi="Arial" w:cs="Arial"/>
                <w:color w:val="000000"/>
                <w:sz w:val="17"/>
                <w:szCs w:val="17"/>
                <w:lang w:val="en-GB"/>
              </w:rPr>
              <w:t>In principle partnership agreement is entered into with Eagle Bank to provide banking infrastructure support.</w:t>
            </w:r>
          </w:p>
        </w:tc>
        <w:tc>
          <w:tcPr>
            <w:tcW w:w="1210" w:type="dxa"/>
            <w:shd w:val="clear" w:color="auto" w:fill="auto"/>
            <w:hideMark/>
          </w:tcPr>
          <w:p w14:paraId="1185CE81" w14:textId="77777777" w:rsidR="004B2A4B" w:rsidRPr="00A456AE" w:rsidRDefault="004B2A4B" w:rsidP="00A456AE">
            <w:pPr>
              <w:rPr>
                <w:rFonts w:ascii="Arial" w:hAnsi="Arial" w:cs="Arial"/>
                <w:color w:val="000000"/>
                <w:sz w:val="17"/>
                <w:szCs w:val="17"/>
                <w:lang w:val="en-GB"/>
              </w:rPr>
            </w:pPr>
          </w:p>
        </w:tc>
        <w:tc>
          <w:tcPr>
            <w:tcW w:w="1203" w:type="dxa"/>
            <w:shd w:val="clear" w:color="auto" w:fill="auto"/>
            <w:hideMark/>
          </w:tcPr>
          <w:p w14:paraId="554FF21E" w14:textId="77777777" w:rsidR="004B2A4B" w:rsidRPr="00A456AE" w:rsidRDefault="004B2A4B" w:rsidP="00A456AE">
            <w:pPr>
              <w:rPr>
                <w:rFonts w:ascii="Arial" w:hAnsi="Arial" w:cs="Arial"/>
                <w:color w:val="000000"/>
                <w:sz w:val="17"/>
                <w:szCs w:val="17"/>
                <w:lang w:val="en-GB"/>
              </w:rPr>
            </w:pPr>
          </w:p>
        </w:tc>
        <w:tc>
          <w:tcPr>
            <w:tcW w:w="1047" w:type="dxa"/>
            <w:shd w:val="clear" w:color="auto" w:fill="auto"/>
            <w:hideMark/>
          </w:tcPr>
          <w:p w14:paraId="77085F22" w14:textId="77777777" w:rsidR="004B2A4B" w:rsidRPr="00A456AE" w:rsidRDefault="004B2A4B" w:rsidP="00A456AE">
            <w:pPr>
              <w:rPr>
                <w:rFonts w:ascii="Arial" w:hAnsi="Arial" w:cs="Arial"/>
                <w:sz w:val="17"/>
                <w:szCs w:val="17"/>
                <w:lang w:val="en-GB"/>
              </w:rPr>
            </w:pPr>
          </w:p>
        </w:tc>
        <w:tc>
          <w:tcPr>
            <w:tcW w:w="1620" w:type="dxa"/>
            <w:shd w:val="clear" w:color="auto" w:fill="auto"/>
            <w:hideMark/>
          </w:tcPr>
          <w:p w14:paraId="17368D52" w14:textId="77777777" w:rsidR="004B2A4B" w:rsidRPr="00A456AE" w:rsidRDefault="004B2A4B" w:rsidP="00A456AE">
            <w:pPr>
              <w:rPr>
                <w:rFonts w:ascii="Arial" w:hAnsi="Arial" w:cs="Arial"/>
                <w:color w:val="000000"/>
                <w:sz w:val="17"/>
                <w:szCs w:val="17"/>
                <w:lang w:val="en-GB"/>
              </w:rPr>
            </w:pPr>
            <w:r w:rsidRPr="00A456AE">
              <w:rPr>
                <w:rFonts w:ascii="Arial" w:hAnsi="Arial" w:cs="Arial"/>
                <w:color w:val="000000"/>
                <w:sz w:val="17"/>
                <w:szCs w:val="17"/>
                <w:lang w:val="en-GB"/>
              </w:rPr>
              <w:t xml:space="preserve">Company launches general release version of the </w:t>
            </w:r>
            <w:proofErr w:type="spellStart"/>
            <w:r w:rsidRPr="00A456AE">
              <w:rPr>
                <w:rFonts w:ascii="Arial" w:hAnsi="Arial" w:cs="Arial"/>
                <w:color w:val="000000"/>
                <w:sz w:val="17"/>
                <w:szCs w:val="17"/>
                <w:lang w:val="en-GB"/>
              </w:rPr>
              <w:t>ChimpChange</w:t>
            </w:r>
            <w:proofErr w:type="spellEnd"/>
            <w:r w:rsidRPr="00A456AE">
              <w:rPr>
                <w:rFonts w:ascii="Arial" w:hAnsi="Arial" w:cs="Arial"/>
                <w:color w:val="000000"/>
                <w:sz w:val="17"/>
                <w:szCs w:val="17"/>
                <w:lang w:val="en-GB"/>
              </w:rPr>
              <w:t xml:space="preserve"> app for both Android and Apple and devices.</w:t>
            </w:r>
          </w:p>
        </w:tc>
        <w:tc>
          <w:tcPr>
            <w:tcW w:w="1800" w:type="dxa"/>
            <w:shd w:val="clear" w:color="auto" w:fill="auto"/>
            <w:hideMark/>
          </w:tcPr>
          <w:p w14:paraId="22D840E8" w14:textId="77777777" w:rsidR="004B2A4B" w:rsidRPr="00A456AE" w:rsidRDefault="004B2A4B" w:rsidP="00A456AE">
            <w:pPr>
              <w:rPr>
                <w:rFonts w:ascii="Arial" w:hAnsi="Arial" w:cs="Arial"/>
                <w:color w:val="000000"/>
                <w:sz w:val="17"/>
                <w:szCs w:val="17"/>
                <w:lang w:val="en-GB"/>
              </w:rPr>
            </w:pPr>
          </w:p>
        </w:tc>
        <w:tc>
          <w:tcPr>
            <w:tcW w:w="1260" w:type="dxa"/>
            <w:shd w:val="clear" w:color="auto" w:fill="auto"/>
            <w:hideMark/>
          </w:tcPr>
          <w:p w14:paraId="5D3ECE02" w14:textId="77777777" w:rsidR="004B2A4B" w:rsidRPr="00A456AE" w:rsidRDefault="004B2A4B" w:rsidP="00A456AE">
            <w:pPr>
              <w:rPr>
                <w:rFonts w:ascii="Arial" w:hAnsi="Arial" w:cs="Arial"/>
                <w:sz w:val="17"/>
                <w:szCs w:val="17"/>
                <w:lang w:val="en-GB"/>
              </w:rPr>
            </w:pPr>
          </w:p>
        </w:tc>
      </w:tr>
      <w:tr w:rsidR="00A456AE" w:rsidRPr="00A456AE" w14:paraId="4F29769A" w14:textId="77777777" w:rsidTr="000F25FD">
        <w:trPr>
          <w:trHeight w:val="364"/>
        </w:trPr>
        <w:tc>
          <w:tcPr>
            <w:tcW w:w="1350" w:type="dxa"/>
            <w:shd w:val="clear" w:color="auto" w:fill="auto"/>
            <w:hideMark/>
          </w:tcPr>
          <w:p w14:paraId="2D2BE7B9" w14:textId="77777777" w:rsidR="004B2A4B" w:rsidRPr="00A456AE" w:rsidRDefault="004B2A4B" w:rsidP="00A456AE">
            <w:pPr>
              <w:rPr>
                <w:rFonts w:ascii="Arial" w:hAnsi="Arial" w:cs="Arial"/>
                <w:sz w:val="17"/>
                <w:szCs w:val="17"/>
                <w:lang w:val="en-GB"/>
              </w:rPr>
            </w:pPr>
          </w:p>
        </w:tc>
        <w:tc>
          <w:tcPr>
            <w:tcW w:w="1440" w:type="dxa"/>
            <w:shd w:val="clear" w:color="auto" w:fill="auto"/>
            <w:hideMark/>
          </w:tcPr>
          <w:p w14:paraId="08656E9D" w14:textId="77777777" w:rsidR="004B2A4B" w:rsidRPr="00A456AE" w:rsidRDefault="004B2A4B" w:rsidP="00A456AE">
            <w:pPr>
              <w:rPr>
                <w:rFonts w:ascii="Arial" w:hAnsi="Arial" w:cs="Arial"/>
                <w:color w:val="000000"/>
                <w:sz w:val="17"/>
                <w:szCs w:val="17"/>
                <w:lang w:val="en-GB"/>
              </w:rPr>
            </w:pPr>
            <w:proofErr w:type="spellStart"/>
            <w:r w:rsidRPr="00A456AE">
              <w:rPr>
                <w:rFonts w:ascii="Arial" w:hAnsi="Arial" w:cs="Arial"/>
                <w:color w:val="000000"/>
                <w:sz w:val="17"/>
                <w:szCs w:val="17"/>
                <w:lang w:val="en-GB"/>
              </w:rPr>
              <w:t>ChimpChange</w:t>
            </w:r>
            <w:proofErr w:type="spellEnd"/>
            <w:r w:rsidRPr="00A456AE">
              <w:rPr>
                <w:rFonts w:ascii="Arial" w:hAnsi="Arial" w:cs="Arial"/>
                <w:color w:val="000000"/>
                <w:sz w:val="17"/>
                <w:szCs w:val="17"/>
                <w:lang w:val="en-GB"/>
              </w:rPr>
              <w:t xml:space="preserve"> enters into a commercial agreement with </w:t>
            </w:r>
            <w:proofErr w:type="spellStart"/>
            <w:r w:rsidRPr="00A456AE">
              <w:rPr>
                <w:rFonts w:ascii="Arial" w:hAnsi="Arial" w:cs="Arial"/>
                <w:color w:val="000000"/>
                <w:sz w:val="17"/>
                <w:szCs w:val="17"/>
                <w:lang w:val="en-GB"/>
              </w:rPr>
              <w:t>TransCard</w:t>
            </w:r>
            <w:proofErr w:type="spellEnd"/>
            <w:r w:rsidRPr="00A456AE">
              <w:rPr>
                <w:rFonts w:ascii="Arial" w:hAnsi="Arial" w:cs="Arial"/>
                <w:color w:val="000000"/>
                <w:sz w:val="17"/>
                <w:szCs w:val="17"/>
                <w:lang w:val="en-GB"/>
              </w:rPr>
              <w:t xml:space="preserve"> to provide payment processing services.</w:t>
            </w:r>
          </w:p>
        </w:tc>
        <w:tc>
          <w:tcPr>
            <w:tcW w:w="1497" w:type="dxa"/>
            <w:shd w:val="clear" w:color="auto" w:fill="auto"/>
            <w:hideMark/>
          </w:tcPr>
          <w:p w14:paraId="36513EAC" w14:textId="77777777" w:rsidR="004B2A4B" w:rsidRPr="00A456AE" w:rsidRDefault="004B2A4B" w:rsidP="00A456AE">
            <w:pPr>
              <w:rPr>
                <w:rFonts w:ascii="Arial" w:hAnsi="Arial" w:cs="Arial"/>
                <w:color w:val="000000"/>
                <w:sz w:val="17"/>
                <w:szCs w:val="17"/>
                <w:lang w:val="en-GB"/>
              </w:rPr>
            </w:pPr>
          </w:p>
        </w:tc>
        <w:tc>
          <w:tcPr>
            <w:tcW w:w="1620" w:type="dxa"/>
            <w:shd w:val="clear" w:color="auto" w:fill="auto"/>
            <w:noWrap/>
            <w:hideMark/>
          </w:tcPr>
          <w:p w14:paraId="65DE2AD1" w14:textId="77777777" w:rsidR="004B2A4B" w:rsidRPr="00A456AE" w:rsidRDefault="004B2A4B" w:rsidP="00A456AE">
            <w:pPr>
              <w:rPr>
                <w:rFonts w:ascii="Arial" w:hAnsi="Arial" w:cs="Arial"/>
                <w:sz w:val="17"/>
                <w:szCs w:val="17"/>
                <w:lang w:val="en-GB"/>
              </w:rPr>
            </w:pPr>
          </w:p>
        </w:tc>
        <w:tc>
          <w:tcPr>
            <w:tcW w:w="1210" w:type="dxa"/>
            <w:shd w:val="clear" w:color="auto" w:fill="auto"/>
            <w:hideMark/>
          </w:tcPr>
          <w:p w14:paraId="171D8811" w14:textId="77777777" w:rsidR="004B2A4B" w:rsidRPr="00A456AE" w:rsidRDefault="004B2A4B" w:rsidP="00A456AE">
            <w:pPr>
              <w:rPr>
                <w:rFonts w:ascii="Arial" w:hAnsi="Arial" w:cs="Arial"/>
                <w:sz w:val="17"/>
                <w:szCs w:val="17"/>
                <w:lang w:val="en-GB"/>
              </w:rPr>
            </w:pPr>
            <w:proofErr w:type="spellStart"/>
            <w:r w:rsidRPr="00A456AE">
              <w:rPr>
                <w:rFonts w:ascii="Arial" w:hAnsi="Arial" w:cs="Arial"/>
                <w:color w:val="000000"/>
                <w:sz w:val="17"/>
                <w:szCs w:val="17"/>
                <w:lang w:val="en-GB"/>
              </w:rPr>
              <w:t>ChimpChange</w:t>
            </w:r>
            <w:proofErr w:type="spellEnd"/>
            <w:r w:rsidRPr="00A456AE">
              <w:rPr>
                <w:rFonts w:ascii="Arial" w:hAnsi="Arial" w:cs="Arial"/>
                <w:color w:val="000000"/>
                <w:sz w:val="17"/>
                <w:szCs w:val="17"/>
                <w:lang w:val="en-GB"/>
              </w:rPr>
              <w:t xml:space="preserve"> closed beta version is launched.</w:t>
            </w:r>
          </w:p>
        </w:tc>
        <w:tc>
          <w:tcPr>
            <w:tcW w:w="1203" w:type="dxa"/>
            <w:shd w:val="clear" w:color="auto" w:fill="auto"/>
            <w:hideMark/>
          </w:tcPr>
          <w:p w14:paraId="62F9BC7B" w14:textId="77777777" w:rsidR="004B2A4B" w:rsidRPr="00A456AE" w:rsidRDefault="004B2A4B" w:rsidP="00A456AE">
            <w:pPr>
              <w:rPr>
                <w:rFonts w:ascii="Arial" w:hAnsi="Arial" w:cs="Arial"/>
                <w:color w:val="000000"/>
                <w:sz w:val="17"/>
                <w:szCs w:val="17"/>
                <w:lang w:val="en-GB"/>
              </w:rPr>
            </w:pPr>
          </w:p>
        </w:tc>
        <w:tc>
          <w:tcPr>
            <w:tcW w:w="1047" w:type="dxa"/>
            <w:shd w:val="clear" w:color="auto" w:fill="auto"/>
            <w:hideMark/>
          </w:tcPr>
          <w:p w14:paraId="21C09F64" w14:textId="77777777" w:rsidR="004B2A4B" w:rsidRPr="00A456AE" w:rsidRDefault="004B2A4B" w:rsidP="00A456AE">
            <w:pPr>
              <w:rPr>
                <w:rFonts w:ascii="Arial" w:hAnsi="Arial" w:cs="Arial"/>
                <w:color w:val="000000"/>
                <w:sz w:val="17"/>
                <w:szCs w:val="17"/>
                <w:lang w:val="en-GB"/>
              </w:rPr>
            </w:pPr>
          </w:p>
        </w:tc>
        <w:tc>
          <w:tcPr>
            <w:tcW w:w="1620" w:type="dxa"/>
            <w:shd w:val="clear" w:color="auto" w:fill="auto"/>
            <w:hideMark/>
          </w:tcPr>
          <w:p w14:paraId="75AF7799" w14:textId="77777777" w:rsidR="004B2A4B" w:rsidRPr="00A456AE" w:rsidRDefault="004B2A4B" w:rsidP="00A456AE">
            <w:pPr>
              <w:rPr>
                <w:rFonts w:ascii="Arial" w:hAnsi="Arial" w:cs="Arial"/>
                <w:sz w:val="17"/>
                <w:szCs w:val="17"/>
                <w:lang w:val="en-GB"/>
              </w:rPr>
            </w:pPr>
          </w:p>
        </w:tc>
        <w:tc>
          <w:tcPr>
            <w:tcW w:w="1800" w:type="dxa"/>
            <w:shd w:val="clear" w:color="auto" w:fill="auto"/>
            <w:hideMark/>
          </w:tcPr>
          <w:p w14:paraId="678C123B" w14:textId="77777777" w:rsidR="004B2A4B" w:rsidRPr="00A456AE" w:rsidRDefault="004B2A4B" w:rsidP="00A456AE">
            <w:pPr>
              <w:rPr>
                <w:rFonts w:ascii="Arial" w:hAnsi="Arial" w:cs="Arial"/>
                <w:color w:val="000000"/>
                <w:sz w:val="17"/>
                <w:szCs w:val="17"/>
                <w:lang w:val="en-GB"/>
              </w:rPr>
            </w:pPr>
            <w:proofErr w:type="spellStart"/>
            <w:r w:rsidRPr="00A456AE">
              <w:rPr>
                <w:rFonts w:ascii="Arial" w:hAnsi="Arial" w:cs="Arial"/>
                <w:color w:val="000000"/>
                <w:sz w:val="17"/>
                <w:szCs w:val="17"/>
                <w:lang w:val="en-GB"/>
              </w:rPr>
              <w:t>ChimpChange</w:t>
            </w:r>
            <w:proofErr w:type="spellEnd"/>
            <w:r w:rsidRPr="00A456AE">
              <w:rPr>
                <w:rFonts w:ascii="Arial" w:hAnsi="Arial" w:cs="Arial"/>
                <w:color w:val="000000"/>
                <w:sz w:val="17"/>
                <w:szCs w:val="17"/>
                <w:lang w:val="en-GB"/>
              </w:rPr>
              <w:t xml:space="preserve"> reaches 80,000 customers and identifies a pipeline of additional features to be offered to customers over the short to medium term.</w:t>
            </w:r>
          </w:p>
        </w:tc>
        <w:tc>
          <w:tcPr>
            <w:tcW w:w="1260" w:type="dxa"/>
            <w:shd w:val="clear" w:color="auto" w:fill="auto"/>
            <w:hideMark/>
          </w:tcPr>
          <w:p w14:paraId="03A43F9F" w14:textId="77777777" w:rsidR="004B2A4B" w:rsidRPr="00A456AE" w:rsidRDefault="004B2A4B" w:rsidP="00A456AE">
            <w:pPr>
              <w:rPr>
                <w:rFonts w:ascii="Arial" w:hAnsi="Arial" w:cs="Arial"/>
                <w:color w:val="000000"/>
                <w:sz w:val="17"/>
                <w:szCs w:val="17"/>
                <w:lang w:val="en-GB"/>
              </w:rPr>
            </w:pPr>
          </w:p>
        </w:tc>
      </w:tr>
      <w:tr w:rsidR="00A456AE" w:rsidRPr="00A456AE" w14:paraId="73EE8E83" w14:textId="77777777" w:rsidTr="000F25FD">
        <w:trPr>
          <w:trHeight w:val="364"/>
        </w:trPr>
        <w:tc>
          <w:tcPr>
            <w:tcW w:w="1350" w:type="dxa"/>
            <w:shd w:val="clear" w:color="auto" w:fill="auto"/>
            <w:hideMark/>
          </w:tcPr>
          <w:p w14:paraId="04B7C27F" w14:textId="77777777" w:rsidR="004B2A4B" w:rsidRPr="00A456AE" w:rsidRDefault="004B2A4B" w:rsidP="00A456AE">
            <w:pPr>
              <w:rPr>
                <w:rFonts w:ascii="Arial" w:hAnsi="Arial" w:cs="Arial"/>
                <w:sz w:val="17"/>
                <w:szCs w:val="17"/>
                <w:lang w:val="en-GB"/>
              </w:rPr>
            </w:pPr>
          </w:p>
        </w:tc>
        <w:tc>
          <w:tcPr>
            <w:tcW w:w="1440" w:type="dxa"/>
            <w:shd w:val="clear" w:color="auto" w:fill="auto"/>
            <w:noWrap/>
            <w:hideMark/>
          </w:tcPr>
          <w:p w14:paraId="18AD3FBB" w14:textId="77777777" w:rsidR="004B2A4B" w:rsidRPr="00A456AE" w:rsidRDefault="004B2A4B" w:rsidP="00A456AE">
            <w:pPr>
              <w:rPr>
                <w:rFonts w:ascii="Arial" w:hAnsi="Arial" w:cs="Arial"/>
                <w:sz w:val="17"/>
                <w:szCs w:val="17"/>
                <w:lang w:val="en-GB"/>
              </w:rPr>
            </w:pPr>
          </w:p>
        </w:tc>
        <w:tc>
          <w:tcPr>
            <w:tcW w:w="1497" w:type="dxa"/>
            <w:shd w:val="clear" w:color="auto" w:fill="auto"/>
            <w:hideMark/>
          </w:tcPr>
          <w:p w14:paraId="4972A83F" w14:textId="77777777" w:rsidR="004B2A4B" w:rsidRPr="00A456AE" w:rsidRDefault="004B2A4B" w:rsidP="00A456AE">
            <w:pPr>
              <w:rPr>
                <w:rFonts w:ascii="Arial" w:hAnsi="Arial" w:cs="Arial"/>
                <w:sz w:val="17"/>
                <w:szCs w:val="17"/>
                <w:lang w:val="en-GB"/>
              </w:rPr>
            </w:pPr>
          </w:p>
        </w:tc>
        <w:tc>
          <w:tcPr>
            <w:tcW w:w="1620" w:type="dxa"/>
            <w:shd w:val="clear" w:color="auto" w:fill="auto"/>
            <w:hideMark/>
          </w:tcPr>
          <w:p w14:paraId="4EAD6562" w14:textId="77777777" w:rsidR="004B2A4B" w:rsidRPr="00A456AE" w:rsidRDefault="004B2A4B" w:rsidP="00A456AE">
            <w:pPr>
              <w:rPr>
                <w:rFonts w:ascii="Arial" w:hAnsi="Arial" w:cs="Arial"/>
                <w:color w:val="000000"/>
                <w:sz w:val="17"/>
                <w:szCs w:val="17"/>
                <w:lang w:val="en-GB"/>
              </w:rPr>
            </w:pPr>
          </w:p>
        </w:tc>
        <w:tc>
          <w:tcPr>
            <w:tcW w:w="1210" w:type="dxa"/>
            <w:shd w:val="clear" w:color="auto" w:fill="auto"/>
            <w:hideMark/>
          </w:tcPr>
          <w:p w14:paraId="6D173B0A" w14:textId="77777777" w:rsidR="004B2A4B" w:rsidRPr="00A456AE" w:rsidRDefault="004B2A4B" w:rsidP="00A456AE">
            <w:pPr>
              <w:rPr>
                <w:rFonts w:ascii="Arial" w:hAnsi="Arial" w:cs="Arial"/>
                <w:color w:val="000000"/>
                <w:sz w:val="17"/>
                <w:szCs w:val="17"/>
                <w:lang w:val="en-GB"/>
              </w:rPr>
            </w:pPr>
          </w:p>
        </w:tc>
        <w:tc>
          <w:tcPr>
            <w:tcW w:w="1203" w:type="dxa"/>
            <w:shd w:val="clear" w:color="auto" w:fill="auto"/>
            <w:noWrap/>
            <w:hideMark/>
          </w:tcPr>
          <w:p w14:paraId="2F40D1B0" w14:textId="77777777" w:rsidR="004B2A4B" w:rsidRPr="00A456AE" w:rsidRDefault="004B2A4B" w:rsidP="00A456AE">
            <w:pPr>
              <w:rPr>
                <w:rFonts w:ascii="Arial" w:hAnsi="Arial" w:cs="Arial"/>
                <w:sz w:val="17"/>
                <w:szCs w:val="17"/>
                <w:lang w:val="en-GB"/>
              </w:rPr>
            </w:pPr>
            <w:r w:rsidRPr="00A456AE">
              <w:rPr>
                <w:rFonts w:ascii="Arial" w:hAnsi="Arial" w:cs="Arial"/>
                <w:color w:val="000000"/>
                <w:sz w:val="17"/>
                <w:szCs w:val="17"/>
                <w:lang w:val="en-GB"/>
              </w:rPr>
              <w:t xml:space="preserve">The </w:t>
            </w:r>
            <w:proofErr w:type="spellStart"/>
            <w:r w:rsidRPr="00A456AE">
              <w:rPr>
                <w:rFonts w:ascii="Arial" w:hAnsi="Arial" w:cs="Arial"/>
                <w:color w:val="000000"/>
                <w:sz w:val="17"/>
                <w:szCs w:val="17"/>
                <w:lang w:val="en-GB"/>
              </w:rPr>
              <w:t>ChimpChange</w:t>
            </w:r>
            <w:proofErr w:type="spellEnd"/>
            <w:r w:rsidRPr="00A456AE">
              <w:rPr>
                <w:rFonts w:ascii="Arial" w:hAnsi="Arial" w:cs="Arial"/>
                <w:color w:val="000000"/>
                <w:sz w:val="17"/>
                <w:szCs w:val="17"/>
                <w:lang w:val="en-GB"/>
              </w:rPr>
              <w:t xml:space="preserve"> app is released to the Google Play store.</w:t>
            </w:r>
          </w:p>
        </w:tc>
        <w:tc>
          <w:tcPr>
            <w:tcW w:w="1047" w:type="dxa"/>
            <w:shd w:val="clear" w:color="auto" w:fill="auto"/>
          </w:tcPr>
          <w:p w14:paraId="64B92BB8" w14:textId="77777777" w:rsidR="004B2A4B" w:rsidRPr="00A456AE" w:rsidRDefault="004B2A4B" w:rsidP="00A456AE">
            <w:pPr>
              <w:rPr>
                <w:rFonts w:ascii="Arial" w:hAnsi="Arial" w:cs="Arial"/>
                <w:color w:val="000000"/>
                <w:sz w:val="17"/>
                <w:szCs w:val="17"/>
                <w:lang w:val="en-GB"/>
              </w:rPr>
            </w:pPr>
          </w:p>
        </w:tc>
        <w:tc>
          <w:tcPr>
            <w:tcW w:w="1620" w:type="dxa"/>
            <w:shd w:val="clear" w:color="auto" w:fill="auto"/>
            <w:hideMark/>
          </w:tcPr>
          <w:p w14:paraId="2ECF296E" w14:textId="77777777" w:rsidR="004B2A4B" w:rsidRPr="00A456AE" w:rsidRDefault="004B2A4B" w:rsidP="00A456AE">
            <w:pPr>
              <w:rPr>
                <w:rFonts w:ascii="Arial" w:hAnsi="Arial" w:cs="Arial"/>
                <w:color w:val="000000"/>
                <w:sz w:val="17"/>
                <w:szCs w:val="17"/>
                <w:lang w:val="en-GB"/>
              </w:rPr>
            </w:pPr>
          </w:p>
        </w:tc>
        <w:tc>
          <w:tcPr>
            <w:tcW w:w="1800" w:type="dxa"/>
            <w:shd w:val="clear" w:color="auto" w:fill="auto"/>
            <w:hideMark/>
          </w:tcPr>
          <w:p w14:paraId="5C7536E7" w14:textId="77777777" w:rsidR="004B2A4B" w:rsidRPr="00A456AE" w:rsidRDefault="004B2A4B" w:rsidP="00A456AE">
            <w:pPr>
              <w:rPr>
                <w:rFonts w:ascii="Arial" w:hAnsi="Arial" w:cs="Arial"/>
                <w:sz w:val="17"/>
                <w:szCs w:val="17"/>
                <w:lang w:val="en-GB"/>
              </w:rPr>
            </w:pPr>
          </w:p>
        </w:tc>
        <w:tc>
          <w:tcPr>
            <w:tcW w:w="1260" w:type="dxa"/>
            <w:shd w:val="clear" w:color="auto" w:fill="auto"/>
            <w:hideMark/>
          </w:tcPr>
          <w:p w14:paraId="17C822DF" w14:textId="77777777" w:rsidR="004B2A4B" w:rsidRPr="00A456AE" w:rsidRDefault="004B2A4B" w:rsidP="00A456AE">
            <w:pPr>
              <w:rPr>
                <w:rFonts w:ascii="Arial" w:hAnsi="Arial" w:cs="Arial"/>
                <w:color w:val="000000"/>
                <w:sz w:val="17"/>
                <w:szCs w:val="17"/>
                <w:lang w:val="en-GB"/>
              </w:rPr>
            </w:pPr>
          </w:p>
        </w:tc>
      </w:tr>
      <w:tr w:rsidR="00A456AE" w:rsidRPr="00A456AE" w14:paraId="36010196" w14:textId="77777777" w:rsidTr="000F25FD">
        <w:trPr>
          <w:trHeight w:val="288"/>
        </w:trPr>
        <w:tc>
          <w:tcPr>
            <w:tcW w:w="1350" w:type="dxa"/>
            <w:shd w:val="clear" w:color="auto" w:fill="auto"/>
            <w:vAlign w:val="center"/>
            <w:hideMark/>
          </w:tcPr>
          <w:p w14:paraId="21DE3F10" w14:textId="77777777" w:rsidR="004B2A4B" w:rsidRPr="00A456AE" w:rsidRDefault="004B2A4B" w:rsidP="00A456AE">
            <w:pPr>
              <w:jc w:val="center"/>
              <w:rPr>
                <w:rFonts w:ascii="Arial" w:hAnsi="Arial" w:cs="Arial"/>
                <w:color w:val="000000"/>
                <w:sz w:val="17"/>
                <w:szCs w:val="17"/>
                <w:lang w:val="en-GB"/>
              </w:rPr>
            </w:pPr>
            <w:r w:rsidRPr="00A456AE">
              <w:rPr>
                <w:rFonts w:ascii="Arial" w:hAnsi="Arial" w:cs="Arial"/>
                <w:color w:val="000000"/>
                <w:sz w:val="17"/>
                <w:szCs w:val="17"/>
                <w:lang w:val="en-GB"/>
              </w:rPr>
              <w:t>2011</w:t>
            </w:r>
          </w:p>
        </w:tc>
        <w:tc>
          <w:tcPr>
            <w:tcW w:w="1440" w:type="dxa"/>
            <w:shd w:val="clear" w:color="auto" w:fill="auto"/>
            <w:vAlign w:val="center"/>
            <w:hideMark/>
          </w:tcPr>
          <w:p w14:paraId="66260BDF" w14:textId="77777777" w:rsidR="004B2A4B" w:rsidRPr="00A456AE" w:rsidRDefault="004B2A4B" w:rsidP="00A456AE">
            <w:pPr>
              <w:jc w:val="center"/>
              <w:rPr>
                <w:rFonts w:ascii="Arial" w:hAnsi="Arial" w:cs="Arial"/>
                <w:color w:val="000000"/>
                <w:sz w:val="17"/>
                <w:szCs w:val="17"/>
                <w:lang w:val="en-GB"/>
              </w:rPr>
            </w:pPr>
            <w:r w:rsidRPr="00A456AE">
              <w:rPr>
                <w:rFonts w:ascii="Arial" w:hAnsi="Arial" w:cs="Arial"/>
                <w:color w:val="000000"/>
                <w:sz w:val="17"/>
                <w:szCs w:val="17"/>
                <w:lang w:val="en-GB"/>
              </w:rPr>
              <w:t>2013</w:t>
            </w:r>
          </w:p>
        </w:tc>
        <w:tc>
          <w:tcPr>
            <w:tcW w:w="1497" w:type="dxa"/>
            <w:shd w:val="clear" w:color="auto" w:fill="auto"/>
            <w:vAlign w:val="center"/>
            <w:hideMark/>
          </w:tcPr>
          <w:p w14:paraId="5CA259A7" w14:textId="77777777" w:rsidR="004B2A4B" w:rsidRPr="00A456AE" w:rsidRDefault="004B2A4B" w:rsidP="00A456AE">
            <w:pPr>
              <w:jc w:val="center"/>
              <w:rPr>
                <w:rFonts w:ascii="Arial" w:hAnsi="Arial" w:cs="Arial"/>
                <w:color w:val="000000"/>
                <w:sz w:val="17"/>
                <w:szCs w:val="17"/>
                <w:lang w:val="en-GB"/>
              </w:rPr>
            </w:pPr>
            <w:r w:rsidRPr="00A456AE">
              <w:rPr>
                <w:rFonts w:ascii="Arial" w:hAnsi="Arial" w:cs="Arial"/>
                <w:color w:val="000000"/>
                <w:sz w:val="17"/>
                <w:szCs w:val="17"/>
                <w:lang w:val="en-GB"/>
              </w:rPr>
              <w:t>Jun-14</w:t>
            </w:r>
          </w:p>
        </w:tc>
        <w:tc>
          <w:tcPr>
            <w:tcW w:w="1620" w:type="dxa"/>
            <w:shd w:val="clear" w:color="auto" w:fill="auto"/>
            <w:vAlign w:val="center"/>
            <w:hideMark/>
          </w:tcPr>
          <w:p w14:paraId="5B564E3B" w14:textId="77777777" w:rsidR="004B2A4B" w:rsidRPr="00A456AE" w:rsidRDefault="004B2A4B" w:rsidP="00A456AE">
            <w:pPr>
              <w:jc w:val="center"/>
              <w:rPr>
                <w:rFonts w:ascii="Arial" w:hAnsi="Arial" w:cs="Arial"/>
                <w:color w:val="000000"/>
                <w:sz w:val="17"/>
                <w:szCs w:val="17"/>
                <w:lang w:val="en-GB"/>
              </w:rPr>
            </w:pPr>
            <w:r w:rsidRPr="00A456AE">
              <w:rPr>
                <w:rFonts w:ascii="Arial" w:hAnsi="Arial" w:cs="Arial"/>
                <w:color w:val="000000"/>
                <w:sz w:val="17"/>
                <w:szCs w:val="17"/>
                <w:lang w:val="en-GB"/>
              </w:rPr>
              <w:t>Dec-14</w:t>
            </w:r>
          </w:p>
        </w:tc>
        <w:tc>
          <w:tcPr>
            <w:tcW w:w="1210" w:type="dxa"/>
            <w:shd w:val="clear" w:color="auto" w:fill="auto"/>
            <w:vAlign w:val="center"/>
            <w:hideMark/>
          </w:tcPr>
          <w:p w14:paraId="19042339" w14:textId="77777777" w:rsidR="004B2A4B" w:rsidRPr="00A456AE" w:rsidRDefault="004B2A4B" w:rsidP="00A456AE">
            <w:pPr>
              <w:jc w:val="center"/>
              <w:rPr>
                <w:rFonts w:ascii="Arial" w:hAnsi="Arial" w:cs="Arial"/>
                <w:color w:val="000000"/>
                <w:sz w:val="17"/>
                <w:szCs w:val="17"/>
                <w:lang w:val="en-GB"/>
              </w:rPr>
            </w:pPr>
            <w:r w:rsidRPr="00A456AE">
              <w:rPr>
                <w:rFonts w:ascii="Arial" w:hAnsi="Arial" w:cs="Arial"/>
                <w:color w:val="000000"/>
                <w:sz w:val="17"/>
                <w:szCs w:val="17"/>
                <w:lang w:val="en-GB"/>
              </w:rPr>
              <w:t>Mar-15</w:t>
            </w:r>
          </w:p>
        </w:tc>
        <w:tc>
          <w:tcPr>
            <w:tcW w:w="1203" w:type="dxa"/>
            <w:shd w:val="clear" w:color="auto" w:fill="auto"/>
            <w:vAlign w:val="center"/>
            <w:hideMark/>
          </w:tcPr>
          <w:p w14:paraId="4EC809DD" w14:textId="77777777" w:rsidR="004B2A4B" w:rsidRPr="00A456AE" w:rsidRDefault="004B2A4B" w:rsidP="00A456AE">
            <w:pPr>
              <w:jc w:val="center"/>
              <w:rPr>
                <w:rFonts w:ascii="Arial" w:hAnsi="Arial" w:cs="Arial"/>
                <w:color w:val="000000"/>
                <w:sz w:val="17"/>
                <w:szCs w:val="17"/>
                <w:lang w:val="en-GB"/>
              </w:rPr>
            </w:pPr>
            <w:r w:rsidRPr="00A456AE">
              <w:rPr>
                <w:rFonts w:ascii="Arial" w:hAnsi="Arial" w:cs="Arial"/>
                <w:color w:val="000000"/>
                <w:sz w:val="17"/>
                <w:szCs w:val="17"/>
                <w:lang w:val="en-GB"/>
              </w:rPr>
              <w:t>Apr-15</w:t>
            </w:r>
          </w:p>
        </w:tc>
        <w:tc>
          <w:tcPr>
            <w:tcW w:w="1047" w:type="dxa"/>
            <w:shd w:val="clear" w:color="auto" w:fill="auto"/>
            <w:vAlign w:val="center"/>
            <w:hideMark/>
          </w:tcPr>
          <w:p w14:paraId="6B2F3A0D" w14:textId="77777777" w:rsidR="004B2A4B" w:rsidRPr="00A456AE" w:rsidRDefault="004B2A4B" w:rsidP="00A456AE">
            <w:pPr>
              <w:jc w:val="center"/>
              <w:rPr>
                <w:rFonts w:ascii="Arial" w:hAnsi="Arial" w:cs="Arial"/>
                <w:color w:val="000000"/>
                <w:sz w:val="17"/>
                <w:szCs w:val="17"/>
                <w:lang w:val="en-GB"/>
              </w:rPr>
            </w:pPr>
            <w:r w:rsidRPr="00A456AE">
              <w:rPr>
                <w:rFonts w:ascii="Arial" w:hAnsi="Arial" w:cs="Arial"/>
                <w:color w:val="000000"/>
                <w:sz w:val="17"/>
                <w:szCs w:val="17"/>
                <w:lang w:val="en-GB"/>
              </w:rPr>
              <w:t>Jun-15</w:t>
            </w:r>
          </w:p>
        </w:tc>
        <w:tc>
          <w:tcPr>
            <w:tcW w:w="1620" w:type="dxa"/>
            <w:shd w:val="clear" w:color="auto" w:fill="auto"/>
            <w:vAlign w:val="center"/>
            <w:hideMark/>
          </w:tcPr>
          <w:p w14:paraId="0DD2EB9A" w14:textId="77777777" w:rsidR="004B2A4B" w:rsidRPr="00A456AE" w:rsidRDefault="004B2A4B" w:rsidP="00A456AE">
            <w:pPr>
              <w:jc w:val="center"/>
              <w:rPr>
                <w:rFonts w:ascii="Arial" w:hAnsi="Arial" w:cs="Arial"/>
                <w:color w:val="000000"/>
                <w:sz w:val="17"/>
                <w:szCs w:val="17"/>
                <w:lang w:val="en-GB"/>
              </w:rPr>
            </w:pPr>
            <w:r w:rsidRPr="00A456AE">
              <w:rPr>
                <w:rFonts w:ascii="Arial" w:hAnsi="Arial" w:cs="Arial"/>
                <w:color w:val="000000"/>
                <w:sz w:val="17"/>
                <w:szCs w:val="17"/>
                <w:lang w:val="en-GB"/>
              </w:rPr>
              <w:t>Aug-15</w:t>
            </w:r>
          </w:p>
        </w:tc>
        <w:tc>
          <w:tcPr>
            <w:tcW w:w="1800" w:type="dxa"/>
            <w:shd w:val="clear" w:color="auto" w:fill="auto"/>
            <w:vAlign w:val="center"/>
            <w:hideMark/>
          </w:tcPr>
          <w:p w14:paraId="6FA5358E" w14:textId="77777777" w:rsidR="004B2A4B" w:rsidRPr="00A456AE" w:rsidRDefault="004B2A4B" w:rsidP="00A456AE">
            <w:pPr>
              <w:jc w:val="center"/>
              <w:rPr>
                <w:rFonts w:ascii="Arial" w:hAnsi="Arial" w:cs="Arial"/>
                <w:color w:val="000000"/>
                <w:sz w:val="17"/>
                <w:szCs w:val="17"/>
                <w:lang w:val="en-GB"/>
              </w:rPr>
            </w:pPr>
            <w:r w:rsidRPr="00A456AE">
              <w:rPr>
                <w:rFonts w:ascii="Arial" w:hAnsi="Arial" w:cs="Arial"/>
                <w:color w:val="000000"/>
                <w:sz w:val="17"/>
                <w:szCs w:val="17"/>
                <w:lang w:val="en-GB"/>
              </w:rPr>
              <w:t>Dec-15</w:t>
            </w:r>
          </w:p>
        </w:tc>
        <w:tc>
          <w:tcPr>
            <w:tcW w:w="1260" w:type="dxa"/>
            <w:shd w:val="clear" w:color="auto" w:fill="auto"/>
            <w:vAlign w:val="center"/>
            <w:hideMark/>
          </w:tcPr>
          <w:p w14:paraId="300474C9" w14:textId="77777777" w:rsidR="004B2A4B" w:rsidRPr="00A456AE" w:rsidRDefault="004B2A4B" w:rsidP="00A456AE">
            <w:pPr>
              <w:jc w:val="center"/>
              <w:rPr>
                <w:rFonts w:ascii="Arial" w:hAnsi="Arial" w:cs="Arial"/>
                <w:color w:val="000000"/>
                <w:sz w:val="17"/>
                <w:szCs w:val="17"/>
                <w:lang w:val="en-GB"/>
              </w:rPr>
            </w:pPr>
            <w:r w:rsidRPr="00A456AE">
              <w:rPr>
                <w:rFonts w:ascii="Arial" w:hAnsi="Arial" w:cs="Arial"/>
                <w:color w:val="000000"/>
                <w:sz w:val="17"/>
                <w:szCs w:val="17"/>
                <w:lang w:val="en-GB"/>
              </w:rPr>
              <w:t>Apr-16</w:t>
            </w:r>
          </w:p>
        </w:tc>
      </w:tr>
      <w:tr w:rsidR="00A456AE" w:rsidRPr="00A456AE" w14:paraId="7EE7F3A9" w14:textId="77777777" w:rsidTr="000F25FD">
        <w:trPr>
          <w:trHeight w:val="364"/>
        </w:trPr>
        <w:tc>
          <w:tcPr>
            <w:tcW w:w="1350" w:type="dxa"/>
            <w:shd w:val="clear" w:color="auto" w:fill="auto"/>
          </w:tcPr>
          <w:p w14:paraId="5FA6A4AB" w14:textId="77777777" w:rsidR="004B2A4B" w:rsidRPr="00A456AE" w:rsidRDefault="004B2A4B" w:rsidP="00A456AE">
            <w:pPr>
              <w:rPr>
                <w:rFonts w:ascii="Arial" w:hAnsi="Arial" w:cs="Arial"/>
                <w:color w:val="000000"/>
                <w:sz w:val="17"/>
                <w:szCs w:val="17"/>
                <w:lang w:val="en-GB"/>
              </w:rPr>
            </w:pPr>
          </w:p>
        </w:tc>
        <w:tc>
          <w:tcPr>
            <w:tcW w:w="1440" w:type="dxa"/>
            <w:shd w:val="clear" w:color="auto" w:fill="auto"/>
            <w:hideMark/>
          </w:tcPr>
          <w:p w14:paraId="17081169" w14:textId="77777777" w:rsidR="004B2A4B" w:rsidRPr="00A456AE" w:rsidRDefault="004B2A4B" w:rsidP="00A456AE">
            <w:pPr>
              <w:rPr>
                <w:rFonts w:ascii="Arial" w:hAnsi="Arial" w:cs="Arial"/>
                <w:color w:val="000000"/>
                <w:sz w:val="17"/>
                <w:szCs w:val="17"/>
                <w:lang w:val="en-GB"/>
              </w:rPr>
            </w:pPr>
          </w:p>
        </w:tc>
        <w:tc>
          <w:tcPr>
            <w:tcW w:w="1497" w:type="dxa"/>
            <w:shd w:val="clear" w:color="auto" w:fill="auto"/>
            <w:noWrap/>
            <w:hideMark/>
          </w:tcPr>
          <w:p w14:paraId="2B90A217" w14:textId="77777777" w:rsidR="004B2A4B" w:rsidRPr="00A456AE" w:rsidRDefault="004B2A4B" w:rsidP="00A456AE">
            <w:pPr>
              <w:ind w:right="-18"/>
              <w:rPr>
                <w:rFonts w:ascii="Arial" w:hAnsi="Arial" w:cs="Arial"/>
                <w:sz w:val="17"/>
                <w:szCs w:val="17"/>
                <w:lang w:val="en-GB"/>
              </w:rPr>
            </w:pPr>
            <w:proofErr w:type="spellStart"/>
            <w:r w:rsidRPr="00A456AE">
              <w:rPr>
                <w:rFonts w:ascii="Arial" w:hAnsi="Arial" w:cs="Arial"/>
                <w:color w:val="000000"/>
                <w:sz w:val="17"/>
                <w:szCs w:val="17"/>
                <w:lang w:val="en-GB"/>
              </w:rPr>
              <w:t>ChimpChange</w:t>
            </w:r>
            <w:proofErr w:type="spellEnd"/>
            <w:r w:rsidRPr="00A456AE">
              <w:rPr>
                <w:rFonts w:ascii="Arial" w:hAnsi="Arial" w:cs="Arial"/>
                <w:color w:val="000000"/>
                <w:sz w:val="17"/>
                <w:szCs w:val="17"/>
                <w:lang w:val="en-GB"/>
              </w:rPr>
              <w:t xml:space="preserve"> raises additional funds in Australia for further development and build-out of technology.</w:t>
            </w:r>
          </w:p>
        </w:tc>
        <w:tc>
          <w:tcPr>
            <w:tcW w:w="1620" w:type="dxa"/>
            <w:shd w:val="clear" w:color="auto" w:fill="auto"/>
            <w:hideMark/>
          </w:tcPr>
          <w:p w14:paraId="66A727FE" w14:textId="77777777" w:rsidR="004B2A4B" w:rsidRPr="00A456AE" w:rsidRDefault="004B2A4B" w:rsidP="00A456AE">
            <w:pPr>
              <w:rPr>
                <w:rFonts w:ascii="Arial" w:hAnsi="Arial" w:cs="Arial"/>
                <w:color w:val="000000"/>
                <w:sz w:val="17"/>
                <w:szCs w:val="17"/>
                <w:lang w:val="en-GB"/>
              </w:rPr>
            </w:pPr>
          </w:p>
        </w:tc>
        <w:tc>
          <w:tcPr>
            <w:tcW w:w="1210" w:type="dxa"/>
            <w:shd w:val="clear" w:color="auto" w:fill="auto"/>
            <w:hideMark/>
          </w:tcPr>
          <w:p w14:paraId="35B61ABC" w14:textId="6F557C34" w:rsidR="004B2A4B" w:rsidRPr="00A456AE" w:rsidRDefault="004B2A4B" w:rsidP="00A456AE">
            <w:pPr>
              <w:rPr>
                <w:rFonts w:ascii="Arial" w:hAnsi="Arial" w:cs="Arial"/>
                <w:color w:val="000000"/>
                <w:sz w:val="17"/>
                <w:szCs w:val="17"/>
                <w:lang w:val="en-GB"/>
              </w:rPr>
            </w:pPr>
            <w:r w:rsidRPr="00A456AE">
              <w:rPr>
                <w:rFonts w:ascii="Arial" w:hAnsi="Arial" w:cs="Arial"/>
                <w:color w:val="000000"/>
                <w:sz w:val="17"/>
                <w:szCs w:val="17"/>
                <w:lang w:val="en-GB"/>
              </w:rPr>
              <w:t>App available for download through the Apple App Store</w:t>
            </w:r>
            <w:r w:rsidR="000F25FD">
              <w:rPr>
                <w:rFonts w:ascii="Arial" w:hAnsi="Arial" w:cs="Arial"/>
                <w:color w:val="000000"/>
                <w:sz w:val="17"/>
                <w:szCs w:val="17"/>
                <w:lang w:val="en-GB"/>
              </w:rPr>
              <w:t>.</w:t>
            </w:r>
          </w:p>
        </w:tc>
        <w:tc>
          <w:tcPr>
            <w:tcW w:w="1203" w:type="dxa"/>
            <w:shd w:val="clear" w:color="auto" w:fill="auto"/>
            <w:hideMark/>
          </w:tcPr>
          <w:p w14:paraId="262C6182" w14:textId="77777777" w:rsidR="004B2A4B" w:rsidRPr="00A456AE" w:rsidRDefault="004B2A4B" w:rsidP="00A456AE">
            <w:pPr>
              <w:rPr>
                <w:rFonts w:ascii="Arial" w:hAnsi="Arial" w:cs="Arial"/>
                <w:sz w:val="17"/>
                <w:szCs w:val="17"/>
                <w:lang w:val="en-GB"/>
              </w:rPr>
            </w:pPr>
          </w:p>
        </w:tc>
        <w:tc>
          <w:tcPr>
            <w:tcW w:w="1047" w:type="dxa"/>
            <w:shd w:val="clear" w:color="auto" w:fill="auto"/>
            <w:hideMark/>
          </w:tcPr>
          <w:p w14:paraId="0FA58F72" w14:textId="77777777" w:rsidR="004B2A4B" w:rsidRPr="00A456AE" w:rsidRDefault="004B2A4B" w:rsidP="00A456AE">
            <w:pPr>
              <w:rPr>
                <w:rFonts w:ascii="Arial" w:hAnsi="Arial" w:cs="Arial"/>
                <w:sz w:val="17"/>
                <w:szCs w:val="17"/>
                <w:lang w:val="en-GB"/>
              </w:rPr>
            </w:pPr>
          </w:p>
        </w:tc>
        <w:tc>
          <w:tcPr>
            <w:tcW w:w="1620" w:type="dxa"/>
            <w:shd w:val="clear" w:color="auto" w:fill="auto"/>
            <w:hideMark/>
          </w:tcPr>
          <w:p w14:paraId="5D7CCC5F" w14:textId="77777777" w:rsidR="004B2A4B" w:rsidRPr="00A456AE" w:rsidRDefault="004B2A4B" w:rsidP="00A456AE">
            <w:pPr>
              <w:rPr>
                <w:rFonts w:ascii="Arial" w:hAnsi="Arial" w:cs="Arial"/>
                <w:color w:val="000000"/>
                <w:sz w:val="17"/>
                <w:szCs w:val="17"/>
                <w:lang w:val="en-GB"/>
              </w:rPr>
            </w:pPr>
          </w:p>
        </w:tc>
        <w:tc>
          <w:tcPr>
            <w:tcW w:w="1800" w:type="dxa"/>
            <w:shd w:val="clear" w:color="auto" w:fill="auto"/>
            <w:hideMark/>
          </w:tcPr>
          <w:p w14:paraId="17B94F0D" w14:textId="3D8AC868" w:rsidR="004B2A4B" w:rsidRPr="00A456AE" w:rsidRDefault="004B2A4B" w:rsidP="00A456AE">
            <w:pPr>
              <w:rPr>
                <w:rFonts w:ascii="Arial" w:hAnsi="Arial" w:cs="Arial"/>
                <w:color w:val="000000"/>
                <w:sz w:val="17"/>
                <w:szCs w:val="17"/>
                <w:lang w:val="en-GB"/>
              </w:rPr>
            </w:pPr>
            <w:proofErr w:type="spellStart"/>
            <w:r w:rsidRPr="00A456AE">
              <w:rPr>
                <w:rFonts w:ascii="Arial" w:hAnsi="Arial" w:cs="Arial"/>
                <w:color w:val="000000"/>
                <w:sz w:val="17"/>
                <w:szCs w:val="17"/>
                <w:lang w:val="en-GB"/>
              </w:rPr>
              <w:t>ChimpChange</w:t>
            </w:r>
            <w:proofErr w:type="spellEnd"/>
            <w:r w:rsidRPr="00A456AE">
              <w:rPr>
                <w:rFonts w:ascii="Arial" w:hAnsi="Arial" w:cs="Arial"/>
                <w:color w:val="000000"/>
                <w:sz w:val="17"/>
                <w:szCs w:val="17"/>
                <w:lang w:val="en-GB"/>
              </w:rPr>
              <w:t xml:space="preserve"> raises further funds in Australia to facilitate further product development and preparation for an initial public offer</w:t>
            </w:r>
            <w:r w:rsidR="000F25FD">
              <w:rPr>
                <w:rFonts w:ascii="Arial" w:hAnsi="Arial" w:cs="Arial"/>
                <w:color w:val="000000"/>
                <w:sz w:val="17"/>
                <w:szCs w:val="17"/>
                <w:lang w:val="en-GB"/>
              </w:rPr>
              <w:t>.</w:t>
            </w:r>
          </w:p>
        </w:tc>
        <w:tc>
          <w:tcPr>
            <w:tcW w:w="1260" w:type="dxa"/>
            <w:shd w:val="clear" w:color="auto" w:fill="auto"/>
            <w:hideMark/>
          </w:tcPr>
          <w:p w14:paraId="3B1A66D6" w14:textId="77777777" w:rsidR="004B2A4B" w:rsidRPr="00A456AE" w:rsidRDefault="004B2A4B" w:rsidP="00A456AE">
            <w:pPr>
              <w:rPr>
                <w:rFonts w:ascii="Arial" w:hAnsi="Arial" w:cs="Arial"/>
                <w:sz w:val="17"/>
                <w:szCs w:val="17"/>
                <w:lang w:val="en-GB"/>
              </w:rPr>
            </w:pPr>
          </w:p>
        </w:tc>
      </w:tr>
      <w:tr w:rsidR="00A456AE" w:rsidRPr="00A456AE" w14:paraId="7204994B" w14:textId="77777777" w:rsidTr="000F25FD">
        <w:trPr>
          <w:trHeight w:val="364"/>
        </w:trPr>
        <w:tc>
          <w:tcPr>
            <w:tcW w:w="1350" w:type="dxa"/>
            <w:shd w:val="clear" w:color="auto" w:fill="auto"/>
            <w:hideMark/>
          </w:tcPr>
          <w:p w14:paraId="237B8505" w14:textId="77777777" w:rsidR="004B2A4B" w:rsidRPr="00A456AE" w:rsidRDefault="004B2A4B" w:rsidP="00A456AE">
            <w:pPr>
              <w:rPr>
                <w:rFonts w:ascii="Arial" w:hAnsi="Arial" w:cs="Arial"/>
                <w:sz w:val="17"/>
                <w:szCs w:val="17"/>
                <w:lang w:val="en-GB"/>
              </w:rPr>
            </w:pPr>
            <w:r w:rsidRPr="00A456AE">
              <w:rPr>
                <w:rFonts w:ascii="Arial" w:hAnsi="Arial" w:cs="Arial"/>
                <w:color w:val="000000"/>
                <w:sz w:val="17"/>
                <w:szCs w:val="17"/>
                <w:lang w:val="en-GB"/>
              </w:rPr>
              <w:t>Initial seed capital is raised in Australia to fund the development of technology.</w:t>
            </w:r>
          </w:p>
        </w:tc>
        <w:tc>
          <w:tcPr>
            <w:tcW w:w="1440" w:type="dxa"/>
            <w:shd w:val="clear" w:color="auto" w:fill="auto"/>
          </w:tcPr>
          <w:p w14:paraId="54AAD693" w14:textId="77777777" w:rsidR="004B2A4B" w:rsidRPr="00A456AE" w:rsidRDefault="004B2A4B" w:rsidP="00A456AE">
            <w:pPr>
              <w:rPr>
                <w:rFonts w:ascii="Arial" w:hAnsi="Arial" w:cs="Arial"/>
                <w:color w:val="000000"/>
                <w:sz w:val="17"/>
                <w:szCs w:val="17"/>
                <w:lang w:val="en-GB"/>
              </w:rPr>
            </w:pPr>
          </w:p>
        </w:tc>
        <w:tc>
          <w:tcPr>
            <w:tcW w:w="1497" w:type="dxa"/>
            <w:shd w:val="clear" w:color="auto" w:fill="auto"/>
            <w:hideMark/>
          </w:tcPr>
          <w:p w14:paraId="38F6A35D" w14:textId="77777777" w:rsidR="004B2A4B" w:rsidRPr="00A456AE" w:rsidRDefault="004B2A4B" w:rsidP="00A456AE">
            <w:pPr>
              <w:rPr>
                <w:rFonts w:ascii="Arial" w:hAnsi="Arial" w:cs="Arial"/>
                <w:color w:val="000000"/>
                <w:sz w:val="17"/>
                <w:szCs w:val="17"/>
                <w:lang w:val="en-GB"/>
              </w:rPr>
            </w:pPr>
          </w:p>
        </w:tc>
        <w:tc>
          <w:tcPr>
            <w:tcW w:w="1620" w:type="dxa"/>
            <w:shd w:val="clear" w:color="auto" w:fill="auto"/>
            <w:noWrap/>
            <w:hideMark/>
          </w:tcPr>
          <w:p w14:paraId="68E5F815" w14:textId="190BA8C0" w:rsidR="004B2A4B" w:rsidRPr="00A456AE" w:rsidRDefault="004B2A4B" w:rsidP="000F25FD">
            <w:pPr>
              <w:rPr>
                <w:rFonts w:ascii="Arial" w:hAnsi="Arial" w:cs="Arial"/>
                <w:sz w:val="17"/>
                <w:szCs w:val="17"/>
                <w:lang w:val="en-GB"/>
              </w:rPr>
            </w:pPr>
            <w:r w:rsidRPr="00A456AE">
              <w:rPr>
                <w:rFonts w:ascii="Arial" w:hAnsi="Arial" w:cs="Arial"/>
                <w:color w:val="000000"/>
                <w:sz w:val="17"/>
                <w:szCs w:val="17"/>
                <w:lang w:val="en-GB"/>
              </w:rPr>
              <w:t xml:space="preserve">The FDIC and CFPB review the platform and provide </w:t>
            </w:r>
            <w:proofErr w:type="spellStart"/>
            <w:r w:rsidRPr="00A456AE">
              <w:rPr>
                <w:rFonts w:ascii="Arial" w:hAnsi="Arial" w:cs="Arial"/>
                <w:color w:val="000000"/>
                <w:sz w:val="17"/>
                <w:szCs w:val="17"/>
                <w:lang w:val="en-GB"/>
              </w:rPr>
              <w:t>ChimpChange</w:t>
            </w:r>
            <w:proofErr w:type="spellEnd"/>
            <w:r w:rsidRPr="00A456AE">
              <w:rPr>
                <w:rFonts w:ascii="Arial" w:hAnsi="Arial" w:cs="Arial"/>
                <w:color w:val="000000"/>
                <w:sz w:val="17"/>
                <w:szCs w:val="17"/>
                <w:lang w:val="en-GB"/>
              </w:rPr>
              <w:t xml:space="preserve"> with feedback to operate in the United States under US banking regulations.</w:t>
            </w:r>
          </w:p>
        </w:tc>
        <w:tc>
          <w:tcPr>
            <w:tcW w:w="1210" w:type="dxa"/>
            <w:shd w:val="clear" w:color="auto" w:fill="auto"/>
            <w:hideMark/>
          </w:tcPr>
          <w:p w14:paraId="596B1A8A" w14:textId="77777777" w:rsidR="004B2A4B" w:rsidRPr="00A456AE" w:rsidRDefault="004B2A4B" w:rsidP="00A456AE">
            <w:pPr>
              <w:rPr>
                <w:rFonts w:ascii="Arial" w:hAnsi="Arial" w:cs="Arial"/>
                <w:sz w:val="17"/>
                <w:szCs w:val="17"/>
                <w:lang w:val="en-GB"/>
              </w:rPr>
            </w:pPr>
          </w:p>
        </w:tc>
        <w:tc>
          <w:tcPr>
            <w:tcW w:w="1203" w:type="dxa"/>
            <w:shd w:val="clear" w:color="auto" w:fill="auto"/>
            <w:hideMark/>
          </w:tcPr>
          <w:p w14:paraId="7CE602F6" w14:textId="77777777" w:rsidR="004B2A4B" w:rsidRPr="00A456AE" w:rsidRDefault="004B2A4B" w:rsidP="00A456AE">
            <w:pPr>
              <w:rPr>
                <w:rFonts w:ascii="Arial" w:hAnsi="Arial" w:cs="Arial"/>
                <w:sz w:val="17"/>
                <w:szCs w:val="17"/>
                <w:lang w:val="en-GB"/>
              </w:rPr>
            </w:pPr>
          </w:p>
        </w:tc>
        <w:tc>
          <w:tcPr>
            <w:tcW w:w="1047" w:type="dxa"/>
            <w:shd w:val="clear" w:color="auto" w:fill="auto"/>
            <w:hideMark/>
          </w:tcPr>
          <w:p w14:paraId="1F0C879D" w14:textId="77777777" w:rsidR="004B2A4B" w:rsidRPr="00A456AE" w:rsidRDefault="004B2A4B" w:rsidP="00A456AE">
            <w:pPr>
              <w:rPr>
                <w:rFonts w:ascii="Arial" w:hAnsi="Arial" w:cs="Arial"/>
                <w:sz w:val="17"/>
                <w:szCs w:val="17"/>
                <w:lang w:val="en-GB"/>
              </w:rPr>
            </w:pPr>
            <w:r w:rsidRPr="00A456AE">
              <w:rPr>
                <w:rFonts w:ascii="Arial" w:hAnsi="Arial" w:cs="Arial"/>
                <w:color w:val="000000"/>
                <w:sz w:val="17"/>
                <w:szCs w:val="17"/>
                <w:lang w:val="en-GB"/>
              </w:rPr>
              <w:t>Public beta is released in both Android and Apple stores.</w:t>
            </w:r>
          </w:p>
        </w:tc>
        <w:tc>
          <w:tcPr>
            <w:tcW w:w="1620" w:type="dxa"/>
            <w:shd w:val="clear" w:color="auto" w:fill="auto"/>
            <w:hideMark/>
          </w:tcPr>
          <w:p w14:paraId="3EBB4942" w14:textId="77777777" w:rsidR="004B2A4B" w:rsidRPr="00A456AE" w:rsidRDefault="004B2A4B" w:rsidP="00A456AE">
            <w:pPr>
              <w:ind w:right="-117"/>
              <w:rPr>
                <w:rFonts w:ascii="Arial" w:hAnsi="Arial" w:cs="Arial"/>
                <w:sz w:val="17"/>
                <w:szCs w:val="17"/>
                <w:lang w:val="en-GB"/>
              </w:rPr>
            </w:pPr>
            <w:r w:rsidRPr="00A456AE">
              <w:rPr>
                <w:rFonts w:ascii="Arial" w:hAnsi="Arial" w:cs="Arial"/>
                <w:color w:val="000000"/>
                <w:sz w:val="17"/>
                <w:szCs w:val="17"/>
                <w:lang w:val="en-GB"/>
              </w:rPr>
              <w:t>Targeted marketing campaign to drive market awareness and promote customer acquisition begins.</w:t>
            </w:r>
          </w:p>
        </w:tc>
        <w:tc>
          <w:tcPr>
            <w:tcW w:w="1800" w:type="dxa"/>
            <w:shd w:val="clear" w:color="auto" w:fill="auto"/>
          </w:tcPr>
          <w:p w14:paraId="31F63DCC" w14:textId="77777777" w:rsidR="004B2A4B" w:rsidRPr="00A456AE" w:rsidRDefault="004B2A4B" w:rsidP="00A456AE">
            <w:pPr>
              <w:rPr>
                <w:rFonts w:ascii="Arial" w:hAnsi="Arial" w:cs="Arial"/>
                <w:color w:val="000000"/>
                <w:sz w:val="17"/>
                <w:szCs w:val="17"/>
                <w:lang w:val="en-GB"/>
              </w:rPr>
            </w:pPr>
          </w:p>
        </w:tc>
        <w:tc>
          <w:tcPr>
            <w:tcW w:w="1260" w:type="dxa"/>
            <w:shd w:val="clear" w:color="auto" w:fill="auto"/>
            <w:hideMark/>
          </w:tcPr>
          <w:p w14:paraId="4EAD8643" w14:textId="77777777" w:rsidR="004B2A4B" w:rsidRPr="00A456AE" w:rsidRDefault="004B2A4B" w:rsidP="00A456AE">
            <w:pPr>
              <w:rPr>
                <w:rFonts w:ascii="Arial" w:hAnsi="Arial" w:cs="Arial"/>
                <w:color w:val="000000"/>
                <w:sz w:val="17"/>
                <w:szCs w:val="17"/>
                <w:lang w:val="en-GB"/>
              </w:rPr>
            </w:pPr>
            <w:proofErr w:type="spellStart"/>
            <w:r w:rsidRPr="00A456AE">
              <w:rPr>
                <w:rFonts w:ascii="Arial" w:hAnsi="Arial" w:cs="Arial"/>
                <w:color w:val="000000"/>
                <w:sz w:val="17"/>
                <w:szCs w:val="17"/>
                <w:lang w:val="en-GB"/>
              </w:rPr>
              <w:t>ChimpChange</w:t>
            </w:r>
            <w:proofErr w:type="spellEnd"/>
            <w:r w:rsidRPr="00A456AE">
              <w:rPr>
                <w:rFonts w:ascii="Arial" w:hAnsi="Arial" w:cs="Arial"/>
                <w:color w:val="000000"/>
                <w:sz w:val="17"/>
                <w:szCs w:val="17"/>
                <w:lang w:val="en-GB"/>
              </w:rPr>
              <w:t xml:space="preserve"> commences transitioning of the platform to a new sponsor bank, CBKC.</w:t>
            </w:r>
          </w:p>
        </w:tc>
      </w:tr>
    </w:tbl>
    <w:p w14:paraId="3579D419" w14:textId="77777777" w:rsidR="004B2A4B" w:rsidRPr="00CB3BFB" w:rsidRDefault="004B2A4B" w:rsidP="004B2A4B">
      <w:pPr>
        <w:pStyle w:val="FootnoteText1"/>
        <w:rPr>
          <w:sz w:val="8"/>
          <w:szCs w:val="8"/>
          <w:lang w:val="en-GB"/>
        </w:rPr>
      </w:pPr>
    </w:p>
    <w:p w14:paraId="1DCA94AE" w14:textId="77777777" w:rsidR="004B2A4B" w:rsidRDefault="004B2A4B" w:rsidP="004B2A4B">
      <w:pPr>
        <w:pStyle w:val="FootnoteText1"/>
        <w:rPr>
          <w:lang w:val="en-GB"/>
        </w:rPr>
      </w:pPr>
      <w:r>
        <w:rPr>
          <w:lang w:val="en-GB"/>
        </w:rPr>
        <w:t xml:space="preserve">Note: app = application; FDIC = Federal Deposit Insurance Corporation; CFPB = </w:t>
      </w:r>
      <w:r w:rsidRPr="006D40E5">
        <w:rPr>
          <w:lang w:val="en-GB"/>
        </w:rPr>
        <w:t>Consumer Financial Protection Bureau</w:t>
      </w:r>
      <w:r>
        <w:rPr>
          <w:lang w:val="en-GB"/>
        </w:rPr>
        <w:t xml:space="preserve">; CBKC = </w:t>
      </w:r>
      <w:r w:rsidRPr="006D40E5">
        <w:rPr>
          <w:lang w:val="en-GB"/>
        </w:rPr>
        <w:t>Central Bank of Kansas City</w:t>
      </w:r>
    </w:p>
    <w:p w14:paraId="6C2FF319" w14:textId="7FB6A9A1" w:rsidR="004B2A4B" w:rsidRPr="00E46997" w:rsidRDefault="004B2A4B" w:rsidP="00991A8E">
      <w:pPr>
        <w:pStyle w:val="FootnoteText1"/>
        <w:rPr>
          <w:sz w:val="20"/>
          <w:szCs w:val="20"/>
        </w:rPr>
      </w:pPr>
      <w:r w:rsidRPr="00CB3BFB">
        <w:rPr>
          <w:lang w:val="en-GB"/>
        </w:rPr>
        <w:t xml:space="preserve">Source: Created by the case author using data from </w:t>
      </w:r>
      <w:proofErr w:type="spellStart"/>
      <w:r w:rsidRPr="00CB3BFB">
        <w:rPr>
          <w:lang w:val="en-GB"/>
        </w:rPr>
        <w:t>ChimpChange</w:t>
      </w:r>
      <w:proofErr w:type="spellEnd"/>
      <w:r w:rsidRPr="00CB3BFB">
        <w:rPr>
          <w:lang w:val="en-GB"/>
        </w:rPr>
        <w:t xml:space="preserve"> Limited, </w:t>
      </w:r>
      <w:r w:rsidRPr="00CB3BFB">
        <w:rPr>
          <w:i/>
          <w:lang w:val="en-GB"/>
        </w:rPr>
        <w:t xml:space="preserve">Prospectus: </w:t>
      </w:r>
      <w:proofErr w:type="spellStart"/>
      <w:r w:rsidRPr="00CB3BFB">
        <w:rPr>
          <w:i/>
          <w:lang w:val="en-GB"/>
        </w:rPr>
        <w:t>ChimpChange</w:t>
      </w:r>
      <w:proofErr w:type="spellEnd"/>
      <w:r w:rsidRPr="00CB3BFB">
        <w:rPr>
          <w:i/>
          <w:lang w:val="en-GB"/>
        </w:rPr>
        <w:t xml:space="preserve"> Limited—ABN 34 150 762 351</w:t>
      </w:r>
      <w:r w:rsidRPr="00CB3BFB">
        <w:rPr>
          <w:lang w:val="en-GB"/>
        </w:rPr>
        <w:t>, 36, 2017, accessed August 31, 2018, www.chimpchange.me/wp-content/uploads/2017/03/prospectus.pdf.</w:t>
      </w:r>
    </w:p>
    <w:p w14:paraId="317435FB" w14:textId="77777777" w:rsidR="004B2A4B" w:rsidRDefault="004B2A4B" w:rsidP="00AF1FA9">
      <w:pPr>
        <w:pStyle w:val="BodyTextMain"/>
        <w:sectPr w:rsidR="004B2A4B" w:rsidSect="004B2A4B">
          <w:headerReference w:type="default" r:id="rId10"/>
          <w:pgSz w:w="15840" w:h="12240" w:orient="landscape" w:code="1"/>
          <w:pgMar w:top="1440" w:right="1440" w:bottom="1440" w:left="1440" w:header="1080" w:footer="720" w:gutter="0"/>
          <w:cols w:space="720"/>
          <w:docGrid w:linePitch="360"/>
        </w:sectPr>
      </w:pPr>
    </w:p>
    <w:p w14:paraId="05365ED8" w14:textId="77777777" w:rsidR="004B2A4B" w:rsidRPr="00CB3BFB" w:rsidRDefault="004B2A4B" w:rsidP="004B2A4B">
      <w:pPr>
        <w:pStyle w:val="Casehead1"/>
        <w:jc w:val="center"/>
        <w:rPr>
          <w:lang w:val="en-GB"/>
        </w:rPr>
      </w:pPr>
      <w:r w:rsidRPr="00CB3BFB">
        <w:rPr>
          <w:lang w:val="en-GB"/>
        </w:rPr>
        <w:lastRenderedPageBreak/>
        <w:t>Exhibit 2: Comparison of Monthly Fees (in US$)</w:t>
      </w:r>
    </w:p>
    <w:p w14:paraId="11E12C7C" w14:textId="77777777" w:rsidR="004B2A4B" w:rsidRPr="00CB3BFB" w:rsidRDefault="004B2A4B" w:rsidP="004B2A4B">
      <w:pPr>
        <w:pStyle w:val="BodyTextMain"/>
        <w:rPr>
          <w:lang w:val="en-GB"/>
        </w:rPr>
      </w:pPr>
    </w:p>
    <w:tbl>
      <w:tblPr>
        <w:tblStyle w:val="GridTable4-Accent11"/>
        <w:tblpPr w:leftFromText="180" w:rightFromText="180" w:vertAnchor="text" w:horzAnchor="margin" w:tblpXSpec="center" w:tblpY="75"/>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89"/>
        <w:gridCol w:w="1469"/>
      </w:tblGrid>
      <w:tr w:rsidR="004B2A4B" w:rsidRPr="00991A8E" w14:paraId="1F22744E" w14:textId="77777777" w:rsidTr="00A456AE">
        <w:trPr>
          <w:cnfStyle w:val="100000000000" w:firstRow="1" w:lastRow="0" w:firstColumn="0" w:lastColumn="0" w:oddVBand="0" w:evenVBand="0" w:oddHBand="0"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7189" w:type="dxa"/>
            <w:tcBorders>
              <w:top w:val="single" w:sz="4" w:space="0" w:color="000000" w:themeColor="text1"/>
              <w:left w:val="single" w:sz="4" w:space="0" w:color="000000" w:themeColor="text1"/>
              <w:bottom w:val="single" w:sz="4" w:space="0" w:color="auto"/>
            </w:tcBorders>
            <w:shd w:val="clear" w:color="auto" w:fill="auto"/>
            <w:noWrap/>
            <w:hideMark/>
          </w:tcPr>
          <w:p w14:paraId="06744460" w14:textId="77777777" w:rsidR="004B2A4B" w:rsidRPr="00991A8E" w:rsidRDefault="004B2A4B" w:rsidP="00A456AE">
            <w:pPr>
              <w:rPr>
                <w:rFonts w:ascii="Arial" w:hAnsi="Arial" w:cs="Arial"/>
                <w:color w:val="000000"/>
                <w:sz w:val="19"/>
                <w:szCs w:val="19"/>
                <w:lang w:val="en-GB"/>
              </w:rPr>
            </w:pPr>
            <w:r w:rsidRPr="00991A8E">
              <w:rPr>
                <w:rFonts w:ascii="Arial" w:hAnsi="Arial" w:cs="Arial"/>
                <w:color w:val="000000"/>
                <w:sz w:val="19"/>
                <w:szCs w:val="19"/>
                <w:lang w:val="en-GB"/>
              </w:rPr>
              <w:t>Financial Institution</w:t>
            </w:r>
          </w:p>
        </w:tc>
        <w:tc>
          <w:tcPr>
            <w:tcW w:w="1469" w:type="dxa"/>
            <w:tcBorders>
              <w:top w:val="single" w:sz="4" w:space="0" w:color="000000" w:themeColor="text1"/>
              <w:bottom w:val="single" w:sz="4" w:space="0" w:color="auto"/>
              <w:right w:val="single" w:sz="4" w:space="0" w:color="000000" w:themeColor="text1"/>
            </w:tcBorders>
            <w:shd w:val="clear" w:color="auto" w:fill="auto"/>
            <w:noWrap/>
            <w:hideMark/>
          </w:tcPr>
          <w:p w14:paraId="356FDA9C" w14:textId="77777777" w:rsidR="004B2A4B" w:rsidRPr="00991A8E" w:rsidRDefault="004B2A4B" w:rsidP="00A456AE">
            <w:pPr>
              <w:cnfStyle w:val="100000000000" w:firstRow="1" w:lastRow="0" w:firstColumn="0" w:lastColumn="0" w:oddVBand="0" w:evenVBand="0" w:oddHBand="0" w:evenHBand="0" w:firstRowFirstColumn="0" w:firstRowLastColumn="0" w:lastRowFirstColumn="0" w:lastRowLastColumn="0"/>
              <w:rPr>
                <w:rFonts w:ascii="Arial" w:hAnsi="Arial" w:cs="Arial"/>
                <w:color w:val="000000"/>
                <w:sz w:val="19"/>
                <w:szCs w:val="19"/>
                <w:lang w:val="en-GB"/>
              </w:rPr>
            </w:pPr>
            <w:r w:rsidRPr="00991A8E">
              <w:rPr>
                <w:rFonts w:ascii="Arial" w:hAnsi="Arial" w:cs="Arial"/>
                <w:color w:val="000000"/>
                <w:sz w:val="19"/>
                <w:szCs w:val="19"/>
                <w:lang w:val="en-GB"/>
              </w:rPr>
              <w:t>Monthly Fee</w:t>
            </w:r>
          </w:p>
        </w:tc>
      </w:tr>
      <w:tr w:rsidR="004B2A4B" w:rsidRPr="00991A8E" w14:paraId="4199473F" w14:textId="77777777" w:rsidTr="00A456AE">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7189" w:type="dxa"/>
            <w:tcBorders>
              <w:top w:val="single" w:sz="4" w:space="0" w:color="auto"/>
            </w:tcBorders>
            <w:shd w:val="clear" w:color="auto" w:fill="auto"/>
            <w:noWrap/>
            <w:hideMark/>
          </w:tcPr>
          <w:p w14:paraId="07D4A1D1" w14:textId="77777777" w:rsidR="004B2A4B" w:rsidRPr="00991A8E" w:rsidRDefault="004B2A4B" w:rsidP="00A456AE">
            <w:pPr>
              <w:rPr>
                <w:rFonts w:ascii="Arial" w:hAnsi="Arial" w:cs="Arial"/>
                <w:b w:val="0"/>
                <w:color w:val="000000"/>
                <w:sz w:val="19"/>
                <w:szCs w:val="19"/>
                <w:lang w:val="en-GB"/>
              </w:rPr>
            </w:pPr>
            <w:proofErr w:type="spellStart"/>
            <w:r w:rsidRPr="00991A8E">
              <w:rPr>
                <w:rFonts w:ascii="Arial" w:hAnsi="Arial" w:cs="Arial"/>
                <w:b w:val="0"/>
                <w:color w:val="000000"/>
                <w:sz w:val="19"/>
                <w:szCs w:val="19"/>
                <w:lang w:val="en-GB"/>
              </w:rPr>
              <w:t>ChimpChange</w:t>
            </w:r>
            <w:proofErr w:type="spellEnd"/>
          </w:p>
        </w:tc>
        <w:tc>
          <w:tcPr>
            <w:tcW w:w="1469" w:type="dxa"/>
            <w:tcBorders>
              <w:top w:val="single" w:sz="4" w:space="0" w:color="auto"/>
            </w:tcBorders>
            <w:shd w:val="clear" w:color="auto" w:fill="auto"/>
            <w:noWrap/>
            <w:hideMark/>
          </w:tcPr>
          <w:p w14:paraId="03507B5D" w14:textId="77777777" w:rsidR="004B2A4B" w:rsidRPr="00991A8E" w:rsidRDefault="004B2A4B" w:rsidP="00A456AE">
            <w:pPr>
              <w:ind w:right="144"/>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9"/>
                <w:szCs w:val="19"/>
                <w:lang w:val="en-GB"/>
              </w:rPr>
            </w:pPr>
            <w:r w:rsidRPr="00991A8E">
              <w:rPr>
                <w:rFonts w:ascii="Arial" w:hAnsi="Arial" w:cs="Arial"/>
                <w:color w:val="000000"/>
                <w:sz w:val="19"/>
                <w:szCs w:val="19"/>
                <w:lang w:val="en-GB"/>
              </w:rPr>
              <w:t>0</w:t>
            </w:r>
          </w:p>
        </w:tc>
      </w:tr>
      <w:tr w:rsidR="004B2A4B" w:rsidRPr="00991A8E" w14:paraId="76499965" w14:textId="77777777" w:rsidTr="00A456AE">
        <w:trPr>
          <w:trHeight w:val="239"/>
        </w:trPr>
        <w:tc>
          <w:tcPr>
            <w:cnfStyle w:val="001000000000" w:firstRow="0" w:lastRow="0" w:firstColumn="1" w:lastColumn="0" w:oddVBand="0" w:evenVBand="0" w:oddHBand="0" w:evenHBand="0" w:firstRowFirstColumn="0" w:firstRowLastColumn="0" w:lastRowFirstColumn="0" w:lastRowLastColumn="0"/>
            <w:tcW w:w="7189" w:type="dxa"/>
            <w:shd w:val="clear" w:color="auto" w:fill="auto"/>
            <w:noWrap/>
            <w:hideMark/>
          </w:tcPr>
          <w:p w14:paraId="304F1907" w14:textId="77777777" w:rsidR="004B2A4B" w:rsidRPr="00991A8E" w:rsidRDefault="004B2A4B" w:rsidP="00A456AE">
            <w:pPr>
              <w:rPr>
                <w:rFonts w:ascii="Arial" w:hAnsi="Arial" w:cs="Arial"/>
                <w:b w:val="0"/>
                <w:color w:val="000000"/>
                <w:sz w:val="19"/>
                <w:szCs w:val="19"/>
                <w:lang w:val="en-GB"/>
              </w:rPr>
            </w:pPr>
            <w:r w:rsidRPr="00991A8E">
              <w:rPr>
                <w:rFonts w:ascii="Arial" w:hAnsi="Arial" w:cs="Arial"/>
                <w:b w:val="0"/>
                <w:color w:val="000000"/>
                <w:sz w:val="19"/>
                <w:szCs w:val="19"/>
                <w:lang w:val="en-GB"/>
              </w:rPr>
              <w:t>Bank of America (Core chequing account)</w:t>
            </w:r>
          </w:p>
        </w:tc>
        <w:tc>
          <w:tcPr>
            <w:tcW w:w="1469" w:type="dxa"/>
            <w:shd w:val="clear" w:color="auto" w:fill="auto"/>
            <w:noWrap/>
            <w:hideMark/>
          </w:tcPr>
          <w:p w14:paraId="657FE38E" w14:textId="77777777" w:rsidR="004B2A4B" w:rsidRPr="00991A8E" w:rsidRDefault="004B2A4B" w:rsidP="00A456AE">
            <w:pPr>
              <w:ind w:right="144"/>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9"/>
                <w:szCs w:val="19"/>
                <w:lang w:val="en-GB"/>
              </w:rPr>
            </w:pPr>
            <w:r w:rsidRPr="00991A8E">
              <w:rPr>
                <w:rFonts w:ascii="Arial" w:hAnsi="Arial" w:cs="Arial"/>
                <w:color w:val="000000"/>
                <w:sz w:val="19"/>
                <w:szCs w:val="19"/>
                <w:lang w:val="en-GB"/>
              </w:rPr>
              <w:t>12</w:t>
            </w:r>
          </w:p>
        </w:tc>
      </w:tr>
      <w:tr w:rsidR="004B2A4B" w:rsidRPr="00991A8E" w14:paraId="0D6C503E" w14:textId="77777777" w:rsidTr="00A456AE">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7189" w:type="dxa"/>
            <w:shd w:val="clear" w:color="auto" w:fill="auto"/>
            <w:noWrap/>
            <w:hideMark/>
          </w:tcPr>
          <w:p w14:paraId="008EBD98" w14:textId="77777777" w:rsidR="004B2A4B" w:rsidRPr="00991A8E" w:rsidRDefault="004B2A4B" w:rsidP="00A456AE">
            <w:pPr>
              <w:rPr>
                <w:rFonts w:ascii="Arial" w:hAnsi="Arial" w:cs="Arial"/>
                <w:b w:val="0"/>
                <w:color w:val="000000"/>
                <w:sz w:val="19"/>
                <w:szCs w:val="19"/>
                <w:lang w:val="en-GB"/>
              </w:rPr>
            </w:pPr>
            <w:r w:rsidRPr="00991A8E">
              <w:rPr>
                <w:rFonts w:ascii="Arial" w:hAnsi="Arial" w:cs="Arial"/>
                <w:b w:val="0"/>
                <w:color w:val="000000"/>
                <w:sz w:val="19"/>
                <w:szCs w:val="19"/>
                <w:lang w:val="en-GB"/>
              </w:rPr>
              <w:t>Wells Fargo (Everyday chequing account)</w:t>
            </w:r>
          </w:p>
        </w:tc>
        <w:tc>
          <w:tcPr>
            <w:tcW w:w="1469" w:type="dxa"/>
            <w:shd w:val="clear" w:color="auto" w:fill="auto"/>
            <w:noWrap/>
            <w:hideMark/>
          </w:tcPr>
          <w:p w14:paraId="7F0C141B" w14:textId="77777777" w:rsidR="004B2A4B" w:rsidRPr="00991A8E" w:rsidRDefault="004B2A4B" w:rsidP="00A456AE">
            <w:pPr>
              <w:ind w:right="144"/>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9"/>
                <w:szCs w:val="19"/>
                <w:lang w:val="en-GB"/>
              </w:rPr>
            </w:pPr>
            <w:r w:rsidRPr="00991A8E">
              <w:rPr>
                <w:rFonts w:ascii="Arial" w:hAnsi="Arial" w:cs="Arial"/>
                <w:color w:val="000000"/>
                <w:sz w:val="19"/>
                <w:szCs w:val="19"/>
                <w:lang w:val="en-GB"/>
              </w:rPr>
              <w:t>10</w:t>
            </w:r>
          </w:p>
        </w:tc>
      </w:tr>
      <w:tr w:rsidR="004B2A4B" w:rsidRPr="00991A8E" w14:paraId="2E86C76E" w14:textId="77777777" w:rsidTr="00A456AE">
        <w:trPr>
          <w:trHeight w:val="239"/>
        </w:trPr>
        <w:tc>
          <w:tcPr>
            <w:cnfStyle w:val="001000000000" w:firstRow="0" w:lastRow="0" w:firstColumn="1" w:lastColumn="0" w:oddVBand="0" w:evenVBand="0" w:oddHBand="0" w:evenHBand="0" w:firstRowFirstColumn="0" w:firstRowLastColumn="0" w:lastRowFirstColumn="0" w:lastRowLastColumn="0"/>
            <w:tcW w:w="7189" w:type="dxa"/>
            <w:shd w:val="clear" w:color="auto" w:fill="auto"/>
            <w:noWrap/>
            <w:hideMark/>
          </w:tcPr>
          <w:p w14:paraId="0F4EFFEA" w14:textId="77777777" w:rsidR="004B2A4B" w:rsidRPr="00991A8E" w:rsidRDefault="004B2A4B" w:rsidP="00A456AE">
            <w:pPr>
              <w:rPr>
                <w:rFonts w:ascii="Arial" w:hAnsi="Arial" w:cs="Arial"/>
                <w:b w:val="0"/>
                <w:color w:val="000000"/>
                <w:sz w:val="19"/>
                <w:szCs w:val="19"/>
                <w:lang w:val="en-GB"/>
              </w:rPr>
            </w:pPr>
            <w:r w:rsidRPr="00991A8E">
              <w:rPr>
                <w:rFonts w:ascii="Arial" w:hAnsi="Arial" w:cs="Arial"/>
                <w:b w:val="0"/>
                <w:color w:val="000000"/>
                <w:sz w:val="19"/>
                <w:szCs w:val="19"/>
                <w:lang w:val="en-GB"/>
              </w:rPr>
              <w:t>Chase (Premier Plus account)</w:t>
            </w:r>
          </w:p>
        </w:tc>
        <w:tc>
          <w:tcPr>
            <w:tcW w:w="1469" w:type="dxa"/>
            <w:shd w:val="clear" w:color="auto" w:fill="auto"/>
            <w:noWrap/>
            <w:hideMark/>
          </w:tcPr>
          <w:p w14:paraId="64BC7FFC" w14:textId="77777777" w:rsidR="004B2A4B" w:rsidRPr="00991A8E" w:rsidRDefault="004B2A4B" w:rsidP="00A456AE">
            <w:pPr>
              <w:ind w:right="144"/>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9"/>
                <w:szCs w:val="19"/>
                <w:lang w:val="en-GB"/>
              </w:rPr>
            </w:pPr>
            <w:r w:rsidRPr="00991A8E">
              <w:rPr>
                <w:rFonts w:ascii="Arial" w:hAnsi="Arial" w:cs="Arial"/>
                <w:color w:val="000000"/>
                <w:sz w:val="19"/>
                <w:szCs w:val="19"/>
                <w:lang w:val="en-GB"/>
              </w:rPr>
              <w:t>25</w:t>
            </w:r>
          </w:p>
        </w:tc>
      </w:tr>
      <w:tr w:rsidR="004B2A4B" w:rsidRPr="00991A8E" w14:paraId="70BAC897" w14:textId="77777777" w:rsidTr="00A456AE">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7189" w:type="dxa"/>
            <w:shd w:val="clear" w:color="auto" w:fill="auto"/>
            <w:noWrap/>
            <w:hideMark/>
          </w:tcPr>
          <w:p w14:paraId="039D9B7C" w14:textId="77777777" w:rsidR="004B2A4B" w:rsidRPr="00991A8E" w:rsidRDefault="004B2A4B" w:rsidP="00A456AE">
            <w:pPr>
              <w:rPr>
                <w:rFonts w:ascii="Arial" w:hAnsi="Arial" w:cs="Arial"/>
                <w:b w:val="0"/>
                <w:color w:val="000000"/>
                <w:sz w:val="19"/>
                <w:szCs w:val="19"/>
                <w:lang w:val="en-GB"/>
              </w:rPr>
            </w:pPr>
            <w:r w:rsidRPr="00991A8E">
              <w:rPr>
                <w:rFonts w:ascii="Arial" w:hAnsi="Arial" w:cs="Arial"/>
                <w:b w:val="0"/>
                <w:color w:val="000000"/>
                <w:sz w:val="19"/>
                <w:szCs w:val="19"/>
                <w:lang w:val="en-GB"/>
              </w:rPr>
              <w:t>Citibank (Basic chequing account)</w:t>
            </w:r>
          </w:p>
        </w:tc>
        <w:tc>
          <w:tcPr>
            <w:tcW w:w="1469" w:type="dxa"/>
            <w:shd w:val="clear" w:color="auto" w:fill="auto"/>
            <w:noWrap/>
            <w:hideMark/>
          </w:tcPr>
          <w:p w14:paraId="50629353" w14:textId="77777777" w:rsidR="004B2A4B" w:rsidRPr="00991A8E" w:rsidRDefault="004B2A4B" w:rsidP="00A456AE">
            <w:pPr>
              <w:ind w:right="144"/>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9"/>
                <w:szCs w:val="19"/>
                <w:lang w:val="en-GB"/>
              </w:rPr>
            </w:pPr>
            <w:r w:rsidRPr="00991A8E">
              <w:rPr>
                <w:rFonts w:ascii="Arial" w:hAnsi="Arial" w:cs="Arial"/>
                <w:color w:val="000000"/>
                <w:sz w:val="19"/>
                <w:szCs w:val="19"/>
                <w:lang w:val="en-GB"/>
              </w:rPr>
              <w:t>10</w:t>
            </w:r>
          </w:p>
        </w:tc>
      </w:tr>
      <w:tr w:rsidR="004B2A4B" w:rsidRPr="00991A8E" w14:paraId="3C5CB04E" w14:textId="77777777" w:rsidTr="00A456AE">
        <w:trPr>
          <w:trHeight w:val="239"/>
        </w:trPr>
        <w:tc>
          <w:tcPr>
            <w:cnfStyle w:val="001000000000" w:firstRow="0" w:lastRow="0" w:firstColumn="1" w:lastColumn="0" w:oddVBand="0" w:evenVBand="0" w:oddHBand="0" w:evenHBand="0" w:firstRowFirstColumn="0" w:firstRowLastColumn="0" w:lastRowFirstColumn="0" w:lastRowLastColumn="0"/>
            <w:tcW w:w="7189" w:type="dxa"/>
            <w:shd w:val="clear" w:color="auto" w:fill="auto"/>
            <w:noWrap/>
            <w:hideMark/>
          </w:tcPr>
          <w:p w14:paraId="48AE4935" w14:textId="77777777" w:rsidR="004B2A4B" w:rsidRPr="00991A8E" w:rsidRDefault="004B2A4B" w:rsidP="00A456AE">
            <w:pPr>
              <w:rPr>
                <w:rFonts w:ascii="Arial" w:hAnsi="Arial" w:cs="Arial"/>
                <w:b w:val="0"/>
                <w:color w:val="000000"/>
                <w:sz w:val="19"/>
                <w:szCs w:val="19"/>
                <w:lang w:val="en-GB"/>
              </w:rPr>
            </w:pPr>
            <w:r w:rsidRPr="00991A8E">
              <w:rPr>
                <w:rFonts w:ascii="Arial" w:hAnsi="Arial" w:cs="Arial"/>
                <w:b w:val="0"/>
                <w:color w:val="000000"/>
                <w:sz w:val="19"/>
                <w:szCs w:val="19"/>
                <w:lang w:val="en-GB"/>
              </w:rPr>
              <w:t>HSBC (Choice chequing account)</w:t>
            </w:r>
          </w:p>
        </w:tc>
        <w:tc>
          <w:tcPr>
            <w:tcW w:w="1469" w:type="dxa"/>
            <w:shd w:val="clear" w:color="auto" w:fill="auto"/>
            <w:noWrap/>
            <w:hideMark/>
          </w:tcPr>
          <w:p w14:paraId="613B55F0" w14:textId="77777777" w:rsidR="004B2A4B" w:rsidRPr="00991A8E" w:rsidRDefault="004B2A4B" w:rsidP="00A456AE">
            <w:pPr>
              <w:ind w:right="144"/>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9"/>
                <w:szCs w:val="19"/>
                <w:lang w:val="en-GB"/>
              </w:rPr>
            </w:pPr>
            <w:r w:rsidRPr="00991A8E">
              <w:rPr>
                <w:rFonts w:ascii="Arial" w:hAnsi="Arial" w:cs="Arial"/>
                <w:color w:val="000000"/>
                <w:sz w:val="19"/>
                <w:szCs w:val="19"/>
                <w:lang w:val="en-GB"/>
              </w:rPr>
              <w:t>15</w:t>
            </w:r>
          </w:p>
        </w:tc>
      </w:tr>
      <w:tr w:rsidR="004B2A4B" w:rsidRPr="00991A8E" w14:paraId="37F0FBE3" w14:textId="77777777" w:rsidTr="00A456AE">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8658" w:type="dxa"/>
            <w:gridSpan w:val="2"/>
            <w:shd w:val="clear" w:color="auto" w:fill="auto"/>
            <w:noWrap/>
            <w:hideMark/>
          </w:tcPr>
          <w:p w14:paraId="4AE46B30" w14:textId="77777777" w:rsidR="004B2A4B" w:rsidRPr="00991A8E" w:rsidRDefault="004B2A4B" w:rsidP="00A456AE">
            <w:pPr>
              <w:rPr>
                <w:rFonts w:ascii="Arial" w:hAnsi="Arial" w:cs="Arial"/>
                <w:color w:val="000000"/>
                <w:sz w:val="19"/>
                <w:szCs w:val="19"/>
                <w:lang w:val="en-GB"/>
              </w:rPr>
            </w:pPr>
            <w:r w:rsidRPr="00991A8E">
              <w:rPr>
                <w:rFonts w:ascii="Arial" w:hAnsi="Arial" w:cs="Arial"/>
                <w:color w:val="000000"/>
                <w:sz w:val="19"/>
                <w:szCs w:val="19"/>
                <w:lang w:val="en-GB"/>
              </w:rPr>
              <w:t xml:space="preserve">Note: Some fees might be waived if the customer had more than a certain minimum amount (usually US$1,500) in the account every day over the month. </w:t>
            </w:r>
          </w:p>
        </w:tc>
      </w:tr>
    </w:tbl>
    <w:p w14:paraId="32FBF913" w14:textId="77777777" w:rsidR="004B2A4B" w:rsidRPr="00CB3BFB" w:rsidRDefault="004B2A4B" w:rsidP="004B2A4B">
      <w:pPr>
        <w:pStyle w:val="FootnoteText1"/>
        <w:rPr>
          <w:lang w:val="en-GB"/>
        </w:rPr>
      </w:pPr>
    </w:p>
    <w:p w14:paraId="078F1DEE" w14:textId="77777777" w:rsidR="004B2A4B" w:rsidRPr="00CB3BFB" w:rsidRDefault="004B2A4B" w:rsidP="004B2A4B">
      <w:pPr>
        <w:pStyle w:val="FootnoteText1"/>
        <w:rPr>
          <w:lang w:val="en-GB"/>
        </w:rPr>
      </w:pPr>
      <w:r w:rsidRPr="00CB3BFB">
        <w:rPr>
          <w:lang w:val="en-GB"/>
        </w:rPr>
        <w:t xml:space="preserve">Source: Created by the case author using data from </w:t>
      </w:r>
      <w:proofErr w:type="spellStart"/>
      <w:r w:rsidRPr="00CB3BFB">
        <w:rPr>
          <w:lang w:val="en-GB"/>
        </w:rPr>
        <w:t>ChimpChange</w:t>
      </w:r>
      <w:proofErr w:type="spellEnd"/>
      <w:r w:rsidRPr="00CB3BFB">
        <w:rPr>
          <w:lang w:val="en-GB"/>
        </w:rPr>
        <w:t xml:space="preserve"> Limited, </w:t>
      </w:r>
      <w:r w:rsidRPr="00CB3BFB">
        <w:rPr>
          <w:i/>
          <w:lang w:val="en-GB"/>
        </w:rPr>
        <w:t xml:space="preserve">Prospectus: </w:t>
      </w:r>
      <w:proofErr w:type="spellStart"/>
      <w:r w:rsidRPr="00CB3BFB">
        <w:rPr>
          <w:i/>
          <w:lang w:val="en-GB"/>
        </w:rPr>
        <w:t>ChimpChange</w:t>
      </w:r>
      <w:proofErr w:type="spellEnd"/>
      <w:r w:rsidRPr="00CB3BFB">
        <w:rPr>
          <w:i/>
          <w:lang w:val="en-GB"/>
        </w:rPr>
        <w:t xml:space="preserve"> Limited—ABN 34 150 762 351</w:t>
      </w:r>
      <w:r w:rsidRPr="00CB3BFB">
        <w:rPr>
          <w:lang w:val="en-GB"/>
        </w:rPr>
        <w:t>, 2017, 24, accessed August 31, 2018, www.chimpchange.me/wp-content/uploads/2017/03/prospectus.pdf.</w:t>
      </w:r>
    </w:p>
    <w:p w14:paraId="187BE6A4" w14:textId="77777777" w:rsidR="004B2A4B" w:rsidRPr="00CB3BFB" w:rsidRDefault="004B2A4B" w:rsidP="004B2A4B">
      <w:pPr>
        <w:pStyle w:val="BodyTextMain"/>
        <w:rPr>
          <w:lang w:val="en-GB"/>
        </w:rPr>
      </w:pPr>
    </w:p>
    <w:p w14:paraId="644BD760" w14:textId="77777777" w:rsidR="004B2A4B" w:rsidRPr="00CB3BFB" w:rsidRDefault="004B2A4B" w:rsidP="004B2A4B">
      <w:pPr>
        <w:pStyle w:val="BodyTextMain"/>
        <w:rPr>
          <w:lang w:val="en-GB"/>
        </w:rPr>
      </w:pPr>
    </w:p>
    <w:p w14:paraId="4C9267C0" w14:textId="77777777" w:rsidR="004B2A4B" w:rsidRPr="00CB3BFB" w:rsidRDefault="004B2A4B" w:rsidP="004B2A4B">
      <w:pPr>
        <w:pStyle w:val="Casehead1"/>
        <w:keepNext/>
        <w:keepLines/>
        <w:jc w:val="center"/>
        <w:rPr>
          <w:lang w:val="en-GB"/>
        </w:rPr>
      </w:pPr>
      <w:r w:rsidRPr="00CB3BFB">
        <w:rPr>
          <w:lang w:val="en-GB"/>
        </w:rPr>
        <w:t>Exhibit 3: potential future OF the face of banking in the future</w:t>
      </w:r>
    </w:p>
    <w:p w14:paraId="27A2FD7A" w14:textId="77777777" w:rsidR="004B2A4B" w:rsidRPr="00CB3BFB" w:rsidRDefault="004B2A4B" w:rsidP="004B2A4B">
      <w:pPr>
        <w:pStyle w:val="BodyTextMain"/>
        <w:keepNext/>
        <w:keepLines/>
        <w:rPr>
          <w:lang w:val="en-GB"/>
        </w:rPr>
      </w:pPr>
    </w:p>
    <w:p w14:paraId="32E30B29" w14:textId="77777777" w:rsidR="004B2A4B" w:rsidRPr="00CB3BFB" w:rsidRDefault="004B2A4B" w:rsidP="004B2A4B">
      <w:pPr>
        <w:pStyle w:val="BodyTextMain"/>
        <w:keepNext/>
        <w:keepLines/>
        <w:rPr>
          <w:lang w:val="en-GB"/>
        </w:rPr>
      </w:pPr>
      <w:r w:rsidRPr="00CB3BFB">
        <w:rPr>
          <w:noProof/>
          <w:lang w:val="en-GB" w:eastAsia="en-GB"/>
        </w:rPr>
        <w:drawing>
          <wp:anchor distT="0" distB="0" distL="114300" distR="114300" simplePos="0" relativeHeight="251659264" behindDoc="1" locked="0" layoutInCell="1" allowOverlap="1" wp14:anchorId="5BEF39A1" wp14:editId="0382C3B6">
            <wp:simplePos x="0" y="0"/>
            <wp:positionH relativeFrom="column">
              <wp:posOffset>165735</wp:posOffset>
            </wp:positionH>
            <wp:positionV relativeFrom="paragraph">
              <wp:posOffset>95885</wp:posOffset>
            </wp:positionV>
            <wp:extent cx="5389245" cy="4024630"/>
            <wp:effectExtent l="0" t="114300" r="0" b="128270"/>
            <wp:wrapTight wrapText="bothSides">
              <wp:wrapPolygon edited="0">
                <wp:start x="10231" y="-613"/>
                <wp:lineTo x="6108" y="-613"/>
                <wp:lineTo x="6108" y="1022"/>
                <wp:lineTo x="5726" y="1022"/>
                <wp:lineTo x="5421" y="1738"/>
                <wp:lineTo x="5421" y="2658"/>
                <wp:lineTo x="3741" y="3578"/>
                <wp:lineTo x="3741" y="4294"/>
                <wp:lineTo x="3359" y="4294"/>
                <wp:lineTo x="3054" y="5010"/>
                <wp:lineTo x="3054" y="6032"/>
                <wp:lineTo x="3436" y="7566"/>
                <wp:lineTo x="2596" y="8690"/>
                <wp:lineTo x="2596" y="9202"/>
                <wp:lineTo x="2291" y="9202"/>
                <wp:lineTo x="2138" y="10940"/>
                <wp:lineTo x="2672" y="12473"/>
                <wp:lineTo x="3283" y="14109"/>
                <wp:lineTo x="3054" y="14825"/>
                <wp:lineTo x="3054" y="15847"/>
                <wp:lineTo x="3741" y="17381"/>
                <wp:lineTo x="5574" y="19119"/>
                <wp:lineTo x="6185" y="20653"/>
                <wp:lineTo x="6261" y="20653"/>
                <wp:lineTo x="10155" y="22186"/>
                <wp:lineTo x="10231" y="22186"/>
                <wp:lineTo x="11376" y="22186"/>
                <wp:lineTo x="11453" y="22186"/>
                <wp:lineTo x="15347" y="20653"/>
                <wp:lineTo x="15423" y="20653"/>
                <wp:lineTo x="16034" y="19119"/>
                <wp:lineTo x="17866" y="17381"/>
                <wp:lineTo x="18554" y="15847"/>
                <wp:lineTo x="18630" y="15029"/>
                <wp:lineTo x="18324" y="14109"/>
                <wp:lineTo x="19012" y="12473"/>
                <wp:lineTo x="19470" y="10940"/>
                <wp:lineTo x="19317" y="9202"/>
                <wp:lineTo x="18324" y="7566"/>
                <wp:lineTo x="18706" y="6032"/>
                <wp:lineTo x="18783" y="5112"/>
                <wp:lineTo x="18401" y="4294"/>
                <wp:lineTo x="18095" y="4294"/>
                <wp:lineTo x="18095" y="3681"/>
                <wp:lineTo x="16034" y="2658"/>
                <wp:lineTo x="16110" y="1840"/>
                <wp:lineTo x="15576" y="1022"/>
                <wp:lineTo x="15576" y="-613"/>
                <wp:lineTo x="11376" y="-613"/>
                <wp:lineTo x="10231" y="-613"/>
              </wp:wrapPolygon>
            </wp:wrapTight>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page">
              <wp14:pctWidth>0</wp14:pctWidth>
            </wp14:sizeRelH>
            <wp14:sizeRelV relativeFrom="page">
              <wp14:pctHeight>0</wp14:pctHeight>
            </wp14:sizeRelV>
          </wp:anchor>
        </w:drawing>
      </w:r>
    </w:p>
    <w:p w14:paraId="4B2FF591" w14:textId="77777777" w:rsidR="004B2A4B" w:rsidRPr="00CB3BFB" w:rsidRDefault="004B2A4B" w:rsidP="004B2A4B">
      <w:pPr>
        <w:pStyle w:val="BodyTextMain"/>
        <w:keepNext/>
        <w:keepLines/>
        <w:rPr>
          <w:lang w:val="en-GB"/>
        </w:rPr>
      </w:pPr>
    </w:p>
    <w:p w14:paraId="09EC9512" w14:textId="77777777" w:rsidR="004B2A4B" w:rsidRPr="00CB3BFB" w:rsidRDefault="004B2A4B" w:rsidP="004B2A4B">
      <w:pPr>
        <w:pStyle w:val="BodyTextMain"/>
        <w:keepNext/>
        <w:keepLines/>
        <w:rPr>
          <w:lang w:val="en-GB"/>
        </w:rPr>
      </w:pPr>
    </w:p>
    <w:p w14:paraId="541F7B66" w14:textId="77777777" w:rsidR="004B2A4B" w:rsidRPr="00CB3BFB" w:rsidRDefault="004B2A4B" w:rsidP="004B2A4B">
      <w:pPr>
        <w:pStyle w:val="BodyTextMain"/>
        <w:keepNext/>
        <w:keepLines/>
        <w:rPr>
          <w:lang w:val="en-GB"/>
        </w:rPr>
      </w:pPr>
    </w:p>
    <w:p w14:paraId="56CDEA2B" w14:textId="77777777" w:rsidR="004B2A4B" w:rsidRPr="00CB3BFB" w:rsidRDefault="004B2A4B" w:rsidP="004B2A4B">
      <w:pPr>
        <w:pStyle w:val="BodyTextMain"/>
        <w:keepNext/>
        <w:keepLines/>
        <w:rPr>
          <w:lang w:val="en-GB"/>
        </w:rPr>
      </w:pPr>
    </w:p>
    <w:p w14:paraId="349D65F6" w14:textId="77777777" w:rsidR="004B2A4B" w:rsidRPr="00CB3BFB" w:rsidRDefault="004B2A4B" w:rsidP="004B2A4B">
      <w:pPr>
        <w:pStyle w:val="BodyTextMain"/>
        <w:keepNext/>
        <w:keepLines/>
        <w:rPr>
          <w:lang w:val="en-GB"/>
        </w:rPr>
      </w:pPr>
    </w:p>
    <w:p w14:paraId="155D6F41" w14:textId="77777777" w:rsidR="004B2A4B" w:rsidRPr="00CB3BFB" w:rsidRDefault="004B2A4B" w:rsidP="004B2A4B">
      <w:pPr>
        <w:pStyle w:val="BodyTextMain"/>
        <w:keepNext/>
        <w:keepLines/>
        <w:rPr>
          <w:lang w:val="en-GB"/>
        </w:rPr>
      </w:pPr>
    </w:p>
    <w:p w14:paraId="3C81BEC5" w14:textId="77777777" w:rsidR="004B2A4B" w:rsidRPr="00CB3BFB" w:rsidRDefault="004B2A4B" w:rsidP="004B2A4B">
      <w:pPr>
        <w:pStyle w:val="BodyTextMain"/>
        <w:keepNext/>
        <w:keepLines/>
        <w:rPr>
          <w:lang w:val="en-GB"/>
        </w:rPr>
      </w:pPr>
    </w:p>
    <w:p w14:paraId="58806135" w14:textId="77777777" w:rsidR="004B2A4B" w:rsidRPr="00CB3BFB" w:rsidRDefault="004B2A4B" w:rsidP="004B2A4B">
      <w:pPr>
        <w:pStyle w:val="BodyTextMain"/>
        <w:keepNext/>
        <w:keepLines/>
        <w:rPr>
          <w:lang w:val="en-GB"/>
        </w:rPr>
      </w:pPr>
    </w:p>
    <w:p w14:paraId="501E1FB2" w14:textId="77777777" w:rsidR="004B2A4B" w:rsidRPr="00CB3BFB" w:rsidRDefault="004B2A4B" w:rsidP="004B2A4B">
      <w:pPr>
        <w:pStyle w:val="BodyTextMain"/>
        <w:keepNext/>
        <w:keepLines/>
        <w:rPr>
          <w:lang w:val="en-GB"/>
        </w:rPr>
      </w:pPr>
    </w:p>
    <w:p w14:paraId="2EB2C9A8" w14:textId="77777777" w:rsidR="004B2A4B" w:rsidRPr="00CB3BFB" w:rsidRDefault="004B2A4B" w:rsidP="004B2A4B">
      <w:pPr>
        <w:pStyle w:val="BodyTextMain"/>
        <w:keepNext/>
        <w:keepLines/>
        <w:rPr>
          <w:lang w:val="en-GB"/>
        </w:rPr>
      </w:pPr>
    </w:p>
    <w:p w14:paraId="1BEEEB47" w14:textId="77777777" w:rsidR="004B2A4B" w:rsidRPr="00CB3BFB" w:rsidRDefault="004B2A4B" w:rsidP="004B2A4B">
      <w:pPr>
        <w:pStyle w:val="BodyTextMain"/>
        <w:keepNext/>
        <w:keepLines/>
        <w:rPr>
          <w:lang w:val="en-GB"/>
        </w:rPr>
      </w:pPr>
    </w:p>
    <w:p w14:paraId="37C4D3F1" w14:textId="77777777" w:rsidR="004B2A4B" w:rsidRPr="00CB3BFB" w:rsidRDefault="004B2A4B" w:rsidP="004B2A4B">
      <w:pPr>
        <w:pStyle w:val="BodyTextMain"/>
        <w:keepNext/>
        <w:keepLines/>
        <w:rPr>
          <w:lang w:val="en-GB"/>
        </w:rPr>
      </w:pPr>
    </w:p>
    <w:p w14:paraId="15039387" w14:textId="77777777" w:rsidR="004B2A4B" w:rsidRPr="00CB3BFB" w:rsidRDefault="004B2A4B" w:rsidP="004B2A4B">
      <w:pPr>
        <w:pStyle w:val="BodyTextMain"/>
        <w:keepNext/>
        <w:keepLines/>
        <w:rPr>
          <w:lang w:val="en-GB"/>
        </w:rPr>
      </w:pPr>
    </w:p>
    <w:p w14:paraId="453F66C1" w14:textId="77777777" w:rsidR="004B2A4B" w:rsidRPr="00CB3BFB" w:rsidRDefault="004B2A4B" w:rsidP="004B2A4B">
      <w:pPr>
        <w:pStyle w:val="BodyTextMain"/>
        <w:keepNext/>
        <w:keepLines/>
        <w:rPr>
          <w:lang w:val="en-GB"/>
        </w:rPr>
      </w:pPr>
    </w:p>
    <w:p w14:paraId="2C55C33F" w14:textId="77777777" w:rsidR="004B2A4B" w:rsidRPr="00CB3BFB" w:rsidRDefault="004B2A4B" w:rsidP="004B2A4B">
      <w:pPr>
        <w:pStyle w:val="BodyTextMain"/>
        <w:keepNext/>
        <w:keepLines/>
        <w:rPr>
          <w:lang w:val="en-GB"/>
        </w:rPr>
      </w:pPr>
    </w:p>
    <w:p w14:paraId="71300626" w14:textId="77777777" w:rsidR="004B2A4B" w:rsidRPr="00CB3BFB" w:rsidRDefault="004B2A4B" w:rsidP="004B2A4B">
      <w:pPr>
        <w:pStyle w:val="BodyTextMain"/>
        <w:keepNext/>
        <w:keepLines/>
        <w:rPr>
          <w:lang w:val="en-GB"/>
        </w:rPr>
      </w:pPr>
    </w:p>
    <w:p w14:paraId="5A68DDD5" w14:textId="77777777" w:rsidR="004B2A4B" w:rsidRPr="00CB3BFB" w:rsidRDefault="004B2A4B" w:rsidP="004B2A4B">
      <w:pPr>
        <w:pStyle w:val="BodyTextMain"/>
        <w:keepNext/>
        <w:keepLines/>
        <w:rPr>
          <w:lang w:val="en-GB"/>
        </w:rPr>
      </w:pPr>
    </w:p>
    <w:p w14:paraId="04132227" w14:textId="77777777" w:rsidR="004B2A4B" w:rsidRPr="00CB3BFB" w:rsidRDefault="004B2A4B" w:rsidP="004B2A4B">
      <w:pPr>
        <w:pStyle w:val="BodyTextMain"/>
        <w:keepNext/>
        <w:keepLines/>
        <w:rPr>
          <w:lang w:val="en-GB"/>
        </w:rPr>
      </w:pPr>
    </w:p>
    <w:p w14:paraId="6D11E99D" w14:textId="77777777" w:rsidR="004B2A4B" w:rsidRPr="00CB3BFB" w:rsidRDefault="004B2A4B" w:rsidP="004B2A4B">
      <w:pPr>
        <w:pStyle w:val="BodyTextMain"/>
        <w:keepNext/>
        <w:keepLines/>
        <w:rPr>
          <w:lang w:val="en-GB"/>
        </w:rPr>
      </w:pPr>
    </w:p>
    <w:p w14:paraId="633C15C2" w14:textId="77777777" w:rsidR="004B2A4B" w:rsidRPr="00CB3BFB" w:rsidRDefault="004B2A4B" w:rsidP="004B2A4B">
      <w:pPr>
        <w:pStyle w:val="BodyTextMain"/>
        <w:keepNext/>
        <w:keepLines/>
        <w:rPr>
          <w:lang w:val="en-GB"/>
        </w:rPr>
      </w:pPr>
    </w:p>
    <w:p w14:paraId="131B98B5" w14:textId="77777777" w:rsidR="004B2A4B" w:rsidRPr="00CB3BFB" w:rsidRDefault="004B2A4B" w:rsidP="004B2A4B">
      <w:pPr>
        <w:pStyle w:val="BodyTextMain"/>
        <w:keepNext/>
        <w:keepLines/>
        <w:rPr>
          <w:lang w:val="en-GB"/>
        </w:rPr>
      </w:pPr>
    </w:p>
    <w:p w14:paraId="24BE1A71" w14:textId="77777777" w:rsidR="004B2A4B" w:rsidRPr="00CB3BFB" w:rsidRDefault="004B2A4B" w:rsidP="004B2A4B">
      <w:pPr>
        <w:pStyle w:val="BodyTextMain"/>
        <w:keepNext/>
        <w:keepLines/>
        <w:rPr>
          <w:lang w:val="en-GB"/>
        </w:rPr>
      </w:pPr>
    </w:p>
    <w:p w14:paraId="2C092DDB" w14:textId="77777777" w:rsidR="004B2A4B" w:rsidRPr="00CB3BFB" w:rsidRDefault="004B2A4B" w:rsidP="004B2A4B">
      <w:pPr>
        <w:pStyle w:val="BodyTextMain"/>
        <w:keepNext/>
        <w:keepLines/>
        <w:rPr>
          <w:lang w:val="en-GB"/>
        </w:rPr>
      </w:pPr>
    </w:p>
    <w:p w14:paraId="7730E500" w14:textId="77777777" w:rsidR="004B2A4B" w:rsidRPr="00CB3BFB" w:rsidRDefault="004B2A4B" w:rsidP="004B2A4B">
      <w:pPr>
        <w:pStyle w:val="BodyTextMain"/>
        <w:keepNext/>
        <w:keepLines/>
        <w:rPr>
          <w:lang w:val="en-GB"/>
        </w:rPr>
      </w:pPr>
    </w:p>
    <w:p w14:paraId="29CE24EA" w14:textId="77777777" w:rsidR="004B2A4B" w:rsidRPr="00CB3BFB" w:rsidRDefault="004B2A4B" w:rsidP="004B2A4B">
      <w:pPr>
        <w:pStyle w:val="BodyTextMain"/>
        <w:keepNext/>
        <w:keepLines/>
        <w:rPr>
          <w:lang w:val="en-GB"/>
        </w:rPr>
      </w:pPr>
    </w:p>
    <w:p w14:paraId="646AFED8" w14:textId="77777777" w:rsidR="004B2A4B" w:rsidRPr="00CB3BFB" w:rsidRDefault="004B2A4B" w:rsidP="004B2A4B">
      <w:pPr>
        <w:pStyle w:val="FootnoteText1"/>
        <w:keepNext/>
        <w:keepLines/>
        <w:rPr>
          <w:lang w:val="en-GB"/>
        </w:rPr>
      </w:pPr>
    </w:p>
    <w:p w14:paraId="77BF9C80" w14:textId="77777777" w:rsidR="004B2A4B" w:rsidRPr="00CB3BFB" w:rsidRDefault="004B2A4B" w:rsidP="004B2A4B">
      <w:pPr>
        <w:pStyle w:val="FootnoteText1"/>
        <w:keepNext/>
        <w:keepLines/>
        <w:rPr>
          <w:lang w:val="en-GB"/>
        </w:rPr>
      </w:pPr>
      <w:r w:rsidRPr="00CB3BFB">
        <w:rPr>
          <w:lang w:val="en-GB"/>
        </w:rPr>
        <w:t xml:space="preserve">Source: Created by the case author using data from  “Figure 1: A Thought Exercise: Reimagining the Future of Banking,” in Deloitte Center for Financial Services, </w:t>
      </w:r>
      <w:r w:rsidRPr="00CB3BFB">
        <w:rPr>
          <w:i/>
          <w:lang w:val="en-GB"/>
        </w:rPr>
        <w:t>Banking Reimagined: How Disruptive Forces Will Radically Transform the Industry in the Decade Ahead</w:t>
      </w:r>
      <w:r w:rsidRPr="00CB3BFB">
        <w:rPr>
          <w:lang w:val="en-GB"/>
        </w:rPr>
        <w:t>, 5, 2016, accessed August 8, 2018, www2.deloitte.com/content/dam/Deloitte/us/Documents/financial-services/us-fsi-banking-industry-outlook-2016.pdf.</w:t>
      </w:r>
    </w:p>
    <w:p w14:paraId="0CE3DA42" w14:textId="77777777" w:rsidR="004B2A4B" w:rsidRPr="00CB3BFB" w:rsidRDefault="004B2A4B" w:rsidP="004B2A4B">
      <w:pPr>
        <w:pStyle w:val="FootnoteText1"/>
        <w:keepNext/>
        <w:keepLines/>
        <w:rPr>
          <w:b/>
          <w:caps/>
          <w:lang w:val="en-GB"/>
        </w:rPr>
      </w:pPr>
      <w:r w:rsidRPr="00CB3BFB">
        <w:rPr>
          <w:lang w:val="en-GB"/>
        </w:rPr>
        <w:br w:type="page"/>
      </w:r>
    </w:p>
    <w:p w14:paraId="1C38BDEA" w14:textId="77777777" w:rsidR="004B2A4B" w:rsidRPr="00CB3BFB" w:rsidRDefault="004B2A4B" w:rsidP="004B2A4B">
      <w:pPr>
        <w:pStyle w:val="Casehead1"/>
        <w:jc w:val="center"/>
        <w:rPr>
          <w:lang w:val="en-GB"/>
        </w:rPr>
      </w:pPr>
      <w:r w:rsidRPr="00CB3BFB">
        <w:rPr>
          <w:lang w:val="en-GB"/>
        </w:rPr>
        <w:lastRenderedPageBreak/>
        <w:t xml:space="preserve">Exhibit </w:t>
      </w:r>
      <w:r>
        <w:rPr>
          <w:lang w:val="en-GB"/>
        </w:rPr>
        <w:t>4</w:t>
      </w:r>
      <w:r w:rsidRPr="00CB3BFB">
        <w:rPr>
          <w:lang w:val="en-GB"/>
        </w:rPr>
        <w:t>: ChimpChange LImited—Consolidated Statements of Profit or Loss, 2014–2015 (in US$’000)</w:t>
      </w:r>
    </w:p>
    <w:p w14:paraId="47DA8CBA" w14:textId="77777777" w:rsidR="004B2A4B" w:rsidRPr="00CB3BFB" w:rsidRDefault="004B2A4B" w:rsidP="004B2A4B">
      <w:pPr>
        <w:pStyle w:val="BodyTextMain"/>
        <w:ind w:right="270"/>
        <w:rPr>
          <w:lang w:val="en-GB"/>
        </w:rPr>
      </w:pPr>
    </w:p>
    <w:tbl>
      <w:tblPr>
        <w:tblStyle w:val="GridTable4-Accent11"/>
        <w:tblpPr w:leftFromText="180" w:rightFromText="180" w:vertAnchor="text" w:horzAnchor="margin" w:tblpXSpec="center" w:tblpY="7"/>
        <w:tblW w:w="445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762"/>
        <w:gridCol w:w="1872"/>
        <w:gridCol w:w="1872"/>
        <w:gridCol w:w="2017"/>
      </w:tblGrid>
      <w:tr w:rsidR="004B2A4B" w:rsidRPr="00CB3BFB" w14:paraId="1FD55CCA" w14:textId="77777777" w:rsidTr="00991A8E">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620" w:type="pct"/>
            <w:tcBorders>
              <w:top w:val="single" w:sz="4" w:space="0" w:color="auto"/>
              <w:bottom w:val="single" w:sz="4" w:space="0" w:color="000000" w:themeColor="text1"/>
              <w:right w:val="single" w:sz="4" w:space="0" w:color="auto"/>
            </w:tcBorders>
            <w:shd w:val="clear" w:color="auto" w:fill="auto"/>
            <w:noWrap/>
            <w:hideMark/>
          </w:tcPr>
          <w:p w14:paraId="2655A9CB" w14:textId="77777777" w:rsidR="004B2A4B" w:rsidRPr="00CB3BFB" w:rsidRDefault="004B2A4B" w:rsidP="00A456AE">
            <w:pPr>
              <w:rPr>
                <w:rFonts w:ascii="Arial" w:hAnsi="Arial" w:cs="Arial"/>
                <w:color w:val="auto"/>
                <w:sz w:val="19"/>
                <w:szCs w:val="19"/>
                <w:lang w:val="en-GB"/>
              </w:rPr>
            </w:pPr>
            <w:r w:rsidRPr="00CB3BFB">
              <w:rPr>
                <w:rFonts w:ascii="Arial" w:hAnsi="Arial" w:cs="Arial"/>
                <w:color w:val="auto"/>
                <w:sz w:val="19"/>
                <w:szCs w:val="19"/>
                <w:lang w:val="en-GB"/>
              </w:rPr>
              <w:t>Period Ending</w:t>
            </w:r>
          </w:p>
        </w:tc>
        <w:tc>
          <w:tcPr>
            <w:tcW w:w="1098" w:type="pct"/>
            <w:tcBorders>
              <w:top w:val="single" w:sz="4" w:space="0" w:color="auto"/>
              <w:left w:val="single" w:sz="4" w:space="0" w:color="auto"/>
              <w:bottom w:val="single" w:sz="4" w:space="0" w:color="000000" w:themeColor="text1"/>
              <w:right w:val="single" w:sz="4" w:space="0" w:color="auto"/>
            </w:tcBorders>
            <w:shd w:val="clear" w:color="auto" w:fill="auto"/>
            <w:noWrap/>
            <w:hideMark/>
          </w:tcPr>
          <w:p w14:paraId="3F5F8BA4" w14:textId="77777777" w:rsidR="004B2A4B" w:rsidRPr="00CB3BFB" w:rsidRDefault="004B2A4B" w:rsidP="00A456AE">
            <w:pPr>
              <w:ind w:left="-150"/>
              <w:jc w:val="right"/>
              <w:cnfStyle w:val="100000000000" w:firstRow="1" w:lastRow="0" w:firstColumn="0" w:lastColumn="0" w:oddVBand="0" w:evenVBand="0" w:oddHBand="0" w:evenHBand="0" w:firstRowFirstColumn="0" w:firstRowLastColumn="0" w:lastRowFirstColumn="0" w:lastRowLastColumn="0"/>
              <w:rPr>
                <w:rFonts w:ascii="Arial" w:hAnsi="Arial" w:cs="Arial"/>
                <w:color w:val="auto"/>
                <w:sz w:val="19"/>
                <w:szCs w:val="19"/>
                <w:lang w:val="en-GB"/>
              </w:rPr>
            </w:pPr>
            <w:r w:rsidRPr="00CB3BFB">
              <w:rPr>
                <w:rFonts w:ascii="Arial" w:hAnsi="Arial" w:cs="Arial"/>
                <w:color w:val="auto"/>
                <w:sz w:val="19"/>
                <w:szCs w:val="19"/>
                <w:lang w:val="en-GB"/>
              </w:rPr>
              <w:t>June 30, 2014</w:t>
            </w:r>
          </w:p>
        </w:tc>
        <w:tc>
          <w:tcPr>
            <w:tcW w:w="1098" w:type="pct"/>
            <w:tcBorders>
              <w:top w:val="single" w:sz="4" w:space="0" w:color="auto"/>
              <w:left w:val="single" w:sz="4" w:space="0" w:color="auto"/>
              <w:bottom w:val="single" w:sz="4" w:space="0" w:color="000000" w:themeColor="text1"/>
              <w:right w:val="single" w:sz="4" w:space="0" w:color="auto"/>
            </w:tcBorders>
            <w:shd w:val="clear" w:color="auto" w:fill="auto"/>
            <w:noWrap/>
            <w:hideMark/>
          </w:tcPr>
          <w:p w14:paraId="4F7CE393" w14:textId="77777777" w:rsidR="004B2A4B" w:rsidRPr="00CB3BFB" w:rsidRDefault="004B2A4B" w:rsidP="00A456AE">
            <w:pPr>
              <w:jc w:val="right"/>
              <w:cnfStyle w:val="100000000000" w:firstRow="1" w:lastRow="0" w:firstColumn="0" w:lastColumn="0" w:oddVBand="0" w:evenVBand="0" w:oddHBand="0" w:evenHBand="0" w:firstRowFirstColumn="0" w:firstRowLastColumn="0" w:lastRowFirstColumn="0" w:lastRowLastColumn="0"/>
              <w:rPr>
                <w:rFonts w:ascii="Arial" w:hAnsi="Arial" w:cs="Arial"/>
                <w:color w:val="auto"/>
                <w:sz w:val="19"/>
                <w:szCs w:val="19"/>
                <w:lang w:val="en-GB"/>
              </w:rPr>
            </w:pPr>
            <w:r w:rsidRPr="00CB3BFB">
              <w:rPr>
                <w:rFonts w:ascii="Arial" w:hAnsi="Arial" w:cs="Arial"/>
                <w:color w:val="auto"/>
                <w:sz w:val="19"/>
                <w:szCs w:val="19"/>
                <w:lang w:val="en-GB"/>
              </w:rPr>
              <w:t>June 30, 2015</w:t>
            </w:r>
          </w:p>
        </w:tc>
        <w:tc>
          <w:tcPr>
            <w:tcW w:w="1183" w:type="pct"/>
            <w:tcBorders>
              <w:top w:val="single" w:sz="4" w:space="0" w:color="auto"/>
              <w:left w:val="single" w:sz="4" w:space="0" w:color="auto"/>
              <w:bottom w:val="single" w:sz="4" w:space="0" w:color="000000" w:themeColor="text1"/>
              <w:right w:val="single" w:sz="4" w:space="0" w:color="auto"/>
            </w:tcBorders>
            <w:shd w:val="clear" w:color="auto" w:fill="auto"/>
            <w:noWrap/>
            <w:hideMark/>
          </w:tcPr>
          <w:p w14:paraId="053365CF" w14:textId="77777777" w:rsidR="004B2A4B" w:rsidRPr="00CB3BFB" w:rsidRDefault="004B2A4B" w:rsidP="00A456AE">
            <w:pPr>
              <w:jc w:val="right"/>
              <w:cnfStyle w:val="100000000000" w:firstRow="1" w:lastRow="0" w:firstColumn="0" w:lastColumn="0" w:oddVBand="0" w:evenVBand="0" w:oddHBand="0" w:evenHBand="0" w:firstRowFirstColumn="0" w:firstRowLastColumn="0" w:lastRowFirstColumn="0" w:lastRowLastColumn="0"/>
              <w:rPr>
                <w:rFonts w:ascii="Arial" w:hAnsi="Arial" w:cs="Arial"/>
                <w:color w:val="auto"/>
                <w:sz w:val="19"/>
                <w:szCs w:val="19"/>
                <w:lang w:val="en-GB"/>
              </w:rPr>
            </w:pPr>
            <w:r w:rsidRPr="00CB3BFB">
              <w:rPr>
                <w:rFonts w:ascii="Arial" w:hAnsi="Arial" w:cs="Arial"/>
                <w:color w:val="auto"/>
                <w:sz w:val="19"/>
                <w:szCs w:val="19"/>
                <w:lang w:val="en-GB"/>
              </w:rPr>
              <w:t>December 31, 2015</w:t>
            </w:r>
          </w:p>
        </w:tc>
      </w:tr>
      <w:tr w:rsidR="004B2A4B" w:rsidRPr="00CB3BFB" w14:paraId="2B6AE242" w14:textId="77777777" w:rsidTr="00991A8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620" w:type="pct"/>
            <w:tcBorders>
              <w:top w:val="single" w:sz="4" w:space="0" w:color="000000" w:themeColor="text1"/>
            </w:tcBorders>
            <w:shd w:val="clear" w:color="auto" w:fill="auto"/>
            <w:noWrap/>
          </w:tcPr>
          <w:p w14:paraId="575579C3" w14:textId="77777777" w:rsidR="004B2A4B" w:rsidRPr="00CB3BFB" w:rsidRDefault="004B2A4B" w:rsidP="00A456AE">
            <w:pPr>
              <w:rPr>
                <w:rFonts w:ascii="Arial" w:hAnsi="Arial" w:cs="Arial"/>
                <w:sz w:val="19"/>
                <w:szCs w:val="19"/>
                <w:lang w:val="en-GB"/>
              </w:rPr>
            </w:pPr>
            <w:r w:rsidRPr="00CB3BFB">
              <w:rPr>
                <w:rFonts w:ascii="Arial" w:hAnsi="Arial" w:cs="Arial"/>
                <w:sz w:val="19"/>
                <w:szCs w:val="19"/>
                <w:lang w:val="en-GB"/>
              </w:rPr>
              <w:t>Profit and Loss</w:t>
            </w:r>
          </w:p>
        </w:tc>
        <w:tc>
          <w:tcPr>
            <w:tcW w:w="1098" w:type="pct"/>
            <w:tcBorders>
              <w:top w:val="single" w:sz="4" w:space="0" w:color="000000" w:themeColor="text1"/>
            </w:tcBorders>
            <w:shd w:val="clear" w:color="auto" w:fill="auto"/>
            <w:noWrap/>
          </w:tcPr>
          <w:p w14:paraId="052D1984" w14:textId="77777777" w:rsidR="004B2A4B" w:rsidRPr="00CB3BFB" w:rsidRDefault="004B2A4B" w:rsidP="00A456AE">
            <w:pPr>
              <w:ind w:left="-150"/>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p>
        </w:tc>
        <w:tc>
          <w:tcPr>
            <w:tcW w:w="1098" w:type="pct"/>
            <w:tcBorders>
              <w:top w:val="single" w:sz="4" w:space="0" w:color="000000" w:themeColor="text1"/>
            </w:tcBorders>
            <w:shd w:val="clear" w:color="auto" w:fill="auto"/>
            <w:noWrap/>
          </w:tcPr>
          <w:p w14:paraId="2E38911B" w14:textId="77777777" w:rsidR="004B2A4B" w:rsidRPr="00CB3BFB" w:rsidRDefault="004B2A4B" w:rsidP="00A456A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p>
        </w:tc>
        <w:tc>
          <w:tcPr>
            <w:tcW w:w="1183" w:type="pct"/>
            <w:tcBorders>
              <w:top w:val="single" w:sz="4" w:space="0" w:color="000000" w:themeColor="text1"/>
            </w:tcBorders>
            <w:shd w:val="clear" w:color="auto" w:fill="auto"/>
            <w:noWrap/>
          </w:tcPr>
          <w:p w14:paraId="4B237C78" w14:textId="77777777" w:rsidR="004B2A4B" w:rsidRPr="00CB3BFB" w:rsidRDefault="004B2A4B" w:rsidP="00A456A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p>
        </w:tc>
      </w:tr>
      <w:tr w:rsidR="004B2A4B" w:rsidRPr="00CB3BFB" w14:paraId="11B5EC9C" w14:textId="77777777" w:rsidTr="00A456AE">
        <w:trPr>
          <w:trHeight w:val="144"/>
        </w:trPr>
        <w:tc>
          <w:tcPr>
            <w:cnfStyle w:val="001000000000" w:firstRow="0" w:lastRow="0" w:firstColumn="1" w:lastColumn="0" w:oddVBand="0" w:evenVBand="0" w:oddHBand="0" w:evenHBand="0" w:firstRowFirstColumn="0" w:firstRowLastColumn="0" w:lastRowFirstColumn="0" w:lastRowLastColumn="0"/>
            <w:tcW w:w="1620" w:type="pct"/>
            <w:shd w:val="clear" w:color="auto" w:fill="auto"/>
            <w:noWrap/>
            <w:hideMark/>
          </w:tcPr>
          <w:p w14:paraId="3E76CF93" w14:textId="77777777" w:rsidR="004B2A4B" w:rsidRPr="00CB3BFB" w:rsidRDefault="004B2A4B" w:rsidP="00A456AE">
            <w:pPr>
              <w:rPr>
                <w:rFonts w:ascii="Arial" w:hAnsi="Arial" w:cs="Arial"/>
                <w:b w:val="0"/>
                <w:sz w:val="19"/>
                <w:szCs w:val="19"/>
                <w:lang w:val="en-GB"/>
              </w:rPr>
            </w:pPr>
            <w:r w:rsidRPr="00CB3BFB">
              <w:rPr>
                <w:rFonts w:ascii="Arial" w:hAnsi="Arial" w:cs="Arial"/>
                <w:b w:val="0"/>
                <w:sz w:val="19"/>
                <w:szCs w:val="19"/>
                <w:lang w:val="en-GB"/>
              </w:rPr>
              <w:t>Revenue</w:t>
            </w:r>
          </w:p>
        </w:tc>
        <w:tc>
          <w:tcPr>
            <w:tcW w:w="1098" w:type="pct"/>
            <w:shd w:val="clear" w:color="auto" w:fill="auto"/>
            <w:noWrap/>
            <w:hideMark/>
          </w:tcPr>
          <w:p w14:paraId="6F060CD2" w14:textId="77777777" w:rsidR="004B2A4B" w:rsidRPr="00CB3BFB" w:rsidRDefault="004B2A4B" w:rsidP="00A456AE">
            <w:pPr>
              <w:ind w:left="-150"/>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CB3BFB">
              <w:rPr>
                <w:rFonts w:ascii="Arial" w:hAnsi="Arial" w:cs="Arial"/>
                <w:sz w:val="19"/>
                <w:szCs w:val="19"/>
                <w:lang w:val="en-GB"/>
              </w:rPr>
              <w:t>0</w:t>
            </w:r>
          </w:p>
        </w:tc>
        <w:tc>
          <w:tcPr>
            <w:tcW w:w="1098" w:type="pct"/>
            <w:shd w:val="clear" w:color="auto" w:fill="auto"/>
            <w:noWrap/>
            <w:hideMark/>
          </w:tcPr>
          <w:p w14:paraId="5626CCFF" w14:textId="77777777" w:rsidR="004B2A4B" w:rsidRPr="00CB3BFB" w:rsidRDefault="004B2A4B" w:rsidP="00A456A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CB3BFB">
              <w:rPr>
                <w:rFonts w:ascii="Arial" w:hAnsi="Arial" w:cs="Arial"/>
                <w:sz w:val="19"/>
                <w:szCs w:val="19"/>
                <w:lang w:val="en-GB"/>
              </w:rPr>
              <w:t>0</w:t>
            </w:r>
          </w:p>
        </w:tc>
        <w:tc>
          <w:tcPr>
            <w:tcW w:w="1183" w:type="pct"/>
            <w:shd w:val="clear" w:color="auto" w:fill="auto"/>
            <w:noWrap/>
            <w:hideMark/>
          </w:tcPr>
          <w:p w14:paraId="29934474" w14:textId="77777777" w:rsidR="004B2A4B" w:rsidRPr="00CB3BFB" w:rsidRDefault="004B2A4B" w:rsidP="00A456A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CB3BFB">
              <w:rPr>
                <w:rFonts w:ascii="Arial" w:hAnsi="Arial" w:cs="Arial"/>
                <w:sz w:val="19"/>
                <w:szCs w:val="19"/>
                <w:lang w:val="en-GB"/>
              </w:rPr>
              <w:t>41</w:t>
            </w:r>
          </w:p>
        </w:tc>
      </w:tr>
      <w:tr w:rsidR="004B2A4B" w:rsidRPr="00CB3BFB" w14:paraId="7CA7B195" w14:textId="77777777" w:rsidTr="00A456A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620" w:type="pct"/>
            <w:shd w:val="clear" w:color="auto" w:fill="auto"/>
            <w:noWrap/>
            <w:hideMark/>
          </w:tcPr>
          <w:p w14:paraId="0B42E7AE" w14:textId="77777777" w:rsidR="004B2A4B" w:rsidRPr="00CB3BFB" w:rsidRDefault="004B2A4B" w:rsidP="00A456AE">
            <w:pPr>
              <w:rPr>
                <w:rFonts w:ascii="Arial" w:hAnsi="Arial" w:cs="Arial"/>
                <w:b w:val="0"/>
                <w:sz w:val="19"/>
                <w:szCs w:val="19"/>
                <w:lang w:val="en-GB"/>
              </w:rPr>
            </w:pPr>
            <w:r w:rsidRPr="00CB3BFB">
              <w:rPr>
                <w:rFonts w:ascii="Arial" w:hAnsi="Arial" w:cs="Arial"/>
                <w:b w:val="0"/>
                <w:sz w:val="19"/>
                <w:szCs w:val="19"/>
                <w:lang w:val="en-GB"/>
              </w:rPr>
              <w:t>Employee Costs</w:t>
            </w:r>
          </w:p>
        </w:tc>
        <w:tc>
          <w:tcPr>
            <w:tcW w:w="1098" w:type="pct"/>
            <w:shd w:val="clear" w:color="auto" w:fill="auto"/>
            <w:noWrap/>
            <w:hideMark/>
          </w:tcPr>
          <w:p w14:paraId="20BEAADF" w14:textId="77777777" w:rsidR="004B2A4B" w:rsidRPr="00CB3BFB" w:rsidRDefault="004B2A4B" w:rsidP="00A456AE">
            <w:pPr>
              <w:ind w:left="-150"/>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CB3BFB">
              <w:rPr>
                <w:rFonts w:ascii="Arial" w:hAnsi="Arial" w:cs="Arial"/>
                <w:sz w:val="19"/>
                <w:szCs w:val="19"/>
                <w:lang w:val="en-GB"/>
              </w:rPr>
              <w:t>−14</w:t>
            </w:r>
          </w:p>
        </w:tc>
        <w:tc>
          <w:tcPr>
            <w:tcW w:w="1098" w:type="pct"/>
            <w:shd w:val="clear" w:color="auto" w:fill="auto"/>
            <w:noWrap/>
            <w:hideMark/>
          </w:tcPr>
          <w:p w14:paraId="4DADEA61" w14:textId="77777777" w:rsidR="004B2A4B" w:rsidRPr="00CB3BFB" w:rsidRDefault="004B2A4B" w:rsidP="00A456A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CB3BFB">
              <w:rPr>
                <w:rFonts w:ascii="Arial" w:hAnsi="Arial" w:cs="Arial"/>
                <w:sz w:val="19"/>
                <w:szCs w:val="19"/>
                <w:lang w:val="en-GB"/>
              </w:rPr>
              <w:t>−1,256</w:t>
            </w:r>
          </w:p>
        </w:tc>
        <w:tc>
          <w:tcPr>
            <w:tcW w:w="1183" w:type="pct"/>
            <w:shd w:val="clear" w:color="auto" w:fill="auto"/>
            <w:noWrap/>
            <w:hideMark/>
          </w:tcPr>
          <w:p w14:paraId="24055C03" w14:textId="77777777" w:rsidR="004B2A4B" w:rsidRPr="00CB3BFB" w:rsidRDefault="004B2A4B" w:rsidP="00A456A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CB3BFB">
              <w:rPr>
                <w:rFonts w:ascii="Arial" w:hAnsi="Arial" w:cs="Arial"/>
                <w:sz w:val="19"/>
                <w:szCs w:val="19"/>
                <w:lang w:val="en-GB"/>
              </w:rPr>
              <w:t>−874</w:t>
            </w:r>
          </w:p>
        </w:tc>
      </w:tr>
      <w:tr w:rsidR="004B2A4B" w:rsidRPr="00CB3BFB" w14:paraId="590F5482" w14:textId="77777777" w:rsidTr="00A456AE">
        <w:trPr>
          <w:trHeight w:val="144"/>
        </w:trPr>
        <w:tc>
          <w:tcPr>
            <w:cnfStyle w:val="001000000000" w:firstRow="0" w:lastRow="0" w:firstColumn="1" w:lastColumn="0" w:oddVBand="0" w:evenVBand="0" w:oddHBand="0" w:evenHBand="0" w:firstRowFirstColumn="0" w:firstRowLastColumn="0" w:lastRowFirstColumn="0" w:lastRowLastColumn="0"/>
            <w:tcW w:w="1620" w:type="pct"/>
            <w:shd w:val="clear" w:color="auto" w:fill="auto"/>
            <w:noWrap/>
            <w:hideMark/>
          </w:tcPr>
          <w:p w14:paraId="4854A0CE" w14:textId="77777777" w:rsidR="004B2A4B" w:rsidRPr="00CB3BFB" w:rsidRDefault="004B2A4B" w:rsidP="00A456AE">
            <w:pPr>
              <w:rPr>
                <w:rFonts w:ascii="Arial" w:hAnsi="Arial" w:cs="Arial"/>
                <w:b w:val="0"/>
                <w:sz w:val="19"/>
                <w:szCs w:val="19"/>
                <w:lang w:val="en-GB"/>
              </w:rPr>
            </w:pPr>
            <w:r w:rsidRPr="00CB3BFB">
              <w:rPr>
                <w:rFonts w:ascii="Arial" w:hAnsi="Arial" w:cs="Arial"/>
                <w:b w:val="0"/>
                <w:sz w:val="19"/>
                <w:szCs w:val="19"/>
                <w:lang w:val="en-GB"/>
              </w:rPr>
              <w:t>Consultant Costs and Professional Fees</w:t>
            </w:r>
          </w:p>
        </w:tc>
        <w:tc>
          <w:tcPr>
            <w:tcW w:w="1098" w:type="pct"/>
            <w:shd w:val="clear" w:color="auto" w:fill="auto"/>
            <w:noWrap/>
            <w:hideMark/>
          </w:tcPr>
          <w:p w14:paraId="71A9EC74" w14:textId="77777777" w:rsidR="004B2A4B" w:rsidRPr="00CB3BFB" w:rsidRDefault="004B2A4B" w:rsidP="00A456AE">
            <w:pPr>
              <w:ind w:left="-150"/>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CB3BFB">
              <w:rPr>
                <w:rFonts w:ascii="Arial" w:hAnsi="Arial" w:cs="Arial"/>
                <w:sz w:val="19"/>
                <w:szCs w:val="19"/>
                <w:lang w:val="en-GB"/>
              </w:rPr>
              <w:t>−275</w:t>
            </w:r>
          </w:p>
        </w:tc>
        <w:tc>
          <w:tcPr>
            <w:tcW w:w="1098" w:type="pct"/>
            <w:shd w:val="clear" w:color="auto" w:fill="auto"/>
            <w:noWrap/>
            <w:hideMark/>
          </w:tcPr>
          <w:p w14:paraId="1EE11461" w14:textId="77777777" w:rsidR="004B2A4B" w:rsidRPr="00CB3BFB" w:rsidRDefault="004B2A4B" w:rsidP="00A456A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CB3BFB">
              <w:rPr>
                <w:rFonts w:ascii="Arial" w:hAnsi="Arial" w:cs="Arial"/>
                <w:sz w:val="19"/>
                <w:szCs w:val="19"/>
                <w:lang w:val="en-GB"/>
              </w:rPr>
              <w:t>−291</w:t>
            </w:r>
          </w:p>
        </w:tc>
        <w:tc>
          <w:tcPr>
            <w:tcW w:w="1183" w:type="pct"/>
            <w:shd w:val="clear" w:color="auto" w:fill="auto"/>
            <w:noWrap/>
            <w:hideMark/>
          </w:tcPr>
          <w:p w14:paraId="3BD798D7" w14:textId="77777777" w:rsidR="004B2A4B" w:rsidRPr="00CB3BFB" w:rsidRDefault="004B2A4B" w:rsidP="00A456A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CB3BFB">
              <w:rPr>
                <w:rFonts w:ascii="Arial" w:hAnsi="Arial" w:cs="Arial"/>
                <w:sz w:val="19"/>
                <w:szCs w:val="19"/>
                <w:lang w:val="en-GB"/>
              </w:rPr>
              <w:t>−151</w:t>
            </w:r>
          </w:p>
        </w:tc>
      </w:tr>
      <w:tr w:rsidR="004B2A4B" w:rsidRPr="00CB3BFB" w14:paraId="1F9FFBDB" w14:textId="77777777" w:rsidTr="00A456A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620" w:type="pct"/>
            <w:shd w:val="clear" w:color="auto" w:fill="auto"/>
            <w:noWrap/>
            <w:hideMark/>
          </w:tcPr>
          <w:p w14:paraId="3C29E85A" w14:textId="77777777" w:rsidR="004B2A4B" w:rsidRPr="00CB3BFB" w:rsidRDefault="004B2A4B" w:rsidP="00A456AE">
            <w:pPr>
              <w:rPr>
                <w:rFonts w:ascii="Arial" w:hAnsi="Arial" w:cs="Arial"/>
                <w:b w:val="0"/>
                <w:sz w:val="19"/>
                <w:szCs w:val="19"/>
                <w:lang w:val="en-GB"/>
              </w:rPr>
            </w:pPr>
            <w:r w:rsidRPr="00CB3BFB">
              <w:rPr>
                <w:rFonts w:ascii="Arial" w:hAnsi="Arial" w:cs="Arial"/>
                <w:b w:val="0"/>
                <w:sz w:val="19"/>
                <w:szCs w:val="19"/>
                <w:lang w:val="en-GB"/>
              </w:rPr>
              <w:t>Transaction Costs</w:t>
            </w:r>
          </w:p>
        </w:tc>
        <w:tc>
          <w:tcPr>
            <w:tcW w:w="1098" w:type="pct"/>
            <w:shd w:val="clear" w:color="auto" w:fill="auto"/>
            <w:noWrap/>
            <w:hideMark/>
          </w:tcPr>
          <w:p w14:paraId="2EC39877" w14:textId="77777777" w:rsidR="004B2A4B" w:rsidRPr="00CB3BFB" w:rsidRDefault="004B2A4B" w:rsidP="00A456AE">
            <w:pPr>
              <w:ind w:left="-150"/>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CB3BFB">
              <w:rPr>
                <w:rFonts w:ascii="Arial" w:hAnsi="Arial" w:cs="Arial"/>
                <w:sz w:val="19"/>
                <w:szCs w:val="19"/>
                <w:lang w:val="en-GB"/>
              </w:rPr>
              <w:t>−20</w:t>
            </w:r>
          </w:p>
        </w:tc>
        <w:tc>
          <w:tcPr>
            <w:tcW w:w="1098" w:type="pct"/>
            <w:shd w:val="clear" w:color="auto" w:fill="auto"/>
            <w:noWrap/>
            <w:hideMark/>
          </w:tcPr>
          <w:p w14:paraId="20BCE9EB" w14:textId="77777777" w:rsidR="004B2A4B" w:rsidRPr="00CB3BFB" w:rsidRDefault="004B2A4B" w:rsidP="00A456A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CB3BFB">
              <w:rPr>
                <w:rFonts w:ascii="Arial" w:hAnsi="Arial" w:cs="Arial"/>
                <w:sz w:val="19"/>
                <w:szCs w:val="19"/>
                <w:lang w:val="en-GB"/>
              </w:rPr>
              <w:t>−147</w:t>
            </w:r>
          </w:p>
        </w:tc>
        <w:tc>
          <w:tcPr>
            <w:tcW w:w="1183" w:type="pct"/>
            <w:shd w:val="clear" w:color="auto" w:fill="auto"/>
            <w:noWrap/>
            <w:hideMark/>
          </w:tcPr>
          <w:p w14:paraId="0A66AA4D" w14:textId="77777777" w:rsidR="004B2A4B" w:rsidRPr="00CB3BFB" w:rsidRDefault="004B2A4B" w:rsidP="00A456A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CB3BFB">
              <w:rPr>
                <w:rFonts w:ascii="Arial" w:hAnsi="Arial" w:cs="Arial"/>
                <w:sz w:val="19"/>
                <w:szCs w:val="19"/>
                <w:lang w:val="en-GB"/>
              </w:rPr>
              <w:t>−659</w:t>
            </w:r>
          </w:p>
        </w:tc>
      </w:tr>
      <w:tr w:rsidR="004B2A4B" w:rsidRPr="00CB3BFB" w14:paraId="64115AF5" w14:textId="77777777" w:rsidTr="00A456AE">
        <w:trPr>
          <w:trHeight w:val="144"/>
        </w:trPr>
        <w:tc>
          <w:tcPr>
            <w:cnfStyle w:val="001000000000" w:firstRow="0" w:lastRow="0" w:firstColumn="1" w:lastColumn="0" w:oddVBand="0" w:evenVBand="0" w:oddHBand="0" w:evenHBand="0" w:firstRowFirstColumn="0" w:firstRowLastColumn="0" w:lastRowFirstColumn="0" w:lastRowLastColumn="0"/>
            <w:tcW w:w="1620" w:type="pct"/>
            <w:shd w:val="clear" w:color="auto" w:fill="auto"/>
            <w:noWrap/>
            <w:hideMark/>
          </w:tcPr>
          <w:p w14:paraId="578DB6A8" w14:textId="77777777" w:rsidR="004B2A4B" w:rsidRPr="00CB3BFB" w:rsidRDefault="004B2A4B" w:rsidP="00A456AE">
            <w:pPr>
              <w:rPr>
                <w:rFonts w:ascii="Arial" w:hAnsi="Arial" w:cs="Arial"/>
                <w:b w:val="0"/>
                <w:sz w:val="19"/>
                <w:szCs w:val="19"/>
                <w:lang w:val="en-GB"/>
              </w:rPr>
            </w:pPr>
            <w:r w:rsidRPr="00CB3BFB">
              <w:rPr>
                <w:rFonts w:ascii="Arial" w:hAnsi="Arial" w:cs="Arial"/>
                <w:b w:val="0"/>
                <w:sz w:val="19"/>
                <w:szCs w:val="19"/>
                <w:lang w:val="en-GB"/>
              </w:rPr>
              <w:t>Marketing Expenses</w:t>
            </w:r>
          </w:p>
        </w:tc>
        <w:tc>
          <w:tcPr>
            <w:tcW w:w="1098" w:type="pct"/>
            <w:shd w:val="clear" w:color="auto" w:fill="auto"/>
            <w:noWrap/>
            <w:hideMark/>
          </w:tcPr>
          <w:p w14:paraId="72A52A6A" w14:textId="77777777" w:rsidR="004B2A4B" w:rsidRPr="00CB3BFB" w:rsidRDefault="004B2A4B" w:rsidP="00A456AE">
            <w:pPr>
              <w:ind w:left="-150"/>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CB3BFB">
              <w:rPr>
                <w:rFonts w:ascii="Arial" w:hAnsi="Arial" w:cs="Arial"/>
                <w:sz w:val="19"/>
                <w:szCs w:val="19"/>
                <w:lang w:val="en-GB"/>
              </w:rPr>
              <w:t>−42</w:t>
            </w:r>
          </w:p>
        </w:tc>
        <w:tc>
          <w:tcPr>
            <w:tcW w:w="1098" w:type="pct"/>
            <w:shd w:val="clear" w:color="auto" w:fill="auto"/>
            <w:noWrap/>
            <w:hideMark/>
          </w:tcPr>
          <w:p w14:paraId="4559071D" w14:textId="77777777" w:rsidR="004B2A4B" w:rsidRPr="00CB3BFB" w:rsidRDefault="004B2A4B" w:rsidP="00A456A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CB3BFB">
              <w:rPr>
                <w:rFonts w:ascii="Arial" w:hAnsi="Arial" w:cs="Arial"/>
                <w:sz w:val="19"/>
                <w:szCs w:val="19"/>
                <w:lang w:val="en-GB"/>
              </w:rPr>
              <w:t>−179</w:t>
            </w:r>
          </w:p>
        </w:tc>
        <w:tc>
          <w:tcPr>
            <w:tcW w:w="1183" w:type="pct"/>
            <w:shd w:val="clear" w:color="auto" w:fill="auto"/>
            <w:noWrap/>
            <w:hideMark/>
          </w:tcPr>
          <w:p w14:paraId="0372BEE0" w14:textId="77777777" w:rsidR="004B2A4B" w:rsidRPr="00CB3BFB" w:rsidRDefault="004B2A4B" w:rsidP="00A456A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CB3BFB">
              <w:rPr>
                <w:rFonts w:ascii="Arial" w:hAnsi="Arial" w:cs="Arial"/>
                <w:sz w:val="19"/>
                <w:szCs w:val="19"/>
                <w:lang w:val="en-GB"/>
              </w:rPr>
              <w:t>−930</w:t>
            </w:r>
          </w:p>
        </w:tc>
      </w:tr>
      <w:tr w:rsidR="004B2A4B" w:rsidRPr="00CB3BFB" w14:paraId="3C6489B6" w14:textId="77777777" w:rsidTr="00A456A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620" w:type="pct"/>
            <w:shd w:val="clear" w:color="auto" w:fill="auto"/>
            <w:noWrap/>
            <w:hideMark/>
          </w:tcPr>
          <w:p w14:paraId="08DB6311" w14:textId="77777777" w:rsidR="004B2A4B" w:rsidRPr="00CB3BFB" w:rsidRDefault="004B2A4B" w:rsidP="00A456AE">
            <w:pPr>
              <w:rPr>
                <w:rFonts w:ascii="Arial" w:hAnsi="Arial" w:cs="Arial"/>
                <w:b w:val="0"/>
                <w:sz w:val="19"/>
                <w:szCs w:val="19"/>
                <w:lang w:val="en-GB"/>
              </w:rPr>
            </w:pPr>
            <w:r w:rsidRPr="00CB3BFB">
              <w:rPr>
                <w:rFonts w:ascii="Arial" w:hAnsi="Arial" w:cs="Arial"/>
                <w:b w:val="0"/>
                <w:sz w:val="19"/>
                <w:szCs w:val="19"/>
                <w:lang w:val="en-GB"/>
              </w:rPr>
              <w:t>Depreciation and Amortization</w:t>
            </w:r>
          </w:p>
        </w:tc>
        <w:tc>
          <w:tcPr>
            <w:tcW w:w="1098" w:type="pct"/>
            <w:shd w:val="clear" w:color="auto" w:fill="auto"/>
            <w:noWrap/>
            <w:hideMark/>
          </w:tcPr>
          <w:p w14:paraId="63743287" w14:textId="77777777" w:rsidR="004B2A4B" w:rsidRPr="00CB3BFB" w:rsidRDefault="004B2A4B" w:rsidP="00A456AE">
            <w:pPr>
              <w:ind w:left="-150"/>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CB3BFB">
              <w:rPr>
                <w:rFonts w:ascii="Arial" w:hAnsi="Arial" w:cs="Arial"/>
                <w:sz w:val="19"/>
                <w:szCs w:val="19"/>
                <w:lang w:val="en-GB"/>
              </w:rPr>
              <w:t>−1</w:t>
            </w:r>
          </w:p>
        </w:tc>
        <w:tc>
          <w:tcPr>
            <w:tcW w:w="1098" w:type="pct"/>
            <w:shd w:val="clear" w:color="auto" w:fill="auto"/>
            <w:noWrap/>
            <w:hideMark/>
          </w:tcPr>
          <w:p w14:paraId="7BC35D73" w14:textId="77777777" w:rsidR="004B2A4B" w:rsidRPr="00CB3BFB" w:rsidRDefault="004B2A4B" w:rsidP="00A456A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CB3BFB">
              <w:rPr>
                <w:rFonts w:ascii="Arial" w:hAnsi="Arial" w:cs="Arial"/>
                <w:sz w:val="19"/>
                <w:szCs w:val="19"/>
                <w:lang w:val="en-GB"/>
              </w:rPr>
              <w:t>−2</w:t>
            </w:r>
          </w:p>
        </w:tc>
        <w:tc>
          <w:tcPr>
            <w:tcW w:w="1183" w:type="pct"/>
            <w:shd w:val="clear" w:color="auto" w:fill="auto"/>
            <w:noWrap/>
            <w:hideMark/>
          </w:tcPr>
          <w:p w14:paraId="10E50103" w14:textId="77777777" w:rsidR="004B2A4B" w:rsidRPr="00CB3BFB" w:rsidRDefault="004B2A4B" w:rsidP="00A456A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CB3BFB">
              <w:rPr>
                <w:rFonts w:ascii="Arial" w:hAnsi="Arial" w:cs="Arial"/>
                <w:sz w:val="19"/>
                <w:szCs w:val="19"/>
                <w:lang w:val="en-GB"/>
              </w:rPr>
              <w:t>−126</w:t>
            </w:r>
          </w:p>
        </w:tc>
      </w:tr>
      <w:tr w:rsidR="004B2A4B" w:rsidRPr="00CB3BFB" w14:paraId="739E1675" w14:textId="77777777" w:rsidTr="00A456AE">
        <w:trPr>
          <w:trHeight w:val="144"/>
        </w:trPr>
        <w:tc>
          <w:tcPr>
            <w:cnfStyle w:val="001000000000" w:firstRow="0" w:lastRow="0" w:firstColumn="1" w:lastColumn="0" w:oddVBand="0" w:evenVBand="0" w:oddHBand="0" w:evenHBand="0" w:firstRowFirstColumn="0" w:firstRowLastColumn="0" w:lastRowFirstColumn="0" w:lastRowLastColumn="0"/>
            <w:tcW w:w="1620" w:type="pct"/>
            <w:shd w:val="clear" w:color="auto" w:fill="auto"/>
            <w:noWrap/>
            <w:hideMark/>
          </w:tcPr>
          <w:p w14:paraId="7803D8BD" w14:textId="77777777" w:rsidR="004B2A4B" w:rsidRPr="00CB3BFB" w:rsidRDefault="004B2A4B" w:rsidP="00A456AE">
            <w:pPr>
              <w:rPr>
                <w:rFonts w:ascii="Arial" w:hAnsi="Arial" w:cs="Arial"/>
                <w:b w:val="0"/>
                <w:sz w:val="19"/>
                <w:szCs w:val="19"/>
                <w:lang w:val="en-GB"/>
              </w:rPr>
            </w:pPr>
            <w:r w:rsidRPr="00CB3BFB">
              <w:rPr>
                <w:rFonts w:ascii="Arial" w:hAnsi="Arial" w:cs="Arial"/>
                <w:b w:val="0"/>
                <w:sz w:val="19"/>
                <w:szCs w:val="19"/>
                <w:lang w:val="en-GB"/>
              </w:rPr>
              <w:t>Other Expenses</w:t>
            </w:r>
          </w:p>
        </w:tc>
        <w:tc>
          <w:tcPr>
            <w:tcW w:w="1098" w:type="pct"/>
            <w:shd w:val="clear" w:color="auto" w:fill="auto"/>
            <w:noWrap/>
            <w:hideMark/>
          </w:tcPr>
          <w:p w14:paraId="469ED1C1" w14:textId="77777777" w:rsidR="004B2A4B" w:rsidRPr="00CB3BFB" w:rsidRDefault="004B2A4B" w:rsidP="00A456AE">
            <w:pPr>
              <w:ind w:left="-150"/>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CB3BFB">
              <w:rPr>
                <w:rFonts w:ascii="Arial" w:hAnsi="Arial" w:cs="Arial"/>
                <w:sz w:val="19"/>
                <w:szCs w:val="19"/>
                <w:lang w:val="en-GB"/>
              </w:rPr>
              <w:t>−249</w:t>
            </w:r>
          </w:p>
        </w:tc>
        <w:tc>
          <w:tcPr>
            <w:tcW w:w="1098" w:type="pct"/>
            <w:shd w:val="clear" w:color="auto" w:fill="auto"/>
            <w:noWrap/>
            <w:hideMark/>
          </w:tcPr>
          <w:p w14:paraId="55E1C622" w14:textId="77777777" w:rsidR="004B2A4B" w:rsidRPr="00CB3BFB" w:rsidRDefault="004B2A4B" w:rsidP="00A456A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CB3BFB">
              <w:rPr>
                <w:rFonts w:ascii="Arial" w:hAnsi="Arial" w:cs="Arial"/>
                <w:sz w:val="19"/>
                <w:szCs w:val="19"/>
                <w:lang w:val="en-GB"/>
              </w:rPr>
              <w:t>−291</w:t>
            </w:r>
          </w:p>
        </w:tc>
        <w:tc>
          <w:tcPr>
            <w:tcW w:w="1183" w:type="pct"/>
            <w:shd w:val="clear" w:color="auto" w:fill="auto"/>
            <w:noWrap/>
            <w:hideMark/>
          </w:tcPr>
          <w:p w14:paraId="517AEB34" w14:textId="77777777" w:rsidR="004B2A4B" w:rsidRPr="00CB3BFB" w:rsidRDefault="004B2A4B" w:rsidP="00A456A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CB3BFB">
              <w:rPr>
                <w:rFonts w:ascii="Arial" w:hAnsi="Arial" w:cs="Arial"/>
                <w:sz w:val="19"/>
                <w:szCs w:val="19"/>
                <w:lang w:val="en-GB"/>
              </w:rPr>
              <w:t>−249</w:t>
            </w:r>
          </w:p>
        </w:tc>
      </w:tr>
      <w:tr w:rsidR="004B2A4B" w:rsidRPr="00CB3BFB" w14:paraId="295A13BD" w14:textId="77777777" w:rsidTr="00A456A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620" w:type="pct"/>
            <w:shd w:val="clear" w:color="auto" w:fill="auto"/>
            <w:noWrap/>
            <w:hideMark/>
          </w:tcPr>
          <w:p w14:paraId="12D08E47" w14:textId="77777777" w:rsidR="004B2A4B" w:rsidRPr="00CB3BFB" w:rsidRDefault="004B2A4B" w:rsidP="00A456AE">
            <w:pPr>
              <w:rPr>
                <w:rFonts w:ascii="Arial" w:hAnsi="Arial" w:cs="Arial"/>
                <w:sz w:val="19"/>
                <w:szCs w:val="19"/>
                <w:lang w:val="en-GB"/>
              </w:rPr>
            </w:pPr>
            <w:r w:rsidRPr="00CB3BFB">
              <w:rPr>
                <w:rFonts w:ascii="Arial" w:hAnsi="Arial" w:cs="Arial"/>
                <w:sz w:val="19"/>
                <w:szCs w:val="19"/>
                <w:lang w:val="en-GB"/>
              </w:rPr>
              <w:t>Operating Profit (Loss)</w:t>
            </w:r>
          </w:p>
        </w:tc>
        <w:tc>
          <w:tcPr>
            <w:tcW w:w="1098" w:type="pct"/>
            <w:shd w:val="clear" w:color="auto" w:fill="auto"/>
            <w:noWrap/>
            <w:hideMark/>
          </w:tcPr>
          <w:p w14:paraId="65EEF25D" w14:textId="77777777" w:rsidR="004B2A4B" w:rsidRPr="00CB3BFB" w:rsidRDefault="004B2A4B" w:rsidP="00A456AE">
            <w:pPr>
              <w:ind w:left="-150"/>
              <w:jc w:val="right"/>
              <w:cnfStyle w:val="000000100000" w:firstRow="0" w:lastRow="0" w:firstColumn="0" w:lastColumn="0" w:oddVBand="0" w:evenVBand="0" w:oddHBand="1" w:evenHBand="0" w:firstRowFirstColumn="0" w:firstRowLastColumn="0" w:lastRowFirstColumn="0" w:lastRowLastColumn="0"/>
              <w:rPr>
                <w:rFonts w:ascii="Arial" w:hAnsi="Arial" w:cs="Arial"/>
                <w:b/>
                <w:sz w:val="19"/>
                <w:szCs w:val="19"/>
                <w:lang w:val="en-GB"/>
              </w:rPr>
            </w:pPr>
            <w:r w:rsidRPr="00CB3BFB">
              <w:rPr>
                <w:rFonts w:ascii="Arial" w:hAnsi="Arial" w:cs="Arial"/>
                <w:sz w:val="19"/>
                <w:szCs w:val="19"/>
                <w:lang w:val="en-GB"/>
              </w:rPr>
              <w:t>−</w:t>
            </w:r>
            <w:r w:rsidRPr="00CB3BFB">
              <w:rPr>
                <w:rFonts w:ascii="Arial" w:hAnsi="Arial" w:cs="Arial"/>
                <w:b/>
                <w:sz w:val="19"/>
                <w:szCs w:val="19"/>
                <w:lang w:val="en-GB"/>
              </w:rPr>
              <w:t>601</w:t>
            </w:r>
          </w:p>
        </w:tc>
        <w:tc>
          <w:tcPr>
            <w:tcW w:w="1098" w:type="pct"/>
            <w:shd w:val="clear" w:color="auto" w:fill="auto"/>
            <w:noWrap/>
            <w:hideMark/>
          </w:tcPr>
          <w:p w14:paraId="1AD4B8F2" w14:textId="77777777" w:rsidR="004B2A4B" w:rsidRPr="00CB3BFB" w:rsidRDefault="004B2A4B" w:rsidP="00A456AE">
            <w:pPr>
              <w:jc w:val="right"/>
              <w:cnfStyle w:val="000000100000" w:firstRow="0" w:lastRow="0" w:firstColumn="0" w:lastColumn="0" w:oddVBand="0" w:evenVBand="0" w:oddHBand="1" w:evenHBand="0" w:firstRowFirstColumn="0" w:firstRowLastColumn="0" w:lastRowFirstColumn="0" w:lastRowLastColumn="0"/>
              <w:rPr>
                <w:rFonts w:ascii="Arial" w:hAnsi="Arial" w:cs="Arial"/>
                <w:b/>
                <w:sz w:val="19"/>
                <w:szCs w:val="19"/>
                <w:lang w:val="en-GB"/>
              </w:rPr>
            </w:pPr>
            <w:r w:rsidRPr="00CB3BFB">
              <w:rPr>
                <w:rFonts w:ascii="Arial" w:hAnsi="Arial" w:cs="Arial"/>
                <w:sz w:val="19"/>
                <w:szCs w:val="19"/>
                <w:lang w:val="en-GB"/>
              </w:rPr>
              <w:t>−</w:t>
            </w:r>
            <w:r w:rsidRPr="00CB3BFB">
              <w:rPr>
                <w:rFonts w:ascii="Arial" w:hAnsi="Arial" w:cs="Arial"/>
                <w:b/>
                <w:sz w:val="19"/>
                <w:szCs w:val="19"/>
                <w:lang w:val="en-GB"/>
              </w:rPr>
              <w:t>2,166</w:t>
            </w:r>
          </w:p>
        </w:tc>
        <w:tc>
          <w:tcPr>
            <w:tcW w:w="1183" w:type="pct"/>
            <w:shd w:val="clear" w:color="auto" w:fill="auto"/>
            <w:noWrap/>
            <w:hideMark/>
          </w:tcPr>
          <w:p w14:paraId="6DC7E99D" w14:textId="77777777" w:rsidR="004B2A4B" w:rsidRPr="00CB3BFB" w:rsidRDefault="004B2A4B" w:rsidP="00A456AE">
            <w:pPr>
              <w:jc w:val="right"/>
              <w:cnfStyle w:val="000000100000" w:firstRow="0" w:lastRow="0" w:firstColumn="0" w:lastColumn="0" w:oddVBand="0" w:evenVBand="0" w:oddHBand="1" w:evenHBand="0" w:firstRowFirstColumn="0" w:firstRowLastColumn="0" w:lastRowFirstColumn="0" w:lastRowLastColumn="0"/>
              <w:rPr>
                <w:rFonts w:ascii="Arial" w:hAnsi="Arial" w:cs="Arial"/>
                <w:b/>
                <w:sz w:val="19"/>
                <w:szCs w:val="19"/>
                <w:lang w:val="en-GB"/>
              </w:rPr>
            </w:pPr>
            <w:r w:rsidRPr="00CB3BFB">
              <w:rPr>
                <w:rFonts w:ascii="Arial" w:hAnsi="Arial" w:cs="Arial"/>
                <w:sz w:val="19"/>
                <w:szCs w:val="19"/>
                <w:lang w:val="en-GB"/>
              </w:rPr>
              <w:t>−</w:t>
            </w:r>
            <w:r w:rsidRPr="00CB3BFB">
              <w:rPr>
                <w:rFonts w:ascii="Arial" w:hAnsi="Arial" w:cs="Arial"/>
                <w:b/>
                <w:sz w:val="19"/>
                <w:szCs w:val="19"/>
                <w:lang w:val="en-GB"/>
              </w:rPr>
              <w:t>2,948</w:t>
            </w:r>
          </w:p>
        </w:tc>
      </w:tr>
    </w:tbl>
    <w:p w14:paraId="36DC0F86" w14:textId="77777777" w:rsidR="004B2A4B" w:rsidRPr="00CB3BFB" w:rsidRDefault="004B2A4B" w:rsidP="004B2A4B">
      <w:pPr>
        <w:pStyle w:val="BodyTextMain"/>
        <w:rPr>
          <w:lang w:val="en-GB"/>
        </w:rPr>
      </w:pPr>
    </w:p>
    <w:tbl>
      <w:tblPr>
        <w:tblStyle w:val="GridTable4-Accent11"/>
        <w:tblpPr w:leftFromText="180" w:rightFromText="180" w:vertAnchor="text" w:horzAnchor="margin" w:tblpXSpec="center" w:tblpY="164"/>
        <w:tblW w:w="4525"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764"/>
        <w:gridCol w:w="1872"/>
        <w:gridCol w:w="1872"/>
        <w:gridCol w:w="2158"/>
      </w:tblGrid>
      <w:tr w:rsidR="004B2A4B" w:rsidRPr="00CB3BFB" w14:paraId="1476BF8F" w14:textId="77777777" w:rsidTr="00991A8E">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95" w:type="pct"/>
            <w:tcBorders>
              <w:top w:val="single" w:sz="4" w:space="0" w:color="auto"/>
              <w:bottom w:val="single" w:sz="4" w:space="0" w:color="000000" w:themeColor="text1"/>
              <w:right w:val="single" w:sz="4" w:space="0" w:color="auto"/>
            </w:tcBorders>
            <w:shd w:val="clear" w:color="auto" w:fill="auto"/>
            <w:noWrap/>
            <w:hideMark/>
          </w:tcPr>
          <w:p w14:paraId="334C4E7D" w14:textId="77777777" w:rsidR="004B2A4B" w:rsidRPr="00CB3BFB" w:rsidRDefault="004B2A4B" w:rsidP="00991A8E">
            <w:pPr>
              <w:rPr>
                <w:rFonts w:ascii="Arial" w:hAnsi="Arial" w:cs="Arial"/>
                <w:color w:val="auto"/>
                <w:sz w:val="19"/>
                <w:szCs w:val="19"/>
                <w:lang w:val="en-GB"/>
              </w:rPr>
            </w:pPr>
            <w:r w:rsidRPr="00CB3BFB">
              <w:rPr>
                <w:rFonts w:ascii="Arial" w:hAnsi="Arial" w:cs="Arial"/>
                <w:color w:val="auto"/>
                <w:sz w:val="19"/>
                <w:szCs w:val="19"/>
                <w:lang w:val="en-GB"/>
              </w:rPr>
              <w:t>Period to</w:t>
            </w:r>
          </w:p>
        </w:tc>
        <w:tc>
          <w:tcPr>
            <w:tcW w:w="1080" w:type="pct"/>
            <w:tcBorders>
              <w:top w:val="single" w:sz="4" w:space="0" w:color="auto"/>
              <w:left w:val="single" w:sz="4" w:space="0" w:color="auto"/>
              <w:bottom w:val="single" w:sz="4" w:space="0" w:color="000000" w:themeColor="text1"/>
              <w:right w:val="single" w:sz="4" w:space="0" w:color="auto"/>
            </w:tcBorders>
            <w:shd w:val="clear" w:color="auto" w:fill="auto"/>
            <w:noWrap/>
            <w:hideMark/>
          </w:tcPr>
          <w:p w14:paraId="116BDDD7" w14:textId="77777777" w:rsidR="004B2A4B" w:rsidRPr="00CB3BFB" w:rsidRDefault="004B2A4B" w:rsidP="00A456AE">
            <w:pPr>
              <w:ind w:left="180"/>
              <w:jc w:val="right"/>
              <w:cnfStyle w:val="100000000000" w:firstRow="1" w:lastRow="0" w:firstColumn="0" w:lastColumn="0" w:oddVBand="0" w:evenVBand="0" w:oddHBand="0" w:evenHBand="0" w:firstRowFirstColumn="0" w:firstRowLastColumn="0" w:lastRowFirstColumn="0" w:lastRowLastColumn="0"/>
              <w:rPr>
                <w:rFonts w:ascii="Arial" w:hAnsi="Arial" w:cs="Arial"/>
                <w:color w:val="auto"/>
                <w:sz w:val="19"/>
                <w:szCs w:val="19"/>
                <w:lang w:val="en-GB"/>
              </w:rPr>
            </w:pPr>
            <w:r w:rsidRPr="00CB3BFB">
              <w:rPr>
                <w:rFonts w:ascii="Arial" w:hAnsi="Arial" w:cs="Arial"/>
                <w:color w:val="auto"/>
                <w:sz w:val="19"/>
                <w:szCs w:val="19"/>
                <w:lang w:val="en-GB"/>
              </w:rPr>
              <w:t>June 30, 2014</w:t>
            </w:r>
          </w:p>
        </w:tc>
        <w:tc>
          <w:tcPr>
            <w:tcW w:w="1080" w:type="pct"/>
            <w:tcBorders>
              <w:top w:val="single" w:sz="4" w:space="0" w:color="auto"/>
              <w:left w:val="single" w:sz="4" w:space="0" w:color="auto"/>
              <w:bottom w:val="single" w:sz="4" w:space="0" w:color="000000" w:themeColor="text1"/>
              <w:right w:val="single" w:sz="4" w:space="0" w:color="auto"/>
            </w:tcBorders>
            <w:shd w:val="clear" w:color="auto" w:fill="auto"/>
            <w:noWrap/>
            <w:hideMark/>
          </w:tcPr>
          <w:p w14:paraId="722A3F12" w14:textId="77777777" w:rsidR="004B2A4B" w:rsidRPr="00CB3BFB" w:rsidRDefault="004B2A4B" w:rsidP="00A456AE">
            <w:pPr>
              <w:ind w:left="180"/>
              <w:jc w:val="right"/>
              <w:cnfStyle w:val="100000000000" w:firstRow="1" w:lastRow="0" w:firstColumn="0" w:lastColumn="0" w:oddVBand="0" w:evenVBand="0" w:oddHBand="0" w:evenHBand="0" w:firstRowFirstColumn="0" w:firstRowLastColumn="0" w:lastRowFirstColumn="0" w:lastRowLastColumn="0"/>
              <w:rPr>
                <w:rFonts w:ascii="Arial" w:hAnsi="Arial" w:cs="Arial"/>
                <w:color w:val="auto"/>
                <w:sz w:val="19"/>
                <w:szCs w:val="19"/>
                <w:lang w:val="en-GB"/>
              </w:rPr>
            </w:pPr>
            <w:r w:rsidRPr="00CB3BFB">
              <w:rPr>
                <w:rFonts w:ascii="Arial" w:hAnsi="Arial" w:cs="Arial"/>
                <w:color w:val="auto"/>
                <w:sz w:val="19"/>
                <w:szCs w:val="19"/>
                <w:lang w:val="en-GB"/>
              </w:rPr>
              <w:t>June 30, 2015</w:t>
            </w:r>
          </w:p>
        </w:tc>
        <w:tc>
          <w:tcPr>
            <w:tcW w:w="1245" w:type="pct"/>
            <w:tcBorders>
              <w:top w:val="single" w:sz="4" w:space="0" w:color="auto"/>
              <w:left w:val="single" w:sz="4" w:space="0" w:color="auto"/>
              <w:bottom w:val="single" w:sz="4" w:space="0" w:color="000000" w:themeColor="text1"/>
              <w:right w:val="single" w:sz="4" w:space="0" w:color="auto"/>
            </w:tcBorders>
            <w:shd w:val="clear" w:color="auto" w:fill="auto"/>
            <w:noWrap/>
            <w:hideMark/>
          </w:tcPr>
          <w:p w14:paraId="59C277B2" w14:textId="77777777" w:rsidR="004B2A4B" w:rsidRPr="00CB3BFB" w:rsidRDefault="004B2A4B" w:rsidP="00A456AE">
            <w:pPr>
              <w:ind w:left="180"/>
              <w:jc w:val="right"/>
              <w:cnfStyle w:val="100000000000" w:firstRow="1" w:lastRow="0" w:firstColumn="0" w:lastColumn="0" w:oddVBand="0" w:evenVBand="0" w:oddHBand="0" w:evenHBand="0" w:firstRowFirstColumn="0" w:firstRowLastColumn="0" w:lastRowFirstColumn="0" w:lastRowLastColumn="0"/>
              <w:rPr>
                <w:rFonts w:ascii="Arial" w:hAnsi="Arial" w:cs="Arial"/>
                <w:color w:val="auto"/>
                <w:sz w:val="19"/>
                <w:szCs w:val="19"/>
                <w:lang w:val="en-GB"/>
              </w:rPr>
            </w:pPr>
            <w:r w:rsidRPr="00CB3BFB">
              <w:rPr>
                <w:rFonts w:ascii="Arial" w:hAnsi="Arial" w:cs="Arial"/>
                <w:color w:val="auto"/>
                <w:sz w:val="19"/>
                <w:szCs w:val="19"/>
                <w:lang w:val="en-GB"/>
              </w:rPr>
              <w:t>December 31, 2015</w:t>
            </w:r>
          </w:p>
        </w:tc>
      </w:tr>
      <w:tr w:rsidR="004B2A4B" w:rsidRPr="00CB3BFB" w14:paraId="71B309DC" w14:textId="77777777" w:rsidTr="00991A8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95" w:type="pct"/>
            <w:tcBorders>
              <w:top w:val="single" w:sz="4" w:space="0" w:color="000000" w:themeColor="text1"/>
            </w:tcBorders>
            <w:shd w:val="clear" w:color="auto" w:fill="auto"/>
            <w:noWrap/>
            <w:hideMark/>
          </w:tcPr>
          <w:p w14:paraId="2A9F86E6" w14:textId="77777777" w:rsidR="004B2A4B" w:rsidRPr="00CB3BFB" w:rsidRDefault="004B2A4B" w:rsidP="00991A8E">
            <w:pPr>
              <w:rPr>
                <w:rFonts w:ascii="Arial" w:hAnsi="Arial" w:cs="Arial"/>
                <w:sz w:val="19"/>
                <w:szCs w:val="19"/>
                <w:lang w:val="en-GB"/>
              </w:rPr>
            </w:pPr>
            <w:r w:rsidRPr="00CB3BFB">
              <w:rPr>
                <w:rFonts w:ascii="Arial" w:hAnsi="Arial" w:cs="Arial"/>
                <w:sz w:val="19"/>
                <w:szCs w:val="19"/>
                <w:lang w:val="en-GB"/>
              </w:rPr>
              <w:t>Cash Flow</w:t>
            </w:r>
          </w:p>
        </w:tc>
        <w:tc>
          <w:tcPr>
            <w:tcW w:w="1080" w:type="pct"/>
            <w:tcBorders>
              <w:top w:val="single" w:sz="4" w:space="0" w:color="000000" w:themeColor="text1"/>
            </w:tcBorders>
            <w:shd w:val="clear" w:color="auto" w:fill="auto"/>
            <w:noWrap/>
            <w:hideMark/>
          </w:tcPr>
          <w:p w14:paraId="4506F700" w14:textId="77777777" w:rsidR="004B2A4B" w:rsidRPr="00CB3BFB" w:rsidRDefault="004B2A4B" w:rsidP="00A456AE">
            <w:pPr>
              <w:ind w:left="180"/>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p>
        </w:tc>
        <w:tc>
          <w:tcPr>
            <w:tcW w:w="1080" w:type="pct"/>
            <w:tcBorders>
              <w:top w:val="single" w:sz="4" w:space="0" w:color="000000" w:themeColor="text1"/>
            </w:tcBorders>
            <w:shd w:val="clear" w:color="auto" w:fill="auto"/>
            <w:noWrap/>
            <w:hideMark/>
          </w:tcPr>
          <w:p w14:paraId="373EA5D9" w14:textId="77777777" w:rsidR="004B2A4B" w:rsidRPr="00CB3BFB" w:rsidRDefault="004B2A4B" w:rsidP="00A456AE">
            <w:pPr>
              <w:ind w:left="180"/>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p>
        </w:tc>
        <w:tc>
          <w:tcPr>
            <w:tcW w:w="1245" w:type="pct"/>
            <w:tcBorders>
              <w:top w:val="single" w:sz="4" w:space="0" w:color="000000" w:themeColor="text1"/>
            </w:tcBorders>
            <w:shd w:val="clear" w:color="auto" w:fill="auto"/>
            <w:noWrap/>
            <w:hideMark/>
          </w:tcPr>
          <w:p w14:paraId="796D506B" w14:textId="77777777" w:rsidR="004B2A4B" w:rsidRPr="00CB3BFB" w:rsidRDefault="004B2A4B" w:rsidP="00A456AE">
            <w:pPr>
              <w:ind w:left="180"/>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p>
        </w:tc>
      </w:tr>
      <w:tr w:rsidR="004B2A4B" w:rsidRPr="00CB3BFB" w14:paraId="0CFCABA1" w14:textId="77777777" w:rsidTr="00A456AE">
        <w:trPr>
          <w:trHeight w:val="144"/>
        </w:trPr>
        <w:tc>
          <w:tcPr>
            <w:cnfStyle w:val="001000000000" w:firstRow="0" w:lastRow="0" w:firstColumn="1" w:lastColumn="0" w:oddVBand="0" w:evenVBand="0" w:oddHBand="0" w:evenHBand="0" w:firstRowFirstColumn="0" w:firstRowLastColumn="0" w:lastRowFirstColumn="0" w:lastRowLastColumn="0"/>
            <w:tcW w:w="1595" w:type="pct"/>
            <w:shd w:val="clear" w:color="auto" w:fill="auto"/>
            <w:noWrap/>
            <w:hideMark/>
          </w:tcPr>
          <w:p w14:paraId="7C8E39D3" w14:textId="77777777" w:rsidR="004B2A4B" w:rsidRPr="00CB3BFB" w:rsidRDefault="004B2A4B" w:rsidP="00991A8E">
            <w:pPr>
              <w:rPr>
                <w:rFonts w:ascii="Arial" w:hAnsi="Arial" w:cs="Arial"/>
                <w:b w:val="0"/>
                <w:sz w:val="19"/>
                <w:szCs w:val="19"/>
                <w:lang w:val="en-GB"/>
              </w:rPr>
            </w:pPr>
            <w:r w:rsidRPr="00CB3BFB">
              <w:rPr>
                <w:rFonts w:ascii="Arial" w:hAnsi="Arial" w:cs="Arial"/>
                <w:b w:val="0"/>
                <w:sz w:val="19"/>
                <w:szCs w:val="19"/>
                <w:lang w:val="en-GB"/>
              </w:rPr>
              <w:t>Received from Customers</w:t>
            </w:r>
          </w:p>
        </w:tc>
        <w:tc>
          <w:tcPr>
            <w:tcW w:w="1080" w:type="pct"/>
            <w:shd w:val="clear" w:color="auto" w:fill="auto"/>
            <w:noWrap/>
            <w:hideMark/>
          </w:tcPr>
          <w:p w14:paraId="774D4C0F" w14:textId="77777777" w:rsidR="004B2A4B" w:rsidRPr="00CB3BFB" w:rsidRDefault="004B2A4B" w:rsidP="00A456AE">
            <w:pPr>
              <w:ind w:left="180"/>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CB3BFB">
              <w:rPr>
                <w:rFonts w:ascii="Arial" w:hAnsi="Arial" w:cs="Arial"/>
                <w:sz w:val="19"/>
                <w:szCs w:val="19"/>
                <w:lang w:val="en-GB"/>
              </w:rPr>
              <w:t>0</w:t>
            </w:r>
          </w:p>
        </w:tc>
        <w:tc>
          <w:tcPr>
            <w:tcW w:w="1080" w:type="pct"/>
            <w:shd w:val="clear" w:color="auto" w:fill="auto"/>
            <w:noWrap/>
            <w:hideMark/>
          </w:tcPr>
          <w:p w14:paraId="6B6BD7C1" w14:textId="77777777" w:rsidR="004B2A4B" w:rsidRPr="00CB3BFB" w:rsidRDefault="004B2A4B" w:rsidP="00A456AE">
            <w:pPr>
              <w:ind w:left="180"/>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CB3BFB">
              <w:rPr>
                <w:rFonts w:ascii="Arial" w:hAnsi="Arial" w:cs="Arial"/>
                <w:sz w:val="19"/>
                <w:szCs w:val="19"/>
                <w:lang w:val="en-GB"/>
              </w:rPr>
              <w:t>0</w:t>
            </w:r>
          </w:p>
        </w:tc>
        <w:tc>
          <w:tcPr>
            <w:tcW w:w="1245" w:type="pct"/>
            <w:shd w:val="clear" w:color="auto" w:fill="auto"/>
            <w:noWrap/>
            <w:hideMark/>
          </w:tcPr>
          <w:p w14:paraId="2340EE24" w14:textId="77777777" w:rsidR="004B2A4B" w:rsidRPr="00CB3BFB" w:rsidRDefault="004B2A4B" w:rsidP="00A456AE">
            <w:pPr>
              <w:ind w:left="180"/>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CB3BFB">
              <w:rPr>
                <w:rFonts w:ascii="Arial" w:hAnsi="Arial" w:cs="Arial"/>
                <w:sz w:val="19"/>
                <w:szCs w:val="19"/>
                <w:lang w:val="en-GB"/>
              </w:rPr>
              <w:t>39</w:t>
            </w:r>
          </w:p>
        </w:tc>
      </w:tr>
      <w:tr w:rsidR="004B2A4B" w:rsidRPr="00CB3BFB" w14:paraId="095D9E2B" w14:textId="77777777" w:rsidTr="00A456A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95" w:type="pct"/>
            <w:shd w:val="clear" w:color="auto" w:fill="auto"/>
            <w:noWrap/>
            <w:hideMark/>
          </w:tcPr>
          <w:p w14:paraId="5450FD14" w14:textId="77777777" w:rsidR="004B2A4B" w:rsidRPr="00CB3BFB" w:rsidRDefault="004B2A4B" w:rsidP="00991A8E">
            <w:pPr>
              <w:rPr>
                <w:rFonts w:ascii="Arial" w:hAnsi="Arial" w:cs="Arial"/>
                <w:b w:val="0"/>
                <w:sz w:val="19"/>
                <w:szCs w:val="19"/>
                <w:lang w:val="en-GB"/>
              </w:rPr>
            </w:pPr>
            <w:r w:rsidRPr="00CB3BFB">
              <w:rPr>
                <w:rFonts w:ascii="Arial" w:hAnsi="Arial" w:cs="Arial"/>
                <w:b w:val="0"/>
                <w:sz w:val="19"/>
                <w:szCs w:val="19"/>
                <w:lang w:val="en-GB"/>
              </w:rPr>
              <w:t>Paid to Suppliers and Employees</w:t>
            </w:r>
          </w:p>
        </w:tc>
        <w:tc>
          <w:tcPr>
            <w:tcW w:w="1080" w:type="pct"/>
            <w:shd w:val="clear" w:color="auto" w:fill="auto"/>
            <w:noWrap/>
            <w:hideMark/>
          </w:tcPr>
          <w:p w14:paraId="4209CDF2" w14:textId="77777777" w:rsidR="004B2A4B" w:rsidRPr="00CB3BFB" w:rsidRDefault="004B2A4B" w:rsidP="00A456AE">
            <w:pPr>
              <w:ind w:left="180"/>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CB3BFB">
              <w:rPr>
                <w:rFonts w:ascii="Arial" w:hAnsi="Arial" w:cs="Arial"/>
                <w:sz w:val="19"/>
                <w:szCs w:val="19"/>
                <w:lang w:val="en-GB"/>
              </w:rPr>
              <w:t>−580</w:t>
            </w:r>
          </w:p>
        </w:tc>
        <w:tc>
          <w:tcPr>
            <w:tcW w:w="1080" w:type="pct"/>
            <w:shd w:val="clear" w:color="auto" w:fill="auto"/>
            <w:noWrap/>
            <w:hideMark/>
          </w:tcPr>
          <w:p w14:paraId="0D2E830D" w14:textId="77777777" w:rsidR="004B2A4B" w:rsidRPr="00CB3BFB" w:rsidRDefault="004B2A4B" w:rsidP="00A456AE">
            <w:pPr>
              <w:ind w:left="180"/>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CB3BFB">
              <w:rPr>
                <w:rFonts w:ascii="Arial" w:hAnsi="Arial" w:cs="Arial"/>
                <w:sz w:val="19"/>
                <w:szCs w:val="19"/>
                <w:lang w:val="en-GB"/>
              </w:rPr>
              <w:t>−1,103</w:t>
            </w:r>
          </w:p>
        </w:tc>
        <w:tc>
          <w:tcPr>
            <w:tcW w:w="1245" w:type="pct"/>
            <w:shd w:val="clear" w:color="auto" w:fill="auto"/>
            <w:noWrap/>
            <w:hideMark/>
          </w:tcPr>
          <w:p w14:paraId="4C663DCC" w14:textId="77777777" w:rsidR="004B2A4B" w:rsidRPr="00CB3BFB" w:rsidRDefault="004B2A4B" w:rsidP="00A456AE">
            <w:pPr>
              <w:ind w:left="180"/>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CB3BFB">
              <w:rPr>
                <w:rFonts w:ascii="Arial" w:hAnsi="Arial" w:cs="Arial"/>
                <w:sz w:val="19"/>
                <w:szCs w:val="19"/>
                <w:lang w:val="en-GB"/>
              </w:rPr>
              <w:t>−2,616</w:t>
            </w:r>
          </w:p>
        </w:tc>
      </w:tr>
      <w:tr w:rsidR="004B2A4B" w:rsidRPr="00CB3BFB" w14:paraId="7BAD7375" w14:textId="77777777" w:rsidTr="00A456AE">
        <w:trPr>
          <w:trHeight w:val="144"/>
        </w:trPr>
        <w:tc>
          <w:tcPr>
            <w:cnfStyle w:val="001000000000" w:firstRow="0" w:lastRow="0" w:firstColumn="1" w:lastColumn="0" w:oddVBand="0" w:evenVBand="0" w:oddHBand="0" w:evenHBand="0" w:firstRowFirstColumn="0" w:firstRowLastColumn="0" w:lastRowFirstColumn="0" w:lastRowLastColumn="0"/>
            <w:tcW w:w="1595" w:type="pct"/>
            <w:shd w:val="clear" w:color="auto" w:fill="auto"/>
            <w:noWrap/>
            <w:hideMark/>
          </w:tcPr>
          <w:p w14:paraId="6789900A" w14:textId="77777777" w:rsidR="004B2A4B" w:rsidRPr="00CB3BFB" w:rsidRDefault="004B2A4B" w:rsidP="00991A8E">
            <w:pPr>
              <w:rPr>
                <w:rFonts w:ascii="Arial" w:hAnsi="Arial" w:cs="Arial"/>
                <w:b w:val="0"/>
                <w:sz w:val="19"/>
                <w:szCs w:val="19"/>
                <w:lang w:val="en-GB"/>
              </w:rPr>
            </w:pPr>
            <w:r w:rsidRPr="00CB3BFB">
              <w:rPr>
                <w:rFonts w:ascii="Arial" w:hAnsi="Arial" w:cs="Arial"/>
                <w:b w:val="0"/>
                <w:sz w:val="19"/>
                <w:szCs w:val="19"/>
                <w:lang w:val="en-GB"/>
              </w:rPr>
              <w:t>Operating Cash Flow</w:t>
            </w:r>
          </w:p>
        </w:tc>
        <w:tc>
          <w:tcPr>
            <w:tcW w:w="1080" w:type="pct"/>
            <w:shd w:val="clear" w:color="auto" w:fill="auto"/>
            <w:noWrap/>
            <w:hideMark/>
          </w:tcPr>
          <w:p w14:paraId="2367C738" w14:textId="77777777" w:rsidR="004B2A4B" w:rsidRPr="00CB3BFB" w:rsidRDefault="004B2A4B" w:rsidP="00A456AE">
            <w:pPr>
              <w:ind w:left="180"/>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CB3BFB">
              <w:rPr>
                <w:rFonts w:ascii="Arial" w:hAnsi="Arial" w:cs="Arial"/>
                <w:sz w:val="19"/>
                <w:szCs w:val="19"/>
                <w:lang w:val="en-GB"/>
              </w:rPr>
              <w:t>−580</w:t>
            </w:r>
          </w:p>
        </w:tc>
        <w:tc>
          <w:tcPr>
            <w:tcW w:w="1080" w:type="pct"/>
            <w:shd w:val="clear" w:color="auto" w:fill="auto"/>
            <w:noWrap/>
            <w:hideMark/>
          </w:tcPr>
          <w:p w14:paraId="5F528549" w14:textId="77777777" w:rsidR="004B2A4B" w:rsidRPr="00CB3BFB" w:rsidRDefault="004B2A4B" w:rsidP="00A456AE">
            <w:pPr>
              <w:ind w:left="180"/>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CB3BFB">
              <w:rPr>
                <w:rFonts w:ascii="Arial" w:hAnsi="Arial" w:cs="Arial"/>
                <w:sz w:val="19"/>
                <w:szCs w:val="19"/>
                <w:lang w:val="en-GB"/>
              </w:rPr>
              <w:t>−1,103</w:t>
            </w:r>
          </w:p>
        </w:tc>
        <w:tc>
          <w:tcPr>
            <w:tcW w:w="1245" w:type="pct"/>
            <w:shd w:val="clear" w:color="auto" w:fill="auto"/>
            <w:noWrap/>
            <w:hideMark/>
          </w:tcPr>
          <w:p w14:paraId="7BD02878" w14:textId="77777777" w:rsidR="004B2A4B" w:rsidRPr="00CB3BFB" w:rsidRDefault="004B2A4B" w:rsidP="00A456AE">
            <w:pPr>
              <w:ind w:left="180"/>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CB3BFB">
              <w:rPr>
                <w:rFonts w:ascii="Arial" w:hAnsi="Arial" w:cs="Arial"/>
                <w:sz w:val="19"/>
                <w:szCs w:val="19"/>
                <w:lang w:val="en-GB"/>
              </w:rPr>
              <w:t>−2,577</w:t>
            </w:r>
          </w:p>
        </w:tc>
      </w:tr>
      <w:tr w:rsidR="004B2A4B" w:rsidRPr="00CB3BFB" w14:paraId="0D48F6D6" w14:textId="77777777" w:rsidTr="00A456A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95" w:type="pct"/>
            <w:shd w:val="clear" w:color="auto" w:fill="auto"/>
            <w:noWrap/>
            <w:hideMark/>
          </w:tcPr>
          <w:p w14:paraId="4833570D" w14:textId="77777777" w:rsidR="004B2A4B" w:rsidRPr="00CB3BFB" w:rsidRDefault="004B2A4B" w:rsidP="00991A8E">
            <w:pPr>
              <w:rPr>
                <w:rFonts w:ascii="Arial" w:hAnsi="Arial" w:cs="Arial"/>
                <w:b w:val="0"/>
                <w:sz w:val="19"/>
                <w:szCs w:val="19"/>
                <w:lang w:val="en-GB"/>
              </w:rPr>
            </w:pPr>
            <w:r w:rsidRPr="00CB3BFB">
              <w:rPr>
                <w:rFonts w:ascii="Arial" w:hAnsi="Arial" w:cs="Arial"/>
                <w:b w:val="0"/>
                <w:sz w:val="19"/>
                <w:szCs w:val="19"/>
                <w:lang w:val="en-GB"/>
              </w:rPr>
              <w:t>Capital Expenditure</w:t>
            </w:r>
          </w:p>
        </w:tc>
        <w:tc>
          <w:tcPr>
            <w:tcW w:w="1080" w:type="pct"/>
            <w:shd w:val="clear" w:color="auto" w:fill="auto"/>
            <w:noWrap/>
            <w:hideMark/>
          </w:tcPr>
          <w:p w14:paraId="749F57D3" w14:textId="77777777" w:rsidR="004B2A4B" w:rsidRPr="00CB3BFB" w:rsidRDefault="004B2A4B" w:rsidP="00A456AE">
            <w:pPr>
              <w:ind w:left="180"/>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CB3BFB">
              <w:rPr>
                <w:rFonts w:ascii="Arial" w:hAnsi="Arial" w:cs="Arial"/>
                <w:sz w:val="19"/>
                <w:szCs w:val="19"/>
                <w:lang w:val="en-GB"/>
              </w:rPr>
              <w:t>−5</w:t>
            </w:r>
          </w:p>
        </w:tc>
        <w:tc>
          <w:tcPr>
            <w:tcW w:w="1080" w:type="pct"/>
            <w:shd w:val="clear" w:color="auto" w:fill="auto"/>
            <w:noWrap/>
            <w:hideMark/>
          </w:tcPr>
          <w:p w14:paraId="1FF92C25" w14:textId="77777777" w:rsidR="004B2A4B" w:rsidRPr="00CB3BFB" w:rsidRDefault="004B2A4B" w:rsidP="00A456AE">
            <w:pPr>
              <w:ind w:left="180"/>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CB3BFB">
              <w:rPr>
                <w:rFonts w:ascii="Arial" w:hAnsi="Arial" w:cs="Arial"/>
                <w:sz w:val="19"/>
                <w:szCs w:val="19"/>
                <w:lang w:val="en-GB"/>
              </w:rPr>
              <w:t>−15</w:t>
            </w:r>
          </w:p>
        </w:tc>
        <w:tc>
          <w:tcPr>
            <w:tcW w:w="1245" w:type="pct"/>
            <w:shd w:val="clear" w:color="auto" w:fill="auto"/>
            <w:noWrap/>
            <w:hideMark/>
          </w:tcPr>
          <w:p w14:paraId="351F4FE6" w14:textId="77777777" w:rsidR="004B2A4B" w:rsidRPr="00CB3BFB" w:rsidRDefault="004B2A4B" w:rsidP="00A456AE">
            <w:pPr>
              <w:ind w:left="180"/>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CB3BFB">
              <w:rPr>
                <w:rFonts w:ascii="Arial" w:hAnsi="Arial" w:cs="Arial"/>
                <w:sz w:val="19"/>
                <w:szCs w:val="19"/>
                <w:lang w:val="en-GB"/>
              </w:rPr>
              <w:t>−21</w:t>
            </w:r>
          </w:p>
        </w:tc>
      </w:tr>
      <w:tr w:rsidR="004B2A4B" w:rsidRPr="00CB3BFB" w14:paraId="3A8AC450" w14:textId="77777777" w:rsidTr="00A456AE">
        <w:trPr>
          <w:trHeight w:val="144"/>
        </w:trPr>
        <w:tc>
          <w:tcPr>
            <w:cnfStyle w:val="001000000000" w:firstRow="0" w:lastRow="0" w:firstColumn="1" w:lastColumn="0" w:oddVBand="0" w:evenVBand="0" w:oddHBand="0" w:evenHBand="0" w:firstRowFirstColumn="0" w:firstRowLastColumn="0" w:lastRowFirstColumn="0" w:lastRowLastColumn="0"/>
            <w:tcW w:w="1595" w:type="pct"/>
            <w:shd w:val="clear" w:color="auto" w:fill="auto"/>
            <w:noWrap/>
            <w:hideMark/>
          </w:tcPr>
          <w:p w14:paraId="43321FC5" w14:textId="77777777" w:rsidR="004B2A4B" w:rsidRPr="00CB3BFB" w:rsidRDefault="004B2A4B" w:rsidP="00991A8E">
            <w:pPr>
              <w:rPr>
                <w:rFonts w:ascii="Arial" w:hAnsi="Arial" w:cs="Arial"/>
                <w:b w:val="0"/>
                <w:sz w:val="19"/>
                <w:szCs w:val="19"/>
                <w:lang w:val="en-GB"/>
              </w:rPr>
            </w:pPr>
            <w:r w:rsidRPr="00CB3BFB">
              <w:rPr>
                <w:rFonts w:ascii="Arial" w:hAnsi="Arial" w:cs="Arial"/>
                <w:b w:val="0"/>
                <w:sz w:val="19"/>
                <w:szCs w:val="19"/>
                <w:lang w:val="en-GB"/>
              </w:rPr>
              <w:t>Software Development</w:t>
            </w:r>
          </w:p>
        </w:tc>
        <w:tc>
          <w:tcPr>
            <w:tcW w:w="1080" w:type="pct"/>
            <w:shd w:val="clear" w:color="auto" w:fill="auto"/>
            <w:noWrap/>
            <w:hideMark/>
          </w:tcPr>
          <w:p w14:paraId="74F9B2F6" w14:textId="77777777" w:rsidR="004B2A4B" w:rsidRPr="00CB3BFB" w:rsidRDefault="004B2A4B" w:rsidP="00A456AE">
            <w:pPr>
              <w:ind w:left="180"/>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CB3BFB">
              <w:rPr>
                <w:rFonts w:ascii="Arial" w:hAnsi="Arial" w:cs="Arial"/>
                <w:sz w:val="19"/>
                <w:szCs w:val="19"/>
                <w:lang w:val="en-GB"/>
              </w:rPr>
              <w:t>−181</w:t>
            </w:r>
          </w:p>
        </w:tc>
        <w:tc>
          <w:tcPr>
            <w:tcW w:w="1080" w:type="pct"/>
            <w:shd w:val="clear" w:color="auto" w:fill="auto"/>
            <w:noWrap/>
            <w:hideMark/>
          </w:tcPr>
          <w:p w14:paraId="2A5384E0" w14:textId="77777777" w:rsidR="004B2A4B" w:rsidRPr="00CB3BFB" w:rsidRDefault="004B2A4B" w:rsidP="00A456AE">
            <w:pPr>
              <w:ind w:left="180"/>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CB3BFB">
              <w:rPr>
                <w:rFonts w:ascii="Arial" w:hAnsi="Arial" w:cs="Arial"/>
                <w:sz w:val="19"/>
                <w:szCs w:val="19"/>
                <w:lang w:val="en-GB"/>
              </w:rPr>
              <w:t>−460</w:t>
            </w:r>
          </w:p>
        </w:tc>
        <w:tc>
          <w:tcPr>
            <w:tcW w:w="1245" w:type="pct"/>
            <w:shd w:val="clear" w:color="auto" w:fill="auto"/>
            <w:noWrap/>
            <w:hideMark/>
          </w:tcPr>
          <w:p w14:paraId="611D4271" w14:textId="77777777" w:rsidR="004B2A4B" w:rsidRPr="00CB3BFB" w:rsidRDefault="004B2A4B" w:rsidP="00A456AE">
            <w:pPr>
              <w:ind w:left="180"/>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CB3BFB">
              <w:rPr>
                <w:rFonts w:ascii="Arial" w:hAnsi="Arial" w:cs="Arial"/>
                <w:sz w:val="19"/>
                <w:szCs w:val="19"/>
                <w:lang w:val="en-GB"/>
              </w:rPr>
              <w:t>−229</w:t>
            </w:r>
          </w:p>
        </w:tc>
      </w:tr>
      <w:tr w:rsidR="004B2A4B" w:rsidRPr="00CB3BFB" w14:paraId="3180C94E" w14:textId="77777777" w:rsidTr="00A456A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95" w:type="pct"/>
            <w:shd w:val="clear" w:color="auto" w:fill="auto"/>
            <w:noWrap/>
            <w:hideMark/>
          </w:tcPr>
          <w:p w14:paraId="789A140A" w14:textId="77777777" w:rsidR="004B2A4B" w:rsidRPr="00CB3BFB" w:rsidRDefault="004B2A4B" w:rsidP="00991A8E">
            <w:pPr>
              <w:rPr>
                <w:rFonts w:ascii="Arial" w:hAnsi="Arial" w:cs="Arial"/>
                <w:b w:val="0"/>
                <w:sz w:val="19"/>
                <w:szCs w:val="19"/>
                <w:lang w:val="en-GB"/>
              </w:rPr>
            </w:pPr>
            <w:r w:rsidRPr="00CB3BFB">
              <w:rPr>
                <w:rFonts w:ascii="Arial" w:hAnsi="Arial" w:cs="Arial"/>
                <w:b w:val="0"/>
                <w:sz w:val="19"/>
                <w:szCs w:val="19"/>
                <w:lang w:val="en-GB"/>
              </w:rPr>
              <w:t>Cash Flow from Investing Activities</w:t>
            </w:r>
          </w:p>
        </w:tc>
        <w:tc>
          <w:tcPr>
            <w:tcW w:w="1080" w:type="pct"/>
            <w:shd w:val="clear" w:color="auto" w:fill="auto"/>
            <w:noWrap/>
            <w:hideMark/>
          </w:tcPr>
          <w:p w14:paraId="49FFC1D0" w14:textId="77777777" w:rsidR="004B2A4B" w:rsidRPr="00CB3BFB" w:rsidRDefault="004B2A4B" w:rsidP="00A456AE">
            <w:pPr>
              <w:ind w:left="180"/>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CB3BFB">
              <w:rPr>
                <w:rFonts w:ascii="Arial" w:hAnsi="Arial" w:cs="Arial"/>
                <w:sz w:val="19"/>
                <w:szCs w:val="19"/>
                <w:lang w:val="en-GB"/>
              </w:rPr>
              <w:t>−186</w:t>
            </w:r>
          </w:p>
        </w:tc>
        <w:tc>
          <w:tcPr>
            <w:tcW w:w="1080" w:type="pct"/>
            <w:shd w:val="clear" w:color="auto" w:fill="auto"/>
            <w:noWrap/>
            <w:hideMark/>
          </w:tcPr>
          <w:p w14:paraId="73BB1DE7" w14:textId="77777777" w:rsidR="004B2A4B" w:rsidRPr="00CB3BFB" w:rsidRDefault="004B2A4B" w:rsidP="00A456AE">
            <w:pPr>
              <w:ind w:left="180"/>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CB3BFB">
              <w:rPr>
                <w:rFonts w:ascii="Arial" w:hAnsi="Arial" w:cs="Arial"/>
                <w:sz w:val="19"/>
                <w:szCs w:val="19"/>
                <w:lang w:val="en-GB"/>
              </w:rPr>
              <w:t>−475</w:t>
            </w:r>
          </w:p>
        </w:tc>
        <w:tc>
          <w:tcPr>
            <w:tcW w:w="1245" w:type="pct"/>
            <w:shd w:val="clear" w:color="auto" w:fill="auto"/>
            <w:noWrap/>
            <w:hideMark/>
          </w:tcPr>
          <w:p w14:paraId="6C7722D9" w14:textId="77777777" w:rsidR="004B2A4B" w:rsidRPr="00CB3BFB" w:rsidRDefault="004B2A4B" w:rsidP="00A456AE">
            <w:pPr>
              <w:ind w:left="180"/>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CB3BFB">
              <w:rPr>
                <w:rFonts w:ascii="Arial" w:hAnsi="Arial" w:cs="Arial"/>
                <w:sz w:val="19"/>
                <w:szCs w:val="19"/>
                <w:lang w:val="en-GB"/>
              </w:rPr>
              <w:t>−250</w:t>
            </w:r>
          </w:p>
        </w:tc>
      </w:tr>
      <w:tr w:rsidR="004B2A4B" w:rsidRPr="00CB3BFB" w14:paraId="395C2461" w14:textId="77777777" w:rsidTr="00A456AE">
        <w:trPr>
          <w:trHeight w:val="144"/>
        </w:trPr>
        <w:tc>
          <w:tcPr>
            <w:cnfStyle w:val="001000000000" w:firstRow="0" w:lastRow="0" w:firstColumn="1" w:lastColumn="0" w:oddVBand="0" w:evenVBand="0" w:oddHBand="0" w:evenHBand="0" w:firstRowFirstColumn="0" w:firstRowLastColumn="0" w:lastRowFirstColumn="0" w:lastRowLastColumn="0"/>
            <w:tcW w:w="1595" w:type="pct"/>
            <w:shd w:val="clear" w:color="auto" w:fill="auto"/>
            <w:noWrap/>
            <w:hideMark/>
          </w:tcPr>
          <w:p w14:paraId="34B79386" w14:textId="77777777" w:rsidR="004B2A4B" w:rsidRPr="00CB3BFB" w:rsidRDefault="004B2A4B" w:rsidP="00991A8E">
            <w:pPr>
              <w:rPr>
                <w:rFonts w:ascii="Arial" w:hAnsi="Arial" w:cs="Arial"/>
                <w:b w:val="0"/>
                <w:sz w:val="19"/>
                <w:szCs w:val="19"/>
                <w:lang w:val="en-GB"/>
              </w:rPr>
            </w:pPr>
            <w:r w:rsidRPr="00CB3BFB">
              <w:rPr>
                <w:rFonts w:ascii="Arial" w:hAnsi="Arial" w:cs="Arial"/>
                <w:b w:val="0"/>
                <w:sz w:val="19"/>
                <w:szCs w:val="19"/>
                <w:lang w:val="en-GB"/>
              </w:rPr>
              <w:t>Proceeds from Share Issuance</w:t>
            </w:r>
          </w:p>
        </w:tc>
        <w:tc>
          <w:tcPr>
            <w:tcW w:w="1080" w:type="pct"/>
            <w:shd w:val="clear" w:color="auto" w:fill="auto"/>
            <w:noWrap/>
            <w:hideMark/>
          </w:tcPr>
          <w:p w14:paraId="01A33B86" w14:textId="77777777" w:rsidR="004B2A4B" w:rsidRPr="00CB3BFB" w:rsidRDefault="004B2A4B" w:rsidP="00A456AE">
            <w:pPr>
              <w:ind w:left="180"/>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CB3BFB">
              <w:rPr>
                <w:rFonts w:ascii="Arial" w:hAnsi="Arial" w:cs="Arial"/>
                <w:sz w:val="19"/>
                <w:szCs w:val="19"/>
                <w:lang w:val="en-GB"/>
              </w:rPr>
              <w:t>743</w:t>
            </w:r>
          </w:p>
        </w:tc>
        <w:tc>
          <w:tcPr>
            <w:tcW w:w="1080" w:type="pct"/>
            <w:shd w:val="clear" w:color="auto" w:fill="auto"/>
            <w:noWrap/>
            <w:hideMark/>
          </w:tcPr>
          <w:p w14:paraId="6E2F2DDD" w14:textId="77777777" w:rsidR="004B2A4B" w:rsidRPr="00CB3BFB" w:rsidRDefault="004B2A4B" w:rsidP="00A456AE">
            <w:pPr>
              <w:ind w:left="180"/>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CB3BFB">
              <w:rPr>
                <w:rFonts w:ascii="Arial" w:hAnsi="Arial" w:cs="Arial"/>
                <w:sz w:val="19"/>
                <w:szCs w:val="19"/>
                <w:lang w:val="en-GB"/>
              </w:rPr>
              <w:t>2,263</w:t>
            </w:r>
          </w:p>
        </w:tc>
        <w:tc>
          <w:tcPr>
            <w:tcW w:w="1245" w:type="pct"/>
            <w:shd w:val="clear" w:color="auto" w:fill="auto"/>
            <w:noWrap/>
            <w:hideMark/>
          </w:tcPr>
          <w:p w14:paraId="22FF5B3E" w14:textId="77777777" w:rsidR="004B2A4B" w:rsidRPr="00CB3BFB" w:rsidRDefault="004B2A4B" w:rsidP="00A456AE">
            <w:pPr>
              <w:ind w:left="180"/>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CB3BFB">
              <w:rPr>
                <w:rFonts w:ascii="Arial" w:hAnsi="Arial" w:cs="Arial"/>
                <w:sz w:val="19"/>
                <w:szCs w:val="19"/>
                <w:lang w:val="en-GB"/>
              </w:rPr>
              <w:t>5,120</w:t>
            </w:r>
          </w:p>
        </w:tc>
      </w:tr>
      <w:tr w:rsidR="004B2A4B" w:rsidRPr="00CB3BFB" w14:paraId="23C188D1" w14:textId="77777777" w:rsidTr="00A456A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95" w:type="pct"/>
            <w:shd w:val="clear" w:color="auto" w:fill="auto"/>
            <w:noWrap/>
            <w:hideMark/>
          </w:tcPr>
          <w:p w14:paraId="1EEC6253" w14:textId="77777777" w:rsidR="004B2A4B" w:rsidRPr="00CB3BFB" w:rsidRDefault="004B2A4B" w:rsidP="00991A8E">
            <w:pPr>
              <w:rPr>
                <w:rFonts w:ascii="Arial" w:hAnsi="Arial" w:cs="Arial"/>
                <w:b w:val="0"/>
                <w:sz w:val="19"/>
                <w:szCs w:val="19"/>
                <w:lang w:val="en-GB"/>
              </w:rPr>
            </w:pPr>
            <w:r w:rsidRPr="00CB3BFB">
              <w:rPr>
                <w:rFonts w:ascii="Arial" w:hAnsi="Arial" w:cs="Arial"/>
                <w:b w:val="0"/>
                <w:sz w:val="19"/>
                <w:szCs w:val="19"/>
                <w:lang w:val="en-GB"/>
              </w:rPr>
              <w:t>Cash Flow from Financing Activities</w:t>
            </w:r>
          </w:p>
        </w:tc>
        <w:tc>
          <w:tcPr>
            <w:tcW w:w="1080" w:type="pct"/>
            <w:shd w:val="clear" w:color="auto" w:fill="auto"/>
            <w:noWrap/>
            <w:hideMark/>
          </w:tcPr>
          <w:p w14:paraId="6D84CFC2" w14:textId="77777777" w:rsidR="004B2A4B" w:rsidRPr="00CB3BFB" w:rsidRDefault="004B2A4B" w:rsidP="00A456AE">
            <w:pPr>
              <w:ind w:left="180"/>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CB3BFB">
              <w:rPr>
                <w:rFonts w:ascii="Arial" w:hAnsi="Arial" w:cs="Arial"/>
                <w:sz w:val="19"/>
                <w:szCs w:val="19"/>
                <w:lang w:val="en-GB"/>
              </w:rPr>
              <w:t>743</w:t>
            </w:r>
          </w:p>
        </w:tc>
        <w:tc>
          <w:tcPr>
            <w:tcW w:w="1080" w:type="pct"/>
            <w:shd w:val="clear" w:color="auto" w:fill="auto"/>
            <w:noWrap/>
            <w:hideMark/>
          </w:tcPr>
          <w:p w14:paraId="1B233BDE" w14:textId="77777777" w:rsidR="004B2A4B" w:rsidRPr="00CB3BFB" w:rsidRDefault="004B2A4B" w:rsidP="00A456AE">
            <w:pPr>
              <w:ind w:left="180"/>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CB3BFB">
              <w:rPr>
                <w:rFonts w:ascii="Arial" w:hAnsi="Arial" w:cs="Arial"/>
                <w:sz w:val="19"/>
                <w:szCs w:val="19"/>
                <w:lang w:val="en-GB"/>
              </w:rPr>
              <w:t>2,263</w:t>
            </w:r>
          </w:p>
        </w:tc>
        <w:tc>
          <w:tcPr>
            <w:tcW w:w="1245" w:type="pct"/>
            <w:shd w:val="clear" w:color="auto" w:fill="auto"/>
            <w:noWrap/>
            <w:hideMark/>
          </w:tcPr>
          <w:p w14:paraId="31BC66D3" w14:textId="77777777" w:rsidR="004B2A4B" w:rsidRPr="00CB3BFB" w:rsidRDefault="004B2A4B" w:rsidP="00A456AE">
            <w:pPr>
              <w:ind w:left="180"/>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CB3BFB">
              <w:rPr>
                <w:rFonts w:ascii="Arial" w:hAnsi="Arial" w:cs="Arial"/>
                <w:sz w:val="19"/>
                <w:szCs w:val="19"/>
                <w:lang w:val="en-GB"/>
              </w:rPr>
              <w:t>5,120</w:t>
            </w:r>
          </w:p>
        </w:tc>
      </w:tr>
      <w:tr w:rsidR="004B2A4B" w:rsidRPr="00CB3BFB" w14:paraId="4252F9A0" w14:textId="77777777" w:rsidTr="00A456AE">
        <w:trPr>
          <w:trHeight w:val="144"/>
        </w:trPr>
        <w:tc>
          <w:tcPr>
            <w:cnfStyle w:val="001000000000" w:firstRow="0" w:lastRow="0" w:firstColumn="1" w:lastColumn="0" w:oddVBand="0" w:evenVBand="0" w:oddHBand="0" w:evenHBand="0" w:firstRowFirstColumn="0" w:firstRowLastColumn="0" w:lastRowFirstColumn="0" w:lastRowLastColumn="0"/>
            <w:tcW w:w="1595" w:type="pct"/>
            <w:shd w:val="clear" w:color="auto" w:fill="auto"/>
            <w:noWrap/>
            <w:hideMark/>
          </w:tcPr>
          <w:p w14:paraId="52AA7D6F" w14:textId="77777777" w:rsidR="004B2A4B" w:rsidRPr="00CB3BFB" w:rsidRDefault="004B2A4B" w:rsidP="00991A8E">
            <w:pPr>
              <w:rPr>
                <w:rFonts w:ascii="Arial" w:hAnsi="Arial" w:cs="Arial"/>
                <w:sz w:val="19"/>
                <w:szCs w:val="19"/>
                <w:lang w:val="en-GB"/>
              </w:rPr>
            </w:pPr>
            <w:r w:rsidRPr="00CB3BFB">
              <w:rPr>
                <w:rFonts w:ascii="Arial" w:hAnsi="Arial" w:cs="Arial"/>
                <w:sz w:val="19"/>
                <w:szCs w:val="19"/>
                <w:lang w:val="en-GB"/>
              </w:rPr>
              <w:t>Opening Cash</w:t>
            </w:r>
          </w:p>
        </w:tc>
        <w:tc>
          <w:tcPr>
            <w:tcW w:w="1080" w:type="pct"/>
            <w:shd w:val="clear" w:color="auto" w:fill="auto"/>
            <w:noWrap/>
            <w:hideMark/>
          </w:tcPr>
          <w:p w14:paraId="719AFE69" w14:textId="77777777" w:rsidR="004B2A4B" w:rsidRPr="00CB3BFB" w:rsidRDefault="004B2A4B" w:rsidP="00A456AE">
            <w:pPr>
              <w:ind w:left="180"/>
              <w:jc w:val="right"/>
              <w:cnfStyle w:val="000000000000" w:firstRow="0" w:lastRow="0" w:firstColumn="0" w:lastColumn="0" w:oddVBand="0" w:evenVBand="0" w:oddHBand="0" w:evenHBand="0" w:firstRowFirstColumn="0" w:firstRowLastColumn="0" w:lastRowFirstColumn="0" w:lastRowLastColumn="0"/>
              <w:rPr>
                <w:rFonts w:ascii="Arial" w:hAnsi="Arial" w:cs="Arial"/>
                <w:b/>
                <w:sz w:val="19"/>
                <w:szCs w:val="19"/>
                <w:lang w:val="en-GB"/>
              </w:rPr>
            </w:pPr>
            <w:r w:rsidRPr="00CB3BFB">
              <w:rPr>
                <w:rFonts w:ascii="Arial" w:hAnsi="Arial" w:cs="Arial"/>
                <w:b/>
                <w:sz w:val="19"/>
                <w:szCs w:val="19"/>
                <w:lang w:val="en-GB"/>
              </w:rPr>
              <w:t>102</w:t>
            </w:r>
          </w:p>
        </w:tc>
        <w:tc>
          <w:tcPr>
            <w:tcW w:w="1080" w:type="pct"/>
            <w:shd w:val="clear" w:color="auto" w:fill="auto"/>
            <w:noWrap/>
            <w:hideMark/>
          </w:tcPr>
          <w:p w14:paraId="621F0258" w14:textId="77777777" w:rsidR="004B2A4B" w:rsidRPr="00CB3BFB" w:rsidRDefault="004B2A4B" w:rsidP="00A456AE">
            <w:pPr>
              <w:ind w:left="180"/>
              <w:jc w:val="right"/>
              <w:cnfStyle w:val="000000000000" w:firstRow="0" w:lastRow="0" w:firstColumn="0" w:lastColumn="0" w:oddVBand="0" w:evenVBand="0" w:oddHBand="0" w:evenHBand="0" w:firstRowFirstColumn="0" w:firstRowLastColumn="0" w:lastRowFirstColumn="0" w:lastRowLastColumn="0"/>
              <w:rPr>
                <w:rFonts w:ascii="Arial" w:hAnsi="Arial" w:cs="Arial"/>
                <w:b/>
                <w:sz w:val="19"/>
                <w:szCs w:val="19"/>
                <w:lang w:val="en-GB"/>
              </w:rPr>
            </w:pPr>
            <w:r w:rsidRPr="00CB3BFB">
              <w:rPr>
                <w:rFonts w:ascii="Arial" w:hAnsi="Arial" w:cs="Arial"/>
                <w:b/>
                <w:sz w:val="19"/>
                <w:szCs w:val="19"/>
                <w:lang w:val="en-GB"/>
              </w:rPr>
              <w:t>78</w:t>
            </w:r>
          </w:p>
        </w:tc>
        <w:tc>
          <w:tcPr>
            <w:tcW w:w="1245" w:type="pct"/>
            <w:shd w:val="clear" w:color="auto" w:fill="auto"/>
            <w:noWrap/>
            <w:hideMark/>
          </w:tcPr>
          <w:p w14:paraId="5AA9E214" w14:textId="77777777" w:rsidR="004B2A4B" w:rsidRPr="00CB3BFB" w:rsidRDefault="004B2A4B" w:rsidP="00A456AE">
            <w:pPr>
              <w:ind w:left="180"/>
              <w:jc w:val="right"/>
              <w:cnfStyle w:val="000000000000" w:firstRow="0" w:lastRow="0" w:firstColumn="0" w:lastColumn="0" w:oddVBand="0" w:evenVBand="0" w:oddHBand="0" w:evenHBand="0" w:firstRowFirstColumn="0" w:firstRowLastColumn="0" w:lastRowFirstColumn="0" w:lastRowLastColumn="0"/>
              <w:rPr>
                <w:rFonts w:ascii="Arial" w:hAnsi="Arial" w:cs="Arial"/>
                <w:b/>
                <w:sz w:val="19"/>
                <w:szCs w:val="19"/>
                <w:lang w:val="en-GB"/>
              </w:rPr>
            </w:pPr>
            <w:r w:rsidRPr="00CB3BFB">
              <w:rPr>
                <w:rFonts w:ascii="Arial" w:hAnsi="Arial" w:cs="Arial"/>
                <w:b/>
                <w:sz w:val="19"/>
                <w:szCs w:val="19"/>
                <w:lang w:val="en-GB"/>
              </w:rPr>
              <w:t>753</w:t>
            </w:r>
          </w:p>
        </w:tc>
      </w:tr>
      <w:tr w:rsidR="004B2A4B" w:rsidRPr="00CB3BFB" w14:paraId="60C995DC" w14:textId="77777777" w:rsidTr="00A456A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95" w:type="pct"/>
            <w:shd w:val="clear" w:color="auto" w:fill="auto"/>
            <w:noWrap/>
            <w:hideMark/>
          </w:tcPr>
          <w:p w14:paraId="043F393C" w14:textId="77777777" w:rsidR="004B2A4B" w:rsidRPr="00CB3BFB" w:rsidRDefault="004B2A4B" w:rsidP="00991A8E">
            <w:pPr>
              <w:rPr>
                <w:rFonts w:ascii="Arial" w:hAnsi="Arial" w:cs="Arial"/>
                <w:b w:val="0"/>
                <w:sz w:val="19"/>
                <w:szCs w:val="19"/>
                <w:lang w:val="en-GB"/>
              </w:rPr>
            </w:pPr>
            <w:r w:rsidRPr="00CB3BFB">
              <w:rPr>
                <w:rFonts w:ascii="Arial" w:hAnsi="Arial" w:cs="Arial"/>
                <w:b w:val="0"/>
                <w:sz w:val="19"/>
                <w:szCs w:val="19"/>
                <w:lang w:val="en-GB"/>
              </w:rPr>
              <w:t>Cash Flow</w:t>
            </w:r>
          </w:p>
        </w:tc>
        <w:tc>
          <w:tcPr>
            <w:tcW w:w="1080" w:type="pct"/>
            <w:shd w:val="clear" w:color="auto" w:fill="auto"/>
            <w:noWrap/>
            <w:hideMark/>
          </w:tcPr>
          <w:p w14:paraId="08835890" w14:textId="77777777" w:rsidR="004B2A4B" w:rsidRPr="00CB3BFB" w:rsidRDefault="004B2A4B" w:rsidP="00A456AE">
            <w:pPr>
              <w:ind w:left="180"/>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CB3BFB">
              <w:rPr>
                <w:rFonts w:ascii="Arial" w:hAnsi="Arial" w:cs="Arial"/>
                <w:sz w:val="19"/>
                <w:szCs w:val="19"/>
                <w:lang w:val="en-GB"/>
              </w:rPr>
              <w:t>−23</w:t>
            </w:r>
          </w:p>
        </w:tc>
        <w:tc>
          <w:tcPr>
            <w:tcW w:w="1080" w:type="pct"/>
            <w:shd w:val="clear" w:color="auto" w:fill="auto"/>
            <w:noWrap/>
            <w:hideMark/>
          </w:tcPr>
          <w:p w14:paraId="31E954C5" w14:textId="77777777" w:rsidR="004B2A4B" w:rsidRPr="00CB3BFB" w:rsidRDefault="004B2A4B" w:rsidP="00A456AE">
            <w:pPr>
              <w:ind w:left="180"/>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CB3BFB">
              <w:rPr>
                <w:rFonts w:ascii="Arial" w:hAnsi="Arial" w:cs="Arial"/>
                <w:sz w:val="19"/>
                <w:szCs w:val="19"/>
                <w:lang w:val="en-GB"/>
              </w:rPr>
              <w:t>685</w:t>
            </w:r>
          </w:p>
        </w:tc>
        <w:tc>
          <w:tcPr>
            <w:tcW w:w="1245" w:type="pct"/>
            <w:shd w:val="clear" w:color="auto" w:fill="auto"/>
            <w:noWrap/>
            <w:hideMark/>
          </w:tcPr>
          <w:p w14:paraId="5F65D5D8" w14:textId="77777777" w:rsidR="004B2A4B" w:rsidRPr="00CB3BFB" w:rsidRDefault="004B2A4B" w:rsidP="00A456AE">
            <w:pPr>
              <w:ind w:left="180"/>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CB3BFB">
              <w:rPr>
                <w:rFonts w:ascii="Arial" w:hAnsi="Arial" w:cs="Arial"/>
                <w:sz w:val="19"/>
                <w:szCs w:val="19"/>
                <w:lang w:val="en-GB"/>
              </w:rPr>
              <w:t>2,293</w:t>
            </w:r>
          </w:p>
        </w:tc>
      </w:tr>
      <w:tr w:rsidR="004B2A4B" w:rsidRPr="00CB3BFB" w14:paraId="44E6E172" w14:textId="77777777" w:rsidTr="00A456AE">
        <w:trPr>
          <w:trHeight w:val="144"/>
        </w:trPr>
        <w:tc>
          <w:tcPr>
            <w:cnfStyle w:val="001000000000" w:firstRow="0" w:lastRow="0" w:firstColumn="1" w:lastColumn="0" w:oddVBand="0" w:evenVBand="0" w:oddHBand="0" w:evenHBand="0" w:firstRowFirstColumn="0" w:firstRowLastColumn="0" w:lastRowFirstColumn="0" w:lastRowLastColumn="0"/>
            <w:tcW w:w="1595" w:type="pct"/>
            <w:shd w:val="clear" w:color="auto" w:fill="auto"/>
            <w:noWrap/>
            <w:hideMark/>
          </w:tcPr>
          <w:p w14:paraId="30870352" w14:textId="77777777" w:rsidR="004B2A4B" w:rsidRPr="00CB3BFB" w:rsidRDefault="004B2A4B" w:rsidP="00991A8E">
            <w:pPr>
              <w:rPr>
                <w:rFonts w:ascii="Arial" w:hAnsi="Arial" w:cs="Arial"/>
                <w:b w:val="0"/>
                <w:sz w:val="19"/>
                <w:szCs w:val="19"/>
                <w:lang w:val="en-GB"/>
              </w:rPr>
            </w:pPr>
            <w:r w:rsidRPr="00CB3BFB">
              <w:rPr>
                <w:rFonts w:ascii="Arial" w:hAnsi="Arial" w:cs="Arial"/>
                <w:b w:val="0"/>
                <w:sz w:val="19"/>
                <w:szCs w:val="19"/>
                <w:lang w:val="en-GB"/>
              </w:rPr>
              <w:t>F</w:t>
            </w:r>
            <w:r>
              <w:rPr>
                <w:rFonts w:ascii="Arial" w:hAnsi="Arial" w:cs="Arial"/>
                <w:b w:val="0"/>
                <w:sz w:val="19"/>
                <w:szCs w:val="19"/>
                <w:lang w:val="en-GB"/>
              </w:rPr>
              <w:t>oreign Exchange</w:t>
            </w:r>
            <w:r w:rsidRPr="00CB3BFB">
              <w:rPr>
                <w:rFonts w:ascii="Arial" w:hAnsi="Arial" w:cs="Arial"/>
                <w:b w:val="0"/>
                <w:sz w:val="19"/>
                <w:szCs w:val="19"/>
                <w:lang w:val="en-GB"/>
              </w:rPr>
              <w:t xml:space="preserve"> Differences on Cash Holdings</w:t>
            </w:r>
          </w:p>
        </w:tc>
        <w:tc>
          <w:tcPr>
            <w:tcW w:w="1080" w:type="pct"/>
            <w:shd w:val="clear" w:color="auto" w:fill="auto"/>
            <w:noWrap/>
            <w:hideMark/>
          </w:tcPr>
          <w:p w14:paraId="469737EE" w14:textId="77777777" w:rsidR="004B2A4B" w:rsidRPr="00CB3BFB" w:rsidRDefault="004B2A4B" w:rsidP="00A456AE">
            <w:pPr>
              <w:ind w:left="180"/>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CB3BFB">
              <w:rPr>
                <w:rFonts w:ascii="Arial" w:hAnsi="Arial" w:cs="Arial"/>
                <w:sz w:val="19"/>
                <w:szCs w:val="19"/>
                <w:lang w:val="en-GB"/>
              </w:rPr>
              <w:t>−1</w:t>
            </w:r>
          </w:p>
        </w:tc>
        <w:tc>
          <w:tcPr>
            <w:tcW w:w="1080" w:type="pct"/>
            <w:shd w:val="clear" w:color="auto" w:fill="auto"/>
            <w:noWrap/>
            <w:hideMark/>
          </w:tcPr>
          <w:p w14:paraId="324988D1" w14:textId="77777777" w:rsidR="004B2A4B" w:rsidRPr="00CB3BFB" w:rsidRDefault="004B2A4B" w:rsidP="00A456AE">
            <w:pPr>
              <w:ind w:left="180"/>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CB3BFB">
              <w:rPr>
                <w:rFonts w:ascii="Arial" w:hAnsi="Arial" w:cs="Arial"/>
                <w:sz w:val="19"/>
                <w:szCs w:val="19"/>
                <w:lang w:val="en-GB"/>
              </w:rPr>
              <w:t>−10</w:t>
            </w:r>
          </w:p>
        </w:tc>
        <w:tc>
          <w:tcPr>
            <w:tcW w:w="1245" w:type="pct"/>
            <w:shd w:val="clear" w:color="auto" w:fill="auto"/>
            <w:noWrap/>
            <w:hideMark/>
          </w:tcPr>
          <w:p w14:paraId="4A128E38" w14:textId="77777777" w:rsidR="004B2A4B" w:rsidRPr="00CB3BFB" w:rsidRDefault="004B2A4B" w:rsidP="00A456AE">
            <w:pPr>
              <w:ind w:left="180"/>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CB3BFB">
              <w:rPr>
                <w:rFonts w:ascii="Arial" w:hAnsi="Arial" w:cs="Arial"/>
                <w:sz w:val="19"/>
                <w:szCs w:val="19"/>
                <w:lang w:val="en-GB"/>
              </w:rPr>
              <w:t>−17</w:t>
            </w:r>
          </w:p>
        </w:tc>
      </w:tr>
      <w:tr w:rsidR="004B2A4B" w:rsidRPr="00CB3BFB" w14:paraId="60872AF4" w14:textId="77777777" w:rsidTr="00A456A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95" w:type="pct"/>
            <w:shd w:val="clear" w:color="auto" w:fill="auto"/>
            <w:noWrap/>
            <w:hideMark/>
          </w:tcPr>
          <w:p w14:paraId="6863A9DA" w14:textId="77777777" w:rsidR="004B2A4B" w:rsidRPr="00CB3BFB" w:rsidRDefault="004B2A4B" w:rsidP="00991A8E">
            <w:pPr>
              <w:rPr>
                <w:rFonts w:ascii="Arial" w:hAnsi="Arial" w:cs="Arial"/>
                <w:sz w:val="19"/>
                <w:szCs w:val="19"/>
                <w:lang w:val="en-GB"/>
              </w:rPr>
            </w:pPr>
            <w:r w:rsidRPr="00CB3BFB">
              <w:rPr>
                <w:rFonts w:ascii="Arial" w:hAnsi="Arial" w:cs="Arial"/>
                <w:sz w:val="19"/>
                <w:szCs w:val="19"/>
                <w:lang w:val="en-GB"/>
              </w:rPr>
              <w:t>Closing Cash</w:t>
            </w:r>
          </w:p>
        </w:tc>
        <w:tc>
          <w:tcPr>
            <w:tcW w:w="1080" w:type="pct"/>
            <w:shd w:val="clear" w:color="auto" w:fill="auto"/>
            <w:noWrap/>
            <w:hideMark/>
          </w:tcPr>
          <w:p w14:paraId="52780F6C" w14:textId="77777777" w:rsidR="004B2A4B" w:rsidRPr="00CB3BFB" w:rsidRDefault="004B2A4B" w:rsidP="00A456AE">
            <w:pPr>
              <w:ind w:left="180"/>
              <w:jc w:val="right"/>
              <w:cnfStyle w:val="000000100000" w:firstRow="0" w:lastRow="0" w:firstColumn="0" w:lastColumn="0" w:oddVBand="0" w:evenVBand="0" w:oddHBand="1" w:evenHBand="0" w:firstRowFirstColumn="0" w:firstRowLastColumn="0" w:lastRowFirstColumn="0" w:lastRowLastColumn="0"/>
              <w:rPr>
                <w:rFonts w:ascii="Arial" w:hAnsi="Arial" w:cs="Arial"/>
                <w:b/>
                <w:sz w:val="19"/>
                <w:szCs w:val="19"/>
                <w:lang w:val="en-GB"/>
              </w:rPr>
            </w:pPr>
            <w:r w:rsidRPr="00CB3BFB">
              <w:rPr>
                <w:rFonts w:ascii="Arial" w:hAnsi="Arial" w:cs="Arial"/>
                <w:b/>
                <w:sz w:val="19"/>
                <w:szCs w:val="19"/>
                <w:lang w:val="en-GB"/>
              </w:rPr>
              <w:t>78</w:t>
            </w:r>
          </w:p>
        </w:tc>
        <w:tc>
          <w:tcPr>
            <w:tcW w:w="1080" w:type="pct"/>
            <w:shd w:val="clear" w:color="auto" w:fill="auto"/>
            <w:noWrap/>
            <w:hideMark/>
          </w:tcPr>
          <w:p w14:paraId="62F48C68" w14:textId="77777777" w:rsidR="004B2A4B" w:rsidRPr="00CB3BFB" w:rsidRDefault="004B2A4B" w:rsidP="00A456AE">
            <w:pPr>
              <w:ind w:left="180"/>
              <w:jc w:val="right"/>
              <w:cnfStyle w:val="000000100000" w:firstRow="0" w:lastRow="0" w:firstColumn="0" w:lastColumn="0" w:oddVBand="0" w:evenVBand="0" w:oddHBand="1" w:evenHBand="0" w:firstRowFirstColumn="0" w:firstRowLastColumn="0" w:lastRowFirstColumn="0" w:lastRowLastColumn="0"/>
              <w:rPr>
                <w:rFonts w:ascii="Arial" w:hAnsi="Arial" w:cs="Arial"/>
                <w:b/>
                <w:sz w:val="19"/>
                <w:szCs w:val="19"/>
                <w:lang w:val="en-GB"/>
              </w:rPr>
            </w:pPr>
            <w:r w:rsidRPr="00CB3BFB">
              <w:rPr>
                <w:rFonts w:ascii="Arial" w:hAnsi="Arial" w:cs="Arial"/>
                <w:b/>
                <w:sz w:val="19"/>
                <w:szCs w:val="19"/>
                <w:lang w:val="en-GB"/>
              </w:rPr>
              <w:t>753</w:t>
            </w:r>
          </w:p>
        </w:tc>
        <w:tc>
          <w:tcPr>
            <w:tcW w:w="1245" w:type="pct"/>
            <w:shd w:val="clear" w:color="auto" w:fill="auto"/>
            <w:noWrap/>
            <w:hideMark/>
          </w:tcPr>
          <w:p w14:paraId="5ABB5A61" w14:textId="77777777" w:rsidR="004B2A4B" w:rsidRPr="00CB3BFB" w:rsidRDefault="004B2A4B" w:rsidP="00A456AE">
            <w:pPr>
              <w:ind w:left="180"/>
              <w:jc w:val="right"/>
              <w:cnfStyle w:val="000000100000" w:firstRow="0" w:lastRow="0" w:firstColumn="0" w:lastColumn="0" w:oddVBand="0" w:evenVBand="0" w:oddHBand="1" w:evenHBand="0" w:firstRowFirstColumn="0" w:firstRowLastColumn="0" w:lastRowFirstColumn="0" w:lastRowLastColumn="0"/>
              <w:rPr>
                <w:rFonts w:ascii="Arial" w:hAnsi="Arial" w:cs="Arial"/>
                <w:b/>
                <w:sz w:val="19"/>
                <w:szCs w:val="19"/>
                <w:lang w:val="en-GB"/>
              </w:rPr>
            </w:pPr>
            <w:r w:rsidRPr="00CB3BFB">
              <w:rPr>
                <w:rFonts w:ascii="Arial" w:hAnsi="Arial" w:cs="Arial"/>
                <w:b/>
                <w:sz w:val="19"/>
                <w:szCs w:val="19"/>
                <w:lang w:val="en-GB"/>
              </w:rPr>
              <w:t>3,029</w:t>
            </w:r>
          </w:p>
        </w:tc>
      </w:tr>
    </w:tbl>
    <w:p w14:paraId="3C87CC2D" w14:textId="77777777" w:rsidR="004B2A4B" w:rsidRPr="00CB3BFB" w:rsidRDefault="004B2A4B" w:rsidP="004B2A4B">
      <w:pPr>
        <w:pStyle w:val="FootnoteText1"/>
        <w:rPr>
          <w:lang w:val="en-GB"/>
        </w:rPr>
      </w:pPr>
    </w:p>
    <w:p w14:paraId="40B0A5A7" w14:textId="77777777" w:rsidR="004B2A4B" w:rsidRPr="00CB3BFB" w:rsidRDefault="004B2A4B" w:rsidP="004B2A4B">
      <w:pPr>
        <w:pStyle w:val="FootnoteText1"/>
        <w:rPr>
          <w:lang w:val="en-GB"/>
        </w:rPr>
      </w:pPr>
      <w:r w:rsidRPr="00CB3BFB">
        <w:rPr>
          <w:lang w:val="en-GB"/>
        </w:rPr>
        <w:t xml:space="preserve">Source: Created by the case author using data from </w:t>
      </w:r>
      <w:proofErr w:type="spellStart"/>
      <w:r w:rsidRPr="00CB3BFB">
        <w:rPr>
          <w:lang w:val="en-GB"/>
        </w:rPr>
        <w:t>ChimpChange</w:t>
      </w:r>
      <w:proofErr w:type="spellEnd"/>
      <w:r w:rsidRPr="00CB3BFB">
        <w:rPr>
          <w:lang w:val="en-GB"/>
        </w:rPr>
        <w:t xml:space="preserve"> Limited, </w:t>
      </w:r>
      <w:r w:rsidRPr="00CB3BFB">
        <w:rPr>
          <w:i/>
          <w:lang w:val="en-GB"/>
        </w:rPr>
        <w:t xml:space="preserve">Prospectus: </w:t>
      </w:r>
      <w:proofErr w:type="spellStart"/>
      <w:r w:rsidRPr="00CB3BFB">
        <w:rPr>
          <w:i/>
          <w:lang w:val="en-GB"/>
        </w:rPr>
        <w:t>ChimpChange</w:t>
      </w:r>
      <w:proofErr w:type="spellEnd"/>
      <w:r w:rsidRPr="00CB3BFB">
        <w:rPr>
          <w:i/>
          <w:lang w:val="en-GB"/>
        </w:rPr>
        <w:t xml:space="preserve"> Limited—ABN 34 150 762 351</w:t>
      </w:r>
      <w:r w:rsidRPr="00CB3BFB">
        <w:rPr>
          <w:lang w:val="en-GB"/>
        </w:rPr>
        <w:t>, 58–59, 2017, accessed August 31, 2018, www.chimpchange.me/wp-content/uploads/2017/03/prospectus.pdf.</w:t>
      </w:r>
    </w:p>
    <w:p w14:paraId="53CFC033" w14:textId="77777777" w:rsidR="004B2A4B" w:rsidRPr="00CB3BFB" w:rsidRDefault="004B2A4B" w:rsidP="004B2A4B">
      <w:pPr>
        <w:pStyle w:val="BodyTextMain"/>
        <w:rPr>
          <w:lang w:val="en-GB"/>
        </w:rPr>
      </w:pPr>
    </w:p>
    <w:p w14:paraId="640D37C5" w14:textId="77777777" w:rsidR="004B2A4B" w:rsidRPr="00CB3BFB" w:rsidRDefault="004B2A4B" w:rsidP="004B2A4B">
      <w:pPr>
        <w:spacing w:after="200" w:line="276" w:lineRule="auto"/>
        <w:rPr>
          <w:sz w:val="22"/>
          <w:szCs w:val="22"/>
          <w:lang w:val="en-GB"/>
        </w:rPr>
      </w:pPr>
      <w:r w:rsidRPr="00CB3BFB">
        <w:rPr>
          <w:lang w:val="en-GB"/>
        </w:rPr>
        <w:br w:type="page"/>
      </w:r>
    </w:p>
    <w:p w14:paraId="6A217933" w14:textId="77777777" w:rsidR="004B2A4B" w:rsidRPr="00CB3BFB" w:rsidRDefault="004B2A4B" w:rsidP="004B2A4B">
      <w:pPr>
        <w:pStyle w:val="Casehead1"/>
        <w:jc w:val="center"/>
        <w:rPr>
          <w:lang w:val="en-GB"/>
        </w:rPr>
      </w:pPr>
      <w:r w:rsidRPr="00CB3BFB">
        <w:rPr>
          <w:lang w:val="en-GB"/>
        </w:rPr>
        <w:lastRenderedPageBreak/>
        <w:t xml:space="preserve">Exhibit </w:t>
      </w:r>
      <w:r>
        <w:rPr>
          <w:lang w:val="en-GB"/>
        </w:rPr>
        <w:t>5</w:t>
      </w:r>
      <w:r w:rsidRPr="00CB3BFB">
        <w:rPr>
          <w:lang w:val="en-GB"/>
        </w:rPr>
        <w:t>: ChimpChange Statement of Financial Position, 2014–2015 (in US$’000)</w:t>
      </w:r>
    </w:p>
    <w:p w14:paraId="2133844D" w14:textId="77777777" w:rsidR="004B2A4B" w:rsidRPr="00CB3BFB" w:rsidRDefault="004B2A4B" w:rsidP="004B2A4B">
      <w:pPr>
        <w:pStyle w:val="BodyTextMain"/>
        <w:rPr>
          <w:lang w:val="en-GB"/>
        </w:rPr>
      </w:pPr>
    </w:p>
    <w:tbl>
      <w:tblPr>
        <w:tblStyle w:val="GridTable4-Accent11"/>
        <w:tblW w:w="4535"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3529"/>
        <w:gridCol w:w="1614"/>
        <w:gridCol w:w="1614"/>
        <w:gridCol w:w="1928"/>
      </w:tblGrid>
      <w:tr w:rsidR="004B2A4B" w:rsidRPr="00CB3BFB" w14:paraId="14E1DBE3" w14:textId="77777777" w:rsidTr="00A456AE">
        <w:trPr>
          <w:cnfStyle w:val="100000000000" w:firstRow="1" w:lastRow="0" w:firstColumn="0" w:lastColumn="0" w:oddVBand="0" w:evenVBand="0" w:oddHBand="0"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2032" w:type="pct"/>
            <w:tcBorders>
              <w:top w:val="none" w:sz="0" w:space="0" w:color="auto"/>
              <w:left w:val="none" w:sz="0" w:space="0" w:color="auto"/>
              <w:bottom w:val="none" w:sz="0" w:space="0" w:color="auto"/>
              <w:right w:val="none" w:sz="0" w:space="0" w:color="auto"/>
            </w:tcBorders>
            <w:shd w:val="clear" w:color="auto" w:fill="auto"/>
            <w:noWrap/>
            <w:hideMark/>
          </w:tcPr>
          <w:p w14:paraId="50675198" w14:textId="77777777" w:rsidR="004B2A4B" w:rsidRPr="00CB3BFB" w:rsidRDefault="004B2A4B" w:rsidP="00A456AE">
            <w:pPr>
              <w:keepNext/>
              <w:keepLines/>
              <w:rPr>
                <w:rFonts w:ascii="Arial" w:hAnsi="Arial" w:cs="Arial"/>
                <w:color w:val="auto"/>
                <w:sz w:val="19"/>
                <w:szCs w:val="19"/>
                <w:lang w:val="en-GB"/>
              </w:rPr>
            </w:pPr>
            <w:r w:rsidRPr="00CB3BFB">
              <w:rPr>
                <w:rFonts w:ascii="Arial" w:hAnsi="Arial" w:cs="Arial"/>
                <w:b w:val="0"/>
                <w:color w:val="auto"/>
                <w:sz w:val="19"/>
                <w:szCs w:val="19"/>
                <w:lang w:val="en-GB"/>
              </w:rPr>
              <w:br w:type="page"/>
            </w:r>
            <w:r w:rsidRPr="00CB3BFB">
              <w:rPr>
                <w:rFonts w:ascii="Arial" w:hAnsi="Arial" w:cs="Arial"/>
                <w:color w:val="auto"/>
                <w:sz w:val="19"/>
                <w:szCs w:val="19"/>
                <w:lang w:val="en-GB"/>
              </w:rPr>
              <w:t>As at</w:t>
            </w:r>
          </w:p>
        </w:tc>
        <w:tc>
          <w:tcPr>
            <w:tcW w:w="929" w:type="pct"/>
            <w:tcBorders>
              <w:top w:val="none" w:sz="0" w:space="0" w:color="auto"/>
              <w:left w:val="none" w:sz="0" w:space="0" w:color="auto"/>
              <w:bottom w:val="none" w:sz="0" w:space="0" w:color="auto"/>
              <w:right w:val="none" w:sz="0" w:space="0" w:color="auto"/>
            </w:tcBorders>
            <w:shd w:val="clear" w:color="auto" w:fill="auto"/>
            <w:noWrap/>
            <w:hideMark/>
          </w:tcPr>
          <w:p w14:paraId="26B202F8" w14:textId="77777777" w:rsidR="004B2A4B" w:rsidRPr="00CB3BFB" w:rsidRDefault="004B2A4B" w:rsidP="00A456AE">
            <w:pPr>
              <w:keepNext/>
              <w:keepLines/>
              <w:jc w:val="right"/>
              <w:cnfStyle w:val="100000000000" w:firstRow="1" w:lastRow="0" w:firstColumn="0" w:lastColumn="0" w:oddVBand="0" w:evenVBand="0" w:oddHBand="0" w:evenHBand="0" w:firstRowFirstColumn="0" w:firstRowLastColumn="0" w:lastRowFirstColumn="0" w:lastRowLastColumn="0"/>
              <w:rPr>
                <w:rFonts w:ascii="Arial" w:hAnsi="Arial" w:cs="Arial"/>
                <w:color w:val="auto"/>
                <w:sz w:val="19"/>
                <w:szCs w:val="19"/>
                <w:lang w:val="en-GB"/>
              </w:rPr>
            </w:pPr>
            <w:r w:rsidRPr="00CB3BFB">
              <w:rPr>
                <w:rFonts w:ascii="Arial" w:hAnsi="Arial" w:cs="Arial"/>
                <w:color w:val="auto"/>
                <w:sz w:val="19"/>
                <w:szCs w:val="19"/>
                <w:lang w:val="en-GB"/>
              </w:rPr>
              <w:t>June 30, 2014</w:t>
            </w:r>
          </w:p>
        </w:tc>
        <w:tc>
          <w:tcPr>
            <w:tcW w:w="929" w:type="pct"/>
            <w:tcBorders>
              <w:top w:val="none" w:sz="0" w:space="0" w:color="auto"/>
              <w:left w:val="none" w:sz="0" w:space="0" w:color="auto"/>
              <w:bottom w:val="none" w:sz="0" w:space="0" w:color="auto"/>
              <w:right w:val="none" w:sz="0" w:space="0" w:color="auto"/>
            </w:tcBorders>
            <w:shd w:val="clear" w:color="auto" w:fill="auto"/>
            <w:noWrap/>
            <w:hideMark/>
          </w:tcPr>
          <w:p w14:paraId="1628BA44" w14:textId="77777777" w:rsidR="004B2A4B" w:rsidRPr="00CB3BFB" w:rsidRDefault="004B2A4B" w:rsidP="00A456AE">
            <w:pPr>
              <w:keepNext/>
              <w:keepLines/>
              <w:jc w:val="right"/>
              <w:cnfStyle w:val="100000000000" w:firstRow="1" w:lastRow="0" w:firstColumn="0" w:lastColumn="0" w:oddVBand="0" w:evenVBand="0" w:oddHBand="0" w:evenHBand="0" w:firstRowFirstColumn="0" w:firstRowLastColumn="0" w:lastRowFirstColumn="0" w:lastRowLastColumn="0"/>
              <w:rPr>
                <w:rFonts w:ascii="Arial" w:hAnsi="Arial" w:cs="Arial"/>
                <w:color w:val="auto"/>
                <w:sz w:val="19"/>
                <w:szCs w:val="19"/>
                <w:lang w:val="en-GB"/>
              </w:rPr>
            </w:pPr>
            <w:r w:rsidRPr="00CB3BFB">
              <w:rPr>
                <w:rFonts w:ascii="Arial" w:hAnsi="Arial" w:cs="Arial"/>
                <w:color w:val="auto"/>
                <w:sz w:val="19"/>
                <w:szCs w:val="19"/>
                <w:lang w:val="en-GB"/>
              </w:rPr>
              <w:t>June 30, 2015</w:t>
            </w:r>
          </w:p>
        </w:tc>
        <w:tc>
          <w:tcPr>
            <w:tcW w:w="1110" w:type="pct"/>
            <w:tcBorders>
              <w:top w:val="none" w:sz="0" w:space="0" w:color="auto"/>
              <w:left w:val="none" w:sz="0" w:space="0" w:color="auto"/>
              <w:bottom w:val="none" w:sz="0" w:space="0" w:color="auto"/>
              <w:right w:val="none" w:sz="0" w:space="0" w:color="auto"/>
            </w:tcBorders>
            <w:shd w:val="clear" w:color="auto" w:fill="auto"/>
            <w:noWrap/>
            <w:hideMark/>
          </w:tcPr>
          <w:p w14:paraId="337E71D6" w14:textId="77777777" w:rsidR="004B2A4B" w:rsidRPr="00CB3BFB" w:rsidRDefault="004B2A4B" w:rsidP="00A456AE">
            <w:pPr>
              <w:keepNext/>
              <w:keepLines/>
              <w:jc w:val="right"/>
              <w:cnfStyle w:val="100000000000" w:firstRow="1" w:lastRow="0" w:firstColumn="0" w:lastColumn="0" w:oddVBand="0" w:evenVBand="0" w:oddHBand="0" w:evenHBand="0" w:firstRowFirstColumn="0" w:firstRowLastColumn="0" w:lastRowFirstColumn="0" w:lastRowLastColumn="0"/>
              <w:rPr>
                <w:rFonts w:ascii="Arial" w:hAnsi="Arial" w:cs="Arial"/>
                <w:color w:val="auto"/>
                <w:sz w:val="19"/>
                <w:szCs w:val="19"/>
                <w:lang w:val="en-GB"/>
              </w:rPr>
            </w:pPr>
            <w:r w:rsidRPr="00CB3BFB">
              <w:rPr>
                <w:rFonts w:ascii="Arial" w:hAnsi="Arial" w:cs="Arial"/>
                <w:color w:val="auto"/>
                <w:sz w:val="19"/>
                <w:szCs w:val="19"/>
                <w:lang w:val="en-GB"/>
              </w:rPr>
              <w:t>December 31, 2015</w:t>
            </w:r>
          </w:p>
        </w:tc>
      </w:tr>
      <w:tr w:rsidR="004B2A4B" w:rsidRPr="00CB3BFB" w14:paraId="1E6749A7" w14:textId="77777777" w:rsidTr="00A456AE">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2032" w:type="pct"/>
            <w:shd w:val="clear" w:color="auto" w:fill="auto"/>
            <w:noWrap/>
            <w:hideMark/>
          </w:tcPr>
          <w:p w14:paraId="37BD4F55" w14:textId="77777777" w:rsidR="004B2A4B" w:rsidRPr="00CB3BFB" w:rsidRDefault="004B2A4B" w:rsidP="00A456AE">
            <w:pPr>
              <w:keepNext/>
              <w:keepLines/>
              <w:rPr>
                <w:rFonts w:ascii="Arial" w:hAnsi="Arial" w:cs="Arial"/>
                <w:b w:val="0"/>
                <w:sz w:val="19"/>
                <w:szCs w:val="19"/>
                <w:lang w:val="en-GB"/>
              </w:rPr>
            </w:pPr>
            <w:r w:rsidRPr="00CB3BFB">
              <w:rPr>
                <w:rFonts w:ascii="Arial" w:hAnsi="Arial" w:cs="Arial"/>
                <w:b w:val="0"/>
                <w:sz w:val="19"/>
                <w:szCs w:val="19"/>
                <w:lang w:val="en-GB"/>
              </w:rPr>
              <w:t>Cash</w:t>
            </w:r>
          </w:p>
        </w:tc>
        <w:tc>
          <w:tcPr>
            <w:tcW w:w="929" w:type="pct"/>
            <w:shd w:val="clear" w:color="auto" w:fill="auto"/>
            <w:noWrap/>
            <w:hideMark/>
          </w:tcPr>
          <w:p w14:paraId="74994EBC" w14:textId="77777777" w:rsidR="004B2A4B" w:rsidRPr="00CB3BFB" w:rsidRDefault="004B2A4B" w:rsidP="00A456AE">
            <w:pPr>
              <w:keepNext/>
              <w:keepLines/>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CB3BFB">
              <w:rPr>
                <w:rFonts w:ascii="Arial" w:hAnsi="Arial" w:cs="Arial"/>
                <w:sz w:val="19"/>
                <w:szCs w:val="19"/>
                <w:lang w:val="en-GB"/>
              </w:rPr>
              <w:t>78</w:t>
            </w:r>
          </w:p>
        </w:tc>
        <w:tc>
          <w:tcPr>
            <w:tcW w:w="929" w:type="pct"/>
            <w:shd w:val="clear" w:color="auto" w:fill="auto"/>
            <w:noWrap/>
            <w:hideMark/>
          </w:tcPr>
          <w:p w14:paraId="386E80DA" w14:textId="77777777" w:rsidR="004B2A4B" w:rsidRPr="00CB3BFB" w:rsidRDefault="004B2A4B" w:rsidP="00A456AE">
            <w:pPr>
              <w:keepNext/>
              <w:keepLines/>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CB3BFB">
              <w:rPr>
                <w:rFonts w:ascii="Arial" w:hAnsi="Arial" w:cs="Arial"/>
                <w:sz w:val="19"/>
                <w:szCs w:val="19"/>
                <w:lang w:val="en-GB"/>
              </w:rPr>
              <w:t>753</w:t>
            </w:r>
          </w:p>
        </w:tc>
        <w:tc>
          <w:tcPr>
            <w:tcW w:w="1110" w:type="pct"/>
            <w:shd w:val="clear" w:color="auto" w:fill="auto"/>
            <w:noWrap/>
            <w:hideMark/>
          </w:tcPr>
          <w:p w14:paraId="0251FD19" w14:textId="77777777" w:rsidR="004B2A4B" w:rsidRPr="00CB3BFB" w:rsidRDefault="004B2A4B" w:rsidP="00A456AE">
            <w:pPr>
              <w:keepNext/>
              <w:keepLines/>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CB3BFB">
              <w:rPr>
                <w:rFonts w:ascii="Arial" w:hAnsi="Arial" w:cs="Arial"/>
                <w:sz w:val="19"/>
                <w:szCs w:val="19"/>
                <w:lang w:val="en-GB"/>
              </w:rPr>
              <w:t>3,029</w:t>
            </w:r>
          </w:p>
        </w:tc>
      </w:tr>
      <w:tr w:rsidR="004B2A4B" w:rsidRPr="00CB3BFB" w14:paraId="3FCCDDE4" w14:textId="77777777" w:rsidTr="00A456AE">
        <w:trPr>
          <w:trHeight w:val="144"/>
          <w:jc w:val="center"/>
        </w:trPr>
        <w:tc>
          <w:tcPr>
            <w:cnfStyle w:val="001000000000" w:firstRow="0" w:lastRow="0" w:firstColumn="1" w:lastColumn="0" w:oddVBand="0" w:evenVBand="0" w:oddHBand="0" w:evenHBand="0" w:firstRowFirstColumn="0" w:firstRowLastColumn="0" w:lastRowFirstColumn="0" w:lastRowLastColumn="0"/>
            <w:tcW w:w="2032" w:type="pct"/>
            <w:shd w:val="clear" w:color="auto" w:fill="auto"/>
            <w:noWrap/>
            <w:hideMark/>
          </w:tcPr>
          <w:p w14:paraId="7B814D87" w14:textId="77777777" w:rsidR="004B2A4B" w:rsidRPr="00CB3BFB" w:rsidRDefault="004B2A4B" w:rsidP="00A456AE">
            <w:pPr>
              <w:keepNext/>
              <w:keepLines/>
              <w:rPr>
                <w:rFonts w:ascii="Arial" w:hAnsi="Arial" w:cs="Arial"/>
                <w:b w:val="0"/>
                <w:sz w:val="19"/>
                <w:szCs w:val="19"/>
                <w:lang w:val="en-GB"/>
              </w:rPr>
            </w:pPr>
            <w:r w:rsidRPr="00CB3BFB">
              <w:rPr>
                <w:rFonts w:ascii="Arial" w:hAnsi="Arial" w:cs="Arial"/>
                <w:b w:val="0"/>
                <w:sz w:val="19"/>
                <w:szCs w:val="19"/>
                <w:lang w:val="en-GB"/>
              </w:rPr>
              <w:t>Other Current Assets</w:t>
            </w:r>
          </w:p>
        </w:tc>
        <w:tc>
          <w:tcPr>
            <w:tcW w:w="929" w:type="pct"/>
            <w:shd w:val="clear" w:color="auto" w:fill="auto"/>
            <w:noWrap/>
            <w:hideMark/>
          </w:tcPr>
          <w:p w14:paraId="2A883E4A" w14:textId="77777777" w:rsidR="004B2A4B" w:rsidRPr="00CB3BFB" w:rsidRDefault="004B2A4B" w:rsidP="00A456AE">
            <w:pPr>
              <w:keepNext/>
              <w:keepLines/>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CB3BFB">
              <w:rPr>
                <w:rFonts w:ascii="Arial" w:hAnsi="Arial" w:cs="Arial"/>
                <w:sz w:val="19"/>
                <w:szCs w:val="19"/>
                <w:lang w:val="en-GB"/>
              </w:rPr>
              <w:t>4</w:t>
            </w:r>
          </w:p>
        </w:tc>
        <w:tc>
          <w:tcPr>
            <w:tcW w:w="929" w:type="pct"/>
            <w:shd w:val="clear" w:color="auto" w:fill="auto"/>
            <w:noWrap/>
            <w:hideMark/>
          </w:tcPr>
          <w:p w14:paraId="47CA554E" w14:textId="77777777" w:rsidR="004B2A4B" w:rsidRPr="00CB3BFB" w:rsidRDefault="004B2A4B" w:rsidP="00A456AE">
            <w:pPr>
              <w:keepNext/>
              <w:keepLines/>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CB3BFB">
              <w:rPr>
                <w:rFonts w:ascii="Arial" w:hAnsi="Arial" w:cs="Arial"/>
                <w:sz w:val="19"/>
                <w:szCs w:val="19"/>
                <w:lang w:val="en-GB"/>
              </w:rPr>
              <w:t>37</w:t>
            </w:r>
          </w:p>
        </w:tc>
        <w:tc>
          <w:tcPr>
            <w:tcW w:w="1110" w:type="pct"/>
            <w:shd w:val="clear" w:color="auto" w:fill="auto"/>
            <w:noWrap/>
            <w:hideMark/>
          </w:tcPr>
          <w:p w14:paraId="3837628F" w14:textId="77777777" w:rsidR="004B2A4B" w:rsidRPr="00CB3BFB" w:rsidRDefault="004B2A4B" w:rsidP="00A456AE">
            <w:pPr>
              <w:keepNext/>
              <w:keepLines/>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CB3BFB">
              <w:rPr>
                <w:rFonts w:ascii="Arial" w:hAnsi="Arial" w:cs="Arial"/>
                <w:sz w:val="19"/>
                <w:szCs w:val="19"/>
                <w:lang w:val="en-GB"/>
              </w:rPr>
              <w:t>357</w:t>
            </w:r>
          </w:p>
        </w:tc>
      </w:tr>
      <w:tr w:rsidR="004B2A4B" w:rsidRPr="00CB3BFB" w14:paraId="705FBDE0" w14:textId="77777777" w:rsidTr="00A456AE">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2032" w:type="pct"/>
            <w:shd w:val="clear" w:color="auto" w:fill="auto"/>
            <w:noWrap/>
            <w:hideMark/>
          </w:tcPr>
          <w:p w14:paraId="31695AC8" w14:textId="77777777" w:rsidR="004B2A4B" w:rsidRPr="00CB3BFB" w:rsidRDefault="004B2A4B" w:rsidP="00A456AE">
            <w:pPr>
              <w:keepNext/>
              <w:keepLines/>
              <w:rPr>
                <w:rFonts w:ascii="Arial" w:hAnsi="Arial" w:cs="Arial"/>
                <w:b w:val="0"/>
                <w:sz w:val="19"/>
                <w:szCs w:val="19"/>
                <w:lang w:val="en-GB"/>
              </w:rPr>
            </w:pPr>
            <w:r w:rsidRPr="00CB3BFB">
              <w:rPr>
                <w:rFonts w:ascii="Arial" w:hAnsi="Arial" w:cs="Arial"/>
                <w:b w:val="0"/>
                <w:sz w:val="19"/>
                <w:szCs w:val="19"/>
                <w:lang w:val="en-GB"/>
              </w:rPr>
              <w:t>Current Assets</w:t>
            </w:r>
          </w:p>
        </w:tc>
        <w:tc>
          <w:tcPr>
            <w:tcW w:w="929" w:type="pct"/>
            <w:shd w:val="clear" w:color="auto" w:fill="auto"/>
            <w:noWrap/>
            <w:hideMark/>
          </w:tcPr>
          <w:p w14:paraId="31CC7429" w14:textId="77777777" w:rsidR="004B2A4B" w:rsidRPr="00CB3BFB" w:rsidRDefault="004B2A4B" w:rsidP="00A456AE">
            <w:pPr>
              <w:keepNext/>
              <w:keepLines/>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CB3BFB">
              <w:rPr>
                <w:rFonts w:ascii="Arial" w:hAnsi="Arial" w:cs="Arial"/>
                <w:sz w:val="19"/>
                <w:szCs w:val="19"/>
                <w:lang w:val="en-GB"/>
              </w:rPr>
              <w:t>82</w:t>
            </w:r>
          </w:p>
        </w:tc>
        <w:tc>
          <w:tcPr>
            <w:tcW w:w="929" w:type="pct"/>
            <w:shd w:val="clear" w:color="auto" w:fill="auto"/>
            <w:noWrap/>
            <w:hideMark/>
          </w:tcPr>
          <w:p w14:paraId="0B912A01" w14:textId="77777777" w:rsidR="004B2A4B" w:rsidRPr="00CB3BFB" w:rsidRDefault="004B2A4B" w:rsidP="00A456AE">
            <w:pPr>
              <w:keepNext/>
              <w:keepLines/>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CB3BFB">
              <w:rPr>
                <w:rFonts w:ascii="Arial" w:hAnsi="Arial" w:cs="Arial"/>
                <w:sz w:val="19"/>
                <w:szCs w:val="19"/>
                <w:lang w:val="en-GB"/>
              </w:rPr>
              <w:t>790</w:t>
            </w:r>
          </w:p>
        </w:tc>
        <w:tc>
          <w:tcPr>
            <w:tcW w:w="1110" w:type="pct"/>
            <w:shd w:val="clear" w:color="auto" w:fill="auto"/>
            <w:noWrap/>
            <w:hideMark/>
          </w:tcPr>
          <w:p w14:paraId="5B052B6C" w14:textId="77777777" w:rsidR="004B2A4B" w:rsidRPr="00CB3BFB" w:rsidRDefault="004B2A4B" w:rsidP="00A456AE">
            <w:pPr>
              <w:keepNext/>
              <w:keepLines/>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CB3BFB">
              <w:rPr>
                <w:rFonts w:ascii="Arial" w:hAnsi="Arial" w:cs="Arial"/>
                <w:sz w:val="19"/>
                <w:szCs w:val="19"/>
                <w:lang w:val="en-GB"/>
              </w:rPr>
              <w:t>3,386</w:t>
            </w:r>
          </w:p>
        </w:tc>
      </w:tr>
      <w:tr w:rsidR="004B2A4B" w:rsidRPr="00CB3BFB" w14:paraId="04CCE0A6" w14:textId="77777777" w:rsidTr="00A456AE">
        <w:trPr>
          <w:trHeight w:val="144"/>
          <w:jc w:val="center"/>
        </w:trPr>
        <w:tc>
          <w:tcPr>
            <w:cnfStyle w:val="001000000000" w:firstRow="0" w:lastRow="0" w:firstColumn="1" w:lastColumn="0" w:oddVBand="0" w:evenVBand="0" w:oddHBand="0" w:evenHBand="0" w:firstRowFirstColumn="0" w:firstRowLastColumn="0" w:lastRowFirstColumn="0" w:lastRowLastColumn="0"/>
            <w:tcW w:w="2032" w:type="pct"/>
            <w:shd w:val="clear" w:color="auto" w:fill="auto"/>
            <w:noWrap/>
            <w:hideMark/>
          </w:tcPr>
          <w:p w14:paraId="24042CF1" w14:textId="77777777" w:rsidR="004B2A4B" w:rsidRPr="00CB3BFB" w:rsidRDefault="004B2A4B" w:rsidP="00A456AE">
            <w:pPr>
              <w:keepNext/>
              <w:keepLines/>
              <w:rPr>
                <w:rFonts w:ascii="Arial" w:hAnsi="Arial" w:cs="Arial"/>
                <w:b w:val="0"/>
                <w:sz w:val="19"/>
                <w:szCs w:val="19"/>
                <w:lang w:val="en-GB"/>
              </w:rPr>
            </w:pPr>
            <w:r w:rsidRPr="00CB3BFB">
              <w:rPr>
                <w:rFonts w:ascii="Arial" w:hAnsi="Arial" w:cs="Arial"/>
                <w:b w:val="0"/>
                <w:sz w:val="19"/>
                <w:szCs w:val="19"/>
                <w:lang w:val="en-GB"/>
              </w:rPr>
              <w:t>Fixed Assets</w:t>
            </w:r>
          </w:p>
        </w:tc>
        <w:tc>
          <w:tcPr>
            <w:tcW w:w="929" w:type="pct"/>
            <w:shd w:val="clear" w:color="auto" w:fill="auto"/>
            <w:noWrap/>
            <w:hideMark/>
          </w:tcPr>
          <w:p w14:paraId="4F3CE90D" w14:textId="77777777" w:rsidR="004B2A4B" w:rsidRPr="00CB3BFB" w:rsidRDefault="004B2A4B" w:rsidP="00A456AE">
            <w:pPr>
              <w:keepNext/>
              <w:keepLines/>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CB3BFB">
              <w:rPr>
                <w:rFonts w:ascii="Arial" w:hAnsi="Arial" w:cs="Arial"/>
                <w:sz w:val="19"/>
                <w:szCs w:val="19"/>
                <w:lang w:val="en-GB"/>
              </w:rPr>
              <w:t>4</w:t>
            </w:r>
          </w:p>
        </w:tc>
        <w:tc>
          <w:tcPr>
            <w:tcW w:w="929" w:type="pct"/>
            <w:shd w:val="clear" w:color="auto" w:fill="auto"/>
            <w:noWrap/>
            <w:hideMark/>
          </w:tcPr>
          <w:p w14:paraId="6EC566D8" w14:textId="77777777" w:rsidR="004B2A4B" w:rsidRPr="00CB3BFB" w:rsidRDefault="004B2A4B" w:rsidP="00A456AE">
            <w:pPr>
              <w:keepNext/>
              <w:keepLines/>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CB3BFB">
              <w:rPr>
                <w:rFonts w:ascii="Arial" w:hAnsi="Arial" w:cs="Arial"/>
                <w:sz w:val="19"/>
                <w:szCs w:val="19"/>
                <w:lang w:val="en-GB"/>
              </w:rPr>
              <w:t>17</w:t>
            </w:r>
          </w:p>
        </w:tc>
        <w:tc>
          <w:tcPr>
            <w:tcW w:w="1110" w:type="pct"/>
            <w:shd w:val="clear" w:color="auto" w:fill="auto"/>
            <w:noWrap/>
            <w:hideMark/>
          </w:tcPr>
          <w:p w14:paraId="2607657B" w14:textId="77777777" w:rsidR="004B2A4B" w:rsidRPr="00CB3BFB" w:rsidRDefault="004B2A4B" w:rsidP="00A456AE">
            <w:pPr>
              <w:keepNext/>
              <w:keepLines/>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CB3BFB">
              <w:rPr>
                <w:rFonts w:ascii="Arial" w:hAnsi="Arial" w:cs="Arial"/>
                <w:sz w:val="19"/>
                <w:szCs w:val="19"/>
                <w:lang w:val="en-GB"/>
              </w:rPr>
              <w:t>34</w:t>
            </w:r>
          </w:p>
        </w:tc>
      </w:tr>
      <w:tr w:rsidR="004B2A4B" w:rsidRPr="00CB3BFB" w14:paraId="10D29920" w14:textId="77777777" w:rsidTr="00A456AE">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2032" w:type="pct"/>
            <w:shd w:val="clear" w:color="auto" w:fill="auto"/>
            <w:noWrap/>
            <w:hideMark/>
          </w:tcPr>
          <w:p w14:paraId="42D3064A" w14:textId="77777777" w:rsidR="004B2A4B" w:rsidRPr="00CB3BFB" w:rsidRDefault="004B2A4B" w:rsidP="00A456AE">
            <w:pPr>
              <w:keepNext/>
              <w:keepLines/>
              <w:rPr>
                <w:rFonts w:ascii="Arial" w:hAnsi="Arial" w:cs="Arial"/>
                <w:b w:val="0"/>
                <w:sz w:val="19"/>
                <w:szCs w:val="19"/>
                <w:lang w:val="en-GB"/>
              </w:rPr>
            </w:pPr>
            <w:r w:rsidRPr="00CB3BFB">
              <w:rPr>
                <w:rFonts w:ascii="Arial" w:hAnsi="Arial" w:cs="Arial"/>
                <w:b w:val="0"/>
                <w:sz w:val="19"/>
                <w:szCs w:val="19"/>
                <w:lang w:val="en-GB"/>
              </w:rPr>
              <w:t>Software Development and IP</w:t>
            </w:r>
          </w:p>
        </w:tc>
        <w:tc>
          <w:tcPr>
            <w:tcW w:w="929" w:type="pct"/>
            <w:shd w:val="clear" w:color="auto" w:fill="auto"/>
            <w:noWrap/>
            <w:hideMark/>
          </w:tcPr>
          <w:p w14:paraId="34A51163" w14:textId="77777777" w:rsidR="004B2A4B" w:rsidRPr="00CB3BFB" w:rsidRDefault="004B2A4B" w:rsidP="00A456AE">
            <w:pPr>
              <w:keepNext/>
              <w:keepLines/>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CB3BFB">
              <w:rPr>
                <w:rFonts w:ascii="Arial" w:hAnsi="Arial" w:cs="Arial"/>
                <w:sz w:val="19"/>
                <w:szCs w:val="19"/>
                <w:lang w:val="en-GB"/>
              </w:rPr>
              <w:t>229</w:t>
            </w:r>
          </w:p>
        </w:tc>
        <w:tc>
          <w:tcPr>
            <w:tcW w:w="929" w:type="pct"/>
            <w:shd w:val="clear" w:color="auto" w:fill="auto"/>
            <w:noWrap/>
            <w:hideMark/>
          </w:tcPr>
          <w:p w14:paraId="3B98C7E6" w14:textId="77777777" w:rsidR="004B2A4B" w:rsidRPr="00CB3BFB" w:rsidRDefault="004B2A4B" w:rsidP="00A456AE">
            <w:pPr>
              <w:keepNext/>
              <w:keepLines/>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CB3BFB">
              <w:rPr>
                <w:rFonts w:ascii="Arial" w:hAnsi="Arial" w:cs="Arial"/>
                <w:sz w:val="19"/>
                <w:szCs w:val="19"/>
                <w:lang w:val="en-GB"/>
              </w:rPr>
              <w:t>626</w:t>
            </w:r>
          </w:p>
        </w:tc>
        <w:tc>
          <w:tcPr>
            <w:tcW w:w="1110" w:type="pct"/>
            <w:shd w:val="clear" w:color="auto" w:fill="auto"/>
            <w:noWrap/>
            <w:hideMark/>
          </w:tcPr>
          <w:p w14:paraId="6F39A096" w14:textId="77777777" w:rsidR="004B2A4B" w:rsidRPr="00CB3BFB" w:rsidRDefault="004B2A4B" w:rsidP="00A456AE">
            <w:pPr>
              <w:keepNext/>
              <w:keepLines/>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CB3BFB">
              <w:rPr>
                <w:rFonts w:ascii="Arial" w:hAnsi="Arial" w:cs="Arial"/>
                <w:sz w:val="19"/>
                <w:szCs w:val="19"/>
                <w:lang w:val="en-GB"/>
              </w:rPr>
              <w:t>893</w:t>
            </w:r>
          </w:p>
        </w:tc>
      </w:tr>
      <w:tr w:rsidR="004B2A4B" w:rsidRPr="00CB3BFB" w14:paraId="008866C3" w14:textId="77777777" w:rsidTr="00A456AE">
        <w:trPr>
          <w:trHeight w:val="144"/>
          <w:jc w:val="center"/>
        </w:trPr>
        <w:tc>
          <w:tcPr>
            <w:cnfStyle w:val="001000000000" w:firstRow="0" w:lastRow="0" w:firstColumn="1" w:lastColumn="0" w:oddVBand="0" w:evenVBand="0" w:oddHBand="0" w:evenHBand="0" w:firstRowFirstColumn="0" w:firstRowLastColumn="0" w:lastRowFirstColumn="0" w:lastRowLastColumn="0"/>
            <w:tcW w:w="2032" w:type="pct"/>
            <w:shd w:val="clear" w:color="auto" w:fill="auto"/>
            <w:noWrap/>
            <w:hideMark/>
          </w:tcPr>
          <w:p w14:paraId="7A49130C" w14:textId="77777777" w:rsidR="004B2A4B" w:rsidRPr="00CB3BFB" w:rsidRDefault="004B2A4B" w:rsidP="00A456AE">
            <w:pPr>
              <w:keepNext/>
              <w:keepLines/>
              <w:rPr>
                <w:rFonts w:ascii="Arial" w:hAnsi="Arial" w:cs="Arial"/>
                <w:b w:val="0"/>
                <w:sz w:val="19"/>
                <w:szCs w:val="19"/>
                <w:lang w:val="en-GB"/>
              </w:rPr>
            </w:pPr>
            <w:r w:rsidRPr="00CB3BFB">
              <w:rPr>
                <w:rFonts w:ascii="Arial" w:hAnsi="Arial" w:cs="Arial"/>
                <w:b w:val="0"/>
                <w:sz w:val="19"/>
                <w:szCs w:val="19"/>
                <w:lang w:val="en-GB"/>
              </w:rPr>
              <w:t>Total Non-Current Assets</w:t>
            </w:r>
          </w:p>
        </w:tc>
        <w:tc>
          <w:tcPr>
            <w:tcW w:w="929" w:type="pct"/>
            <w:shd w:val="clear" w:color="auto" w:fill="auto"/>
            <w:noWrap/>
            <w:hideMark/>
          </w:tcPr>
          <w:p w14:paraId="606CBCED" w14:textId="77777777" w:rsidR="004B2A4B" w:rsidRPr="00CB3BFB" w:rsidRDefault="004B2A4B" w:rsidP="00A456AE">
            <w:pPr>
              <w:keepNext/>
              <w:keepLines/>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CB3BFB">
              <w:rPr>
                <w:rFonts w:ascii="Arial" w:hAnsi="Arial" w:cs="Arial"/>
                <w:sz w:val="19"/>
                <w:szCs w:val="19"/>
                <w:lang w:val="en-GB"/>
              </w:rPr>
              <w:t>233</w:t>
            </w:r>
          </w:p>
        </w:tc>
        <w:tc>
          <w:tcPr>
            <w:tcW w:w="929" w:type="pct"/>
            <w:shd w:val="clear" w:color="auto" w:fill="auto"/>
            <w:noWrap/>
            <w:hideMark/>
          </w:tcPr>
          <w:p w14:paraId="4698BCD2" w14:textId="77777777" w:rsidR="004B2A4B" w:rsidRPr="00CB3BFB" w:rsidRDefault="004B2A4B" w:rsidP="00A456AE">
            <w:pPr>
              <w:keepNext/>
              <w:keepLines/>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CB3BFB">
              <w:rPr>
                <w:rFonts w:ascii="Arial" w:hAnsi="Arial" w:cs="Arial"/>
                <w:sz w:val="19"/>
                <w:szCs w:val="19"/>
                <w:lang w:val="en-GB"/>
              </w:rPr>
              <w:t>643</w:t>
            </w:r>
          </w:p>
        </w:tc>
        <w:tc>
          <w:tcPr>
            <w:tcW w:w="1110" w:type="pct"/>
            <w:shd w:val="clear" w:color="auto" w:fill="auto"/>
            <w:noWrap/>
            <w:hideMark/>
          </w:tcPr>
          <w:p w14:paraId="6C908D44" w14:textId="77777777" w:rsidR="004B2A4B" w:rsidRPr="00CB3BFB" w:rsidRDefault="004B2A4B" w:rsidP="00A456AE">
            <w:pPr>
              <w:keepNext/>
              <w:keepLines/>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CB3BFB">
              <w:rPr>
                <w:rFonts w:ascii="Arial" w:hAnsi="Arial" w:cs="Arial"/>
                <w:sz w:val="19"/>
                <w:szCs w:val="19"/>
                <w:lang w:val="en-GB"/>
              </w:rPr>
              <w:t>927</w:t>
            </w:r>
          </w:p>
        </w:tc>
      </w:tr>
      <w:tr w:rsidR="004B2A4B" w:rsidRPr="00CB3BFB" w14:paraId="322D4C71" w14:textId="77777777" w:rsidTr="00A456AE">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2032" w:type="pct"/>
            <w:shd w:val="clear" w:color="auto" w:fill="auto"/>
            <w:noWrap/>
            <w:hideMark/>
          </w:tcPr>
          <w:p w14:paraId="0BDB0077" w14:textId="77777777" w:rsidR="004B2A4B" w:rsidRPr="00CB3BFB" w:rsidRDefault="004B2A4B" w:rsidP="00A456AE">
            <w:pPr>
              <w:keepNext/>
              <w:keepLines/>
              <w:rPr>
                <w:rFonts w:ascii="Arial" w:hAnsi="Arial" w:cs="Arial"/>
                <w:sz w:val="19"/>
                <w:szCs w:val="19"/>
                <w:lang w:val="en-GB"/>
              </w:rPr>
            </w:pPr>
            <w:r w:rsidRPr="00CB3BFB">
              <w:rPr>
                <w:rFonts w:ascii="Arial" w:hAnsi="Arial" w:cs="Arial"/>
                <w:sz w:val="19"/>
                <w:szCs w:val="19"/>
                <w:lang w:val="en-GB"/>
              </w:rPr>
              <w:t>Total Assets</w:t>
            </w:r>
          </w:p>
        </w:tc>
        <w:tc>
          <w:tcPr>
            <w:tcW w:w="929" w:type="pct"/>
            <w:shd w:val="clear" w:color="auto" w:fill="auto"/>
            <w:noWrap/>
            <w:hideMark/>
          </w:tcPr>
          <w:p w14:paraId="6BAD7C7E" w14:textId="77777777" w:rsidR="004B2A4B" w:rsidRPr="00CB3BFB" w:rsidRDefault="004B2A4B" w:rsidP="00A456AE">
            <w:pPr>
              <w:keepNext/>
              <w:keepLines/>
              <w:jc w:val="right"/>
              <w:cnfStyle w:val="000000100000" w:firstRow="0" w:lastRow="0" w:firstColumn="0" w:lastColumn="0" w:oddVBand="0" w:evenVBand="0" w:oddHBand="1" w:evenHBand="0" w:firstRowFirstColumn="0" w:firstRowLastColumn="0" w:lastRowFirstColumn="0" w:lastRowLastColumn="0"/>
              <w:rPr>
                <w:rFonts w:ascii="Arial" w:hAnsi="Arial" w:cs="Arial"/>
                <w:b/>
                <w:sz w:val="19"/>
                <w:szCs w:val="19"/>
                <w:lang w:val="en-GB"/>
              </w:rPr>
            </w:pPr>
            <w:r w:rsidRPr="00CB3BFB">
              <w:rPr>
                <w:rFonts w:ascii="Arial" w:hAnsi="Arial" w:cs="Arial"/>
                <w:b/>
                <w:sz w:val="19"/>
                <w:szCs w:val="19"/>
                <w:lang w:val="en-GB"/>
              </w:rPr>
              <w:t>315</w:t>
            </w:r>
          </w:p>
        </w:tc>
        <w:tc>
          <w:tcPr>
            <w:tcW w:w="929" w:type="pct"/>
            <w:shd w:val="clear" w:color="auto" w:fill="auto"/>
            <w:noWrap/>
            <w:hideMark/>
          </w:tcPr>
          <w:p w14:paraId="798DDA01" w14:textId="77777777" w:rsidR="004B2A4B" w:rsidRPr="00CB3BFB" w:rsidRDefault="004B2A4B" w:rsidP="00A456AE">
            <w:pPr>
              <w:keepNext/>
              <w:keepLines/>
              <w:jc w:val="right"/>
              <w:cnfStyle w:val="000000100000" w:firstRow="0" w:lastRow="0" w:firstColumn="0" w:lastColumn="0" w:oddVBand="0" w:evenVBand="0" w:oddHBand="1" w:evenHBand="0" w:firstRowFirstColumn="0" w:firstRowLastColumn="0" w:lastRowFirstColumn="0" w:lastRowLastColumn="0"/>
              <w:rPr>
                <w:rFonts w:ascii="Arial" w:hAnsi="Arial" w:cs="Arial"/>
                <w:b/>
                <w:sz w:val="19"/>
                <w:szCs w:val="19"/>
                <w:lang w:val="en-GB"/>
              </w:rPr>
            </w:pPr>
            <w:r w:rsidRPr="00CB3BFB">
              <w:rPr>
                <w:rFonts w:ascii="Arial" w:hAnsi="Arial" w:cs="Arial"/>
                <w:b/>
                <w:sz w:val="19"/>
                <w:szCs w:val="19"/>
                <w:lang w:val="en-GB"/>
              </w:rPr>
              <w:t>1,433</w:t>
            </w:r>
          </w:p>
        </w:tc>
        <w:tc>
          <w:tcPr>
            <w:tcW w:w="1110" w:type="pct"/>
            <w:shd w:val="clear" w:color="auto" w:fill="auto"/>
            <w:noWrap/>
            <w:hideMark/>
          </w:tcPr>
          <w:p w14:paraId="51F153EB" w14:textId="77777777" w:rsidR="004B2A4B" w:rsidRPr="00CB3BFB" w:rsidRDefault="004B2A4B" w:rsidP="00A456AE">
            <w:pPr>
              <w:keepNext/>
              <w:keepLines/>
              <w:jc w:val="right"/>
              <w:cnfStyle w:val="000000100000" w:firstRow="0" w:lastRow="0" w:firstColumn="0" w:lastColumn="0" w:oddVBand="0" w:evenVBand="0" w:oddHBand="1" w:evenHBand="0" w:firstRowFirstColumn="0" w:firstRowLastColumn="0" w:lastRowFirstColumn="0" w:lastRowLastColumn="0"/>
              <w:rPr>
                <w:rFonts w:ascii="Arial" w:hAnsi="Arial" w:cs="Arial"/>
                <w:b/>
                <w:sz w:val="19"/>
                <w:szCs w:val="19"/>
                <w:lang w:val="en-GB"/>
              </w:rPr>
            </w:pPr>
            <w:r w:rsidRPr="00CB3BFB">
              <w:rPr>
                <w:rFonts w:ascii="Arial" w:hAnsi="Arial" w:cs="Arial"/>
                <w:b/>
                <w:sz w:val="19"/>
                <w:szCs w:val="19"/>
                <w:lang w:val="en-GB"/>
              </w:rPr>
              <w:t>4,313</w:t>
            </w:r>
          </w:p>
        </w:tc>
      </w:tr>
      <w:tr w:rsidR="004B2A4B" w:rsidRPr="00CB3BFB" w14:paraId="4D0F37CF" w14:textId="77777777" w:rsidTr="00A456AE">
        <w:trPr>
          <w:trHeight w:val="144"/>
          <w:jc w:val="center"/>
        </w:trPr>
        <w:tc>
          <w:tcPr>
            <w:cnfStyle w:val="001000000000" w:firstRow="0" w:lastRow="0" w:firstColumn="1" w:lastColumn="0" w:oddVBand="0" w:evenVBand="0" w:oddHBand="0" w:evenHBand="0" w:firstRowFirstColumn="0" w:firstRowLastColumn="0" w:lastRowFirstColumn="0" w:lastRowLastColumn="0"/>
            <w:tcW w:w="2032" w:type="pct"/>
            <w:shd w:val="clear" w:color="auto" w:fill="auto"/>
            <w:noWrap/>
            <w:hideMark/>
          </w:tcPr>
          <w:p w14:paraId="0EDA5E60" w14:textId="77777777" w:rsidR="004B2A4B" w:rsidRPr="00991A8E" w:rsidRDefault="004B2A4B" w:rsidP="00991A8E">
            <w:pPr>
              <w:pStyle w:val="BodyTextMain"/>
              <w:rPr>
                <w:sz w:val="19"/>
                <w:szCs w:val="19"/>
                <w:lang w:val="en-GB"/>
              </w:rPr>
            </w:pPr>
          </w:p>
        </w:tc>
        <w:tc>
          <w:tcPr>
            <w:tcW w:w="929" w:type="pct"/>
            <w:shd w:val="clear" w:color="auto" w:fill="auto"/>
            <w:noWrap/>
            <w:hideMark/>
          </w:tcPr>
          <w:p w14:paraId="6A633BC0" w14:textId="77777777" w:rsidR="004B2A4B" w:rsidRPr="00991A8E" w:rsidRDefault="004B2A4B" w:rsidP="00A456AE">
            <w:pPr>
              <w:keepNext/>
              <w:keepLines/>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p>
        </w:tc>
        <w:tc>
          <w:tcPr>
            <w:tcW w:w="929" w:type="pct"/>
            <w:shd w:val="clear" w:color="auto" w:fill="auto"/>
            <w:noWrap/>
            <w:hideMark/>
          </w:tcPr>
          <w:p w14:paraId="7BF81B66" w14:textId="77777777" w:rsidR="004B2A4B" w:rsidRPr="00991A8E" w:rsidRDefault="004B2A4B" w:rsidP="00A456AE">
            <w:pPr>
              <w:keepNext/>
              <w:keepLines/>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p>
        </w:tc>
        <w:tc>
          <w:tcPr>
            <w:tcW w:w="1110" w:type="pct"/>
            <w:shd w:val="clear" w:color="auto" w:fill="auto"/>
            <w:noWrap/>
            <w:hideMark/>
          </w:tcPr>
          <w:p w14:paraId="78401269" w14:textId="77777777" w:rsidR="004B2A4B" w:rsidRPr="00991A8E" w:rsidRDefault="004B2A4B" w:rsidP="00A456AE">
            <w:pPr>
              <w:keepNext/>
              <w:keepLines/>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p>
        </w:tc>
      </w:tr>
      <w:tr w:rsidR="004B2A4B" w:rsidRPr="00CB3BFB" w14:paraId="7EC994EA" w14:textId="77777777" w:rsidTr="00A456AE">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2032" w:type="pct"/>
            <w:shd w:val="clear" w:color="auto" w:fill="auto"/>
            <w:noWrap/>
            <w:hideMark/>
          </w:tcPr>
          <w:p w14:paraId="5BDCEF2B" w14:textId="77777777" w:rsidR="004B2A4B" w:rsidRPr="00CB3BFB" w:rsidRDefault="004B2A4B" w:rsidP="00A456AE">
            <w:pPr>
              <w:keepNext/>
              <w:keepLines/>
              <w:rPr>
                <w:rFonts w:ascii="Arial" w:hAnsi="Arial" w:cs="Arial"/>
                <w:b w:val="0"/>
                <w:sz w:val="19"/>
                <w:szCs w:val="19"/>
                <w:lang w:val="en-GB"/>
              </w:rPr>
            </w:pPr>
            <w:r w:rsidRPr="00CB3BFB">
              <w:rPr>
                <w:rFonts w:ascii="Arial" w:hAnsi="Arial" w:cs="Arial"/>
                <w:b w:val="0"/>
                <w:sz w:val="19"/>
                <w:szCs w:val="19"/>
                <w:lang w:val="en-GB"/>
              </w:rPr>
              <w:t>Payables</w:t>
            </w:r>
          </w:p>
        </w:tc>
        <w:tc>
          <w:tcPr>
            <w:tcW w:w="929" w:type="pct"/>
            <w:shd w:val="clear" w:color="auto" w:fill="auto"/>
            <w:noWrap/>
            <w:hideMark/>
          </w:tcPr>
          <w:p w14:paraId="45D01ED6" w14:textId="77777777" w:rsidR="004B2A4B" w:rsidRPr="00CB3BFB" w:rsidRDefault="004B2A4B" w:rsidP="00A456AE">
            <w:pPr>
              <w:keepNext/>
              <w:keepLines/>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CB3BFB">
              <w:rPr>
                <w:rFonts w:ascii="Arial" w:hAnsi="Arial" w:cs="Arial"/>
                <w:sz w:val="19"/>
                <w:szCs w:val="19"/>
                <w:lang w:val="en-GB"/>
              </w:rPr>
              <w:t>11</w:t>
            </w:r>
          </w:p>
        </w:tc>
        <w:tc>
          <w:tcPr>
            <w:tcW w:w="929" w:type="pct"/>
            <w:shd w:val="clear" w:color="auto" w:fill="auto"/>
            <w:noWrap/>
            <w:hideMark/>
          </w:tcPr>
          <w:p w14:paraId="5C3BC5E4" w14:textId="77777777" w:rsidR="004B2A4B" w:rsidRPr="00CB3BFB" w:rsidRDefault="004B2A4B" w:rsidP="00A456AE">
            <w:pPr>
              <w:keepNext/>
              <w:keepLines/>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CB3BFB">
              <w:rPr>
                <w:rFonts w:ascii="Arial" w:hAnsi="Arial" w:cs="Arial"/>
                <w:sz w:val="19"/>
                <w:szCs w:val="19"/>
                <w:lang w:val="en-GB"/>
              </w:rPr>
              <w:t>48</w:t>
            </w:r>
          </w:p>
        </w:tc>
        <w:tc>
          <w:tcPr>
            <w:tcW w:w="1110" w:type="pct"/>
            <w:shd w:val="clear" w:color="auto" w:fill="auto"/>
            <w:noWrap/>
            <w:hideMark/>
          </w:tcPr>
          <w:p w14:paraId="7C23A6F9" w14:textId="77777777" w:rsidR="004B2A4B" w:rsidRPr="00CB3BFB" w:rsidRDefault="004B2A4B" w:rsidP="00A456AE">
            <w:pPr>
              <w:keepNext/>
              <w:keepLines/>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CB3BFB">
              <w:rPr>
                <w:rFonts w:ascii="Arial" w:hAnsi="Arial" w:cs="Arial"/>
                <w:sz w:val="19"/>
                <w:szCs w:val="19"/>
                <w:lang w:val="en-GB"/>
              </w:rPr>
              <w:t>403</w:t>
            </w:r>
          </w:p>
        </w:tc>
      </w:tr>
      <w:tr w:rsidR="004B2A4B" w:rsidRPr="00CB3BFB" w14:paraId="54652132" w14:textId="77777777" w:rsidTr="00A456AE">
        <w:trPr>
          <w:trHeight w:val="144"/>
          <w:jc w:val="center"/>
        </w:trPr>
        <w:tc>
          <w:tcPr>
            <w:cnfStyle w:val="001000000000" w:firstRow="0" w:lastRow="0" w:firstColumn="1" w:lastColumn="0" w:oddVBand="0" w:evenVBand="0" w:oddHBand="0" w:evenHBand="0" w:firstRowFirstColumn="0" w:firstRowLastColumn="0" w:lastRowFirstColumn="0" w:lastRowLastColumn="0"/>
            <w:tcW w:w="2032" w:type="pct"/>
            <w:shd w:val="clear" w:color="auto" w:fill="auto"/>
            <w:noWrap/>
            <w:hideMark/>
          </w:tcPr>
          <w:p w14:paraId="1662DBF5" w14:textId="77777777" w:rsidR="004B2A4B" w:rsidRPr="00CB3BFB" w:rsidRDefault="004B2A4B" w:rsidP="00A456AE">
            <w:pPr>
              <w:keepNext/>
              <w:keepLines/>
              <w:rPr>
                <w:rFonts w:ascii="Arial" w:hAnsi="Arial" w:cs="Arial"/>
                <w:b w:val="0"/>
                <w:sz w:val="19"/>
                <w:szCs w:val="19"/>
                <w:lang w:val="en-GB"/>
              </w:rPr>
            </w:pPr>
            <w:r w:rsidRPr="00CB3BFB">
              <w:rPr>
                <w:rFonts w:ascii="Arial" w:hAnsi="Arial" w:cs="Arial"/>
                <w:b w:val="0"/>
                <w:sz w:val="19"/>
                <w:szCs w:val="19"/>
                <w:lang w:val="en-GB"/>
              </w:rPr>
              <w:t>Provisions</w:t>
            </w:r>
          </w:p>
        </w:tc>
        <w:tc>
          <w:tcPr>
            <w:tcW w:w="929" w:type="pct"/>
            <w:shd w:val="clear" w:color="auto" w:fill="auto"/>
            <w:noWrap/>
            <w:hideMark/>
          </w:tcPr>
          <w:p w14:paraId="699CFEB9" w14:textId="77777777" w:rsidR="004B2A4B" w:rsidRPr="00CB3BFB" w:rsidRDefault="004B2A4B" w:rsidP="00A456AE">
            <w:pPr>
              <w:keepNext/>
              <w:keepLines/>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CB3BFB">
              <w:rPr>
                <w:rFonts w:ascii="Arial" w:hAnsi="Arial" w:cs="Arial"/>
                <w:sz w:val="19"/>
                <w:szCs w:val="19"/>
                <w:lang w:val="en-GB"/>
              </w:rPr>
              <w:t>0</w:t>
            </w:r>
          </w:p>
        </w:tc>
        <w:tc>
          <w:tcPr>
            <w:tcW w:w="929" w:type="pct"/>
            <w:shd w:val="clear" w:color="auto" w:fill="auto"/>
            <w:noWrap/>
            <w:hideMark/>
          </w:tcPr>
          <w:p w14:paraId="46E4EC4D" w14:textId="77777777" w:rsidR="004B2A4B" w:rsidRPr="00CB3BFB" w:rsidRDefault="004B2A4B" w:rsidP="00A456AE">
            <w:pPr>
              <w:keepNext/>
              <w:keepLines/>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CB3BFB">
              <w:rPr>
                <w:rFonts w:ascii="Arial" w:hAnsi="Arial" w:cs="Arial"/>
                <w:sz w:val="19"/>
                <w:szCs w:val="19"/>
                <w:lang w:val="en-GB"/>
              </w:rPr>
              <w:t>21</w:t>
            </w:r>
          </w:p>
        </w:tc>
        <w:tc>
          <w:tcPr>
            <w:tcW w:w="1110" w:type="pct"/>
            <w:shd w:val="clear" w:color="auto" w:fill="auto"/>
            <w:noWrap/>
            <w:hideMark/>
          </w:tcPr>
          <w:p w14:paraId="574A31CB" w14:textId="77777777" w:rsidR="004B2A4B" w:rsidRPr="00CB3BFB" w:rsidRDefault="004B2A4B" w:rsidP="00A456AE">
            <w:pPr>
              <w:keepNext/>
              <w:keepLines/>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CB3BFB">
              <w:rPr>
                <w:rFonts w:ascii="Arial" w:hAnsi="Arial" w:cs="Arial"/>
                <w:sz w:val="19"/>
                <w:szCs w:val="19"/>
                <w:lang w:val="en-GB"/>
              </w:rPr>
              <w:t>58</w:t>
            </w:r>
          </w:p>
        </w:tc>
      </w:tr>
      <w:tr w:rsidR="004B2A4B" w:rsidRPr="00CB3BFB" w14:paraId="166D48A1" w14:textId="77777777" w:rsidTr="00A456AE">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2032" w:type="pct"/>
            <w:shd w:val="clear" w:color="auto" w:fill="auto"/>
            <w:noWrap/>
            <w:hideMark/>
          </w:tcPr>
          <w:p w14:paraId="46B75CF2" w14:textId="77777777" w:rsidR="004B2A4B" w:rsidRPr="00CB3BFB" w:rsidRDefault="004B2A4B" w:rsidP="00A456AE">
            <w:pPr>
              <w:keepNext/>
              <w:keepLines/>
              <w:rPr>
                <w:rFonts w:ascii="Arial" w:hAnsi="Arial" w:cs="Arial"/>
                <w:b w:val="0"/>
                <w:sz w:val="19"/>
                <w:szCs w:val="19"/>
                <w:lang w:val="en-GB"/>
              </w:rPr>
            </w:pPr>
            <w:r w:rsidRPr="00CB3BFB">
              <w:rPr>
                <w:rFonts w:ascii="Arial" w:hAnsi="Arial" w:cs="Arial"/>
                <w:b w:val="0"/>
                <w:sz w:val="19"/>
                <w:szCs w:val="19"/>
                <w:lang w:val="en-GB"/>
              </w:rPr>
              <w:t>Other Current Liabilities</w:t>
            </w:r>
          </w:p>
        </w:tc>
        <w:tc>
          <w:tcPr>
            <w:tcW w:w="929" w:type="pct"/>
            <w:shd w:val="clear" w:color="auto" w:fill="auto"/>
            <w:noWrap/>
            <w:hideMark/>
          </w:tcPr>
          <w:p w14:paraId="03758B55" w14:textId="77777777" w:rsidR="004B2A4B" w:rsidRPr="00CB3BFB" w:rsidRDefault="004B2A4B" w:rsidP="00A456AE">
            <w:pPr>
              <w:keepNext/>
              <w:keepLines/>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CB3BFB">
              <w:rPr>
                <w:rFonts w:ascii="Arial" w:hAnsi="Arial" w:cs="Arial"/>
                <w:sz w:val="19"/>
                <w:szCs w:val="19"/>
                <w:lang w:val="en-GB"/>
              </w:rPr>
              <w:t>0</w:t>
            </w:r>
          </w:p>
        </w:tc>
        <w:tc>
          <w:tcPr>
            <w:tcW w:w="929" w:type="pct"/>
            <w:shd w:val="clear" w:color="auto" w:fill="auto"/>
            <w:noWrap/>
            <w:hideMark/>
          </w:tcPr>
          <w:p w14:paraId="4F6EE012" w14:textId="77777777" w:rsidR="004B2A4B" w:rsidRPr="00CB3BFB" w:rsidRDefault="004B2A4B" w:rsidP="00A456AE">
            <w:pPr>
              <w:keepNext/>
              <w:keepLines/>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CB3BFB">
              <w:rPr>
                <w:rFonts w:ascii="Arial" w:hAnsi="Arial" w:cs="Arial"/>
                <w:sz w:val="19"/>
                <w:szCs w:val="19"/>
                <w:lang w:val="en-GB"/>
              </w:rPr>
              <w:t>768</w:t>
            </w:r>
          </w:p>
        </w:tc>
        <w:tc>
          <w:tcPr>
            <w:tcW w:w="1110" w:type="pct"/>
            <w:shd w:val="clear" w:color="auto" w:fill="auto"/>
            <w:noWrap/>
            <w:hideMark/>
          </w:tcPr>
          <w:p w14:paraId="6B96E21C" w14:textId="77777777" w:rsidR="004B2A4B" w:rsidRPr="00CB3BFB" w:rsidRDefault="004B2A4B" w:rsidP="00A456AE">
            <w:pPr>
              <w:keepNext/>
              <w:keepLines/>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CB3BFB">
              <w:rPr>
                <w:rFonts w:ascii="Arial" w:hAnsi="Arial" w:cs="Arial"/>
                <w:sz w:val="19"/>
                <w:szCs w:val="19"/>
                <w:lang w:val="en-GB"/>
              </w:rPr>
              <w:t>0</w:t>
            </w:r>
          </w:p>
        </w:tc>
      </w:tr>
      <w:tr w:rsidR="004B2A4B" w:rsidRPr="00CB3BFB" w14:paraId="108CCFCD" w14:textId="77777777" w:rsidTr="00A456AE">
        <w:trPr>
          <w:trHeight w:val="144"/>
          <w:jc w:val="center"/>
        </w:trPr>
        <w:tc>
          <w:tcPr>
            <w:cnfStyle w:val="001000000000" w:firstRow="0" w:lastRow="0" w:firstColumn="1" w:lastColumn="0" w:oddVBand="0" w:evenVBand="0" w:oddHBand="0" w:evenHBand="0" w:firstRowFirstColumn="0" w:firstRowLastColumn="0" w:lastRowFirstColumn="0" w:lastRowLastColumn="0"/>
            <w:tcW w:w="2032" w:type="pct"/>
            <w:shd w:val="clear" w:color="auto" w:fill="auto"/>
            <w:noWrap/>
            <w:hideMark/>
          </w:tcPr>
          <w:p w14:paraId="79881716" w14:textId="77777777" w:rsidR="004B2A4B" w:rsidRPr="00CB3BFB" w:rsidRDefault="004B2A4B" w:rsidP="00A456AE">
            <w:pPr>
              <w:keepNext/>
              <w:keepLines/>
              <w:rPr>
                <w:rFonts w:ascii="Arial" w:hAnsi="Arial" w:cs="Arial"/>
                <w:b w:val="0"/>
                <w:sz w:val="19"/>
                <w:szCs w:val="19"/>
                <w:lang w:val="en-GB"/>
              </w:rPr>
            </w:pPr>
            <w:r w:rsidRPr="00CB3BFB">
              <w:rPr>
                <w:rFonts w:ascii="Arial" w:hAnsi="Arial" w:cs="Arial"/>
                <w:b w:val="0"/>
                <w:sz w:val="19"/>
                <w:szCs w:val="19"/>
                <w:lang w:val="en-GB"/>
              </w:rPr>
              <w:t>Current Liabilities</w:t>
            </w:r>
          </w:p>
        </w:tc>
        <w:tc>
          <w:tcPr>
            <w:tcW w:w="929" w:type="pct"/>
            <w:shd w:val="clear" w:color="auto" w:fill="auto"/>
            <w:noWrap/>
            <w:hideMark/>
          </w:tcPr>
          <w:p w14:paraId="74EA9595" w14:textId="77777777" w:rsidR="004B2A4B" w:rsidRPr="00CB3BFB" w:rsidRDefault="004B2A4B" w:rsidP="00A456AE">
            <w:pPr>
              <w:keepNext/>
              <w:keepLines/>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CB3BFB">
              <w:rPr>
                <w:rFonts w:ascii="Arial" w:hAnsi="Arial" w:cs="Arial"/>
                <w:sz w:val="19"/>
                <w:szCs w:val="19"/>
                <w:lang w:val="en-GB"/>
              </w:rPr>
              <w:t>11</w:t>
            </w:r>
          </w:p>
        </w:tc>
        <w:tc>
          <w:tcPr>
            <w:tcW w:w="929" w:type="pct"/>
            <w:shd w:val="clear" w:color="auto" w:fill="auto"/>
            <w:noWrap/>
            <w:hideMark/>
          </w:tcPr>
          <w:p w14:paraId="6679793A" w14:textId="77777777" w:rsidR="004B2A4B" w:rsidRPr="00CB3BFB" w:rsidRDefault="004B2A4B" w:rsidP="00A456AE">
            <w:pPr>
              <w:keepNext/>
              <w:keepLines/>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CB3BFB">
              <w:rPr>
                <w:rFonts w:ascii="Arial" w:hAnsi="Arial" w:cs="Arial"/>
                <w:sz w:val="19"/>
                <w:szCs w:val="19"/>
                <w:lang w:val="en-GB"/>
              </w:rPr>
              <w:t>837</w:t>
            </w:r>
          </w:p>
        </w:tc>
        <w:tc>
          <w:tcPr>
            <w:tcW w:w="1110" w:type="pct"/>
            <w:shd w:val="clear" w:color="auto" w:fill="auto"/>
            <w:noWrap/>
            <w:hideMark/>
          </w:tcPr>
          <w:p w14:paraId="5D2C88E6" w14:textId="77777777" w:rsidR="004B2A4B" w:rsidRPr="00CB3BFB" w:rsidRDefault="004B2A4B" w:rsidP="00A456AE">
            <w:pPr>
              <w:keepNext/>
              <w:keepLines/>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CB3BFB">
              <w:rPr>
                <w:rFonts w:ascii="Arial" w:hAnsi="Arial" w:cs="Arial"/>
                <w:sz w:val="19"/>
                <w:szCs w:val="19"/>
                <w:lang w:val="en-GB"/>
              </w:rPr>
              <w:t>461</w:t>
            </w:r>
          </w:p>
        </w:tc>
      </w:tr>
      <w:tr w:rsidR="004B2A4B" w:rsidRPr="00CB3BFB" w14:paraId="3EDFE889" w14:textId="77777777" w:rsidTr="00A456AE">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2032" w:type="pct"/>
            <w:shd w:val="clear" w:color="auto" w:fill="auto"/>
            <w:noWrap/>
            <w:hideMark/>
          </w:tcPr>
          <w:p w14:paraId="050CA2B3" w14:textId="77777777" w:rsidR="004B2A4B" w:rsidRPr="00CB3BFB" w:rsidRDefault="004B2A4B" w:rsidP="00A456AE">
            <w:pPr>
              <w:keepNext/>
              <w:keepLines/>
              <w:rPr>
                <w:rFonts w:ascii="Arial" w:hAnsi="Arial" w:cs="Arial"/>
                <w:sz w:val="19"/>
                <w:szCs w:val="19"/>
                <w:lang w:val="en-GB"/>
              </w:rPr>
            </w:pPr>
            <w:r w:rsidRPr="00CB3BFB">
              <w:rPr>
                <w:rFonts w:ascii="Arial" w:hAnsi="Arial" w:cs="Arial"/>
                <w:sz w:val="19"/>
                <w:szCs w:val="19"/>
                <w:lang w:val="en-GB"/>
              </w:rPr>
              <w:t>Total Liabilities</w:t>
            </w:r>
          </w:p>
        </w:tc>
        <w:tc>
          <w:tcPr>
            <w:tcW w:w="929" w:type="pct"/>
            <w:shd w:val="clear" w:color="auto" w:fill="auto"/>
            <w:noWrap/>
            <w:hideMark/>
          </w:tcPr>
          <w:p w14:paraId="50CA5B7B" w14:textId="77777777" w:rsidR="004B2A4B" w:rsidRPr="00CB3BFB" w:rsidRDefault="004B2A4B" w:rsidP="00A456AE">
            <w:pPr>
              <w:keepNext/>
              <w:keepLines/>
              <w:jc w:val="right"/>
              <w:cnfStyle w:val="000000100000" w:firstRow="0" w:lastRow="0" w:firstColumn="0" w:lastColumn="0" w:oddVBand="0" w:evenVBand="0" w:oddHBand="1" w:evenHBand="0" w:firstRowFirstColumn="0" w:firstRowLastColumn="0" w:lastRowFirstColumn="0" w:lastRowLastColumn="0"/>
              <w:rPr>
                <w:rFonts w:ascii="Arial" w:hAnsi="Arial" w:cs="Arial"/>
                <w:b/>
                <w:sz w:val="19"/>
                <w:szCs w:val="19"/>
                <w:lang w:val="en-GB"/>
              </w:rPr>
            </w:pPr>
            <w:r w:rsidRPr="00CB3BFB">
              <w:rPr>
                <w:rFonts w:ascii="Arial" w:hAnsi="Arial" w:cs="Arial"/>
                <w:b/>
                <w:sz w:val="19"/>
                <w:szCs w:val="19"/>
                <w:lang w:val="en-GB"/>
              </w:rPr>
              <w:t>11</w:t>
            </w:r>
          </w:p>
        </w:tc>
        <w:tc>
          <w:tcPr>
            <w:tcW w:w="929" w:type="pct"/>
            <w:shd w:val="clear" w:color="auto" w:fill="auto"/>
            <w:noWrap/>
            <w:hideMark/>
          </w:tcPr>
          <w:p w14:paraId="7E246F32" w14:textId="77777777" w:rsidR="004B2A4B" w:rsidRPr="00CB3BFB" w:rsidRDefault="004B2A4B" w:rsidP="00A456AE">
            <w:pPr>
              <w:keepNext/>
              <w:keepLines/>
              <w:jc w:val="right"/>
              <w:cnfStyle w:val="000000100000" w:firstRow="0" w:lastRow="0" w:firstColumn="0" w:lastColumn="0" w:oddVBand="0" w:evenVBand="0" w:oddHBand="1" w:evenHBand="0" w:firstRowFirstColumn="0" w:firstRowLastColumn="0" w:lastRowFirstColumn="0" w:lastRowLastColumn="0"/>
              <w:rPr>
                <w:rFonts w:ascii="Arial" w:hAnsi="Arial" w:cs="Arial"/>
                <w:b/>
                <w:sz w:val="19"/>
                <w:szCs w:val="19"/>
                <w:lang w:val="en-GB"/>
              </w:rPr>
            </w:pPr>
            <w:r w:rsidRPr="00CB3BFB">
              <w:rPr>
                <w:rFonts w:ascii="Arial" w:hAnsi="Arial" w:cs="Arial"/>
                <w:b/>
                <w:sz w:val="19"/>
                <w:szCs w:val="19"/>
                <w:lang w:val="en-GB"/>
              </w:rPr>
              <w:t>837</w:t>
            </w:r>
          </w:p>
        </w:tc>
        <w:tc>
          <w:tcPr>
            <w:tcW w:w="1110" w:type="pct"/>
            <w:shd w:val="clear" w:color="auto" w:fill="auto"/>
            <w:noWrap/>
            <w:hideMark/>
          </w:tcPr>
          <w:p w14:paraId="56CAD87C" w14:textId="77777777" w:rsidR="004B2A4B" w:rsidRPr="00CB3BFB" w:rsidRDefault="004B2A4B" w:rsidP="00A456AE">
            <w:pPr>
              <w:keepNext/>
              <w:keepLines/>
              <w:jc w:val="right"/>
              <w:cnfStyle w:val="000000100000" w:firstRow="0" w:lastRow="0" w:firstColumn="0" w:lastColumn="0" w:oddVBand="0" w:evenVBand="0" w:oddHBand="1" w:evenHBand="0" w:firstRowFirstColumn="0" w:firstRowLastColumn="0" w:lastRowFirstColumn="0" w:lastRowLastColumn="0"/>
              <w:rPr>
                <w:rFonts w:ascii="Arial" w:hAnsi="Arial" w:cs="Arial"/>
                <w:b/>
                <w:sz w:val="19"/>
                <w:szCs w:val="19"/>
                <w:lang w:val="en-GB"/>
              </w:rPr>
            </w:pPr>
            <w:r w:rsidRPr="00CB3BFB">
              <w:rPr>
                <w:rFonts w:ascii="Arial" w:hAnsi="Arial" w:cs="Arial"/>
                <w:b/>
                <w:sz w:val="19"/>
                <w:szCs w:val="19"/>
                <w:lang w:val="en-GB"/>
              </w:rPr>
              <w:t>461</w:t>
            </w:r>
          </w:p>
        </w:tc>
      </w:tr>
      <w:tr w:rsidR="004B2A4B" w:rsidRPr="00CB3BFB" w14:paraId="4A472919" w14:textId="77777777" w:rsidTr="00A456AE">
        <w:trPr>
          <w:trHeight w:val="144"/>
          <w:jc w:val="center"/>
        </w:trPr>
        <w:tc>
          <w:tcPr>
            <w:cnfStyle w:val="001000000000" w:firstRow="0" w:lastRow="0" w:firstColumn="1" w:lastColumn="0" w:oddVBand="0" w:evenVBand="0" w:oddHBand="0" w:evenHBand="0" w:firstRowFirstColumn="0" w:firstRowLastColumn="0" w:lastRowFirstColumn="0" w:lastRowLastColumn="0"/>
            <w:tcW w:w="2032" w:type="pct"/>
            <w:shd w:val="clear" w:color="auto" w:fill="auto"/>
            <w:noWrap/>
            <w:hideMark/>
          </w:tcPr>
          <w:p w14:paraId="2EE8A14B" w14:textId="77777777" w:rsidR="004B2A4B" w:rsidRPr="00CB3BFB" w:rsidRDefault="004B2A4B" w:rsidP="00A456AE">
            <w:pPr>
              <w:keepNext/>
              <w:keepLines/>
              <w:rPr>
                <w:rFonts w:ascii="Arial" w:hAnsi="Arial" w:cs="Arial"/>
                <w:sz w:val="19"/>
                <w:szCs w:val="19"/>
                <w:lang w:val="en-GB"/>
              </w:rPr>
            </w:pPr>
            <w:r w:rsidRPr="00CB3BFB">
              <w:rPr>
                <w:rFonts w:ascii="Arial" w:hAnsi="Arial" w:cs="Arial"/>
                <w:sz w:val="19"/>
                <w:szCs w:val="19"/>
                <w:lang w:val="en-GB"/>
              </w:rPr>
              <w:t>Net Assets</w:t>
            </w:r>
          </w:p>
        </w:tc>
        <w:tc>
          <w:tcPr>
            <w:tcW w:w="929" w:type="pct"/>
            <w:shd w:val="clear" w:color="auto" w:fill="auto"/>
            <w:noWrap/>
            <w:hideMark/>
          </w:tcPr>
          <w:p w14:paraId="2D8085B3" w14:textId="77777777" w:rsidR="004B2A4B" w:rsidRPr="00CB3BFB" w:rsidRDefault="004B2A4B" w:rsidP="00A456AE">
            <w:pPr>
              <w:keepNext/>
              <w:keepLines/>
              <w:jc w:val="right"/>
              <w:cnfStyle w:val="000000000000" w:firstRow="0" w:lastRow="0" w:firstColumn="0" w:lastColumn="0" w:oddVBand="0" w:evenVBand="0" w:oddHBand="0" w:evenHBand="0" w:firstRowFirstColumn="0" w:firstRowLastColumn="0" w:lastRowFirstColumn="0" w:lastRowLastColumn="0"/>
              <w:rPr>
                <w:rFonts w:ascii="Arial" w:hAnsi="Arial" w:cs="Arial"/>
                <w:b/>
                <w:sz w:val="19"/>
                <w:szCs w:val="19"/>
                <w:lang w:val="en-GB"/>
              </w:rPr>
            </w:pPr>
            <w:r w:rsidRPr="00CB3BFB">
              <w:rPr>
                <w:rFonts w:ascii="Arial" w:hAnsi="Arial" w:cs="Arial"/>
                <w:b/>
                <w:sz w:val="19"/>
                <w:szCs w:val="19"/>
                <w:lang w:val="en-GB"/>
              </w:rPr>
              <w:t>304</w:t>
            </w:r>
          </w:p>
        </w:tc>
        <w:tc>
          <w:tcPr>
            <w:tcW w:w="929" w:type="pct"/>
            <w:shd w:val="clear" w:color="auto" w:fill="auto"/>
            <w:noWrap/>
            <w:hideMark/>
          </w:tcPr>
          <w:p w14:paraId="3695FA7F" w14:textId="77777777" w:rsidR="004B2A4B" w:rsidRPr="00CB3BFB" w:rsidRDefault="004B2A4B" w:rsidP="00A456AE">
            <w:pPr>
              <w:keepNext/>
              <w:keepLines/>
              <w:jc w:val="right"/>
              <w:cnfStyle w:val="000000000000" w:firstRow="0" w:lastRow="0" w:firstColumn="0" w:lastColumn="0" w:oddVBand="0" w:evenVBand="0" w:oddHBand="0" w:evenHBand="0" w:firstRowFirstColumn="0" w:firstRowLastColumn="0" w:lastRowFirstColumn="0" w:lastRowLastColumn="0"/>
              <w:rPr>
                <w:rFonts w:ascii="Arial" w:hAnsi="Arial" w:cs="Arial"/>
                <w:b/>
                <w:sz w:val="19"/>
                <w:szCs w:val="19"/>
                <w:lang w:val="en-GB"/>
              </w:rPr>
            </w:pPr>
            <w:r w:rsidRPr="00CB3BFB">
              <w:rPr>
                <w:rFonts w:ascii="Arial" w:hAnsi="Arial" w:cs="Arial"/>
                <w:b/>
                <w:sz w:val="19"/>
                <w:szCs w:val="19"/>
                <w:lang w:val="en-GB"/>
              </w:rPr>
              <w:t>596</w:t>
            </w:r>
          </w:p>
        </w:tc>
        <w:tc>
          <w:tcPr>
            <w:tcW w:w="1110" w:type="pct"/>
            <w:shd w:val="clear" w:color="auto" w:fill="auto"/>
            <w:noWrap/>
            <w:hideMark/>
          </w:tcPr>
          <w:p w14:paraId="32B7A524" w14:textId="77777777" w:rsidR="004B2A4B" w:rsidRPr="00CB3BFB" w:rsidRDefault="004B2A4B" w:rsidP="00A456AE">
            <w:pPr>
              <w:keepNext/>
              <w:keepLines/>
              <w:jc w:val="right"/>
              <w:cnfStyle w:val="000000000000" w:firstRow="0" w:lastRow="0" w:firstColumn="0" w:lastColumn="0" w:oddVBand="0" w:evenVBand="0" w:oddHBand="0" w:evenHBand="0" w:firstRowFirstColumn="0" w:firstRowLastColumn="0" w:lastRowFirstColumn="0" w:lastRowLastColumn="0"/>
              <w:rPr>
                <w:rFonts w:ascii="Arial" w:hAnsi="Arial" w:cs="Arial"/>
                <w:b/>
                <w:sz w:val="19"/>
                <w:szCs w:val="19"/>
                <w:lang w:val="en-GB"/>
              </w:rPr>
            </w:pPr>
            <w:r w:rsidRPr="00CB3BFB">
              <w:rPr>
                <w:rFonts w:ascii="Arial" w:hAnsi="Arial" w:cs="Arial"/>
                <w:b/>
                <w:sz w:val="19"/>
                <w:szCs w:val="19"/>
                <w:lang w:val="en-GB"/>
              </w:rPr>
              <w:t>3,852</w:t>
            </w:r>
          </w:p>
        </w:tc>
      </w:tr>
      <w:tr w:rsidR="004B2A4B" w:rsidRPr="00CB3BFB" w14:paraId="68D41D13" w14:textId="77777777" w:rsidTr="00A456AE">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2032" w:type="pct"/>
            <w:shd w:val="clear" w:color="auto" w:fill="auto"/>
            <w:noWrap/>
            <w:hideMark/>
          </w:tcPr>
          <w:p w14:paraId="270087D0" w14:textId="77777777" w:rsidR="004B2A4B" w:rsidRPr="00991A8E" w:rsidRDefault="004B2A4B" w:rsidP="00991A8E">
            <w:pPr>
              <w:pStyle w:val="BodyTextMain"/>
              <w:rPr>
                <w:sz w:val="19"/>
                <w:szCs w:val="19"/>
                <w:lang w:val="en-GB"/>
              </w:rPr>
            </w:pPr>
          </w:p>
        </w:tc>
        <w:tc>
          <w:tcPr>
            <w:tcW w:w="929" w:type="pct"/>
            <w:shd w:val="clear" w:color="auto" w:fill="auto"/>
            <w:noWrap/>
            <w:hideMark/>
          </w:tcPr>
          <w:p w14:paraId="5A670755" w14:textId="77777777" w:rsidR="004B2A4B" w:rsidRPr="00991A8E" w:rsidRDefault="004B2A4B" w:rsidP="00A456AE">
            <w:pPr>
              <w:keepNext/>
              <w:keepLines/>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p>
        </w:tc>
        <w:tc>
          <w:tcPr>
            <w:tcW w:w="929" w:type="pct"/>
            <w:shd w:val="clear" w:color="auto" w:fill="auto"/>
            <w:noWrap/>
            <w:hideMark/>
          </w:tcPr>
          <w:p w14:paraId="3D9140BD" w14:textId="77777777" w:rsidR="004B2A4B" w:rsidRPr="00991A8E" w:rsidRDefault="004B2A4B" w:rsidP="00A456AE">
            <w:pPr>
              <w:keepNext/>
              <w:keepLines/>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p>
        </w:tc>
        <w:tc>
          <w:tcPr>
            <w:tcW w:w="1110" w:type="pct"/>
            <w:shd w:val="clear" w:color="auto" w:fill="auto"/>
            <w:noWrap/>
            <w:hideMark/>
          </w:tcPr>
          <w:p w14:paraId="086D6BFA" w14:textId="77777777" w:rsidR="004B2A4B" w:rsidRPr="00991A8E" w:rsidRDefault="004B2A4B" w:rsidP="00A456AE">
            <w:pPr>
              <w:keepNext/>
              <w:keepLines/>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p>
        </w:tc>
      </w:tr>
      <w:tr w:rsidR="004B2A4B" w:rsidRPr="00CB3BFB" w14:paraId="67995FAA" w14:textId="77777777" w:rsidTr="00A456AE">
        <w:trPr>
          <w:trHeight w:val="144"/>
          <w:jc w:val="center"/>
        </w:trPr>
        <w:tc>
          <w:tcPr>
            <w:cnfStyle w:val="001000000000" w:firstRow="0" w:lastRow="0" w:firstColumn="1" w:lastColumn="0" w:oddVBand="0" w:evenVBand="0" w:oddHBand="0" w:evenHBand="0" w:firstRowFirstColumn="0" w:firstRowLastColumn="0" w:lastRowFirstColumn="0" w:lastRowLastColumn="0"/>
            <w:tcW w:w="2032" w:type="pct"/>
            <w:shd w:val="clear" w:color="auto" w:fill="auto"/>
            <w:noWrap/>
            <w:hideMark/>
          </w:tcPr>
          <w:p w14:paraId="2C6C5824" w14:textId="77777777" w:rsidR="004B2A4B" w:rsidRPr="00CB3BFB" w:rsidRDefault="004B2A4B" w:rsidP="00A456AE">
            <w:pPr>
              <w:keepNext/>
              <w:keepLines/>
              <w:rPr>
                <w:rFonts w:ascii="Arial" w:hAnsi="Arial" w:cs="Arial"/>
                <w:b w:val="0"/>
                <w:sz w:val="19"/>
                <w:szCs w:val="19"/>
                <w:lang w:val="en-GB"/>
              </w:rPr>
            </w:pPr>
            <w:r w:rsidRPr="00CB3BFB">
              <w:rPr>
                <w:rFonts w:ascii="Arial" w:hAnsi="Arial" w:cs="Arial"/>
                <w:b w:val="0"/>
                <w:sz w:val="19"/>
                <w:szCs w:val="19"/>
                <w:lang w:val="en-GB"/>
              </w:rPr>
              <w:t>Share Capital</w:t>
            </w:r>
          </w:p>
        </w:tc>
        <w:tc>
          <w:tcPr>
            <w:tcW w:w="929" w:type="pct"/>
            <w:shd w:val="clear" w:color="auto" w:fill="auto"/>
            <w:noWrap/>
            <w:hideMark/>
          </w:tcPr>
          <w:p w14:paraId="537E28AE" w14:textId="77777777" w:rsidR="004B2A4B" w:rsidRPr="00CB3BFB" w:rsidRDefault="004B2A4B" w:rsidP="00A456AE">
            <w:pPr>
              <w:keepNext/>
              <w:keepLines/>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CB3BFB">
              <w:rPr>
                <w:rFonts w:ascii="Arial" w:hAnsi="Arial" w:cs="Arial"/>
                <w:sz w:val="19"/>
                <w:szCs w:val="19"/>
                <w:lang w:val="en-GB"/>
              </w:rPr>
              <w:t>1,102</w:t>
            </w:r>
          </w:p>
        </w:tc>
        <w:tc>
          <w:tcPr>
            <w:tcW w:w="929" w:type="pct"/>
            <w:shd w:val="clear" w:color="auto" w:fill="auto"/>
            <w:noWrap/>
            <w:hideMark/>
          </w:tcPr>
          <w:p w14:paraId="29EB7F9E" w14:textId="77777777" w:rsidR="004B2A4B" w:rsidRPr="00CB3BFB" w:rsidRDefault="004B2A4B" w:rsidP="00A456AE">
            <w:pPr>
              <w:keepNext/>
              <w:keepLines/>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CB3BFB">
              <w:rPr>
                <w:rFonts w:ascii="Arial" w:hAnsi="Arial" w:cs="Arial"/>
                <w:sz w:val="19"/>
                <w:szCs w:val="19"/>
                <w:lang w:val="en-GB"/>
              </w:rPr>
              <w:t>1,914</w:t>
            </w:r>
          </w:p>
        </w:tc>
        <w:tc>
          <w:tcPr>
            <w:tcW w:w="1110" w:type="pct"/>
            <w:shd w:val="clear" w:color="auto" w:fill="auto"/>
            <w:noWrap/>
            <w:hideMark/>
          </w:tcPr>
          <w:p w14:paraId="4A8B9329" w14:textId="77777777" w:rsidR="004B2A4B" w:rsidRPr="00CB3BFB" w:rsidRDefault="004B2A4B" w:rsidP="00A456AE">
            <w:pPr>
              <w:keepNext/>
              <w:keepLines/>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CB3BFB">
              <w:rPr>
                <w:rFonts w:ascii="Arial" w:hAnsi="Arial" w:cs="Arial"/>
                <w:sz w:val="19"/>
                <w:szCs w:val="19"/>
                <w:lang w:val="en-GB"/>
              </w:rPr>
              <w:t>7,768</w:t>
            </w:r>
          </w:p>
        </w:tc>
      </w:tr>
      <w:tr w:rsidR="004B2A4B" w:rsidRPr="00CB3BFB" w14:paraId="69F480ED" w14:textId="77777777" w:rsidTr="00A456AE">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2032" w:type="pct"/>
            <w:shd w:val="clear" w:color="auto" w:fill="auto"/>
            <w:noWrap/>
            <w:hideMark/>
          </w:tcPr>
          <w:p w14:paraId="01F7D973" w14:textId="77777777" w:rsidR="004B2A4B" w:rsidRPr="00CB3BFB" w:rsidRDefault="004B2A4B" w:rsidP="00A456AE">
            <w:pPr>
              <w:keepNext/>
              <w:keepLines/>
              <w:rPr>
                <w:rFonts w:ascii="Arial" w:hAnsi="Arial" w:cs="Arial"/>
                <w:b w:val="0"/>
                <w:sz w:val="19"/>
                <w:szCs w:val="19"/>
                <w:lang w:val="en-GB"/>
              </w:rPr>
            </w:pPr>
            <w:r w:rsidRPr="00CB3BFB">
              <w:rPr>
                <w:rFonts w:ascii="Arial" w:hAnsi="Arial" w:cs="Arial"/>
                <w:b w:val="0"/>
                <w:sz w:val="19"/>
                <w:szCs w:val="19"/>
                <w:lang w:val="en-GB"/>
              </w:rPr>
              <w:t>Reserves</w:t>
            </w:r>
          </w:p>
        </w:tc>
        <w:tc>
          <w:tcPr>
            <w:tcW w:w="929" w:type="pct"/>
            <w:shd w:val="clear" w:color="auto" w:fill="auto"/>
            <w:noWrap/>
            <w:hideMark/>
          </w:tcPr>
          <w:p w14:paraId="1C5DB858" w14:textId="77777777" w:rsidR="004B2A4B" w:rsidRPr="00CB3BFB" w:rsidRDefault="004B2A4B" w:rsidP="00A456AE">
            <w:pPr>
              <w:keepNext/>
              <w:keepLines/>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CB3BFB">
              <w:rPr>
                <w:rFonts w:ascii="Arial" w:hAnsi="Arial" w:cs="Arial"/>
                <w:sz w:val="19"/>
                <w:szCs w:val="19"/>
                <w:lang w:val="en-GB"/>
              </w:rPr>
              <w:t>25</w:t>
            </w:r>
          </w:p>
        </w:tc>
        <w:tc>
          <w:tcPr>
            <w:tcW w:w="929" w:type="pct"/>
            <w:shd w:val="clear" w:color="auto" w:fill="auto"/>
            <w:noWrap/>
            <w:hideMark/>
          </w:tcPr>
          <w:p w14:paraId="5275B7D9" w14:textId="77777777" w:rsidR="004B2A4B" w:rsidRPr="00CB3BFB" w:rsidRDefault="004B2A4B" w:rsidP="00A456AE">
            <w:pPr>
              <w:keepNext/>
              <w:keepLines/>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CB3BFB">
              <w:rPr>
                <w:rFonts w:ascii="Arial" w:hAnsi="Arial" w:cs="Arial"/>
                <w:sz w:val="19"/>
                <w:szCs w:val="19"/>
                <w:lang w:val="en-GB"/>
              </w:rPr>
              <w:t>1,670</w:t>
            </w:r>
          </w:p>
        </w:tc>
        <w:tc>
          <w:tcPr>
            <w:tcW w:w="1110" w:type="pct"/>
            <w:shd w:val="clear" w:color="auto" w:fill="auto"/>
            <w:noWrap/>
            <w:hideMark/>
          </w:tcPr>
          <w:p w14:paraId="091AF34D" w14:textId="77777777" w:rsidR="004B2A4B" w:rsidRPr="00CB3BFB" w:rsidRDefault="004B2A4B" w:rsidP="00A456AE">
            <w:pPr>
              <w:keepNext/>
              <w:keepLines/>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CB3BFB">
              <w:rPr>
                <w:rFonts w:ascii="Arial" w:hAnsi="Arial" w:cs="Arial"/>
                <w:sz w:val="19"/>
                <w:szCs w:val="19"/>
                <w:lang w:val="en-GB"/>
              </w:rPr>
              <w:t>2,020</w:t>
            </w:r>
          </w:p>
        </w:tc>
      </w:tr>
      <w:tr w:rsidR="004B2A4B" w:rsidRPr="00CB3BFB" w14:paraId="7462BEDD" w14:textId="77777777" w:rsidTr="00A456AE">
        <w:trPr>
          <w:trHeight w:val="144"/>
          <w:jc w:val="center"/>
        </w:trPr>
        <w:tc>
          <w:tcPr>
            <w:cnfStyle w:val="001000000000" w:firstRow="0" w:lastRow="0" w:firstColumn="1" w:lastColumn="0" w:oddVBand="0" w:evenVBand="0" w:oddHBand="0" w:evenHBand="0" w:firstRowFirstColumn="0" w:firstRowLastColumn="0" w:lastRowFirstColumn="0" w:lastRowLastColumn="0"/>
            <w:tcW w:w="2032" w:type="pct"/>
            <w:shd w:val="clear" w:color="auto" w:fill="auto"/>
            <w:noWrap/>
            <w:hideMark/>
          </w:tcPr>
          <w:p w14:paraId="6402E787" w14:textId="77777777" w:rsidR="004B2A4B" w:rsidRPr="00CB3BFB" w:rsidRDefault="004B2A4B" w:rsidP="00A456AE">
            <w:pPr>
              <w:keepNext/>
              <w:keepLines/>
              <w:rPr>
                <w:rFonts w:ascii="Arial" w:hAnsi="Arial" w:cs="Arial"/>
                <w:b w:val="0"/>
                <w:sz w:val="19"/>
                <w:szCs w:val="19"/>
                <w:lang w:val="en-GB"/>
              </w:rPr>
            </w:pPr>
            <w:r w:rsidRPr="00CB3BFB">
              <w:rPr>
                <w:rFonts w:ascii="Arial" w:hAnsi="Arial" w:cs="Arial"/>
                <w:b w:val="0"/>
                <w:sz w:val="19"/>
                <w:szCs w:val="19"/>
                <w:lang w:val="en-GB"/>
              </w:rPr>
              <w:t>Accumulated Losses</w:t>
            </w:r>
          </w:p>
        </w:tc>
        <w:tc>
          <w:tcPr>
            <w:tcW w:w="929" w:type="pct"/>
            <w:shd w:val="clear" w:color="auto" w:fill="auto"/>
            <w:noWrap/>
            <w:hideMark/>
          </w:tcPr>
          <w:p w14:paraId="5E79014E" w14:textId="77777777" w:rsidR="004B2A4B" w:rsidRPr="00CB3BFB" w:rsidRDefault="004B2A4B" w:rsidP="00A456AE">
            <w:pPr>
              <w:keepNext/>
              <w:keepLines/>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CB3BFB">
              <w:rPr>
                <w:rFonts w:ascii="Arial" w:hAnsi="Arial" w:cs="Arial"/>
                <w:sz w:val="19"/>
                <w:szCs w:val="19"/>
                <w:lang w:val="en-GB"/>
              </w:rPr>
              <w:t>−823</w:t>
            </w:r>
          </w:p>
        </w:tc>
        <w:tc>
          <w:tcPr>
            <w:tcW w:w="929" w:type="pct"/>
            <w:shd w:val="clear" w:color="auto" w:fill="auto"/>
            <w:noWrap/>
            <w:hideMark/>
          </w:tcPr>
          <w:p w14:paraId="6333F050" w14:textId="77777777" w:rsidR="004B2A4B" w:rsidRPr="00CB3BFB" w:rsidRDefault="004B2A4B" w:rsidP="00A456AE">
            <w:pPr>
              <w:keepNext/>
              <w:keepLines/>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CB3BFB">
              <w:rPr>
                <w:rFonts w:ascii="Arial" w:hAnsi="Arial" w:cs="Arial"/>
                <w:sz w:val="19"/>
                <w:szCs w:val="19"/>
                <w:lang w:val="en-GB"/>
              </w:rPr>
              <w:t>−2,988</w:t>
            </w:r>
          </w:p>
        </w:tc>
        <w:tc>
          <w:tcPr>
            <w:tcW w:w="1110" w:type="pct"/>
            <w:shd w:val="clear" w:color="auto" w:fill="auto"/>
            <w:noWrap/>
            <w:hideMark/>
          </w:tcPr>
          <w:p w14:paraId="5A972B3E" w14:textId="77777777" w:rsidR="004B2A4B" w:rsidRPr="00CB3BFB" w:rsidRDefault="004B2A4B" w:rsidP="00A456AE">
            <w:pPr>
              <w:keepNext/>
              <w:keepLines/>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CB3BFB">
              <w:rPr>
                <w:rFonts w:ascii="Arial" w:hAnsi="Arial" w:cs="Arial"/>
                <w:sz w:val="19"/>
                <w:szCs w:val="19"/>
                <w:lang w:val="en-GB"/>
              </w:rPr>
              <w:t>−5,936</w:t>
            </w:r>
          </w:p>
        </w:tc>
      </w:tr>
      <w:tr w:rsidR="004B2A4B" w:rsidRPr="00CB3BFB" w14:paraId="12816FB8" w14:textId="77777777" w:rsidTr="00A456AE">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2032" w:type="pct"/>
            <w:shd w:val="clear" w:color="auto" w:fill="auto"/>
            <w:noWrap/>
            <w:hideMark/>
          </w:tcPr>
          <w:p w14:paraId="0B412038" w14:textId="77777777" w:rsidR="004B2A4B" w:rsidRPr="00CB3BFB" w:rsidRDefault="004B2A4B" w:rsidP="00A456AE">
            <w:pPr>
              <w:keepNext/>
              <w:keepLines/>
              <w:rPr>
                <w:rFonts w:ascii="Arial" w:hAnsi="Arial" w:cs="Arial"/>
                <w:sz w:val="19"/>
                <w:szCs w:val="19"/>
                <w:lang w:val="en-GB"/>
              </w:rPr>
            </w:pPr>
            <w:r w:rsidRPr="00CB3BFB">
              <w:rPr>
                <w:rFonts w:ascii="Arial" w:hAnsi="Arial" w:cs="Arial"/>
                <w:sz w:val="19"/>
                <w:szCs w:val="19"/>
                <w:lang w:val="en-GB"/>
              </w:rPr>
              <w:t>Shareholders’ Funds</w:t>
            </w:r>
          </w:p>
        </w:tc>
        <w:tc>
          <w:tcPr>
            <w:tcW w:w="929" w:type="pct"/>
            <w:shd w:val="clear" w:color="auto" w:fill="auto"/>
            <w:noWrap/>
            <w:hideMark/>
          </w:tcPr>
          <w:p w14:paraId="5C7DC874" w14:textId="77777777" w:rsidR="004B2A4B" w:rsidRPr="00CB3BFB" w:rsidRDefault="004B2A4B" w:rsidP="00A456AE">
            <w:pPr>
              <w:keepNext/>
              <w:keepLines/>
              <w:jc w:val="right"/>
              <w:cnfStyle w:val="000000100000" w:firstRow="0" w:lastRow="0" w:firstColumn="0" w:lastColumn="0" w:oddVBand="0" w:evenVBand="0" w:oddHBand="1" w:evenHBand="0" w:firstRowFirstColumn="0" w:firstRowLastColumn="0" w:lastRowFirstColumn="0" w:lastRowLastColumn="0"/>
              <w:rPr>
                <w:rFonts w:ascii="Arial" w:hAnsi="Arial" w:cs="Arial"/>
                <w:b/>
                <w:sz w:val="19"/>
                <w:szCs w:val="19"/>
                <w:lang w:val="en-GB"/>
              </w:rPr>
            </w:pPr>
            <w:r w:rsidRPr="00CB3BFB">
              <w:rPr>
                <w:rFonts w:ascii="Arial" w:hAnsi="Arial" w:cs="Arial"/>
                <w:b/>
                <w:sz w:val="19"/>
                <w:szCs w:val="19"/>
                <w:lang w:val="en-GB"/>
              </w:rPr>
              <w:t>304</w:t>
            </w:r>
          </w:p>
        </w:tc>
        <w:tc>
          <w:tcPr>
            <w:tcW w:w="929" w:type="pct"/>
            <w:shd w:val="clear" w:color="auto" w:fill="auto"/>
            <w:noWrap/>
            <w:hideMark/>
          </w:tcPr>
          <w:p w14:paraId="607FE840" w14:textId="77777777" w:rsidR="004B2A4B" w:rsidRPr="00CB3BFB" w:rsidRDefault="004B2A4B" w:rsidP="00A456AE">
            <w:pPr>
              <w:keepNext/>
              <w:keepLines/>
              <w:jc w:val="right"/>
              <w:cnfStyle w:val="000000100000" w:firstRow="0" w:lastRow="0" w:firstColumn="0" w:lastColumn="0" w:oddVBand="0" w:evenVBand="0" w:oddHBand="1" w:evenHBand="0" w:firstRowFirstColumn="0" w:firstRowLastColumn="0" w:lastRowFirstColumn="0" w:lastRowLastColumn="0"/>
              <w:rPr>
                <w:rFonts w:ascii="Arial" w:hAnsi="Arial" w:cs="Arial"/>
                <w:b/>
                <w:sz w:val="19"/>
                <w:szCs w:val="19"/>
                <w:lang w:val="en-GB"/>
              </w:rPr>
            </w:pPr>
            <w:r w:rsidRPr="00CB3BFB">
              <w:rPr>
                <w:rFonts w:ascii="Arial" w:hAnsi="Arial" w:cs="Arial"/>
                <w:b/>
                <w:sz w:val="19"/>
                <w:szCs w:val="19"/>
                <w:lang w:val="en-GB"/>
              </w:rPr>
              <w:t>596</w:t>
            </w:r>
          </w:p>
        </w:tc>
        <w:tc>
          <w:tcPr>
            <w:tcW w:w="1110" w:type="pct"/>
            <w:shd w:val="clear" w:color="auto" w:fill="auto"/>
            <w:noWrap/>
            <w:hideMark/>
          </w:tcPr>
          <w:p w14:paraId="25FDBE7C" w14:textId="77777777" w:rsidR="004B2A4B" w:rsidRPr="00CB3BFB" w:rsidRDefault="004B2A4B" w:rsidP="00A456AE">
            <w:pPr>
              <w:keepNext/>
              <w:keepLines/>
              <w:jc w:val="right"/>
              <w:cnfStyle w:val="000000100000" w:firstRow="0" w:lastRow="0" w:firstColumn="0" w:lastColumn="0" w:oddVBand="0" w:evenVBand="0" w:oddHBand="1" w:evenHBand="0" w:firstRowFirstColumn="0" w:firstRowLastColumn="0" w:lastRowFirstColumn="0" w:lastRowLastColumn="0"/>
              <w:rPr>
                <w:rFonts w:ascii="Arial" w:hAnsi="Arial" w:cs="Arial"/>
                <w:b/>
                <w:sz w:val="19"/>
                <w:szCs w:val="19"/>
                <w:lang w:val="en-GB"/>
              </w:rPr>
            </w:pPr>
            <w:r w:rsidRPr="00CB3BFB">
              <w:rPr>
                <w:rFonts w:ascii="Arial" w:hAnsi="Arial" w:cs="Arial"/>
                <w:b/>
                <w:sz w:val="19"/>
                <w:szCs w:val="19"/>
                <w:lang w:val="en-GB"/>
              </w:rPr>
              <w:t>3,852</w:t>
            </w:r>
          </w:p>
        </w:tc>
      </w:tr>
    </w:tbl>
    <w:p w14:paraId="0AA7A310" w14:textId="77777777" w:rsidR="004B2A4B" w:rsidRPr="00CB3BFB" w:rsidRDefault="004B2A4B" w:rsidP="004B2A4B">
      <w:pPr>
        <w:pStyle w:val="FootnoteText1"/>
        <w:keepNext/>
        <w:keepLines/>
        <w:rPr>
          <w:lang w:val="en-GB"/>
        </w:rPr>
      </w:pPr>
    </w:p>
    <w:p w14:paraId="5C275FA6" w14:textId="77777777" w:rsidR="004B2A4B" w:rsidRPr="00CB3BFB" w:rsidRDefault="004B2A4B" w:rsidP="004B2A4B">
      <w:pPr>
        <w:pStyle w:val="FootnoteText1"/>
        <w:keepNext/>
        <w:keepLines/>
        <w:rPr>
          <w:lang w:val="en-GB"/>
        </w:rPr>
      </w:pPr>
      <w:r w:rsidRPr="00CB3BFB">
        <w:rPr>
          <w:lang w:val="en-GB"/>
        </w:rPr>
        <w:t xml:space="preserve">Source: Created by the case author using data from the </w:t>
      </w:r>
      <w:proofErr w:type="spellStart"/>
      <w:r w:rsidRPr="00CB3BFB">
        <w:rPr>
          <w:lang w:val="en-GB"/>
        </w:rPr>
        <w:t>ChimpChange</w:t>
      </w:r>
      <w:proofErr w:type="spellEnd"/>
      <w:r w:rsidRPr="00CB3BFB">
        <w:rPr>
          <w:lang w:val="en-GB"/>
        </w:rPr>
        <w:t xml:space="preserve"> Limited, </w:t>
      </w:r>
      <w:r w:rsidRPr="00CB3BFB">
        <w:rPr>
          <w:i/>
          <w:lang w:val="en-GB"/>
        </w:rPr>
        <w:t xml:space="preserve">Prospectus: </w:t>
      </w:r>
      <w:proofErr w:type="spellStart"/>
      <w:r w:rsidRPr="00CB3BFB">
        <w:rPr>
          <w:i/>
          <w:lang w:val="en-GB"/>
        </w:rPr>
        <w:t>ChimpChange</w:t>
      </w:r>
      <w:proofErr w:type="spellEnd"/>
      <w:r w:rsidRPr="00CB3BFB">
        <w:rPr>
          <w:i/>
          <w:lang w:val="en-GB"/>
        </w:rPr>
        <w:t xml:space="preserve"> Limited—ABN 34 150 762 351</w:t>
      </w:r>
      <w:r w:rsidRPr="00CB3BFB">
        <w:rPr>
          <w:lang w:val="en-GB"/>
        </w:rPr>
        <w:t>, 60, 2017, accessed August 31, 2018, www.chimpchange.me/wp-content/uploads/2017/03/prospectus.pdf.</w:t>
      </w:r>
    </w:p>
    <w:p w14:paraId="6D8D3E0A" w14:textId="77777777" w:rsidR="004B2A4B" w:rsidRPr="00CB3BFB" w:rsidRDefault="004B2A4B" w:rsidP="004B2A4B">
      <w:pPr>
        <w:pStyle w:val="FootnoteText1"/>
        <w:keepNext/>
        <w:keepLines/>
        <w:rPr>
          <w:b/>
          <w:lang w:val="en-GB"/>
        </w:rPr>
      </w:pPr>
      <w:r w:rsidRPr="00CB3BFB">
        <w:rPr>
          <w:b/>
          <w:lang w:val="en-GB"/>
        </w:rPr>
        <w:br w:type="page"/>
      </w:r>
    </w:p>
    <w:p w14:paraId="5E92048F" w14:textId="77777777" w:rsidR="004B2A4B" w:rsidRPr="00CB3BFB" w:rsidRDefault="004B2A4B" w:rsidP="004B2A4B">
      <w:pPr>
        <w:pStyle w:val="Casehead1"/>
        <w:jc w:val="center"/>
        <w:rPr>
          <w:lang w:val="en-GB"/>
        </w:rPr>
      </w:pPr>
      <w:r w:rsidRPr="00CB3BFB">
        <w:rPr>
          <w:lang w:val="en-GB"/>
        </w:rPr>
        <w:lastRenderedPageBreak/>
        <w:t xml:space="preserve">Exhibit </w:t>
      </w:r>
      <w:r>
        <w:rPr>
          <w:lang w:val="en-GB"/>
        </w:rPr>
        <w:t>6</w:t>
      </w:r>
      <w:r w:rsidRPr="00CB3BFB">
        <w:rPr>
          <w:lang w:val="en-GB"/>
        </w:rPr>
        <w:t>: ChimpChange Shareholders and directors, As of May 3, 2016</w:t>
      </w:r>
    </w:p>
    <w:p w14:paraId="22C5D69D" w14:textId="77777777" w:rsidR="004B2A4B" w:rsidRPr="00CB3BFB" w:rsidRDefault="004B2A4B" w:rsidP="004B2A4B">
      <w:pPr>
        <w:pStyle w:val="Footnote"/>
        <w:rPr>
          <w:lang w:val="en-GB"/>
        </w:rPr>
      </w:pPr>
    </w:p>
    <w:tbl>
      <w:tblPr>
        <w:tblStyle w:val="GridTable4-Accent11"/>
        <w:tblW w:w="485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1"/>
        <w:gridCol w:w="1439"/>
        <w:gridCol w:w="1376"/>
      </w:tblGrid>
      <w:tr w:rsidR="00654EE6" w:rsidRPr="00991A8E" w14:paraId="257E12B7" w14:textId="77777777" w:rsidTr="00654EE6">
        <w:trPr>
          <w:cnfStyle w:val="100000000000" w:firstRow="1" w:lastRow="0" w:firstColumn="0" w:lastColumn="0" w:oddVBand="0" w:evenVBand="0" w:oddHBand="0"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3486" w:type="pct"/>
            <w:tcBorders>
              <w:top w:val="single" w:sz="4" w:space="0" w:color="auto"/>
              <w:bottom w:val="single" w:sz="4" w:space="0" w:color="auto"/>
              <w:right w:val="single" w:sz="4" w:space="0" w:color="auto"/>
            </w:tcBorders>
            <w:shd w:val="clear" w:color="auto" w:fill="auto"/>
            <w:noWrap/>
            <w:hideMark/>
          </w:tcPr>
          <w:p w14:paraId="1AC717C2" w14:textId="77777777" w:rsidR="004B2A4B" w:rsidRPr="00991A8E" w:rsidRDefault="004B2A4B" w:rsidP="00A456AE">
            <w:pPr>
              <w:jc w:val="center"/>
              <w:rPr>
                <w:rFonts w:ascii="Arial" w:hAnsi="Arial" w:cs="Arial"/>
                <w:color w:val="auto"/>
                <w:sz w:val="19"/>
                <w:szCs w:val="19"/>
                <w:lang w:val="en-GB"/>
              </w:rPr>
            </w:pPr>
            <w:r w:rsidRPr="00991A8E">
              <w:rPr>
                <w:rFonts w:ascii="Arial" w:hAnsi="Arial" w:cs="Arial"/>
                <w:color w:val="auto"/>
                <w:sz w:val="19"/>
                <w:szCs w:val="19"/>
                <w:lang w:val="en-GB"/>
              </w:rPr>
              <w:t>Shareholders</w:t>
            </w:r>
          </w:p>
        </w:tc>
        <w:tc>
          <w:tcPr>
            <w:tcW w:w="774" w:type="pct"/>
            <w:tcBorders>
              <w:top w:val="single" w:sz="4" w:space="0" w:color="auto"/>
              <w:left w:val="single" w:sz="4" w:space="0" w:color="auto"/>
              <w:bottom w:val="single" w:sz="4" w:space="0" w:color="auto"/>
              <w:right w:val="single" w:sz="4" w:space="0" w:color="auto"/>
            </w:tcBorders>
            <w:shd w:val="clear" w:color="auto" w:fill="auto"/>
            <w:noWrap/>
            <w:hideMark/>
          </w:tcPr>
          <w:p w14:paraId="62E73555" w14:textId="77777777" w:rsidR="004B2A4B" w:rsidRPr="00991A8E" w:rsidRDefault="004B2A4B" w:rsidP="00A456A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9"/>
                <w:szCs w:val="19"/>
                <w:lang w:val="en-GB"/>
              </w:rPr>
            </w:pPr>
            <w:r w:rsidRPr="00991A8E">
              <w:rPr>
                <w:rFonts w:ascii="Arial" w:hAnsi="Arial" w:cs="Arial"/>
                <w:color w:val="auto"/>
                <w:sz w:val="19"/>
                <w:szCs w:val="19"/>
                <w:lang w:val="en-GB"/>
              </w:rPr>
              <w:t>Shares</w:t>
            </w:r>
          </w:p>
        </w:tc>
        <w:tc>
          <w:tcPr>
            <w:tcW w:w="740" w:type="pct"/>
            <w:tcBorders>
              <w:top w:val="single" w:sz="4" w:space="0" w:color="auto"/>
              <w:left w:val="single" w:sz="4" w:space="0" w:color="auto"/>
              <w:bottom w:val="single" w:sz="4" w:space="0" w:color="auto"/>
              <w:right w:val="single" w:sz="4" w:space="0" w:color="auto"/>
            </w:tcBorders>
            <w:shd w:val="clear" w:color="auto" w:fill="auto"/>
            <w:noWrap/>
            <w:hideMark/>
          </w:tcPr>
          <w:p w14:paraId="5AF5DF22" w14:textId="77777777" w:rsidR="004B2A4B" w:rsidRPr="00991A8E" w:rsidRDefault="004B2A4B" w:rsidP="00A456A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9"/>
                <w:szCs w:val="19"/>
                <w:lang w:val="en-GB"/>
              </w:rPr>
            </w:pPr>
            <w:r w:rsidRPr="00991A8E">
              <w:rPr>
                <w:rFonts w:ascii="Arial" w:hAnsi="Arial" w:cs="Arial"/>
                <w:color w:val="auto"/>
                <w:sz w:val="19"/>
                <w:szCs w:val="19"/>
                <w:lang w:val="en-GB"/>
              </w:rPr>
              <w:t>Percentage</w:t>
            </w:r>
          </w:p>
        </w:tc>
      </w:tr>
      <w:tr w:rsidR="00654EE6" w:rsidRPr="00991A8E" w14:paraId="73FE89F4" w14:textId="77777777" w:rsidTr="00654EE6">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3486" w:type="pct"/>
            <w:tcBorders>
              <w:top w:val="single" w:sz="4" w:space="0" w:color="auto"/>
            </w:tcBorders>
            <w:shd w:val="clear" w:color="auto" w:fill="auto"/>
            <w:noWrap/>
            <w:hideMark/>
          </w:tcPr>
          <w:p w14:paraId="70A0B784" w14:textId="77777777" w:rsidR="004B2A4B" w:rsidRPr="00991A8E" w:rsidRDefault="004B2A4B" w:rsidP="00A456AE">
            <w:pPr>
              <w:rPr>
                <w:rFonts w:ascii="Arial" w:hAnsi="Arial" w:cs="Arial"/>
                <w:b w:val="0"/>
                <w:sz w:val="19"/>
                <w:szCs w:val="19"/>
                <w:lang w:val="en-GB"/>
              </w:rPr>
            </w:pPr>
            <w:r w:rsidRPr="00991A8E">
              <w:rPr>
                <w:rFonts w:ascii="Arial" w:hAnsi="Arial" w:cs="Arial"/>
                <w:b w:val="0"/>
                <w:sz w:val="19"/>
                <w:szCs w:val="19"/>
                <w:lang w:val="en-GB"/>
              </w:rPr>
              <w:t xml:space="preserve">Ashley </w:t>
            </w:r>
            <w:proofErr w:type="spellStart"/>
            <w:r w:rsidRPr="00991A8E">
              <w:rPr>
                <w:rFonts w:ascii="Arial" w:hAnsi="Arial" w:cs="Arial"/>
                <w:b w:val="0"/>
                <w:sz w:val="19"/>
                <w:szCs w:val="19"/>
                <w:lang w:val="en-GB"/>
              </w:rPr>
              <w:t>Shilkin</w:t>
            </w:r>
            <w:proofErr w:type="spellEnd"/>
            <w:r w:rsidRPr="00991A8E">
              <w:rPr>
                <w:rFonts w:ascii="Arial" w:hAnsi="Arial" w:cs="Arial"/>
                <w:b w:val="0"/>
                <w:sz w:val="19"/>
                <w:szCs w:val="19"/>
                <w:lang w:val="en-GB"/>
              </w:rPr>
              <w:t xml:space="preserve"> at Ashley </w:t>
            </w:r>
            <w:proofErr w:type="spellStart"/>
            <w:r w:rsidRPr="00991A8E">
              <w:rPr>
                <w:rFonts w:ascii="Arial" w:hAnsi="Arial" w:cs="Arial"/>
                <w:b w:val="0"/>
                <w:sz w:val="19"/>
                <w:szCs w:val="19"/>
                <w:lang w:val="en-GB"/>
              </w:rPr>
              <w:t>Shilkin</w:t>
            </w:r>
            <w:proofErr w:type="spellEnd"/>
            <w:r w:rsidRPr="00991A8E">
              <w:rPr>
                <w:rFonts w:ascii="Arial" w:hAnsi="Arial" w:cs="Arial"/>
                <w:b w:val="0"/>
                <w:sz w:val="19"/>
                <w:szCs w:val="19"/>
                <w:lang w:val="en-GB"/>
              </w:rPr>
              <w:t xml:space="preserve"> Family Trust</w:t>
            </w:r>
          </w:p>
        </w:tc>
        <w:tc>
          <w:tcPr>
            <w:tcW w:w="774" w:type="pct"/>
            <w:tcBorders>
              <w:top w:val="single" w:sz="4" w:space="0" w:color="auto"/>
            </w:tcBorders>
            <w:shd w:val="clear" w:color="auto" w:fill="auto"/>
            <w:noWrap/>
            <w:hideMark/>
          </w:tcPr>
          <w:p w14:paraId="60AD3644" w14:textId="77777777" w:rsidR="004B2A4B" w:rsidRPr="00991A8E" w:rsidRDefault="004B2A4B" w:rsidP="00A456A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 xml:space="preserve">11,901,965 </w:t>
            </w:r>
          </w:p>
        </w:tc>
        <w:tc>
          <w:tcPr>
            <w:tcW w:w="740" w:type="pct"/>
            <w:tcBorders>
              <w:top w:val="single" w:sz="4" w:space="0" w:color="auto"/>
            </w:tcBorders>
            <w:shd w:val="clear" w:color="auto" w:fill="auto"/>
            <w:noWrap/>
            <w:hideMark/>
          </w:tcPr>
          <w:p w14:paraId="7007BD85" w14:textId="77777777" w:rsidR="004B2A4B" w:rsidRPr="00991A8E" w:rsidRDefault="004B2A4B" w:rsidP="00A456A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26.6</w:t>
            </w:r>
          </w:p>
        </w:tc>
      </w:tr>
      <w:tr w:rsidR="00654EE6" w:rsidRPr="00991A8E" w14:paraId="2BD2A962" w14:textId="77777777" w:rsidTr="00654EE6">
        <w:trPr>
          <w:trHeight w:val="144"/>
          <w:jc w:val="center"/>
        </w:trPr>
        <w:tc>
          <w:tcPr>
            <w:cnfStyle w:val="001000000000" w:firstRow="0" w:lastRow="0" w:firstColumn="1" w:lastColumn="0" w:oddVBand="0" w:evenVBand="0" w:oddHBand="0" w:evenHBand="0" w:firstRowFirstColumn="0" w:firstRowLastColumn="0" w:lastRowFirstColumn="0" w:lastRowLastColumn="0"/>
            <w:tcW w:w="3486" w:type="pct"/>
            <w:shd w:val="clear" w:color="auto" w:fill="auto"/>
            <w:noWrap/>
            <w:hideMark/>
          </w:tcPr>
          <w:p w14:paraId="06FF5266" w14:textId="77777777" w:rsidR="004B2A4B" w:rsidRPr="00991A8E" w:rsidRDefault="004B2A4B" w:rsidP="00A456AE">
            <w:pPr>
              <w:rPr>
                <w:rFonts w:ascii="Arial" w:hAnsi="Arial" w:cs="Arial"/>
                <w:b w:val="0"/>
                <w:sz w:val="19"/>
                <w:szCs w:val="19"/>
                <w:lang w:val="en-GB"/>
              </w:rPr>
            </w:pPr>
            <w:r w:rsidRPr="00991A8E">
              <w:rPr>
                <w:rFonts w:ascii="Arial" w:hAnsi="Arial" w:cs="Arial"/>
                <w:b w:val="0"/>
                <w:sz w:val="19"/>
                <w:szCs w:val="19"/>
                <w:lang w:val="en-GB"/>
              </w:rPr>
              <w:t>Avatar Industries Pty. Ltd.</w:t>
            </w:r>
          </w:p>
        </w:tc>
        <w:tc>
          <w:tcPr>
            <w:tcW w:w="774" w:type="pct"/>
            <w:shd w:val="clear" w:color="auto" w:fill="auto"/>
            <w:noWrap/>
            <w:hideMark/>
          </w:tcPr>
          <w:p w14:paraId="0C08D72B" w14:textId="77777777" w:rsidR="004B2A4B" w:rsidRPr="00991A8E" w:rsidRDefault="004B2A4B" w:rsidP="00A456A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 xml:space="preserve">10,762,463 </w:t>
            </w:r>
          </w:p>
        </w:tc>
        <w:tc>
          <w:tcPr>
            <w:tcW w:w="740" w:type="pct"/>
            <w:shd w:val="clear" w:color="auto" w:fill="auto"/>
            <w:noWrap/>
            <w:hideMark/>
          </w:tcPr>
          <w:p w14:paraId="4A33445E" w14:textId="77777777" w:rsidR="004B2A4B" w:rsidRPr="00991A8E" w:rsidRDefault="004B2A4B" w:rsidP="00A456A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24.1</w:t>
            </w:r>
          </w:p>
        </w:tc>
      </w:tr>
      <w:tr w:rsidR="00654EE6" w:rsidRPr="00991A8E" w14:paraId="3AA38DD1" w14:textId="77777777" w:rsidTr="00654EE6">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3486" w:type="pct"/>
            <w:shd w:val="clear" w:color="auto" w:fill="auto"/>
            <w:noWrap/>
            <w:hideMark/>
          </w:tcPr>
          <w:p w14:paraId="4BB8E945" w14:textId="77777777" w:rsidR="004B2A4B" w:rsidRPr="00991A8E" w:rsidRDefault="004B2A4B" w:rsidP="00A456AE">
            <w:pPr>
              <w:rPr>
                <w:rFonts w:ascii="Arial" w:hAnsi="Arial" w:cs="Arial"/>
                <w:b w:val="0"/>
                <w:sz w:val="19"/>
                <w:szCs w:val="19"/>
                <w:lang w:val="en-GB"/>
              </w:rPr>
            </w:pPr>
            <w:r w:rsidRPr="00991A8E">
              <w:rPr>
                <w:rFonts w:ascii="Arial" w:hAnsi="Arial" w:cs="Arial"/>
                <w:b w:val="0"/>
                <w:sz w:val="19"/>
                <w:szCs w:val="19"/>
                <w:lang w:val="en-GB"/>
              </w:rPr>
              <w:t>Bart Properties Pty. Ltd. at Scott Flynn Family Trust</w:t>
            </w:r>
          </w:p>
        </w:tc>
        <w:tc>
          <w:tcPr>
            <w:tcW w:w="774" w:type="pct"/>
            <w:shd w:val="clear" w:color="auto" w:fill="auto"/>
            <w:noWrap/>
            <w:hideMark/>
          </w:tcPr>
          <w:p w14:paraId="0FD9DFA6" w14:textId="77777777" w:rsidR="004B2A4B" w:rsidRPr="00991A8E" w:rsidRDefault="004B2A4B" w:rsidP="00A456A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 xml:space="preserve">2,777,143 </w:t>
            </w:r>
          </w:p>
        </w:tc>
        <w:tc>
          <w:tcPr>
            <w:tcW w:w="740" w:type="pct"/>
            <w:shd w:val="clear" w:color="auto" w:fill="auto"/>
            <w:noWrap/>
            <w:hideMark/>
          </w:tcPr>
          <w:p w14:paraId="3465A624" w14:textId="77777777" w:rsidR="004B2A4B" w:rsidRPr="00991A8E" w:rsidRDefault="004B2A4B" w:rsidP="00A456A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6.2</w:t>
            </w:r>
          </w:p>
        </w:tc>
      </w:tr>
      <w:tr w:rsidR="00654EE6" w:rsidRPr="00991A8E" w14:paraId="37F6FFFB" w14:textId="77777777" w:rsidTr="00654EE6">
        <w:trPr>
          <w:trHeight w:val="144"/>
          <w:jc w:val="center"/>
        </w:trPr>
        <w:tc>
          <w:tcPr>
            <w:cnfStyle w:val="001000000000" w:firstRow="0" w:lastRow="0" w:firstColumn="1" w:lastColumn="0" w:oddVBand="0" w:evenVBand="0" w:oddHBand="0" w:evenHBand="0" w:firstRowFirstColumn="0" w:firstRowLastColumn="0" w:lastRowFirstColumn="0" w:lastRowLastColumn="0"/>
            <w:tcW w:w="3486" w:type="pct"/>
            <w:shd w:val="clear" w:color="auto" w:fill="auto"/>
            <w:noWrap/>
            <w:hideMark/>
          </w:tcPr>
          <w:p w14:paraId="2F84637E" w14:textId="77777777" w:rsidR="004B2A4B" w:rsidRPr="00991A8E" w:rsidRDefault="004B2A4B" w:rsidP="00A456AE">
            <w:pPr>
              <w:rPr>
                <w:rFonts w:ascii="Arial" w:hAnsi="Arial" w:cs="Arial"/>
                <w:b w:val="0"/>
                <w:sz w:val="19"/>
                <w:szCs w:val="19"/>
                <w:lang w:val="en-GB"/>
              </w:rPr>
            </w:pPr>
            <w:proofErr w:type="spellStart"/>
            <w:r w:rsidRPr="00991A8E">
              <w:rPr>
                <w:rFonts w:ascii="Arial" w:hAnsi="Arial" w:cs="Arial"/>
                <w:b w:val="0"/>
                <w:sz w:val="19"/>
                <w:szCs w:val="19"/>
                <w:lang w:val="en-GB"/>
              </w:rPr>
              <w:t>Nareenen</w:t>
            </w:r>
            <w:proofErr w:type="spellEnd"/>
            <w:r w:rsidRPr="00991A8E">
              <w:rPr>
                <w:rFonts w:ascii="Arial" w:hAnsi="Arial" w:cs="Arial"/>
                <w:b w:val="0"/>
                <w:sz w:val="19"/>
                <w:szCs w:val="19"/>
                <w:lang w:val="en-GB"/>
              </w:rPr>
              <w:t xml:space="preserve"> Pty. Ltd.</w:t>
            </w:r>
          </w:p>
        </w:tc>
        <w:tc>
          <w:tcPr>
            <w:tcW w:w="774" w:type="pct"/>
            <w:shd w:val="clear" w:color="auto" w:fill="auto"/>
            <w:noWrap/>
            <w:hideMark/>
          </w:tcPr>
          <w:p w14:paraId="04E9A714" w14:textId="77777777" w:rsidR="004B2A4B" w:rsidRPr="00991A8E" w:rsidRDefault="004B2A4B" w:rsidP="00A456A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 xml:space="preserve">2,672,529 </w:t>
            </w:r>
          </w:p>
        </w:tc>
        <w:tc>
          <w:tcPr>
            <w:tcW w:w="740" w:type="pct"/>
            <w:shd w:val="clear" w:color="auto" w:fill="auto"/>
            <w:noWrap/>
            <w:hideMark/>
          </w:tcPr>
          <w:p w14:paraId="12BB56A0" w14:textId="77777777" w:rsidR="004B2A4B" w:rsidRPr="00991A8E" w:rsidRDefault="004B2A4B" w:rsidP="00A456A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6.0</w:t>
            </w:r>
          </w:p>
        </w:tc>
      </w:tr>
      <w:tr w:rsidR="00654EE6" w:rsidRPr="00991A8E" w14:paraId="64DA71CA" w14:textId="77777777" w:rsidTr="00654EE6">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3486" w:type="pct"/>
            <w:shd w:val="clear" w:color="auto" w:fill="auto"/>
            <w:noWrap/>
            <w:hideMark/>
          </w:tcPr>
          <w:p w14:paraId="19C72171" w14:textId="77777777" w:rsidR="004B2A4B" w:rsidRPr="00991A8E" w:rsidRDefault="004B2A4B" w:rsidP="00A456AE">
            <w:pPr>
              <w:rPr>
                <w:rFonts w:ascii="Arial" w:hAnsi="Arial" w:cs="Arial"/>
                <w:b w:val="0"/>
                <w:sz w:val="19"/>
                <w:szCs w:val="19"/>
                <w:lang w:val="en-GB"/>
              </w:rPr>
            </w:pPr>
            <w:r w:rsidRPr="00991A8E">
              <w:rPr>
                <w:rFonts w:ascii="Arial" w:hAnsi="Arial" w:cs="Arial"/>
                <w:b w:val="0"/>
                <w:sz w:val="19"/>
                <w:szCs w:val="19"/>
                <w:lang w:val="en-GB"/>
              </w:rPr>
              <w:t>Altor Private Equity Pty. Ltd.</w:t>
            </w:r>
          </w:p>
        </w:tc>
        <w:tc>
          <w:tcPr>
            <w:tcW w:w="774" w:type="pct"/>
            <w:shd w:val="clear" w:color="auto" w:fill="auto"/>
            <w:noWrap/>
            <w:hideMark/>
          </w:tcPr>
          <w:p w14:paraId="075ABD0D" w14:textId="77777777" w:rsidR="004B2A4B" w:rsidRPr="00991A8E" w:rsidRDefault="004B2A4B" w:rsidP="00A456A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 xml:space="preserve">1,928,571 </w:t>
            </w:r>
          </w:p>
        </w:tc>
        <w:tc>
          <w:tcPr>
            <w:tcW w:w="740" w:type="pct"/>
            <w:shd w:val="clear" w:color="auto" w:fill="auto"/>
            <w:noWrap/>
            <w:hideMark/>
          </w:tcPr>
          <w:p w14:paraId="3F135CC3" w14:textId="77777777" w:rsidR="004B2A4B" w:rsidRPr="00991A8E" w:rsidRDefault="004B2A4B" w:rsidP="00A456A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4.3</w:t>
            </w:r>
          </w:p>
        </w:tc>
      </w:tr>
      <w:tr w:rsidR="00654EE6" w:rsidRPr="00991A8E" w14:paraId="685D0948" w14:textId="77777777" w:rsidTr="00654EE6">
        <w:trPr>
          <w:trHeight w:val="144"/>
          <w:jc w:val="center"/>
        </w:trPr>
        <w:tc>
          <w:tcPr>
            <w:cnfStyle w:val="001000000000" w:firstRow="0" w:lastRow="0" w:firstColumn="1" w:lastColumn="0" w:oddVBand="0" w:evenVBand="0" w:oddHBand="0" w:evenHBand="0" w:firstRowFirstColumn="0" w:firstRowLastColumn="0" w:lastRowFirstColumn="0" w:lastRowLastColumn="0"/>
            <w:tcW w:w="3486" w:type="pct"/>
            <w:shd w:val="clear" w:color="auto" w:fill="auto"/>
            <w:noWrap/>
            <w:hideMark/>
          </w:tcPr>
          <w:p w14:paraId="2B4C4121" w14:textId="77777777" w:rsidR="004B2A4B" w:rsidRPr="00991A8E" w:rsidRDefault="004B2A4B" w:rsidP="00A456AE">
            <w:pPr>
              <w:rPr>
                <w:rFonts w:ascii="Arial" w:hAnsi="Arial" w:cs="Arial"/>
                <w:b w:val="0"/>
                <w:sz w:val="19"/>
                <w:szCs w:val="19"/>
                <w:lang w:val="en-GB"/>
              </w:rPr>
            </w:pPr>
            <w:r w:rsidRPr="00991A8E">
              <w:rPr>
                <w:rFonts w:ascii="Arial" w:hAnsi="Arial" w:cs="Arial"/>
                <w:b w:val="0"/>
                <w:sz w:val="19"/>
                <w:szCs w:val="19"/>
                <w:lang w:val="en-GB"/>
              </w:rPr>
              <w:t>Other Shareholders</w:t>
            </w:r>
          </w:p>
        </w:tc>
        <w:tc>
          <w:tcPr>
            <w:tcW w:w="774" w:type="pct"/>
            <w:shd w:val="clear" w:color="auto" w:fill="auto"/>
            <w:noWrap/>
            <w:hideMark/>
          </w:tcPr>
          <w:p w14:paraId="276B544C" w14:textId="77777777" w:rsidR="004B2A4B" w:rsidRPr="00991A8E" w:rsidRDefault="004B2A4B" w:rsidP="00A456A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 xml:space="preserve">14,688,712 </w:t>
            </w:r>
          </w:p>
        </w:tc>
        <w:tc>
          <w:tcPr>
            <w:tcW w:w="740" w:type="pct"/>
            <w:shd w:val="clear" w:color="auto" w:fill="auto"/>
            <w:noWrap/>
            <w:hideMark/>
          </w:tcPr>
          <w:p w14:paraId="5B8DC21F" w14:textId="77777777" w:rsidR="004B2A4B" w:rsidRPr="00991A8E" w:rsidRDefault="004B2A4B" w:rsidP="00A456A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32.8</w:t>
            </w:r>
          </w:p>
        </w:tc>
      </w:tr>
      <w:tr w:rsidR="00654EE6" w:rsidRPr="00991A8E" w14:paraId="746ADAA0" w14:textId="77777777" w:rsidTr="00654EE6">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3486" w:type="pct"/>
            <w:shd w:val="clear" w:color="auto" w:fill="auto"/>
            <w:noWrap/>
            <w:hideMark/>
          </w:tcPr>
          <w:p w14:paraId="543A102F" w14:textId="77777777" w:rsidR="004B2A4B" w:rsidRPr="00991A8E" w:rsidRDefault="004B2A4B" w:rsidP="00A456AE">
            <w:pPr>
              <w:rPr>
                <w:rFonts w:ascii="Arial" w:hAnsi="Arial" w:cs="Arial"/>
                <w:sz w:val="19"/>
                <w:szCs w:val="19"/>
                <w:lang w:val="en-GB"/>
              </w:rPr>
            </w:pPr>
            <w:r w:rsidRPr="00991A8E">
              <w:rPr>
                <w:rFonts w:ascii="Arial" w:hAnsi="Arial" w:cs="Arial"/>
                <w:sz w:val="19"/>
                <w:szCs w:val="19"/>
                <w:lang w:val="en-GB"/>
              </w:rPr>
              <w:t>Total</w:t>
            </w:r>
          </w:p>
        </w:tc>
        <w:tc>
          <w:tcPr>
            <w:tcW w:w="774" w:type="pct"/>
            <w:shd w:val="clear" w:color="auto" w:fill="auto"/>
            <w:noWrap/>
            <w:hideMark/>
          </w:tcPr>
          <w:p w14:paraId="528BACAC" w14:textId="77777777" w:rsidR="004B2A4B" w:rsidRPr="00991A8E" w:rsidRDefault="004B2A4B" w:rsidP="00A456AE">
            <w:pPr>
              <w:jc w:val="right"/>
              <w:cnfStyle w:val="000000100000" w:firstRow="0" w:lastRow="0" w:firstColumn="0" w:lastColumn="0" w:oddVBand="0" w:evenVBand="0" w:oddHBand="1" w:evenHBand="0" w:firstRowFirstColumn="0" w:firstRowLastColumn="0" w:lastRowFirstColumn="0" w:lastRowLastColumn="0"/>
              <w:rPr>
                <w:rFonts w:ascii="Arial" w:hAnsi="Arial" w:cs="Arial"/>
                <w:b/>
                <w:sz w:val="19"/>
                <w:szCs w:val="19"/>
                <w:lang w:val="en-GB"/>
              </w:rPr>
            </w:pPr>
            <w:r w:rsidRPr="00991A8E">
              <w:rPr>
                <w:rFonts w:ascii="Arial" w:hAnsi="Arial" w:cs="Arial"/>
                <w:b/>
                <w:sz w:val="19"/>
                <w:szCs w:val="19"/>
                <w:lang w:val="en-GB"/>
              </w:rPr>
              <w:t xml:space="preserve">44,731,383 </w:t>
            </w:r>
          </w:p>
        </w:tc>
        <w:tc>
          <w:tcPr>
            <w:tcW w:w="740" w:type="pct"/>
            <w:shd w:val="clear" w:color="auto" w:fill="auto"/>
            <w:noWrap/>
            <w:hideMark/>
          </w:tcPr>
          <w:p w14:paraId="536C14E8" w14:textId="77777777" w:rsidR="004B2A4B" w:rsidRPr="00991A8E" w:rsidRDefault="004B2A4B" w:rsidP="00A456AE">
            <w:pPr>
              <w:jc w:val="right"/>
              <w:cnfStyle w:val="000000100000" w:firstRow="0" w:lastRow="0" w:firstColumn="0" w:lastColumn="0" w:oddVBand="0" w:evenVBand="0" w:oddHBand="1" w:evenHBand="0" w:firstRowFirstColumn="0" w:firstRowLastColumn="0" w:lastRowFirstColumn="0" w:lastRowLastColumn="0"/>
              <w:rPr>
                <w:rFonts w:ascii="Arial" w:hAnsi="Arial" w:cs="Arial"/>
                <w:b/>
                <w:sz w:val="19"/>
                <w:szCs w:val="19"/>
                <w:lang w:val="en-GB"/>
              </w:rPr>
            </w:pPr>
            <w:r w:rsidRPr="00991A8E">
              <w:rPr>
                <w:rFonts w:ascii="Arial" w:hAnsi="Arial" w:cs="Arial"/>
                <w:b/>
                <w:sz w:val="19"/>
                <w:szCs w:val="19"/>
                <w:lang w:val="en-GB"/>
              </w:rPr>
              <w:t>100.0</w:t>
            </w:r>
          </w:p>
        </w:tc>
      </w:tr>
    </w:tbl>
    <w:p w14:paraId="42521DDE" w14:textId="77777777" w:rsidR="004B2A4B" w:rsidRPr="00CB3BFB" w:rsidRDefault="004B2A4B" w:rsidP="004B2A4B">
      <w:pPr>
        <w:pStyle w:val="BodyTextMain"/>
        <w:rPr>
          <w:sz w:val="18"/>
          <w:szCs w:val="18"/>
          <w:lang w:val="en-GB"/>
        </w:rPr>
      </w:pPr>
    </w:p>
    <w:tbl>
      <w:tblPr>
        <w:tblW w:w="93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59"/>
        <w:gridCol w:w="7107"/>
      </w:tblGrid>
      <w:tr w:rsidR="004B2A4B" w:rsidRPr="00CB3BFB" w14:paraId="26A989EE" w14:textId="77777777" w:rsidTr="00654EE6">
        <w:trPr>
          <w:trHeight w:val="144"/>
          <w:jc w:val="center"/>
        </w:trPr>
        <w:tc>
          <w:tcPr>
            <w:tcW w:w="9310" w:type="dxa"/>
            <w:gridSpan w:val="3"/>
            <w:shd w:val="clear" w:color="auto" w:fill="auto"/>
            <w:vAlign w:val="bottom"/>
            <w:hideMark/>
          </w:tcPr>
          <w:p w14:paraId="63509D25" w14:textId="77777777" w:rsidR="004B2A4B" w:rsidRPr="00CB3BFB" w:rsidRDefault="004B2A4B" w:rsidP="00A456AE">
            <w:pPr>
              <w:pStyle w:val="ExhibitText"/>
              <w:jc w:val="center"/>
              <w:rPr>
                <w:b/>
                <w:lang w:val="en-GB"/>
              </w:rPr>
            </w:pPr>
            <w:r w:rsidRPr="00CB3BFB">
              <w:rPr>
                <w:b/>
                <w:lang w:val="en-GB"/>
              </w:rPr>
              <w:t>Directors</w:t>
            </w:r>
          </w:p>
        </w:tc>
      </w:tr>
      <w:tr w:rsidR="004B2A4B" w:rsidRPr="00CB3BFB" w14:paraId="304A4646" w14:textId="77777777" w:rsidTr="00654EE6">
        <w:trPr>
          <w:trHeight w:val="900"/>
          <w:jc w:val="center"/>
        </w:trPr>
        <w:tc>
          <w:tcPr>
            <w:tcW w:w="915" w:type="dxa"/>
            <w:shd w:val="clear" w:color="auto" w:fill="auto"/>
            <w:hideMark/>
          </w:tcPr>
          <w:p w14:paraId="511D421B" w14:textId="77777777" w:rsidR="004B2A4B" w:rsidRPr="00CB3BFB" w:rsidRDefault="004B2A4B" w:rsidP="00A456AE">
            <w:pPr>
              <w:ind w:left="-23"/>
              <w:rPr>
                <w:rFonts w:ascii="Arial" w:hAnsi="Arial" w:cs="Arial"/>
                <w:color w:val="000000"/>
                <w:sz w:val="18"/>
                <w:szCs w:val="18"/>
                <w:lang w:val="en-GB"/>
              </w:rPr>
            </w:pPr>
            <w:r w:rsidRPr="00CB3BFB">
              <w:rPr>
                <w:rFonts w:ascii="Arial" w:hAnsi="Arial" w:cs="Arial"/>
                <w:color w:val="000000"/>
                <w:sz w:val="18"/>
                <w:szCs w:val="18"/>
                <w:lang w:val="en-GB"/>
              </w:rPr>
              <w:t>Peter Graham Clare</w:t>
            </w:r>
          </w:p>
        </w:tc>
        <w:tc>
          <w:tcPr>
            <w:tcW w:w="1260" w:type="dxa"/>
            <w:shd w:val="clear" w:color="auto" w:fill="auto"/>
            <w:hideMark/>
          </w:tcPr>
          <w:p w14:paraId="6A7DED0F" w14:textId="77777777" w:rsidR="004B2A4B" w:rsidRPr="00CB3BFB" w:rsidRDefault="004B2A4B" w:rsidP="00A456AE">
            <w:pPr>
              <w:ind w:left="-23"/>
              <w:rPr>
                <w:rFonts w:ascii="Arial" w:hAnsi="Arial" w:cs="Arial"/>
                <w:color w:val="000000"/>
                <w:sz w:val="18"/>
                <w:szCs w:val="18"/>
                <w:lang w:val="en-GB"/>
              </w:rPr>
            </w:pPr>
            <w:r w:rsidRPr="00CB3BFB">
              <w:rPr>
                <w:rFonts w:ascii="Arial" w:hAnsi="Arial" w:cs="Arial"/>
                <w:color w:val="000000"/>
                <w:sz w:val="18"/>
                <w:szCs w:val="18"/>
                <w:lang w:val="en-GB"/>
              </w:rPr>
              <w:t>Non-Executive Chairman</w:t>
            </w:r>
          </w:p>
        </w:tc>
        <w:tc>
          <w:tcPr>
            <w:tcW w:w="7135" w:type="dxa"/>
            <w:shd w:val="clear" w:color="auto" w:fill="auto"/>
            <w:vAlign w:val="bottom"/>
            <w:hideMark/>
          </w:tcPr>
          <w:p w14:paraId="7BFC3DD3" w14:textId="77777777" w:rsidR="004B2A4B" w:rsidRPr="00CB3BFB" w:rsidRDefault="004B2A4B" w:rsidP="00A456AE">
            <w:pPr>
              <w:jc w:val="both"/>
              <w:rPr>
                <w:rFonts w:ascii="Arial" w:hAnsi="Arial" w:cs="Arial"/>
                <w:color w:val="000000"/>
                <w:sz w:val="18"/>
                <w:szCs w:val="18"/>
                <w:lang w:val="en-GB"/>
              </w:rPr>
            </w:pPr>
            <w:r w:rsidRPr="00CB3BFB">
              <w:rPr>
                <w:rFonts w:ascii="Arial" w:hAnsi="Arial" w:cs="Arial"/>
                <w:color w:val="000000"/>
                <w:sz w:val="18"/>
                <w:szCs w:val="18"/>
                <w:lang w:val="en-GB"/>
              </w:rPr>
              <w:t>Mr. Clare has been in the banking industry since 1995, including most recently as the chief executive officer of Westpac New Zealand Limited, a division of Westpac Banking Corporation Limited, from 2012 to 2014.</w:t>
            </w:r>
          </w:p>
          <w:p w14:paraId="16DCBEA4" w14:textId="77777777" w:rsidR="004B2A4B" w:rsidRPr="00CB3BFB" w:rsidRDefault="004B2A4B" w:rsidP="00A456AE">
            <w:pPr>
              <w:ind w:left="-23"/>
              <w:jc w:val="both"/>
              <w:rPr>
                <w:rFonts w:ascii="Arial" w:hAnsi="Arial" w:cs="Arial"/>
                <w:color w:val="000000"/>
                <w:sz w:val="18"/>
                <w:szCs w:val="18"/>
                <w:lang w:val="en-GB"/>
              </w:rPr>
            </w:pPr>
            <w:r w:rsidRPr="00CB3BFB">
              <w:rPr>
                <w:rFonts w:ascii="Arial" w:hAnsi="Arial" w:cs="Arial"/>
                <w:color w:val="000000"/>
                <w:sz w:val="18"/>
                <w:szCs w:val="18"/>
                <w:lang w:val="en-GB"/>
              </w:rPr>
              <w:t xml:space="preserve">Mr. Clare has completed an MBA (Macquarie University, 1990) and a </w:t>
            </w:r>
            <w:proofErr w:type="spellStart"/>
            <w:r w:rsidRPr="00CB3BFB">
              <w:rPr>
                <w:rFonts w:ascii="Arial" w:hAnsi="Arial" w:cs="Arial"/>
                <w:color w:val="000000"/>
                <w:sz w:val="18"/>
                <w:szCs w:val="18"/>
                <w:lang w:val="en-GB"/>
              </w:rPr>
              <w:t>BCom</w:t>
            </w:r>
            <w:proofErr w:type="spellEnd"/>
            <w:r w:rsidRPr="00CB3BFB">
              <w:rPr>
                <w:rFonts w:ascii="Arial" w:hAnsi="Arial" w:cs="Arial"/>
                <w:color w:val="000000"/>
                <w:sz w:val="18"/>
                <w:szCs w:val="18"/>
                <w:lang w:val="en-GB"/>
              </w:rPr>
              <w:t xml:space="preserve"> in Accounting, Finance and Systems (University of New South Wales, 1986). He is a member of the Australian Institute of Company Directors and the Governance Institute of Australia, and a fellow of CPA Australia and Financial Services Institute of Australasia (FINSIA).</w:t>
            </w:r>
          </w:p>
          <w:p w14:paraId="2D8A5E24" w14:textId="77777777" w:rsidR="004B2A4B" w:rsidRPr="00CB3BFB" w:rsidRDefault="004B2A4B" w:rsidP="00A456AE">
            <w:pPr>
              <w:ind w:left="-23"/>
              <w:jc w:val="both"/>
              <w:rPr>
                <w:rFonts w:ascii="Arial" w:hAnsi="Arial" w:cs="Arial"/>
                <w:color w:val="000000"/>
                <w:sz w:val="18"/>
                <w:szCs w:val="18"/>
                <w:lang w:val="en-GB"/>
              </w:rPr>
            </w:pPr>
            <w:r w:rsidRPr="00CB3BFB">
              <w:rPr>
                <w:rFonts w:ascii="Arial" w:hAnsi="Arial" w:cs="Arial"/>
                <w:color w:val="000000"/>
                <w:sz w:val="18"/>
                <w:szCs w:val="18"/>
                <w:lang w:val="en-GB"/>
              </w:rPr>
              <w:t xml:space="preserve">Mr. Clare is also a director of ASX listed company </w:t>
            </w:r>
            <w:proofErr w:type="spellStart"/>
            <w:r w:rsidRPr="00CB3BFB">
              <w:rPr>
                <w:rFonts w:ascii="Arial" w:hAnsi="Arial" w:cs="Arial"/>
                <w:color w:val="000000"/>
                <w:sz w:val="18"/>
                <w:szCs w:val="18"/>
                <w:lang w:val="en-GB"/>
              </w:rPr>
              <w:t>Reffind</w:t>
            </w:r>
            <w:proofErr w:type="spellEnd"/>
            <w:r w:rsidRPr="00CB3BFB">
              <w:rPr>
                <w:rFonts w:ascii="Arial" w:hAnsi="Arial" w:cs="Arial"/>
                <w:color w:val="000000"/>
                <w:sz w:val="18"/>
                <w:szCs w:val="18"/>
                <w:lang w:val="en-GB"/>
              </w:rPr>
              <w:t xml:space="preserve"> Limited (admitted to the Official List of ASX on 8 July 2015).</w:t>
            </w:r>
          </w:p>
        </w:tc>
      </w:tr>
      <w:tr w:rsidR="004B2A4B" w:rsidRPr="00CB3BFB" w14:paraId="6305D418" w14:textId="77777777" w:rsidTr="00654EE6">
        <w:trPr>
          <w:trHeight w:val="600"/>
          <w:jc w:val="center"/>
        </w:trPr>
        <w:tc>
          <w:tcPr>
            <w:tcW w:w="915" w:type="dxa"/>
            <w:shd w:val="clear" w:color="auto" w:fill="auto"/>
            <w:hideMark/>
          </w:tcPr>
          <w:p w14:paraId="2C76B1F0" w14:textId="77777777" w:rsidR="004B2A4B" w:rsidRPr="00CB3BFB" w:rsidRDefault="004B2A4B" w:rsidP="00A456AE">
            <w:pPr>
              <w:rPr>
                <w:rFonts w:ascii="Arial" w:hAnsi="Arial" w:cs="Arial"/>
                <w:color w:val="000000"/>
                <w:sz w:val="18"/>
                <w:szCs w:val="18"/>
                <w:lang w:val="en-GB"/>
              </w:rPr>
            </w:pPr>
            <w:r w:rsidRPr="00CB3BFB">
              <w:rPr>
                <w:rFonts w:ascii="Arial" w:hAnsi="Arial" w:cs="Arial"/>
                <w:color w:val="000000"/>
                <w:sz w:val="18"/>
                <w:szCs w:val="18"/>
                <w:lang w:val="en-GB"/>
              </w:rPr>
              <w:t xml:space="preserve">Ashley </w:t>
            </w:r>
            <w:proofErr w:type="spellStart"/>
            <w:r w:rsidRPr="00CB3BFB">
              <w:rPr>
                <w:rFonts w:ascii="Arial" w:hAnsi="Arial" w:cs="Arial"/>
                <w:color w:val="000000"/>
                <w:sz w:val="18"/>
                <w:szCs w:val="18"/>
                <w:lang w:val="en-GB"/>
              </w:rPr>
              <w:t>Shilkin</w:t>
            </w:r>
            <w:proofErr w:type="spellEnd"/>
          </w:p>
        </w:tc>
        <w:tc>
          <w:tcPr>
            <w:tcW w:w="1260" w:type="dxa"/>
            <w:shd w:val="clear" w:color="auto" w:fill="auto"/>
            <w:hideMark/>
          </w:tcPr>
          <w:p w14:paraId="60951B1A" w14:textId="77777777" w:rsidR="004B2A4B" w:rsidRPr="00CB3BFB" w:rsidRDefault="004B2A4B" w:rsidP="00A456AE">
            <w:pPr>
              <w:rPr>
                <w:rFonts w:ascii="Arial" w:hAnsi="Arial" w:cs="Arial"/>
                <w:color w:val="000000"/>
                <w:sz w:val="18"/>
                <w:szCs w:val="18"/>
                <w:lang w:val="en-GB"/>
              </w:rPr>
            </w:pPr>
            <w:r w:rsidRPr="00CB3BFB">
              <w:rPr>
                <w:rFonts w:ascii="Arial" w:hAnsi="Arial" w:cs="Arial"/>
                <w:color w:val="000000"/>
                <w:sz w:val="18"/>
                <w:szCs w:val="18"/>
                <w:lang w:val="en-GB"/>
              </w:rPr>
              <w:t>Founder and Managing Director</w:t>
            </w:r>
          </w:p>
        </w:tc>
        <w:tc>
          <w:tcPr>
            <w:tcW w:w="7135" w:type="dxa"/>
            <w:shd w:val="clear" w:color="auto" w:fill="auto"/>
            <w:vAlign w:val="bottom"/>
            <w:hideMark/>
          </w:tcPr>
          <w:p w14:paraId="533DA942" w14:textId="77777777" w:rsidR="004B2A4B" w:rsidRPr="00CB3BFB" w:rsidRDefault="004B2A4B" w:rsidP="00A456AE">
            <w:pPr>
              <w:jc w:val="both"/>
              <w:rPr>
                <w:rFonts w:ascii="Arial" w:hAnsi="Arial" w:cs="Arial"/>
                <w:color w:val="000000"/>
                <w:sz w:val="18"/>
                <w:szCs w:val="18"/>
                <w:lang w:val="en-GB"/>
              </w:rPr>
            </w:pPr>
            <w:r w:rsidRPr="00CB3BFB">
              <w:rPr>
                <w:rFonts w:ascii="Arial" w:hAnsi="Arial" w:cs="Arial"/>
                <w:color w:val="000000"/>
                <w:sz w:val="18"/>
                <w:szCs w:val="18"/>
                <w:lang w:val="en-GB"/>
              </w:rPr>
              <w:t xml:space="preserve">Mr. </w:t>
            </w:r>
            <w:proofErr w:type="spellStart"/>
            <w:r w:rsidRPr="00CB3BFB">
              <w:rPr>
                <w:rFonts w:ascii="Arial" w:hAnsi="Arial" w:cs="Arial"/>
                <w:color w:val="000000"/>
                <w:sz w:val="18"/>
                <w:szCs w:val="18"/>
                <w:lang w:val="en-GB"/>
              </w:rPr>
              <w:t>Shilkin</w:t>
            </w:r>
            <w:proofErr w:type="spellEnd"/>
            <w:r w:rsidRPr="00CB3BFB">
              <w:rPr>
                <w:rFonts w:ascii="Arial" w:hAnsi="Arial" w:cs="Arial"/>
                <w:color w:val="000000"/>
                <w:sz w:val="18"/>
                <w:szCs w:val="18"/>
                <w:lang w:val="en-GB"/>
              </w:rPr>
              <w:t xml:space="preserve"> is the founder and Managing Director of </w:t>
            </w:r>
            <w:proofErr w:type="spellStart"/>
            <w:r w:rsidRPr="00CB3BFB">
              <w:rPr>
                <w:rFonts w:ascii="Arial" w:hAnsi="Arial" w:cs="Arial"/>
                <w:color w:val="000000"/>
                <w:sz w:val="18"/>
                <w:szCs w:val="18"/>
                <w:lang w:val="en-GB"/>
              </w:rPr>
              <w:t>ChimpChange</w:t>
            </w:r>
            <w:proofErr w:type="spellEnd"/>
            <w:r w:rsidRPr="00CB3BFB">
              <w:rPr>
                <w:rFonts w:ascii="Arial" w:hAnsi="Arial" w:cs="Arial"/>
                <w:color w:val="000000"/>
                <w:sz w:val="18"/>
                <w:szCs w:val="18"/>
                <w:lang w:val="en-GB"/>
              </w:rPr>
              <w:t>, based in Los Angeles, California.</w:t>
            </w:r>
          </w:p>
          <w:p w14:paraId="7F9329A1" w14:textId="77777777" w:rsidR="004B2A4B" w:rsidRPr="00CB3BFB" w:rsidRDefault="004B2A4B" w:rsidP="00A456AE">
            <w:pPr>
              <w:jc w:val="both"/>
              <w:rPr>
                <w:rFonts w:ascii="Arial" w:hAnsi="Arial" w:cs="Arial"/>
                <w:color w:val="000000"/>
                <w:sz w:val="18"/>
                <w:szCs w:val="18"/>
                <w:lang w:val="en-GB"/>
              </w:rPr>
            </w:pPr>
            <w:r w:rsidRPr="00CB3BFB">
              <w:rPr>
                <w:rFonts w:ascii="Arial" w:hAnsi="Arial" w:cs="Arial"/>
                <w:color w:val="000000"/>
                <w:sz w:val="18"/>
                <w:szCs w:val="18"/>
                <w:lang w:val="en-GB"/>
              </w:rPr>
              <w:t xml:space="preserve">At 26, he was the youngest chief financial officer of a $30 million company listed on the </w:t>
            </w:r>
            <w:r w:rsidRPr="00CA17E4">
              <w:rPr>
                <w:rFonts w:ascii="Arial" w:hAnsi="Arial" w:cs="Arial"/>
                <w:color w:val="000000"/>
                <w:sz w:val="18"/>
                <w:szCs w:val="18"/>
                <w:lang w:val="en-GB"/>
              </w:rPr>
              <w:t>Australian Securities Exchange</w:t>
            </w:r>
            <w:r w:rsidRPr="00CB3BFB">
              <w:rPr>
                <w:rFonts w:ascii="Arial" w:hAnsi="Arial" w:cs="Arial"/>
                <w:color w:val="000000"/>
                <w:sz w:val="18"/>
                <w:szCs w:val="18"/>
                <w:lang w:val="en-GB"/>
              </w:rPr>
              <w:t xml:space="preserve"> (CO2 Australia Limited). While at CO2 Group, the company grew to over a $300 million in market capitalization in a short period of time. While at CO2 Group, he took on a number of </w:t>
            </w:r>
            <w:r>
              <w:rPr>
                <w:rFonts w:ascii="Arial" w:hAnsi="Arial" w:cs="Arial"/>
                <w:color w:val="000000"/>
                <w:sz w:val="18"/>
                <w:szCs w:val="18"/>
                <w:lang w:val="en-GB"/>
              </w:rPr>
              <w:t>d</w:t>
            </w:r>
            <w:r w:rsidRPr="00CB3BFB">
              <w:rPr>
                <w:rFonts w:ascii="Arial" w:hAnsi="Arial" w:cs="Arial"/>
                <w:color w:val="000000"/>
                <w:sz w:val="18"/>
                <w:szCs w:val="18"/>
                <w:lang w:val="en-GB"/>
              </w:rPr>
              <w:t xml:space="preserve">irectorships, one being </w:t>
            </w:r>
            <w:r>
              <w:rPr>
                <w:rFonts w:ascii="Arial" w:hAnsi="Arial" w:cs="Arial"/>
                <w:color w:val="000000"/>
                <w:sz w:val="18"/>
                <w:szCs w:val="18"/>
                <w:lang w:val="en-GB"/>
              </w:rPr>
              <w:t>d</w:t>
            </w:r>
            <w:r w:rsidRPr="00CB3BFB">
              <w:rPr>
                <w:rFonts w:ascii="Arial" w:hAnsi="Arial" w:cs="Arial"/>
                <w:color w:val="000000"/>
                <w:sz w:val="18"/>
                <w:szCs w:val="18"/>
                <w:lang w:val="en-GB"/>
              </w:rPr>
              <w:t>irector/</w:t>
            </w:r>
            <w:r>
              <w:rPr>
                <w:rFonts w:ascii="Arial" w:hAnsi="Arial" w:cs="Arial"/>
                <w:color w:val="000000"/>
                <w:sz w:val="18"/>
                <w:szCs w:val="18"/>
                <w:lang w:val="en-GB"/>
              </w:rPr>
              <w:t>c</w:t>
            </w:r>
            <w:r w:rsidRPr="00CB3BFB">
              <w:rPr>
                <w:rFonts w:ascii="Arial" w:hAnsi="Arial" w:cs="Arial"/>
                <w:color w:val="000000"/>
                <w:sz w:val="18"/>
                <w:szCs w:val="18"/>
                <w:lang w:val="en-GB"/>
              </w:rPr>
              <w:t xml:space="preserve">hief </w:t>
            </w:r>
            <w:r>
              <w:rPr>
                <w:rFonts w:ascii="Arial" w:hAnsi="Arial" w:cs="Arial"/>
                <w:color w:val="000000"/>
                <w:sz w:val="18"/>
                <w:szCs w:val="18"/>
                <w:lang w:val="en-GB"/>
              </w:rPr>
              <w:t>o</w:t>
            </w:r>
            <w:r w:rsidRPr="00CB3BFB">
              <w:rPr>
                <w:rFonts w:ascii="Arial" w:hAnsi="Arial" w:cs="Arial"/>
                <w:color w:val="000000"/>
                <w:sz w:val="18"/>
                <w:szCs w:val="18"/>
                <w:lang w:val="en-GB"/>
              </w:rPr>
              <w:t xml:space="preserve">ffsetting </w:t>
            </w:r>
            <w:r>
              <w:rPr>
                <w:rFonts w:ascii="Arial" w:hAnsi="Arial" w:cs="Arial"/>
                <w:color w:val="000000"/>
                <w:sz w:val="18"/>
                <w:szCs w:val="18"/>
                <w:lang w:val="en-GB"/>
              </w:rPr>
              <w:t>s</w:t>
            </w:r>
            <w:r w:rsidRPr="00CB3BFB">
              <w:rPr>
                <w:rFonts w:ascii="Arial" w:hAnsi="Arial" w:cs="Arial"/>
                <w:color w:val="000000"/>
                <w:sz w:val="18"/>
                <w:szCs w:val="18"/>
                <w:lang w:val="en-GB"/>
              </w:rPr>
              <w:t>uperhero of Yonderr.com, a fresh web-based carbon offset company. The second was an appointment to the board of CO2 New Zealand, the company that facilitated the first meaningful international expansion of the CO2 Group, which resulted in millions of dollars of additional revenue for the group.</w:t>
            </w:r>
          </w:p>
          <w:p w14:paraId="4BB111D4" w14:textId="77777777" w:rsidR="004B2A4B" w:rsidRPr="00CB3BFB" w:rsidRDefault="004B2A4B" w:rsidP="00A456AE">
            <w:pPr>
              <w:jc w:val="both"/>
              <w:rPr>
                <w:rFonts w:ascii="Arial" w:hAnsi="Arial" w:cs="Arial"/>
                <w:color w:val="000000"/>
                <w:sz w:val="18"/>
                <w:szCs w:val="18"/>
                <w:lang w:val="en-GB"/>
              </w:rPr>
            </w:pPr>
            <w:r w:rsidRPr="00CB3BFB">
              <w:rPr>
                <w:rFonts w:ascii="Arial" w:hAnsi="Arial" w:cs="Arial"/>
                <w:color w:val="000000"/>
                <w:sz w:val="18"/>
                <w:szCs w:val="18"/>
                <w:lang w:val="en-GB"/>
              </w:rPr>
              <w:t xml:space="preserve">Mr. </w:t>
            </w:r>
            <w:proofErr w:type="spellStart"/>
            <w:r w:rsidRPr="00CB3BFB">
              <w:rPr>
                <w:rFonts w:ascii="Arial" w:hAnsi="Arial" w:cs="Arial"/>
                <w:color w:val="000000"/>
                <w:sz w:val="18"/>
                <w:szCs w:val="18"/>
                <w:lang w:val="en-GB"/>
              </w:rPr>
              <w:t>Shilkin</w:t>
            </w:r>
            <w:proofErr w:type="spellEnd"/>
            <w:r w:rsidRPr="00CB3BFB">
              <w:rPr>
                <w:rFonts w:ascii="Arial" w:hAnsi="Arial" w:cs="Arial"/>
                <w:color w:val="000000"/>
                <w:sz w:val="18"/>
                <w:szCs w:val="18"/>
                <w:lang w:val="en-GB"/>
              </w:rPr>
              <w:t xml:space="preserve"> has a </w:t>
            </w:r>
            <w:r>
              <w:rPr>
                <w:rFonts w:ascii="Arial" w:hAnsi="Arial" w:cs="Arial"/>
                <w:color w:val="000000"/>
                <w:sz w:val="18"/>
                <w:szCs w:val="18"/>
                <w:lang w:val="en-GB"/>
              </w:rPr>
              <w:t>m</w:t>
            </w:r>
            <w:r w:rsidRPr="00CB3BFB">
              <w:rPr>
                <w:rFonts w:ascii="Arial" w:hAnsi="Arial" w:cs="Arial"/>
                <w:color w:val="000000"/>
                <w:sz w:val="18"/>
                <w:szCs w:val="18"/>
                <w:lang w:val="en-GB"/>
              </w:rPr>
              <w:t xml:space="preserve">aster in commercial law and a bachelor of commerce with double majors in investment finance and international business economics. </w:t>
            </w:r>
          </w:p>
        </w:tc>
      </w:tr>
      <w:tr w:rsidR="004B2A4B" w:rsidRPr="00CB3BFB" w14:paraId="6003CD53" w14:textId="77777777" w:rsidTr="00654EE6">
        <w:trPr>
          <w:trHeight w:val="600"/>
          <w:jc w:val="center"/>
        </w:trPr>
        <w:tc>
          <w:tcPr>
            <w:tcW w:w="915" w:type="dxa"/>
            <w:shd w:val="clear" w:color="auto" w:fill="auto"/>
            <w:hideMark/>
          </w:tcPr>
          <w:p w14:paraId="71A69400" w14:textId="77777777" w:rsidR="004B2A4B" w:rsidRPr="00CB3BFB" w:rsidRDefault="004B2A4B" w:rsidP="00A456AE">
            <w:pPr>
              <w:rPr>
                <w:rFonts w:ascii="Arial" w:hAnsi="Arial" w:cs="Arial"/>
                <w:color w:val="000000"/>
                <w:sz w:val="18"/>
                <w:szCs w:val="18"/>
                <w:lang w:val="en-GB"/>
              </w:rPr>
            </w:pPr>
            <w:r w:rsidRPr="00CB3BFB">
              <w:rPr>
                <w:rFonts w:ascii="Arial" w:hAnsi="Arial" w:cs="Arial"/>
                <w:color w:val="000000"/>
                <w:sz w:val="18"/>
                <w:szCs w:val="18"/>
                <w:lang w:val="en-GB"/>
              </w:rPr>
              <w:t xml:space="preserve">Ian </w:t>
            </w:r>
            <w:proofErr w:type="spellStart"/>
            <w:r w:rsidRPr="00CB3BFB">
              <w:rPr>
                <w:rFonts w:ascii="Arial" w:hAnsi="Arial" w:cs="Arial"/>
                <w:color w:val="000000"/>
                <w:sz w:val="18"/>
                <w:szCs w:val="18"/>
                <w:lang w:val="en-GB"/>
              </w:rPr>
              <w:t>Leijer</w:t>
            </w:r>
            <w:proofErr w:type="spellEnd"/>
          </w:p>
        </w:tc>
        <w:tc>
          <w:tcPr>
            <w:tcW w:w="1260" w:type="dxa"/>
            <w:shd w:val="clear" w:color="auto" w:fill="auto"/>
            <w:hideMark/>
          </w:tcPr>
          <w:p w14:paraId="1E88CACC" w14:textId="77777777" w:rsidR="004B2A4B" w:rsidRPr="00CB3BFB" w:rsidRDefault="004B2A4B" w:rsidP="00A456AE">
            <w:pPr>
              <w:rPr>
                <w:rFonts w:ascii="Arial" w:hAnsi="Arial" w:cs="Arial"/>
                <w:color w:val="000000"/>
                <w:sz w:val="18"/>
                <w:szCs w:val="18"/>
                <w:lang w:val="en-GB"/>
              </w:rPr>
            </w:pPr>
            <w:r w:rsidRPr="00CB3BFB">
              <w:rPr>
                <w:rFonts w:ascii="Arial" w:hAnsi="Arial" w:cs="Arial"/>
                <w:color w:val="000000"/>
                <w:sz w:val="18"/>
                <w:szCs w:val="18"/>
                <w:lang w:val="en-GB"/>
              </w:rPr>
              <w:t>CFO and Executive Director</w:t>
            </w:r>
          </w:p>
        </w:tc>
        <w:tc>
          <w:tcPr>
            <w:tcW w:w="7135" w:type="dxa"/>
            <w:shd w:val="clear" w:color="auto" w:fill="auto"/>
            <w:vAlign w:val="bottom"/>
            <w:hideMark/>
          </w:tcPr>
          <w:p w14:paraId="00D8C543" w14:textId="77777777" w:rsidR="004B2A4B" w:rsidRPr="00CB3BFB" w:rsidRDefault="004B2A4B" w:rsidP="00A456AE">
            <w:pPr>
              <w:jc w:val="both"/>
              <w:rPr>
                <w:rFonts w:ascii="Arial" w:hAnsi="Arial" w:cs="Arial"/>
                <w:color w:val="000000"/>
                <w:sz w:val="18"/>
                <w:szCs w:val="18"/>
                <w:lang w:val="en-GB"/>
              </w:rPr>
            </w:pPr>
            <w:r w:rsidRPr="00CB3BFB">
              <w:rPr>
                <w:rFonts w:ascii="Arial" w:hAnsi="Arial" w:cs="Arial"/>
                <w:color w:val="000000"/>
                <w:sz w:val="18"/>
                <w:szCs w:val="18"/>
                <w:lang w:val="en-GB"/>
              </w:rPr>
              <w:t xml:space="preserve">Mr. </w:t>
            </w:r>
            <w:proofErr w:type="spellStart"/>
            <w:r w:rsidRPr="00CB3BFB">
              <w:rPr>
                <w:rFonts w:ascii="Arial" w:hAnsi="Arial" w:cs="Arial"/>
                <w:color w:val="000000"/>
                <w:sz w:val="18"/>
                <w:szCs w:val="18"/>
                <w:lang w:val="en-GB"/>
              </w:rPr>
              <w:t>Leijer</w:t>
            </w:r>
            <w:proofErr w:type="spellEnd"/>
            <w:r w:rsidRPr="00CB3BFB">
              <w:rPr>
                <w:rFonts w:ascii="Arial" w:hAnsi="Arial" w:cs="Arial"/>
                <w:color w:val="000000"/>
                <w:sz w:val="18"/>
                <w:szCs w:val="18"/>
                <w:lang w:val="en-GB"/>
              </w:rPr>
              <w:t xml:space="preserve"> has been closely involved with </w:t>
            </w:r>
            <w:proofErr w:type="spellStart"/>
            <w:r w:rsidRPr="00CB3BFB">
              <w:rPr>
                <w:rFonts w:ascii="Arial" w:hAnsi="Arial" w:cs="Arial"/>
                <w:color w:val="000000"/>
                <w:sz w:val="18"/>
                <w:szCs w:val="18"/>
                <w:lang w:val="en-GB"/>
              </w:rPr>
              <w:t>ChimpChange</w:t>
            </w:r>
            <w:proofErr w:type="spellEnd"/>
            <w:r w:rsidRPr="00CB3BFB">
              <w:rPr>
                <w:rFonts w:ascii="Arial" w:hAnsi="Arial" w:cs="Arial"/>
                <w:color w:val="000000"/>
                <w:sz w:val="18"/>
                <w:szCs w:val="18"/>
                <w:lang w:val="en-GB"/>
              </w:rPr>
              <w:t xml:space="preserve"> since its inception.</w:t>
            </w:r>
          </w:p>
          <w:p w14:paraId="171443F4" w14:textId="77777777" w:rsidR="004B2A4B" w:rsidRPr="00CB3BFB" w:rsidRDefault="004B2A4B" w:rsidP="00A456AE">
            <w:pPr>
              <w:jc w:val="both"/>
              <w:rPr>
                <w:rFonts w:ascii="Arial" w:hAnsi="Arial" w:cs="Arial"/>
                <w:color w:val="000000"/>
                <w:sz w:val="18"/>
                <w:szCs w:val="18"/>
                <w:lang w:val="en-GB"/>
              </w:rPr>
            </w:pPr>
            <w:r w:rsidRPr="00CB3BFB">
              <w:rPr>
                <w:rFonts w:ascii="Arial" w:hAnsi="Arial" w:cs="Arial"/>
                <w:color w:val="000000"/>
                <w:sz w:val="18"/>
                <w:szCs w:val="18"/>
                <w:lang w:val="en-GB"/>
              </w:rPr>
              <w:t xml:space="preserve">Mr </w:t>
            </w:r>
            <w:proofErr w:type="spellStart"/>
            <w:r w:rsidRPr="00CB3BFB">
              <w:rPr>
                <w:rFonts w:ascii="Arial" w:hAnsi="Arial" w:cs="Arial"/>
                <w:color w:val="000000"/>
                <w:sz w:val="18"/>
                <w:szCs w:val="18"/>
                <w:lang w:val="en-GB"/>
              </w:rPr>
              <w:t>Leijer</w:t>
            </w:r>
            <w:proofErr w:type="spellEnd"/>
            <w:r w:rsidRPr="00CB3BFB">
              <w:rPr>
                <w:rFonts w:ascii="Arial" w:hAnsi="Arial" w:cs="Arial"/>
                <w:color w:val="000000"/>
                <w:sz w:val="18"/>
                <w:szCs w:val="18"/>
                <w:lang w:val="en-GB"/>
              </w:rPr>
              <w:t xml:space="preserve"> is a chartered accountant with over 25 years’ experience in financial analysis, corporate transactions, business strategy, and business management. He was </w:t>
            </w:r>
            <w:r>
              <w:rPr>
                <w:rFonts w:ascii="Arial" w:hAnsi="Arial" w:cs="Arial"/>
                <w:color w:val="000000"/>
                <w:sz w:val="18"/>
                <w:szCs w:val="18"/>
                <w:lang w:val="en-GB"/>
              </w:rPr>
              <w:t>chief financial officer</w:t>
            </w:r>
            <w:r w:rsidRPr="00CB3BFB">
              <w:rPr>
                <w:rFonts w:ascii="Arial" w:hAnsi="Arial" w:cs="Arial"/>
                <w:color w:val="000000"/>
                <w:sz w:val="18"/>
                <w:szCs w:val="18"/>
                <w:lang w:val="en-GB"/>
              </w:rPr>
              <w:t xml:space="preserve"> and company secretary for over 10 years of </w:t>
            </w:r>
            <w:r>
              <w:rPr>
                <w:rFonts w:ascii="Arial" w:hAnsi="Arial" w:cs="Arial"/>
                <w:color w:val="000000"/>
                <w:sz w:val="18"/>
                <w:szCs w:val="18"/>
                <w:lang w:val="en-GB"/>
              </w:rPr>
              <w:t xml:space="preserve">the </w:t>
            </w:r>
            <w:r w:rsidRPr="00CB3BFB">
              <w:rPr>
                <w:rFonts w:ascii="Arial" w:hAnsi="Arial" w:cs="Arial"/>
                <w:color w:val="000000"/>
                <w:sz w:val="18"/>
                <w:szCs w:val="18"/>
                <w:lang w:val="en-GB"/>
              </w:rPr>
              <w:t xml:space="preserve">former </w:t>
            </w:r>
            <w:r w:rsidRPr="00CA17E4">
              <w:rPr>
                <w:rFonts w:ascii="Arial" w:hAnsi="Arial" w:cs="Arial"/>
                <w:color w:val="000000"/>
                <w:sz w:val="18"/>
                <w:szCs w:val="18"/>
                <w:lang w:val="en-GB"/>
              </w:rPr>
              <w:t>Australian Securities Exchange</w:t>
            </w:r>
            <w:r w:rsidRPr="00CB3BFB">
              <w:rPr>
                <w:rFonts w:ascii="Arial" w:hAnsi="Arial" w:cs="Arial"/>
                <w:color w:val="000000"/>
                <w:sz w:val="18"/>
                <w:szCs w:val="18"/>
                <w:lang w:val="en-GB"/>
              </w:rPr>
              <w:t xml:space="preserve"> listed company Avatar Industries Limited, which operated globally in a number of diverse industries, including mining services, electronics distribution, fabrication of building products, and printing. Mr. </w:t>
            </w:r>
            <w:proofErr w:type="spellStart"/>
            <w:r w:rsidRPr="00CB3BFB">
              <w:rPr>
                <w:rFonts w:ascii="Arial" w:hAnsi="Arial" w:cs="Arial"/>
                <w:color w:val="000000"/>
                <w:sz w:val="18"/>
                <w:szCs w:val="18"/>
                <w:lang w:val="en-GB"/>
              </w:rPr>
              <w:t>Leijer</w:t>
            </w:r>
            <w:proofErr w:type="spellEnd"/>
            <w:r w:rsidRPr="00CB3BFB">
              <w:rPr>
                <w:rFonts w:ascii="Arial" w:hAnsi="Arial" w:cs="Arial"/>
                <w:color w:val="000000"/>
                <w:sz w:val="18"/>
                <w:szCs w:val="18"/>
                <w:lang w:val="en-GB"/>
              </w:rPr>
              <w:t xml:space="preserve"> started his career with Price Waterhouse, specializing in corporate transactions and valuations, before joining a boutique investment bank.</w:t>
            </w:r>
          </w:p>
          <w:p w14:paraId="7F7FAC59" w14:textId="77777777" w:rsidR="004B2A4B" w:rsidRPr="00CB3BFB" w:rsidRDefault="004B2A4B" w:rsidP="00A456AE">
            <w:pPr>
              <w:jc w:val="both"/>
              <w:rPr>
                <w:rFonts w:ascii="Arial" w:hAnsi="Arial" w:cs="Arial"/>
                <w:color w:val="000000"/>
                <w:sz w:val="18"/>
                <w:szCs w:val="18"/>
                <w:lang w:val="en-GB"/>
              </w:rPr>
            </w:pPr>
            <w:r w:rsidRPr="00CB3BFB">
              <w:rPr>
                <w:rFonts w:ascii="Arial" w:hAnsi="Arial" w:cs="Arial"/>
                <w:color w:val="000000"/>
                <w:sz w:val="18"/>
                <w:szCs w:val="18"/>
                <w:lang w:val="en-GB"/>
              </w:rPr>
              <w:t xml:space="preserve">Mr </w:t>
            </w:r>
            <w:proofErr w:type="spellStart"/>
            <w:r w:rsidRPr="00CB3BFB">
              <w:rPr>
                <w:rFonts w:ascii="Arial" w:hAnsi="Arial" w:cs="Arial"/>
                <w:color w:val="000000"/>
                <w:sz w:val="18"/>
                <w:szCs w:val="18"/>
                <w:lang w:val="en-GB"/>
              </w:rPr>
              <w:t>Leijer</w:t>
            </w:r>
            <w:proofErr w:type="spellEnd"/>
            <w:r w:rsidRPr="00CB3BFB">
              <w:rPr>
                <w:rFonts w:ascii="Arial" w:hAnsi="Arial" w:cs="Arial"/>
                <w:color w:val="000000"/>
                <w:sz w:val="18"/>
                <w:szCs w:val="18"/>
                <w:lang w:val="en-GB"/>
              </w:rPr>
              <w:t xml:space="preserve"> currently works with a number of entities on business analysis, capital raising (debt </w:t>
            </w:r>
            <w:r>
              <w:rPr>
                <w:rFonts w:ascii="Arial" w:hAnsi="Arial" w:cs="Arial"/>
                <w:color w:val="000000"/>
                <w:sz w:val="18"/>
                <w:szCs w:val="18"/>
                <w:lang w:val="en-GB"/>
              </w:rPr>
              <w:t>and</w:t>
            </w:r>
            <w:r w:rsidRPr="00CB3BFB">
              <w:rPr>
                <w:rFonts w:ascii="Arial" w:hAnsi="Arial" w:cs="Arial"/>
                <w:color w:val="000000"/>
                <w:sz w:val="18"/>
                <w:szCs w:val="18"/>
                <w:lang w:val="en-GB"/>
              </w:rPr>
              <w:t xml:space="preserve"> equity) and general management. Mr. </w:t>
            </w:r>
            <w:proofErr w:type="spellStart"/>
            <w:r w:rsidRPr="00CB3BFB">
              <w:rPr>
                <w:rFonts w:ascii="Arial" w:hAnsi="Arial" w:cs="Arial"/>
                <w:color w:val="000000"/>
                <w:sz w:val="18"/>
                <w:szCs w:val="18"/>
                <w:lang w:val="en-GB"/>
              </w:rPr>
              <w:t>Leijer</w:t>
            </w:r>
            <w:proofErr w:type="spellEnd"/>
            <w:r w:rsidRPr="00CB3BFB">
              <w:rPr>
                <w:rFonts w:ascii="Arial" w:hAnsi="Arial" w:cs="Arial"/>
                <w:color w:val="000000"/>
                <w:sz w:val="18"/>
                <w:szCs w:val="18"/>
                <w:lang w:val="en-GB"/>
              </w:rPr>
              <w:t xml:space="preserve"> also holds a Bachelor of Economic from the University of Sydney, Australia. </w:t>
            </w:r>
          </w:p>
        </w:tc>
      </w:tr>
      <w:tr w:rsidR="004B2A4B" w:rsidRPr="00CB3BFB" w14:paraId="6E7FDE6A" w14:textId="77777777" w:rsidTr="00654EE6">
        <w:trPr>
          <w:trHeight w:val="600"/>
          <w:jc w:val="center"/>
        </w:trPr>
        <w:tc>
          <w:tcPr>
            <w:tcW w:w="915" w:type="dxa"/>
            <w:shd w:val="clear" w:color="auto" w:fill="auto"/>
            <w:hideMark/>
          </w:tcPr>
          <w:p w14:paraId="0CE8DC78" w14:textId="77777777" w:rsidR="004B2A4B" w:rsidRPr="00CB3BFB" w:rsidRDefault="004B2A4B" w:rsidP="00A456AE">
            <w:pPr>
              <w:ind w:left="-23"/>
              <w:rPr>
                <w:rFonts w:ascii="Arial" w:hAnsi="Arial" w:cs="Arial"/>
                <w:color w:val="000000"/>
                <w:sz w:val="18"/>
                <w:szCs w:val="18"/>
                <w:lang w:val="en-GB"/>
              </w:rPr>
            </w:pPr>
            <w:r w:rsidRPr="00CB3BFB">
              <w:rPr>
                <w:rFonts w:ascii="Arial" w:hAnsi="Arial" w:cs="Arial"/>
                <w:color w:val="000000"/>
                <w:sz w:val="18"/>
                <w:szCs w:val="18"/>
                <w:lang w:val="en-GB"/>
              </w:rPr>
              <w:t>Benjamin William Harrison</w:t>
            </w:r>
          </w:p>
        </w:tc>
        <w:tc>
          <w:tcPr>
            <w:tcW w:w="1260" w:type="dxa"/>
            <w:shd w:val="clear" w:color="auto" w:fill="auto"/>
            <w:hideMark/>
          </w:tcPr>
          <w:p w14:paraId="5C5EAFF9" w14:textId="77777777" w:rsidR="004B2A4B" w:rsidRPr="00CB3BFB" w:rsidRDefault="004B2A4B" w:rsidP="00A456AE">
            <w:pPr>
              <w:ind w:left="-23"/>
              <w:rPr>
                <w:rFonts w:ascii="Arial" w:hAnsi="Arial" w:cs="Arial"/>
                <w:color w:val="000000"/>
                <w:sz w:val="18"/>
                <w:szCs w:val="18"/>
                <w:lang w:val="en-GB"/>
              </w:rPr>
            </w:pPr>
            <w:r w:rsidRPr="00CB3BFB">
              <w:rPr>
                <w:rFonts w:ascii="Arial" w:hAnsi="Arial" w:cs="Arial"/>
                <w:color w:val="000000"/>
                <w:sz w:val="18"/>
                <w:szCs w:val="18"/>
                <w:lang w:val="en-GB"/>
              </w:rPr>
              <w:t>Non-Executive Director</w:t>
            </w:r>
          </w:p>
        </w:tc>
        <w:tc>
          <w:tcPr>
            <w:tcW w:w="7135" w:type="dxa"/>
            <w:shd w:val="clear" w:color="auto" w:fill="auto"/>
            <w:vAlign w:val="bottom"/>
            <w:hideMark/>
          </w:tcPr>
          <w:p w14:paraId="3791CF21" w14:textId="77777777" w:rsidR="004B2A4B" w:rsidRPr="00CB3BFB" w:rsidRDefault="004B2A4B" w:rsidP="00A456AE">
            <w:pPr>
              <w:ind w:left="-23"/>
              <w:jc w:val="both"/>
              <w:rPr>
                <w:rFonts w:ascii="Arial" w:hAnsi="Arial" w:cs="Arial"/>
                <w:color w:val="000000"/>
                <w:sz w:val="18"/>
                <w:szCs w:val="18"/>
                <w:lang w:val="en-GB"/>
              </w:rPr>
            </w:pPr>
            <w:r w:rsidRPr="00CB3BFB">
              <w:rPr>
                <w:rFonts w:ascii="Arial" w:hAnsi="Arial" w:cs="Arial"/>
                <w:color w:val="000000"/>
                <w:sz w:val="18"/>
                <w:szCs w:val="18"/>
                <w:lang w:val="en-GB"/>
              </w:rPr>
              <w:t xml:space="preserve">Mr. Harrison has 10 years’ experience in advising and investing in companies. He spent five years working for a leading mid cap corporate advisory house, where he executed capital market and </w:t>
            </w:r>
            <w:r>
              <w:rPr>
                <w:rFonts w:ascii="Arial" w:hAnsi="Arial" w:cs="Arial"/>
                <w:color w:val="000000"/>
                <w:sz w:val="18"/>
                <w:szCs w:val="18"/>
                <w:lang w:val="en-GB"/>
              </w:rPr>
              <w:t>merger and acquisitions</w:t>
            </w:r>
            <w:r w:rsidRPr="00CB3BFB">
              <w:rPr>
                <w:rFonts w:ascii="Arial" w:hAnsi="Arial" w:cs="Arial"/>
                <w:color w:val="000000"/>
                <w:sz w:val="18"/>
                <w:szCs w:val="18"/>
                <w:lang w:val="en-GB"/>
              </w:rPr>
              <w:t xml:space="preserve"> transactions. He is currently involved in the private equity and venture capital sector.</w:t>
            </w:r>
          </w:p>
          <w:p w14:paraId="6FC3FF80" w14:textId="77777777" w:rsidR="004B2A4B" w:rsidRPr="00CB3BFB" w:rsidRDefault="004B2A4B" w:rsidP="00A456AE">
            <w:pPr>
              <w:ind w:left="-23"/>
              <w:jc w:val="both"/>
              <w:rPr>
                <w:rFonts w:ascii="Arial" w:hAnsi="Arial" w:cs="Arial"/>
                <w:color w:val="000000"/>
                <w:sz w:val="18"/>
                <w:szCs w:val="18"/>
                <w:lang w:val="en-GB"/>
              </w:rPr>
            </w:pPr>
            <w:r w:rsidRPr="00CB3BFB">
              <w:rPr>
                <w:rFonts w:ascii="Arial" w:hAnsi="Arial" w:cs="Arial"/>
                <w:color w:val="000000"/>
                <w:sz w:val="18"/>
                <w:szCs w:val="18"/>
                <w:lang w:val="en-GB"/>
              </w:rPr>
              <w:t xml:space="preserve">Mr. Harrison has been involved at board level in a number of investee companies on behalf of investors. His experience extends beyond financing and </w:t>
            </w:r>
            <w:r>
              <w:rPr>
                <w:rFonts w:ascii="Arial" w:hAnsi="Arial" w:cs="Arial"/>
                <w:color w:val="000000"/>
                <w:sz w:val="18"/>
                <w:szCs w:val="18"/>
                <w:lang w:val="en-GB"/>
              </w:rPr>
              <w:t>merger and acquisitions</w:t>
            </w:r>
            <w:r w:rsidRPr="00CB3BFB">
              <w:rPr>
                <w:rFonts w:ascii="Arial" w:hAnsi="Arial" w:cs="Arial"/>
                <w:color w:val="000000"/>
                <w:sz w:val="18"/>
                <w:szCs w:val="18"/>
                <w:lang w:val="en-GB"/>
              </w:rPr>
              <w:t xml:space="preserve"> into investment, strategy, financial management, corporate restructuring, corporate governance, and general management.</w:t>
            </w:r>
          </w:p>
          <w:p w14:paraId="4D2DBB86" w14:textId="77777777" w:rsidR="004B2A4B" w:rsidRPr="00654EE6" w:rsidRDefault="004B2A4B" w:rsidP="00A456AE">
            <w:pPr>
              <w:ind w:left="-23"/>
              <w:jc w:val="both"/>
              <w:rPr>
                <w:rFonts w:ascii="Arial" w:hAnsi="Arial" w:cs="Arial"/>
                <w:color w:val="000000"/>
                <w:spacing w:val="-2"/>
                <w:sz w:val="18"/>
                <w:szCs w:val="18"/>
                <w:lang w:val="en-GB"/>
              </w:rPr>
            </w:pPr>
            <w:r w:rsidRPr="00654EE6">
              <w:rPr>
                <w:rFonts w:ascii="Arial" w:hAnsi="Arial" w:cs="Arial"/>
                <w:color w:val="000000"/>
                <w:spacing w:val="-2"/>
                <w:sz w:val="18"/>
                <w:szCs w:val="18"/>
                <w:lang w:val="en-GB"/>
              </w:rPr>
              <w:t>Mr. Harrison holds a bachelor of science and master of applied finance and investment.</w:t>
            </w:r>
          </w:p>
        </w:tc>
      </w:tr>
    </w:tbl>
    <w:p w14:paraId="3A848770" w14:textId="77777777" w:rsidR="004B2A4B" w:rsidRPr="00CB3BFB" w:rsidRDefault="004B2A4B" w:rsidP="004B2A4B">
      <w:pPr>
        <w:pStyle w:val="Footnote"/>
        <w:rPr>
          <w:lang w:val="en-GB"/>
        </w:rPr>
      </w:pPr>
    </w:p>
    <w:p w14:paraId="068DF98D" w14:textId="71418F4D" w:rsidR="00AF1FA9" w:rsidRPr="004B2A4B" w:rsidRDefault="004B2A4B" w:rsidP="00991A8E">
      <w:pPr>
        <w:pStyle w:val="FootnoteText1"/>
        <w:rPr>
          <w:lang w:val="en-GB"/>
        </w:rPr>
      </w:pPr>
      <w:r w:rsidRPr="00CB3BFB">
        <w:rPr>
          <w:lang w:val="en-GB"/>
        </w:rPr>
        <w:t xml:space="preserve">Source: Created by the case author using data from </w:t>
      </w:r>
      <w:proofErr w:type="spellStart"/>
      <w:r w:rsidRPr="00CB3BFB">
        <w:rPr>
          <w:lang w:val="en-GB"/>
        </w:rPr>
        <w:t>ChimpChange</w:t>
      </w:r>
      <w:proofErr w:type="spellEnd"/>
      <w:r w:rsidRPr="00CB3BFB">
        <w:rPr>
          <w:lang w:val="en-GB"/>
        </w:rPr>
        <w:t xml:space="preserve"> Limited, </w:t>
      </w:r>
      <w:r w:rsidRPr="00CB3BFB">
        <w:rPr>
          <w:i/>
          <w:lang w:val="en-GB"/>
        </w:rPr>
        <w:t xml:space="preserve">Prospectus: </w:t>
      </w:r>
      <w:proofErr w:type="spellStart"/>
      <w:r w:rsidRPr="00CB3BFB">
        <w:rPr>
          <w:i/>
          <w:lang w:val="en-GB"/>
        </w:rPr>
        <w:t>ChimpChange</w:t>
      </w:r>
      <w:proofErr w:type="spellEnd"/>
      <w:r w:rsidRPr="00CB3BFB">
        <w:rPr>
          <w:i/>
          <w:lang w:val="en-GB"/>
        </w:rPr>
        <w:t xml:space="preserve"> Limited—ABN 34 150 762 351</w:t>
      </w:r>
      <w:r w:rsidRPr="00CB3BFB">
        <w:rPr>
          <w:lang w:val="en-GB"/>
        </w:rPr>
        <w:t xml:space="preserve">, 15, 77–78, 2017, accessed August 31, 2018, </w:t>
      </w:r>
      <w:r w:rsidRPr="005E31E9">
        <w:rPr>
          <w:lang w:val="en-GB"/>
        </w:rPr>
        <w:t>www.chimpchange.me/wp-content/uploads/2017/03/prospectus.pdf</w:t>
      </w:r>
      <w:r w:rsidRPr="00CB3BFB">
        <w:rPr>
          <w:lang w:val="en-GB"/>
        </w:rPr>
        <w:t>.</w:t>
      </w:r>
    </w:p>
    <w:p w14:paraId="2DB01AE8" w14:textId="77777777" w:rsidR="004B2A4B" w:rsidRDefault="004B2A4B" w:rsidP="004B2A4B">
      <w:pPr>
        <w:pStyle w:val="BodyTextMain"/>
        <w:sectPr w:rsidR="004B2A4B" w:rsidSect="004B2A4B">
          <w:headerReference w:type="default" r:id="rId16"/>
          <w:pgSz w:w="12240" w:h="15840" w:code="1"/>
          <w:pgMar w:top="1080" w:right="1440" w:bottom="1440" w:left="1440" w:header="1080" w:footer="720" w:gutter="0"/>
          <w:cols w:space="720"/>
          <w:docGrid w:linePitch="360"/>
        </w:sectPr>
      </w:pPr>
    </w:p>
    <w:p w14:paraId="6499F9C2" w14:textId="77777777" w:rsidR="004B2A4B" w:rsidRPr="00CB3BFB" w:rsidRDefault="004B2A4B" w:rsidP="004B2A4B">
      <w:pPr>
        <w:pStyle w:val="ExhibitHeading"/>
        <w:rPr>
          <w:lang w:val="en-GB"/>
        </w:rPr>
      </w:pPr>
      <w:r w:rsidRPr="00CB3BFB">
        <w:rPr>
          <w:lang w:val="en-GB"/>
        </w:rPr>
        <w:lastRenderedPageBreak/>
        <w:t xml:space="preserve">Exhibit </w:t>
      </w:r>
      <w:r>
        <w:rPr>
          <w:lang w:val="en-GB"/>
        </w:rPr>
        <w:t>7</w:t>
      </w:r>
      <w:r w:rsidRPr="00CB3BFB">
        <w:rPr>
          <w:lang w:val="en-GB"/>
        </w:rPr>
        <w:t>: Comparable Transactions at Major International Digital or NeoBanks</w:t>
      </w:r>
    </w:p>
    <w:p w14:paraId="020F7ED7" w14:textId="77777777" w:rsidR="004B2A4B" w:rsidRPr="00CB3BFB" w:rsidRDefault="004B2A4B" w:rsidP="004B2A4B">
      <w:pPr>
        <w:pStyle w:val="BodyTextMain"/>
        <w:rPr>
          <w:lang w:val="en-GB"/>
        </w:rPr>
      </w:pPr>
    </w:p>
    <w:tbl>
      <w:tblPr>
        <w:tblStyle w:val="GridTable4-Accent11"/>
        <w:tblW w:w="491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2879"/>
        <w:gridCol w:w="4032"/>
        <w:gridCol w:w="1155"/>
        <w:gridCol w:w="1150"/>
        <w:gridCol w:w="1163"/>
        <w:gridCol w:w="1150"/>
      </w:tblGrid>
      <w:tr w:rsidR="002C0F92" w:rsidRPr="002C0F92" w14:paraId="299838FD" w14:textId="77777777" w:rsidTr="002C0F92">
        <w:trPr>
          <w:cnfStyle w:val="100000000000" w:firstRow="1" w:lastRow="0" w:firstColumn="0" w:lastColumn="0" w:oddVBand="0" w:evenVBand="0" w:oddHBand="0"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548" w:type="pct"/>
            <w:tcBorders>
              <w:top w:val="single" w:sz="4" w:space="0" w:color="auto"/>
              <w:left w:val="single" w:sz="4" w:space="0" w:color="auto"/>
              <w:bottom w:val="single" w:sz="4" w:space="0" w:color="auto"/>
              <w:right w:val="single" w:sz="4" w:space="0" w:color="auto"/>
            </w:tcBorders>
            <w:shd w:val="clear" w:color="auto" w:fill="auto"/>
            <w:noWrap/>
            <w:hideMark/>
          </w:tcPr>
          <w:p w14:paraId="2781BF25" w14:textId="77777777" w:rsidR="004B2A4B" w:rsidRPr="002C0F92" w:rsidRDefault="004B2A4B" w:rsidP="00A456AE">
            <w:pPr>
              <w:jc w:val="center"/>
              <w:rPr>
                <w:rFonts w:ascii="Arial" w:hAnsi="Arial" w:cs="Arial"/>
                <w:color w:val="000000"/>
                <w:sz w:val="19"/>
                <w:szCs w:val="19"/>
                <w:lang w:val="en-GB"/>
              </w:rPr>
            </w:pPr>
            <w:r w:rsidRPr="002C0F92">
              <w:rPr>
                <w:rFonts w:ascii="Arial" w:hAnsi="Arial" w:cs="Arial"/>
                <w:color w:val="000000"/>
                <w:sz w:val="19"/>
                <w:szCs w:val="19"/>
                <w:lang w:val="en-GB"/>
              </w:rPr>
              <w:t>Company</w:t>
            </w:r>
          </w:p>
        </w:tc>
        <w:tc>
          <w:tcPr>
            <w:tcW w:w="1112" w:type="pct"/>
            <w:tcBorders>
              <w:top w:val="single" w:sz="4" w:space="0" w:color="auto"/>
              <w:left w:val="single" w:sz="4" w:space="0" w:color="auto"/>
              <w:bottom w:val="single" w:sz="4" w:space="0" w:color="auto"/>
              <w:right w:val="single" w:sz="4" w:space="0" w:color="auto"/>
            </w:tcBorders>
            <w:shd w:val="clear" w:color="auto" w:fill="auto"/>
            <w:noWrap/>
            <w:hideMark/>
          </w:tcPr>
          <w:p w14:paraId="378EBB65" w14:textId="77777777" w:rsidR="004B2A4B" w:rsidRPr="002C0F92" w:rsidRDefault="004B2A4B" w:rsidP="00A456A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19"/>
                <w:szCs w:val="19"/>
                <w:lang w:val="en-GB"/>
              </w:rPr>
            </w:pPr>
            <w:r w:rsidRPr="002C0F92">
              <w:rPr>
                <w:rFonts w:ascii="Arial" w:hAnsi="Arial" w:cs="Arial"/>
                <w:color w:val="000000"/>
                <w:sz w:val="19"/>
                <w:szCs w:val="19"/>
                <w:lang w:val="en-GB"/>
              </w:rPr>
              <w:t>Description</w:t>
            </w:r>
          </w:p>
        </w:tc>
        <w:tc>
          <w:tcPr>
            <w:tcW w:w="1557" w:type="pct"/>
            <w:tcBorders>
              <w:top w:val="single" w:sz="4" w:space="0" w:color="auto"/>
              <w:left w:val="single" w:sz="4" w:space="0" w:color="auto"/>
              <w:bottom w:val="single" w:sz="4" w:space="0" w:color="auto"/>
              <w:right w:val="single" w:sz="4" w:space="0" w:color="auto"/>
            </w:tcBorders>
            <w:shd w:val="clear" w:color="auto" w:fill="auto"/>
            <w:noWrap/>
            <w:hideMark/>
          </w:tcPr>
          <w:p w14:paraId="79B7F112" w14:textId="77777777" w:rsidR="004B2A4B" w:rsidRPr="002C0F92" w:rsidRDefault="004B2A4B" w:rsidP="00A456A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19"/>
                <w:szCs w:val="19"/>
                <w:lang w:val="en-GB"/>
              </w:rPr>
            </w:pPr>
            <w:r w:rsidRPr="002C0F92">
              <w:rPr>
                <w:rFonts w:ascii="Arial" w:hAnsi="Arial" w:cs="Arial"/>
                <w:color w:val="000000"/>
                <w:sz w:val="19"/>
                <w:szCs w:val="19"/>
                <w:lang w:val="en-GB"/>
              </w:rPr>
              <w:t>Details</w:t>
            </w:r>
          </w:p>
        </w:tc>
        <w:tc>
          <w:tcPr>
            <w:tcW w:w="446" w:type="pct"/>
            <w:tcBorders>
              <w:top w:val="single" w:sz="4" w:space="0" w:color="auto"/>
              <w:left w:val="single" w:sz="4" w:space="0" w:color="auto"/>
              <w:bottom w:val="single" w:sz="4" w:space="0" w:color="auto"/>
              <w:right w:val="single" w:sz="4" w:space="0" w:color="auto"/>
            </w:tcBorders>
            <w:shd w:val="clear" w:color="auto" w:fill="auto"/>
            <w:hideMark/>
          </w:tcPr>
          <w:p w14:paraId="20A84883" w14:textId="77777777" w:rsidR="004B2A4B" w:rsidRPr="002C0F92" w:rsidRDefault="004B2A4B" w:rsidP="00A456A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19"/>
                <w:szCs w:val="19"/>
                <w:lang w:val="en-GB"/>
              </w:rPr>
            </w:pPr>
            <w:r w:rsidRPr="002C0F92">
              <w:rPr>
                <w:rFonts w:ascii="Arial" w:hAnsi="Arial" w:cs="Arial"/>
                <w:color w:val="000000"/>
                <w:sz w:val="19"/>
                <w:szCs w:val="19"/>
                <w:lang w:val="en-GB"/>
              </w:rPr>
              <w:t>Valuation (AU$ Millions)</w:t>
            </w:r>
          </w:p>
        </w:tc>
        <w:tc>
          <w:tcPr>
            <w:tcW w:w="444" w:type="pct"/>
            <w:tcBorders>
              <w:top w:val="single" w:sz="4" w:space="0" w:color="auto"/>
              <w:left w:val="single" w:sz="4" w:space="0" w:color="auto"/>
              <w:bottom w:val="single" w:sz="4" w:space="0" w:color="auto"/>
              <w:right w:val="single" w:sz="4" w:space="0" w:color="auto"/>
            </w:tcBorders>
            <w:shd w:val="clear" w:color="auto" w:fill="auto"/>
            <w:noWrap/>
            <w:hideMark/>
          </w:tcPr>
          <w:p w14:paraId="72F27E90" w14:textId="77777777" w:rsidR="004B2A4B" w:rsidRPr="002C0F92" w:rsidRDefault="004B2A4B" w:rsidP="00A456A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19"/>
                <w:szCs w:val="19"/>
                <w:lang w:val="en-GB"/>
              </w:rPr>
            </w:pPr>
            <w:r w:rsidRPr="002C0F92">
              <w:rPr>
                <w:rFonts w:ascii="Arial" w:hAnsi="Arial" w:cs="Arial"/>
                <w:color w:val="000000"/>
                <w:sz w:val="19"/>
                <w:szCs w:val="19"/>
                <w:lang w:val="en-GB"/>
              </w:rPr>
              <w:t>Users</w:t>
            </w:r>
          </w:p>
        </w:tc>
        <w:tc>
          <w:tcPr>
            <w:tcW w:w="449" w:type="pct"/>
            <w:tcBorders>
              <w:top w:val="single" w:sz="4" w:space="0" w:color="auto"/>
              <w:left w:val="single" w:sz="4" w:space="0" w:color="auto"/>
              <w:bottom w:val="single" w:sz="4" w:space="0" w:color="auto"/>
              <w:right w:val="single" w:sz="4" w:space="0" w:color="auto"/>
            </w:tcBorders>
            <w:shd w:val="clear" w:color="auto" w:fill="auto"/>
            <w:noWrap/>
            <w:hideMark/>
          </w:tcPr>
          <w:p w14:paraId="5BEE4442" w14:textId="77777777" w:rsidR="004B2A4B" w:rsidRPr="002C0F92" w:rsidRDefault="004B2A4B" w:rsidP="00A456A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19"/>
                <w:szCs w:val="19"/>
                <w:lang w:val="en-GB"/>
              </w:rPr>
            </w:pPr>
            <w:r w:rsidRPr="002C0F92">
              <w:rPr>
                <w:rFonts w:ascii="Arial" w:hAnsi="Arial" w:cs="Arial"/>
                <w:color w:val="000000"/>
                <w:sz w:val="19"/>
                <w:szCs w:val="19"/>
                <w:lang w:val="en-GB"/>
              </w:rPr>
              <w:t>Enterprise Value (EV)</w:t>
            </w:r>
          </w:p>
        </w:tc>
        <w:tc>
          <w:tcPr>
            <w:tcW w:w="444" w:type="pct"/>
            <w:tcBorders>
              <w:top w:val="single" w:sz="4" w:space="0" w:color="auto"/>
              <w:left w:val="single" w:sz="4" w:space="0" w:color="auto"/>
              <w:bottom w:val="single" w:sz="4" w:space="0" w:color="auto"/>
              <w:right w:val="single" w:sz="4" w:space="0" w:color="auto"/>
            </w:tcBorders>
            <w:shd w:val="clear" w:color="auto" w:fill="auto"/>
            <w:noWrap/>
            <w:hideMark/>
          </w:tcPr>
          <w:p w14:paraId="5EBD9208" w14:textId="77777777" w:rsidR="004B2A4B" w:rsidRPr="002C0F92" w:rsidRDefault="004B2A4B" w:rsidP="00A456A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19"/>
                <w:szCs w:val="19"/>
                <w:lang w:val="en-GB"/>
              </w:rPr>
            </w:pPr>
            <w:r w:rsidRPr="002C0F92">
              <w:rPr>
                <w:rFonts w:ascii="Arial" w:hAnsi="Arial" w:cs="Arial"/>
                <w:color w:val="000000"/>
                <w:sz w:val="19"/>
                <w:szCs w:val="19"/>
                <w:lang w:val="en-GB"/>
              </w:rPr>
              <w:t>EV per Customer</w:t>
            </w:r>
          </w:p>
        </w:tc>
      </w:tr>
      <w:tr w:rsidR="002C0F92" w:rsidRPr="002C0F92" w14:paraId="711F7427" w14:textId="77777777" w:rsidTr="002C0F9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48" w:type="pct"/>
            <w:shd w:val="clear" w:color="auto" w:fill="auto"/>
            <w:noWrap/>
            <w:hideMark/>
          </w:tcPr>
          <w:p w14:paraId="4FCF13F5" w14:textId="77777777" w:rsidR="004B2A4B" w:rsidRPr="002C0F92" w:rsidRDefault="004B2A4B" w:rsidP="001564D1">
            <w:pPr>
              <w:pStyle w:val="ExhibitText"/>
              <w:jc w:val="left"/>
              <w:rPr>
                <w:sz w:val="19"/>
                <w:szCs w:val="19"/>
                <w:lang w:val="en-GB"/>
              </w:rPr>
            </w:pPr>
            <w:r w:rsidRPr="002C0F92">
              <w:rPr>
                <w:sz w:val="19"/>
                <w:szCs w:val="19"/>
                <w:lang w:val="en-GB"/>
              </w:rPr>
              <w:t xml:space="preserve">Simple </w:t>
            </w:r>
          </w:p>
        </w:tc>
        <w:tc>
          <w:tcPr>
            <w:tcW w:w="1112" w:type="pct"/>
            <w:shd w:val="clear" w:color="auto" w:fill="auto"/>
            <w:noWrap/>
            <w:hideMark/>
          </w:tcPr>
          <w:p w14:paraId="563D73DF" w14:textId="77777777" w:rsidR="004B2A4B" w:rsidRPr="002C0F92" w:rsidRDefault="004B2A4B" w:rsidP="004B2A4B">
            <w:pPr>
              <w:pStyle w:val="ExhibitText"/>
              <w:numPr>
                <w:ilvl w:val="0"/>
                <w:numId w:val="30"/>
              </w:numPr>
              <w:ind w:left="203" w:hanging="270"/>
              <w:jc w:val="left"/>
              <w:cnfStyle w:val="000000100000" w:firstRow="0" w:lastRow="0" w:firstColumn="0" w:lastColumn="0" w:oddVBand="0" w:evenVBand="0" w:oddHBand="1" w:evenHBand="0" w:firstRowFirstColumn="0" w:firstRowLastColumn="0" w:lastRowFirstColumn="0" w:lastRowLastColumn="0"/>
              <w:rPr>
                <w:sz w:val="19"/>
                <w:szCs w:val="19"/>
                <w:lang w:val="en-GB"/>
              </w:rPr>
            </w:pPr>
            <w:r w:rsidRPr="002C0F92">
              <w:rPr>
                <w:sz w:val="19"/>
                <w:szCs w:val="19"/>
                <w:lang w:val="en-GB"/>
              </w:rPr>
              <w:t xml:space="preserve">Digital </w:t>
            </w:r>
            <w:proofErr w:type="spellStart"/>
            <w:r w:rsidRPr="002C0F92">
              <w:rPr>
                <w:sz w:val="19"/>
                <w:szCs w:val="19"/>
                <w:lang w:val="en-GB"/>
              </w:rPr>
              <w:t>neobank</w:t>
            </w:r>
            <w:proofErr w:type="spellEnd"/>
            <w:r w:rsidRPr="002C0F92">
              <w:rPr>
                <w:sz w:val="19"/>
                <w:szCs w:val="19"/>
                <w:lang w:val="en-GB"/>
              </w:rPr>
              <w:t xml:space="preserve"> based in United States</w:t>
            </w:r>
          </w:p>
        </w:tc>
        <w:tc>
          <w:tcPr>
            <w:tcW w:w="1557" w:type="pct"/>
            <w:shd w:val="clear" w:color="auto" w:fill="auto"/>
            <w:noWrap/>
            <w:hideMark/>
          </w:tcPr>
          <w:p w14:paraId="0E931200" w14:textId="77777777" w:rsidR="004B2A4B" w:rsidRPr="002C0F92" w:rsidRDefault="004B2A4B" w:rsidP="001564D1">
            <w:pPr>
              <w:pStyle w:val="ExhibitText"/>
              <w:numPr>
                <w:ilvl w:val="0"/>
                <w:numId w:val="31"/>
              </w:numPr>
              <w:ind w:left="187" w:hanging="288"/>
              <w:jc w:val="left"/>
              <w:cnfStyle w:val="000000100000" w:firstRow="0" w:lastRow="0" w:firstColumn="0" w:lastColumn="0" w:oddVBand="0" w:evenVBand="0" w:oddHBand="1" w:evenHBand="0" w:firstRowFirstColumn="0" w:firstRowLastColumn="0" w:lastRowFirstColumn="0" w:lastRowLastColumn="0"/>
              <w:rPr>
                <w:sz w:val="19"/>
                <w:szCs w:val="19"/>
                <w:lang w:val="en-GB"/>
              </w:rPr>
            </w:pPr>
            <w:r w:rsidRPr="002C0F92">
              <w:rPr>
                <w:sz w:val="19"/>
                <w:szCs w:val="19"/>
                <w:lang w:val="en-GB"/>
              </w:rPr>
              <w:t>Acquired by BBVA for US$117 million in early 2014</w:t>
            </w:r>
          </w:p>
        </w:tc>
        <w:tc>
          <w:tcPr>
            <w:tcW w:w="446" w:type="pct"/>
            <w:shd w:val="clear" w:color="auto" w:fill="auto"/>
            <w:noWrap/>
            <w:vAlign w:val="center"/>
            <w:hideMark/>
          </w:tcPr>
          <w:p w14:paraId="3B263143" w14:textId="77777777" w:rsidR="004B2A4B" w:rsidRPr="002C0F92"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sz w:val="19"/>
                <w:szCs w:val="19"/>
                <w:lang w:val="en-GB"/>
              </w:rPr>
            </w:pPr>
            <w:r w:rsidRPr="002C0F92">
              <w:rPr>
                <w:sz w:val="19"/>
                <w:szCs w:val="19"/>
                <w:lang w:val="en-GB"/>
              </w:rPr>
              <w:t>156.0</w:t>
            </w:r>
          </w:p>
        </w:tc>
        <w:tc>
          <w:tcPr>
            <w:tcW w:w="444" w:type="pct"/>
            <w:shd w:val="clear" w:color="auto" w:fill="auto"/>
            <w:noWrap/>
            <w:vAlign w:val="center"/>
            <w:hideMark/>
          </w:tcPr>
          <w:p w14:paraId="433CB813" w14:textId="77777777" w:rsidR="004B2A4B" w:rsidRPr="002C0F92"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sz w:val="19"/>
                <w:szCs w:val="19"/>
                <w:lang w:val="en-GB"/>
              </w:rPr>
            </w:pPr>
            <w:r w:rsidRPr="002C0F92">
              <w:rPr>
                <w:sz w:val="19"/>
                <w:szCs w:val="19"/>
                <w:lang w:val="en-GB"/>
              </w:rPr>
              <w:t>100,000</w:t>
            </w:r>
          </w:p>
        </w:tc>
        <w:tc>
          <w:tcPr>
            <w:tcW w:w="449" w:type="pct"/>
            <w:shd w:val="clear" w:color="auto" w:fill="auto"/>
            <w:noWrap/>
            <w:vAlign w:val="center"/>
            <w:hideMark/>
          </w:tcPr>
          <w:p w14:paraId="0B6E777D" w14:textId="77777777" w:rsidR="004B2A4B" w:rsidRPr="002C0F92"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sz w:val="19"/>
                <w:szCs w:val="19"/>
                <w:lang w:val="en-GB"/>
              </w:rPr>
            </w:pPr>
            <w:r w:rsidRPr="002C0F92">
              <w:rPr>
                <w:sz w:val="19"/>
                <w:szCs w:val="19"/>
                <w:lang w:val="en-GB"/>
              </w:rPr>
              <w:t>156.0</w:t>
            </w:r>
          </w:p>
        </w:tc>
        <w:tc>
          <w:tcPr>
            <w:tcW w:w="444" w:type="pct"/>
            <w:shd w:val="clear" w:color="auto" w:fill="auto"/>
            <w:noWrap/>
            <w:vAlign w:val="center"/>
            <w:hideMark/>
          </w:tcPr>
          <w:p w14:paraId="27EAADEF" w14:textId="77777777" w:rsidR="004B2A4B" w:rsidRPr="002C0F92"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sz w:val="19"/>
                <w:szCs w:val="19"/>
                <w:lang w:val="en-GB"/>
              </w:rPr>
            </w:pPr>
            <w:r w:rsidRPr="002C0F92">
              <w:rPr>
                <w:sz w:val="19"/>
                <w:szCs w:val="19"/>
                <w:lang w:val="en-GB"/>
              </w:rPr>
              <w:t>1,560.00</w:t>
            </w:r>
          </w:p>
        </w:tc>
      </w:tr>
      <w:tr w:rsidR="002C0F92" w:rsidRPr="002C0F92" w14:paraId="3F97AC70" w14:textId="77777777" w:rsidTr="002C0F92">
        <w:trPr>
          <w:trHeight w:val="300"/>
          <w:jc w:val="center"/>
        </w:trPr>
        <w:tc>
          <w:tcPr>
            <w:cnfStyle w:val="001000000000" w:firstRow="0" w:lastRow="0" w:firstColumn="1" w:lastColumn="0" w:oddVBand="0" w:evenVBand="0" w:oddHBand="0" w:evenHBand="0" w:firstRowFirstColumn="0" w:firstRowLastColumn="0" w:lastRowFirstColumn="0" w:lastRowLastColumn="0"/>
            <w:tcW w:w="548" w:type="pct"/>
            <w:shd w:val="clear" w:color="auto" w:fill="auto"/>
            <w:noWrap/>
            <w:hideMark/>
          </w:tcPr>
          <w:p w14:paraId="5EB7DD33" w14:textId="77777777" w:rsidR="004B2A4B" w:rsidRPr="002C0F92" w:rsidRDefault="004B2A4B" w:rsidP="001564D1">
            <w:pPr>
              <w:pStyle w:val="ExhibitText"/>
              <w:jc w:val="left"/>
              <w:rPr>
                <w:sz w:val="19"/>
                <w:szCs w:val="19"/>
                <w:lang w:val="en-GB"/>
              </w:rPr>
            </w:pPr>
            <w:r w:rsidRPr="002C0F92">
              <w:rPr>
                <w:sz w:val="19"/>
                <w:szCs w:val="19"/>
                <w:lang w:val="en-GB"/>
              </w:rPr>
              <w:t>TymeDigital</w:t>
            </w:r>
          </w:p>
        </w:tc>
        <w:tc>
          <w:tcPr>
            <w:tcW w:w="1112" w:type="pct"/>
            <w:shd w:val="clear" w:color="auto" w:fill="auto"/>
            <w:noWrap/>
            <w:hideMark/>
          </w:tcPr>
          <w:p w14:paraId="4EADD00F" w14:textId="77777777" w:rsidR="004B2A4B" w:rsidRPr="002C0F92" w:rsidRDefault="004B2A4B" w:rsidP="004B2A4B">
            <w:pPr>
              <w:pStyle w:val="ExhibitText"/>
              <w:numPr>
                <w:ilvl w:val="0"/>
                <w:numId w:val="30"/>
              </w:numPr>
              <w:ind w:left="203" w:hanging="270"/>
              <w:jc w:val="left"/>
              <w:cnfStyle w:val="000000000000" w:firstRow="0" w:lastRow="0" w:firstColumn="0" w:lastColumn="0" w:oddVBand="0" w:evenVBand="0" w:oddHBand="0" w:evenHBand="0" w:firstRowFirstColumn="0" w:firstRowLastColumn="0" w:lastRowFirstColumn="0" w:lastRowLastColumn="0"/>
              <w:rPr>
                <w:sz w:val="19"/>
                <w:szCs w:val="19"/>
                <w:lang w:val="en-GB"/>
              </w:rPr>
            </w:pPr>
            <w:r w:rsidRPr="002C0F92">
              <w:rPr>
                <w:sz w:val="19"/>
                <w:szCs w:val="19"/>
                <w:lang w:val="en-GB"/>
              </w:rPr>
              <w:t xml:space="preserve">African-based platform targeting underbanked populations </w:t>
            </w:r>
          </w:p>
        </w:tc>
        <w:tc>
          <w:tcPr>
            <w:tcW w:w="1557" w:type="pct"/>
            <w:shd w:val="clear" w:color="auto" w:fill="auto"/>
            <w:noWrap/>
            <w:hideMark/>
          </w:tcPr>
          <w:p w14:paraId="7D13A3D1" w14:textId="77777777" w:rsidR="004B2A4B" w:rsidRPr="002C0F92" w:rsidRDefault="004B2A4B" w:rsidP="001564D1">
            <w:pPr>
              <w:pStyle w:val="ExhibitText"/>
              <w:numPr>
                <w:ilvl w:val="0"/>
                <w:numId w:val="31"/>
              </w:numPr>
              <w:ind w:left="187" w:hanging="288"/>
              <w:jc w:val="left"/>
              <w:cnfStyle w:val="000000000000" w:firstRow="0" w:lastRow="0" w:firstColumn="0" w:lastColumn="0" w:oddVBand="0" w:evenVBand="0" w:oddHBand="0" w:evenHBand="0" w:firstRowFirstColumn="0" w:firstRowLastColumn="0" w:lastRowFirstColumn="0" w:lastRowLastColumn="0"/>
              <w:rPr>
                <w:sz w:val="19"/>
                <w:szCs w:val="19"/>
                <w:lang w:val="en-GB"/>
              </w:rPr>
            </w:pPr>
            <w:r w:rsidRPr="002C0F92">
              <w:rPr>
                <w:sz w:val="19"/>
                <w:szCs w:val="19"/>
                <w:lang w:val="en-GB"/>
              </w:rPr>
              <w:t>Acquired by Commonwealth Bank of South Africa</w:t>
            </w:r>
          </w:p>
        </w:tc>
        <w:tc>
          <w:tcPr>
            <w:tcW w:w="446" w:type="pct"/>
            <w:shd w:val="clear" w:color="auto" w:fill="auto"/>
            <w:noWrap/>
            <w:vAlign w:val="center"/>
            <w:hideMark/>
          </w:tcPr>
          <w:p w14:paraId="758076FE" w14:textId="77777777" w:rsidR="004B2A4B" w:rsidRPr="002C0F92"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sz w:val="19"/>
                <w:szCs w:val="19"/>
                <w:lang w:val="en-GB"/>
              </w:rPr>
            </w:pPr>
            <w:r w:rsidRPr="002C0F92">
              <w:rPr>
                <w:sz w:val="19"/>
                <w:szCs w:val="19"/>
                <w:lang w:val="en-GB"/>
              </w:rPr>
              <w:t>40.0</w:t>
            </w:r>
          </w:p>
        </w:tc>
        <w:tc>
          <w:tcPr>
            <w:tcW w:w="444" w:type="pct"/>
            <w:shd w:val="clear" w:color="auto" w:fill="auto"/>
            <w:noWrap/>
            <w:vAlign w:val="center"/>
            <w:hideMark/>
          </w:tcPr>
          <w:p w14:paraId="5C61E808" w14:textId="77777777" w:rsidR="004B2A4B" w:rsidRPr="002C0F92"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sz w:val="19"/>
                <w:szCs w:val="19"/>
                <w:lang w:val="en-GB"/>
              </w:rPr>
            </w:pPr>
            <w:r w:rsidRPr="002C0F92">
              <w:rPr>
                <w:sz w:val="19"/>
                <w:szCs w:val="19"/>
                <w:lang w:val="en-GB"/>
              </w:rPr>
              <w:t>40,000</w:t>
            </w:r>
          </w:p>
        </w:tc>
        <w:tc>
          <w:tcPr>
            <w:tcW w:w="449" w:type="pct"/>
            <w:shd w:val="clear" w:color="auto" w:fill="auto"/>
            <w:noWrap/>
            <w:vAlign w:val="center"/>
            <w:hideMark/>
          </w:tcPr>
          <w:p w14:paraId="330F5B31" w14:textId="77777777" w:rsidR="004B2A4B" w:rsidRPr="002C0F92"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sz w:val="19"/>
                <w:szCs w:val="19"/>
                <w:lang w:val="en-GB"/>
              </w:rPr>
            </w:pPr>
            <w:r w:rsidRPr="002C0F92">
              <w:rPr>
                <w:sz w:val="19"/>
                <w:szCs w:val="19"/>
                <w:lang w:val="en-GB"/>
              </w:rPr>
              <w:t>40.0</w:t>
            </w:r>
          </w:p>
        </w:tc>
        <w:tc>
          <w:tcPr>
            <w:tcW w:w="444" w:type="pct"/>
            <w:shd w:val="clear" w:color="auto" w:fill="auto"/>
            <w:noWrap/>
            <w:vAlign w:val="center"/>
            <w:hideMark/>
          </w:tcPr>
          <w:p w14:paraId="6F2A29EF" w14:textId="77777777" w:rsidR="004B2A4B" w:rsidRPr="002C0F92"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sz w:val="19"/>
                <w:szCs w:val="19"/>
                <w:lang w:val="en-GB"/>
              </w:rPr>
            </w:pPr>
            <w:r w:rsidRPr="002C0F92">
              <w:rPr>
                <w:sz w:val="19"/>
                <w:szCs w:val="19"/>
                <w:lang w:val="en-GB"/>
              </w:rPr>
              <w:t>1,000.00</w:t>
            </w:r>
          </w:p>
        </w:tc>
      </w:tr>
      <w:tr w:rsidR="002C0F92" w:rsidRPr="002C0F92" w14:paraId="2C15EDA1" w14:textId="77777777" w:rsidTr="002C0F9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48" w:type="pct"/>
            <w:shd w:val="clear" w:color="auto" w:fill="auto"/>
            <w:noWrap/>
            <w:hideMark/>
          </w:tcPr>
          <w:p w14:paraId="38BF0CD8" w14:textId="77777777" w:rsidR="004B2A4B" w:rsidRPr="002C0F92" w:rsidRDefault="004B2A4B" w:rsidP="001564D1">
            <w:pPr>
              <w:pStyle w:val="ExhibitText"/>
              <w:jc w:val="left"/>
              <w:rPr>
                <w:sz w:val="19"/>
                <w:szCs w:val="19"/>
                <w:lang w:val="en-GB"/>
              </w:rPr>
            </w:pPr>
            <w:proofErr w:type="spellStart"/>
            <w:r w:rsidRPr="002C0F92">
              <w:rPr>
                <w:sz w:val="19"/>
                <w:szCs w:val="19"/>
                <w:lang w:val="en-GB"/>
              </w:rPr>
              <w:t>Movencorp</w:t>
            </w:r>
            <w:proofErr w:type="spellEnd"/>
            <w:r w:rsidRPr="002C0F92">
              <w:rPr>
                <w:sz w:val="19"/>
                <w:szCs w:val="19"/>
                <w:lang w:val="en-GB"/>
              </w:rPr>
              <w:t xml:space="preserve"> Inc.</w:t>
            </w:r>
          </w:p>
        </w:tc>
        <w:tc>
          <w:tcPr>
            <w:tcW w:w="1112" w:type="pct"/>
            <w:shd w:val="clear" w:color="auto" w:fill="auto"/>
            <w:noWrap/>
            <w:hideMark/>
          </w:tcPr>
          <w:p w14:paraId="145C913D" w14:textId="77777777" w:rsidR="004B2A4B" w:rsidRPr="002C0F92" w:rsidRDefault="004B2A4B" w:rsidP="004B2A4B">
            <w:pPr>
              <w:pStyle w:val="ExhibitText"/>
              <w:numPr>
                <w:ilvl w:val="0"/>
                <w:numId w:val="30"/>
              </w:numPr>
              <w:ind w:left="203" w:hanging="270"/>
              <w:jc w:val="left"/>
              <w:cnfStyle w:val="000000100000" w:firstRow="0" w:lastRow="0" w:firstColumn="0" w:lastColumn="0" w:oddVBand="0" w:evenVBand="0" w:oddHBand="1" w:evenHBand="0" w:firstRowFirstColumn="0" w:firstRowLastColumn="0" w:lastRowFirstColumn="0" w:lastRowLastColumn="0"/>
              <w:rPr>
                <w:sz w:val="19"/>
                <w:szCs w:val="19"/>
                <w:lang w:val="en-GB"/>
              </w:rPr>
            </w:pPr>
            <w:r w:rsidRPr="002C0F92">
              <w:rPr>
                <w:sz w:val="19"/>
                <w:szCs w:val="19"/>
                <w:lang w:val="en-GB"/>
              </w:rPr>
              <w:t xml:space="preserve">Digital </w:t>
            </w:r>
            <w:proofErr w:type="spellStart"/>
            <w:r w:rsidRPr="002C0F92">
              <w:rPr>
                <w:sz w:val="19"/>
                <w:szCs w:val="19"/>
                <w:lang w:val="en-GB"/>
              </w:rPr>
              <w:t>neobank</w:t>
            </w:r>
            <w:proofErr w:type="spellEnd"/>
            <w:r w:rsidRPr="002C0F92">
              <w:rPr>
                <w:sz w:val="19"/>
                <w:szCs w:val="19"/>
                <w:lang w:val="en-GB"/>
              </w:rPr>
              <w:t xml:space="preserve"> based in United States</w:t>
            </w:r>
          </w:p>
        </w:tc>
        <w:tc>
          <w:tcPr>
            <w:tcW w:w="1557" w:type="pct"/>
            <w:shd w:val="clear" w:color="auto" w:fill="auto"/>
            <w:noWrap/>
            <w:hideMark/>
          </w:tcPr>
          <w:p w14:paraId="3E3C91AD" w14:textId="77777777" w:rsidR="004B2A4B" w:rsidRPr="002C0F92" w:rsidRDefault="004B2A4B" w:rsidP="001564D1">
            <w:pPr>
              <w:pStyle w:val="ExhibitText"/>
              <w:numPr>
                <w:ilvl w:val="0"/>
                <w:numId w:val="31"/>
              </w:numPr>
              <w:ind w:left="187" w:hanging="288"/>
              <w:jc w:val="left"/>
              <w:cnfStyle w:val="000000100000" w:firstRow="0" w:lastRow="0" w:firstColumn="0" w:lastColumn="0" w:oddVBand="0" w:evenVBand="0" w:oddHBand="1" w:evenHBand="0" w:firstRowFirstColumn="0" w:firstRowLastColumn="0" w:lastRowFirstColumn="0" w:lastRowLastColumn="0"/>
              <w:rPr>
                <w:sz w:val="19"/>
                <w:szCs w:val="19"/>
                <w:lang w:val="en-GB"/>
              </w:rPr>
            </w:pPr>
            <w:r w:rsidRPr="002C0F92">
              <w:rPr>
                <w:sz w:val="19"/>
                <w:szCs w:val="19"/>
                <w:lang w:val="en-GB"/>
              </w:rPr>
              <w:t>Raised US$12 million in late 2015</w:t>
            </w:r>
          </w:p>
        </w:tc>
        <w:tc>
          <w:tcPr>
            <w:tcW w:w="446" w:type="pct"/>
            <w:shd w:val="clear" w:color="auto" w:fill="auto"/>
            <w:noWrap/>
            <w:vAlign w:val="center"/>
            <w:hideMark/>
          </w:tcPr>
          <w:p w14:paraId="34AD5C63" w14:textId="77777777" w:rsidR="004B2A4B" w:rsidRPr="002C0F92"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sz w:val="19"/>
                <w:szCs w:val="19"/>
                <w:lang w:val="en-GB"/>
              </w:rPr>
            </w:pPr>
            <w:r w:rsidRPr="002C0F92">
              <w:rPr>
                <w:sz w:val="19"/>
                <w:szCs w:val="19"/>
                <w:lang w:val="en-GB"/>
              </w:rPr>
              <w:t>90.0</w:t>
            </w:r>
          </w:p>
        </w:tc>
        <w:tc>
          <w:tcPr>
            <w:tcW w:w="444" w:type="pct"/>
            <w:shd w:val="clear" w:color="auto" w:fill="auto"/>
            <w:noWrap/>
            <w:vAlign w:val="center"/>
            <w:hideMark/>
          </w:tcPr>
          <w:p w14:paraId="79BE00D4" w14:textId="77777777" w:rsidR="004B2A4B" w:rsidRPr="002C0F92"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sz w:val="19"/>
                <w:szCs w:val="19"/>
                <w:lang w:val="en-GB"/>
              </w:rPr>
            </w:pPr>
            <w:r w:rsidRPr="002C0F92">
              <w:rPr>
                <w:sz w:val="19"/>
                <w:szCs w:val="19"/>
                <w:lang w:val="en-GB"/>
              </w:rPr>
              <w:t>100,000</w:t>
            </w:r>
          </w:p>
        </w:tc>
        <w:tc>
          <w:tcPr>
            <w:tcW w:w="449" w:type="pct"/>
            <w:shd w:val="clear" w:color="auto" w:fill="auto"/>
            <w:noWrap/>
            <w:vAlign w:val="center"/>
            <w:hideMark/>
          </w:tcPr>
          <w:p w14:paraId="0932AE12" w14:textId="77777777" w:rsidR="004B2A4B" w:rsidRPr="002C0F92"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sz w:val="19"/>
                <w:szCs w:val="19"/>
                <w:lang w:val="en-GB"/>
              </w:rPr>
            </w:pPr>
            <w:r w:rsidRPr="002C0F92">
              <w:rPr>
                <w:sz w:val="19"/>
                <w:szCs w:val="19"/>
                <w:lang w:val="en-GB"/>
              </w:rPr>
              <w:t>90.0</w:t>
            </w:r>
          </w:p>
        </w:tc>
        <w:tc>
          <w:tcPr>
            <w:tcW w:w="444" w:type="pct"/>
            <w:shd w:val="clear" w:color="auto" w:fill="auto"/>
            <w:noWrap/>
            <w:vAlign w:val="center"/>
            <w:hideMark/>
          </w:tcPr>
          <w:p w14:paraId="784C8EF9" w14:textId="77777777" w:rsidR="004B2A4B" w:rsidRPr="002C0F92"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sz w:val="19"/>
                <w:szCs w:val="19"/>
                <w:lang w:val="en-GB"/>
              </w:rPr>
            </w:pPr>
            <w:r w:rsidRPr="002C0F92">
              <w:rPr>
                <w:sz w:val="19"/>
                <w:szCs w:val="19"/>
                <w:lang w:val="en-GB"/>
              </w:rPr>
              <w:t>900.00</w:t>
            </w:r>
          </w:p>
        </w:tc>
      </w:tr>
      <w:tr w:rsidR="002C0F92" w:rsidRPr="002C0F92" w14:paraId="23EFE7FC" w14:textId="77777777" w:rsidTr="002C0F92">
        <w:trPr>
          <w:trHeight w:val="300"/>
          <w:jc w:val="center"/>
        </w:trPr>
        <w:tc>
          <w:tcPr>
            <w:cnfStyle w:val="001000000000" w:firstRow="0" w:lastRow="0" w:firstColumn="1" w:lastColumn="0" w:oddVBand="0" w:evenVBand="0" w:oddHBand="0" w:evenHBand="0" w:firstRowFirstColumn="0" w:firstRowLastColumn="0" w:lastRowFirstColumn="0" w:lastRowLastColumn="0"/>
            <w:tcW w:w="548" w:type="pct"/>
            <w:shd w:val="clear" w:color="auto" w:fill="auto"/>
            <w:noWrap/>
            <w:hideMark/>
          </w:tcPr>
          <w:p w14:paraId="604A070A" w14:textId="77777777" w:rsidR="004B2A4B" w:rsidRPr="002C0F92" w:rsidRDefault="004B2A4B" w:rsidP="001564D1">
            <w:pPr>
              <w:pStyle w:val="ExhibitText"/>
              <w:jc w:val="left"/>
              <w:rPr>
                <w:sz w:val="19"/>
                <w:szCs w:val="19"/>
                <w:lang w:val="en-GB"/>
              </w:rPr>
            </w:pPr>
            <w:proofErr w:type="spellStart"/>
            <w:r w:rsidRPr="002C0F92">
              <w:rPr>
                <w:sz w:val="19"/>
                <w:szCs w:val="19"/>
                <w:lang w:val="en-GB"/>
              </w:rPr>
              <w:t>Netspend</w:t>
            </w:r>
            <w:proofErr w:type="spellEnd"/>
          </w:p>
        </w:tc>
        <w:tc>
          <w:tcPr>
            <w:tcW w:w="1112" w:type="pct"/>
            <w:shd w:val="clear" w:color="auto" w:fill="auto"/>
            <w:noWrap/>
            <w:hideMark/>
          </w:tcPr>
          <w:p w14:paraId="12FCE466" w14:textId="77777777" w:rsidR="004B2A4B" w:rsidRPr="002C0F92" w:rsidRDefault="004B2A4B" w:rsidP="004B2A4B">
            <w:pPr>
              <w:pStyle w:val="ExhibitText"/>
              <w:numPr>
                <w:ilvl w:val="0"/>
                <w:numId w:val="30"/>
              </w:numPr>
              <w:ind w:left="203" w:hanging="270"/>
              <w:jc w:val="left"/>
              <w:cnfStyle w:val="000000000000" w:firstRow="0" w:lastRow="0" w:firstColumn="0" w:lastColumn="0" w:oddVBand="0" w:evenVBand="0" w:oddHBand="0" w:evenHBand="0" w:firstRowFirstColumn="0" w:firstRowLastColumn="0" w:lastRowFirstColumn="0" w:lastRowLastColumn="0"/>
              <w:rPr>
                <w:sz w:val="19"/>
                <w:szCs w:val="19"/>
                <w:lang w:val="en-GB"/>
              </w:rPr>
            </w:pPr>
            <w:r w:rsidRPr="002C0F92">
              <w:rPr>
                <w:sz w:val="19"/>
                <w:szCs w:val="19"/>
                <w:lang w:val="en-GB"/>
              </w:rPr>
              <w:t>Pre-paid debit cards based in United States</w:t>
            </w:r>
          </w:p>
        </w:tc>
        <w:tc>
          <w:tcPr>
            <w:tcW w:w="1557" w:type="pct"/>
            <w:shd w:val="clear" w:color="auto" w:fill="auto"/>
            <w:noWrap/>
            <w:hideMark/>
          </w:tcPr>
          <w:p w14:paraId="0AD2E7C3" w14:textId="77777777" w:rsidR="004B2A4B" w:rsidRPr="002C0F92" w:rsidRDefault="004B2A4B" w:rsidP="001564D1">
            <w:pPr>
              <w:pStyle w:val="ExhibitText"/>
              <w:numPr>
                <w:ilvl w:val="0"/>
                <w:numId w:val="31"/>
              </w:numPr>
              <w:ind w:left="187" w:hanging="288"/>
              <w:jc w:val="left"/>
              <w:cnfStyle w:val="000000000000" w:firstRow="0" w:lastRow="0" w:firstColumn="0" w:lastColumn="0" w:oddVBand="0" w:evenVBand="0" w:oddHBand="0" w:evenHBand="0" w:firstRowFirstColumn="0" w:firstRowLastColumn="0" w:lastRowFirstColumn="0" w:lastRowLastColumn="0"/>
              <w:rPr>
                <w:sz w:val="19"/>
                <w:szCs w:val="19"/>
                <w:lang w:val="en-GB"/>
              </w:rPr>
            </w:pPr>
            <w:r w:rsidRPr="002C0F92">
              <w:rPr>
                <w:sz w:val="19"/>
                <w:szCs w:val="19"/>
                <w:lang w:val="en-GB"/>
              </w:rPr>
              <w:t>Acquired by Total System Services Inc. for US$1.4 billion</w:t>
            </w:r>
          </w:p>
        </w:tc>
        <w:tc>
          <w:tcPr>
            <w:tcW w:w="446" w:type="pct"/>
            <w:shd w:val="clear" w:color="auto" w:fill="auto"/>
            <w:noWrap/>
            <w:vAlign w:val="center"/>
            <w:hideMark/>
          </w:tcPr>
          <w:p w14:paraId="5811DAFC" w14:textId="77777777" w:rsidR="004B2A4B" w:rsidRPr="002C0F92"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sz w:val="19"/>
                <w:szCs w:val="19"/>
                <w:lang w:val="en-GB"/>
              </w:rPr>
            </w:pPr>
            <w:r w:rsidRPr="002C0F92">
              <w:rPr>
                <w:sz w:val="19"/>
                <w:szCs w:val="19"/>
                <w:lang w:val="en-GB"/>
              </w:rPr>
              <w:t>1,458.3</w:t>
            </w:r>
          </w:p>
        </w:tc>
        <w:tc>
          <w:tcPr>
            <w:tcW w:w="444" w:type="pct"/>
            <w:shd w:val="clear" w:color="auto" w:fill="auto"/>
            <w:noWrap/>
            <w:vAlign w:val="center"/>
            <w:hideMark/>
          </w:tcPr>
          <w:p w14:paraId="400AE9C3" w14:textId="77777777" w:rsidR="004B2A4B" w:rsidRPr="002C0F92"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sz w:val="19"/>
                <w:szCs w:val="19"/>
                <w:lang w:val="en-GB"/>
              </w:rPr>
            </w:pPr>
            <w:r w:rsidRPr="002C0F92">
              <w:rPr>
                <w:sz w:val="19"/>
                <w:szCs w:val="19"/>
                <w:lang w:val="en-GB"/>
              </w:rPr>
              <w:t>2,400,000</w:t>
            </w:r>
          </w:p>
        </w:tc>
        <w:tc>
          <w:tcPr>
            <w:tcW w:w="449" w:type="pct"/>
            <w:shd w:val="clear" w:color="auto" w:fill="auto"/>
            <w:noWrap/>
            <w:vAlign w:val="center"/>
            <w:hideMark/>
          </w:tcPr>
          <w:p w14:paraId="7DB6AD1C" w14:textId="77777777" w:rsidR="004B2A4B" w:rsidRPr="002C0F92"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sz w:val="19"/>
                <w:szCs w:val="19"/>
                <w:lang w:val="en-GB"/>
              </w:rPr>
            </w:pPr>
            <w:r w:rsidRPr="002C0F92">
              <w:rPr>
                <w:sz w:val="19"/>
                <w:szCs w:val="19"/>
                <w:lang w:val="en-GB"/>
              </w:rPr>
              <w:t>1,458.3</w:t>
            </w:r>
          </w:p>
        </w:tc>
        <w:tc>
          <w:tcPr>
            <w:tcW w:w="444" w:type="pct"/>
            <w:shd w:val="clear" w:color="auto" w:fill="auto"/>
            <w:noWrap/>
            <w:vAlign w:val="center"/>
            <w:hideMark/>
          </w:tcPr>
          <w:p w14:paraId="641C121E" w14:textId="77777777" w:rsidR="004B2A4B" w:rsidRPr="002C0F92"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sz w:val="19"/>
                <w:szCs w:val="19"/>
                <w:lang w:val="en-GB"/>
              </w:rPr>
            </w:pPr>
            <w:r w:rsidRPr="002C0F92">
              <w:rPr>
                <w:sz w:val="19"/>
                <w:szCs w:val="19"/>
                <w:lang w:val="en-GB"/>
              </w:rPr>
              <w:t>607.60</w:t>
            </w:r>
          </w:p>
        </w:tc>
      </w:tr>
      <w:tr w:rsidR="002C0F92" w:rsidRPr="002C0F92" w14:paraId="4F53AB23" w14:textId="77777777" w:rsidTr="002C0F9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48" w:type="pct"/>
            <w:shd w:val="clear" w:color="auto" w:fill="auto"/>
            <w:noWrap/>
            <w:hideMark/>
          </w:tcPr>
          <w:p w14:paraId="45A37547" w14:textId="77777777" w:rsidR="004B2A4B" w:rsidRPr="002C0F92" w:rsidRDefault="004B2A4B" w:rsidP="001564D1">
            <w:pPr>
              <w:pStyle w:val="ExhibitText"/>
              <w:jc w:val="left"/>
              <w:rPr>
                <w:sz w:val="19"/>
                <w:szCs w:val="19"/>
                <w:lang w:val="en-GB"/>
              </w:rPr>
            </w:pPr>
            <w:proofErr w:type="spellStart"/>
            <w:r w:rsidRPr="002C0F92">
              <w:rPr>
                <w:sz w:val="19"/>
                <w:szCs w:val="19"/>
                <w:lang w:val="en-GB"/>
              </w:rPr>
              <w:t>Pockit</w:t>
            </w:r>
            <w:proofErr w:type="spellEnd"/>
          </w:p>
        </w:tc>
        <w:tc>
          <w:tcPr>
            <w:tcW w:w="1112" w:type="pct"/>
            <w:shd w:val="clear" w:color="auto" w:fill="auto"/>
            <w:noWrap/>
            <w:hideMark/>
          </w:tcPr>
          <w:p w14:paraId="2AD7109E" w14:textId="77777777" w:rsidR="004B2A4B" w:rsidRPr="002C0F92" w:rsidRDefault="004B2A4B" w:rsidP="004B2A4B">
            <w:pPr>
              <w:pStyle w:val="ExhibitText"/>
              <w:numPr>
                <w:ilvl w:val="0"/>
                <w:numId w:val="30"/>
              </w:numPr>
              <w:ind w:left="203" w:hanging="270"/>
              <w:jc w:val="left"/>
              <w:cnfStyle w:val="000000100000" w:firstRow="0" w:lastRow="0" w:firstColumn="0" w:lastColumn="0" w:oddVBand="0" w:evenVBand="0" w:oddHBand="1" w:evenHBand="0" w:firstRowFirstColumn="0" w:firstRowLastColumn="0" w:lastRowFirstColumn="0" w:lastRowLastColumn="0"/>
              <w:rPr>
                <w:sz w:val="19"/>
                <w:szCs w:val="19"/>
                <w:lang w:val="en-GB"/>
              </w:rPr>
            </w:pPr>
            <w:r w:rsidRPr="002C0F92">
              <w:rPr>
                <w:sz w:val="19"/>
                <w:szCs w:val="19"/>
                <w:lang w:val="en-GB"/>
              </w:rPr>
              <w:t xml:space="preserve">U.K-based </w:t>
            </w:r>
            <w:proofErr w:type="spellStart"/>
            <w:r w:rsidRPr="002C0F92">
              <w:rPr>
                <w:sz w:val="19"/>
                <w:szCs w:val="19"/>
                <w:lang w:val="en-GB"/>
              </w:rPr>
              <w:t>neobank</w:t>
            </w:r>
            <w:proofErr w:type="spellEnd"/>
            <w:r w:rsidRPr="002C0F92">
              <w:rPr>
                <w:sz w:val="19"/>
                <w:szCs w:val="19"/>
                <w:lang w:val="en-GB"/>
              </w:rPr>
              <w:t xml:space="preserve"> targeting underbanked populations</w:t>
            </w:r>
          </w:p>
        </w:tc>
        <w:tc>
          <w:tcPr>
            <w:tcW w:w="1557" w:type="pct"/>
            <w:shd w:val="clear" w:color="auto" w:fill="auto"/>
            <w:noWrap/>
            <w:hideMark/>
          </w:tcPr>
          <w:p w14:paraId="17A53F7D" w14:textId="77777777" w:rsidR="004B2A4B" w:rsidRPr="002C0F92" w:rsidRDefault="004B2A4B" w:rsidP="001564D1">
            <w:pPr>
              <w:pStyle w:val="ExhibitText"/>
              <w:numPr>
                <w:ilvl w:val="0"/>
                <w:numId w:val="31"/>
              </w:numPr>
              <w:ind w:left="187" w:hanging="288"/>
              <w:jc w:val="left"/>
              <w:cnfStyle w:val="000000100000" w:firstRow="0" w:lastRow="0" w:firstColumn="0" w:lastColumn="0" w:oddVBand="0" w:evenVBand="0" w:oddHBand="1" w:evenHBand="0" w:firstRowFirstColumn="0" w:firstRowLastColumn="0" w:lastRowFirstColumn="0" w:lastRowLastColumn="0"/>
              <w:rPr>
                <w:sz w:val="19"/>
                <w:szCs w:val="19"/>
                <w:lang w:val="en-GB"/>
              </w:rPr>
            </w:pPr>
            <w:r w:rsidRPr="002C0F92">
              <w:rPr>
                <w:sz w:val="19"/>
                <w:szCs w:val="19"/>
                <w:lang w:val="en-GB"/>
              </w:rPr>
              <w:t>Raised £5 million at £25 million valuation in early 2015</w:t>
            </w:r>
          </w:p>
        </w:tc>
        <w:tc>
          <w:tcPr>
            <w:tcW w:w="446" w:type="pct"/>
            <w:shd w:val="clear" w:color="auto" w:fill="auto"/>
            <w:noWrap/>
            <w:vAlign w:val="center"/>
            <w:hideMark/>
          </w:tcPr>
          <w:p w14:paraId="398159D4" w14:textId="77777777" w:rsidR="004B2A4B" w:rsidRPr="002C0F92"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sz w:val="19"/>
                <w:szCs w:val="19"/>
                <w:lang w:val="en-GB"/>
              </w:rPr>
            </w:pPr>
            <w:r w:rsidRPr="002C0F92">
              <w:rPr>
                <w:sz w:val="19"/>
                <w:szCs w:val="19"/>
                <w:lang w:val="en-GB"/>
              </w:rPr>
              <w:t>46.8</w:t>
            </w:r>
          </w:p>
        </w:tc>
        <w:tc>
          <w:tcPr>
            <w:tcW w:w="444" w:type="pct"/>
            <w:shd w:val="clear" w:color="auto" w:fill="auto"/>
            <w:noWrap/>
            <w:vAlign w:val="center"/>
            <w:hideMark/>
          </w:tcPr>
          <w:p w14:paraId="325FF56E" w14:textId="77777777" w:rsidR="004B2A4B" w:rsidRPr="002C0F92"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sz w:val="19"/>
                <w:szCs w:val="19"/>
                <w:lang w:val="en-GB"/>
              </w:rPr>
            </w:pPr>
            <w:r w:rsidRPr="002C0F92">
              <w:rPr>
                <w:sz w:val="19"/>
                <w:szCs w:val="19"/>
                <w:lang w:val="en-GB"/>
              </w:rPr>
              <w:t>26,000</w:t>
            </w:r>
          </w:p>
        </w:tc>
        <w:tc>
          <w:tcPr>
            <w:tcW w:w="449" w:type="pct"/>
            <w:shd w:val="clear" w:color="auto" w:fill="auto"/>
            <w:noWrap/>
            <w:vAlign w:val="center"/>
            <w:hideMark/>
          </w:tcPr>
          <w:p w14:paraId="26574784" w14:textId="77777777" w:rsidR="004B2A4B" w:rsidRPr="002C0F92"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sz w:val="19"/>
                <w:szCs w:val="19"/>
                <w:lang w:val="en-GB"/>
              </w:rPr>
            </w:pPr>
            <w:r w:rsidRPr="002C0F92">
              <w:rPr>
                <w:sz w:val="19"/>
                <w:szCs w:val="19"/>
                <w:lang w:val="en-GB"/>
              </w:rPr>
              <w:t>46.8</w:t>
            </w:r>
          </w:p>
        </w:tc>
        <w:tc>
          <w:tcPr>
            <w:tcW w:w="444" w:type="pct"/>
            <w:shd w:val="clear" w:color="auto" w:fill="auto"/>
            <w:noWrap/>
            <w:vAlign w:val="center"/>
            <w:hideMark/>
          </w:tcPr>
          <w:p w14:paraId="7D5F6286" w14:textId="77777777" w:rsidR="004B2A4B" w:rsidRPr="002C0F92"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sz w:val="19"/>
                <w:szCs w:val="19"/>
                <w:lang w:val="en-GB"/>
              </w:rPr>
            </w:pPr>
            <w:r w:rsidRPr="002C0F92">
              <w:rPr>
                <w:sz w:val="19"/>
                <w:szCs w:val="19"/>
                <w:lang w:val="en-GB"/>
              </w:rPr>
              <w:t>1,798.10</w:t>
            </w:r>
          </w:p>
        </w:tc>
      </w:tr>
      <w:tr w:rsidR="002C0F92" w:rsidRPr="002C0F92" w14:paraId="20B73B97" w14:textId="77777777" w:rsidTr="002C0F92">
        <w:trPr>
          <w:trHeight w:val="300"/>
          <w:jc w:val="center"/>
        </w:trPr>
        <w:tc>
          <w:tcPr>
            <w:cnfStyle w:val="001000000000" w:firstRow="0" w:lastRow="0" w:firstColumn="1" w:lastColumn="0" w:oddVBand="0" w:evenVBand="0" w:oddHBand="0" w:evenHBand="0" w:firstRowFirstColumn="0" w:firstRowLastColumn="0" w:lastRowFirstColumn="0" w:lastRowLastColumn="0"/>
            <w:tcW w:w="548" w:type="pct"/>
            <w:shd w:val="clear" w:color="auto" w:fill="auto"/>
            <w:noWrap/>
            <w:hideMark/>
          </w:tcPr>
          <w:p w14:paraId="57D92C50" w14:textId="77777777" w:rsidR="004B2A4B" w:rsidRPr="002C0F92" w:rsidRDefault="004B2A4B" w:rsidP="001564D1">
            <w:pPr>
              <w:pStyle w:val="ExhibitText"/>
              <w:jc w:val="left"/>
              <w:rPr>
                <w:sz w:val="19"/>
                <w:szCs w:val="19"/>
                <w:lang w:val="en-GB"/>
              </w:rPr>
            </w:pPr>
            <w:proofErr w:type="spellStart"/>
            <w:r w:rsidRPr="002C0F92">
              <w:rPr>
                <w:sz w:val="19"/>
                <w:szCs w:val="19"/>
                <w:lang w:val="en-GB"/>
              </w:rPr>
              <w:t>Monzo</w:t>
            </w:r>
            <w:proofErr w:type="spellEnd"/>
            <w:r w:rsidRPr="002C0F92">
              <w:rPr>
                <w:sz w:val="19"/>
                <w:szCs w:val="19"/>
                <w:lang w:val="en-GB"/>
              </w:rPr>
              <w:t xml:space="preserve"> Bank Ltd.</w:t>
            </w:r>
          </w:p>
        </w:tc>
        <w:tc>
          <w:tcPr>
            <w:tcW w:w="1112" w:type="pct"/>
            <w:shd w:val="clear" w:color="auto" w:fill="auto"/>
            <w:noWrap/>
            <w:hideMark/>
          </w:tcPr>
          <w:p w14:paraId="4185E7A8" w14:textId="77777777" w:rsidR="004B2A4B" w:rsidRPr="002C0F92" w:rsidRDefault="004B2A4B" w:rsidP="004B2A4B">
            <w:pPr>
              <w:pStyle w:val="ExhibitText"/>
              <w:numPr>
                <w:ilvl w:val="0"/>
                <w:numId w:val="30"/>
              </w:numPr>
              <w:ind w:left="203" w:hanging="270"/>
              <w:jc w:val="left"/>
              <w:cnfStyle w:val="000000000000" w:firstRow="0" w:lastRow="0" w:firstColumn="0" w:lastColumn="0" w:oddVBand="0" w:evenVBand="0" w:oddHBand="0" w:evenHBand="0" w:firstRowFirstColumn="0" w:firstRowLastColumn="0" w:lastRowFirstColumn="0" w:lastRowLastColumn="0"/>
              <w:rPr>
                <w:sz w:val="19"/>
                <w:szCs w:val="19"/>
                <w:lang w:val="en-GB"/>
              </w:rPr>
            </w:pPr>
            <w:r w:rsidRPr="002C0F92">
              <w:rPr>
                <w:sz w:val="19"/>
                <w:szCs w:val="19"/>
                <w:lang w:val="en-GB"/>
              </w:rPr>
              <w:t xml:space="preserve">U.K.-based </w:t>
            </w:r>
            <w:proofErr w:type="spellStart"/>
            <w:r w:rsidRPr="002C0F92">
              <w:rPr>
                <w:sz w:val="19"/>
                <w:szCs w:val="19"/>
                <w:lang w:val="en-GB"/>
              </w:rPr>
              <w:t>neobank</w:t>
            </w:r>
            <w:proofErr w:type="spellEnd"/>
          </w:p>
        </w:tc>
        <w:tc>
          <w:tcPr>
            <w:tcW w:w="1557" w:type="pct"/>
            <w:shd w:val="clear" w:color="auto" w:fill="auto"/>
            <w:noWrap/>
            <w:hideMark/>
          </w:tcPr>
          <w:p w14:paraId="4914F5C4" w14:textId="77777777" w:rsidR="004B2A4B" w:rsidRPr="002C0F92" w:rsidRDefault="004B2A4B" w:rsidP="001564D1">
            <w:pPr>
              <w:pStyle w:val="ExhibitText"/>
              <w:numPr>
                <w:ilvl w:val="0"/>
                <w:numId w:val="31"/>
              </w:numPr>
              <w:ind w:left="187" w:hanging="288"/>
              <w:jc w:val="left"/>
              <w:cnfStyle w:val="000000000000" w:firstRow="0" w:lastRow="0" w:firstColumn="0" w:lastColumn="0" w:oddVBand="0" w:evenVBand="0" w:oddHBand="0" w:evenHBand="0" w:firstRowFirstColumn="0" w:firstRowLastColumn="0" w:lastRowFirstColumn="0" w:lastRowLastColumn="0"/>
              <w:rPr>
                <w:sz w:val="19"/>
                <w:szCs w:val="19"/>
                <w:lang w:val="en-GB"/>
              </w:rPr>
            </w:pPr>
            <w:r w:rsidRPr="002C0F92">
              <w:rPr>
                <w:sz w:val="19"/>
                <w:szCs w:val="19"/>
                <w:lang w:val="en-GB"/>
              </w:rPr>
              <w:t>Raised £6 million at £24 million valuation in early 2016</w:t>
            </w:r>
          </w:p>
        </w:tc>
        <w:tc>
          <w:tcPr>
            <w:tcW w:w="446" w:type="pct"/>
            <w:shd w:val="clear" w:color="auto" w:fill="auto"/>
            <w:noWrap/>
            <w:vAlign w:val="center"/>
            <w:hideMark/>
          </w:tcPr>
          <w:p w14:paraId="442542F5" w14:textId="77777777" w:rsidR="004B2A4B" w:rsidRPr="002C0F92"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sz w:val="19"/>
                <w:szCs w:val="19"/>
                <w:lang w:val="en-GB"/>
              </w:rPr>
            </w:pPr>
            <w:r w:rsidRPr="002C0F92">
              <w:rPr>
                <w:sz w:val="19"/>
                <w:szCs w:val="19"/>
                <w:lang w:val="en-GB"/>
              </w:rPr>
              <w:t>44.9</w:t>
            </w:r>
          </w:p>
        </w:tc>
        <w:tc>
          <w:tcPr>
            <w:tcW w:w="444" w:type="pct"/>
            <w:shd w:val="clear" w:color="auto" w:fill="auto"/>
            <w:noWrap/>
            <w:vAlign w:val="center"/>
            <w:hideMark/>
          </w:tcPr>
          <w:p w14:paraId="64869A47" w14:textId="77777777" w:rsidR="004B2A4B" w:rsidRPr="002C0F92"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sz w:val="19"/>
                <w:szCs w:val="19"/>
                <w:lang w:val="en-GB"/>
              </w:rPr>
            </w:pPr>
            <w:r w:rsidRPr="002C0F92">
              <w:rPr>
                <w:sz w:val="19"/>
                <w:szCs w:val="19"/>
                <w:lang w:val="en-GB"/>
              </w:rPr>
              <w:t>51,500</w:t>
            </w:r>
          </w:p>
        </w:tc>
        <w:tc>
          <w:tcPr>
            <w:tcW w:w="449" w:type="pct"/>
            <w:shd w:val="clear" w:color="auto" w:fill="auto"/>
            <w:noWrap/>
            <w:vAlign w:val="center"/>
            <w:hideMark/>
          </w:tcPr>
          <w:p w14:paraId="1AD97781" w14:textId="77777777" w:rsidR="004B2A4B" w:rsidRPr="002C0F92"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sz w:val="19"/>
                <w:szCs w:val="19"/>
                <w:lang w:val="en-GB"/>
              </w:rPr>
            </w:pPr>
            <w:r w:rsidRPr="002C0F92">
              <w:rPr>
                <w:sz w:val="19"/>
                <w:szCs w:val="19"/>
                <w:lang w:val="en-GB"/>
              </w:rPr>
              <w:t>44.9</w:t>
            </w:r>
          </w:p>
        </w:tc>
        <w:tc>
          <w:tcPr>
            <w:tcW w:w="444" w:type="pct"/>
            <w:shd w:val="clear" w:color="auto" w:fill="auto"/>
            <w:noWrap/>
            <w:vAlign w:val="center"/>
            <w:hideMark/>
          </w:tcPr>
          <w:p w14:paraId="23CA3DF2" w14:textId="77777777" w:rsidR="004B2A4B" w:rsidRPr="002C0F92"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sz w:val="19"/>
                <w:szCs w:val="19"/>
                <w:lang w:val="en-GB"/>
              </w:rPr>
            </w:pPr>
            <w:r w:rsidRPr="002C0F92">
              <w:rPr>
                <w:sz w:val="19"/>
                <w:szCs w:val="19"/>
                <w:lang w:val="en-GB"/>
              </w:rPr>
              <w:t>871.50</w:t>
            </w:r>
          </w:p>
        </w:tc>
      </w:tr>
      <w:tr w:rsidR="002C0F92" w:rsidRPr="002C0F92" w14:paraId="6F085BED" w14:textId="77777777" w:rsidTr="002C0F9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48" w:type="pct"/>
            <w:shd w:val="clear" w:color="auto" w:fill="auto"/>
            <w:noWrap/>
            <w:hideMark/>
          </w:tcPr>
          <w:p w14:paraId="3075DF0E" w14:textId="77777777" w:rsidR="004B2A4B" w:rsidRPr="002C0F92" w:rsidRDefault="004B2A4B" w:rsidP="001564D1">
            <w:pPr>
              <w:pStyle w:val="ExhibitText"/>
              <w:jc w:val="left"/>
              <w:rPr>
                <w:sz w:val="19"/>
                <w:szCs w:val="19"/>
                <w:lang w:val="en-GB"/>
              </w:rPr>
            </w:pPr>
            <w:r w:rsidRPr="002C0F92">
              <w:rPr>
                <w:sz w:val="19"/>
                <w:szCs w:val="19"/>
                <w:lang w:val="en-GB"/>
              </w:rPr>
              <w:t>N26</w:t>
            </w:r>
          </w:p>
        </w:tc>
        <w:tc>
          <w:tcPr>
            <w:tcW w:w="1112" w:type="pct"/>
            <w:shd w:val="clear" w:color="auto" w:fill="auto"/>
            <w:noWrap/>
            <w:hideMark/>
          </w:tcPr>
          <w:p w14:paraId="34FAF5B4" w14:textId="77777777" w:rsidR="004B2A4B" w:rsidRPr="002C0F92" w:rsidRDefault="004B2A4B" w:rsidP="004B2A4B">
            <w:pPr>
              <w:pStyle w:val="ExhibitText"/>
              <w:numPr>
                <w:ilvl w:val="0"/>
                <w:numId w:val="30"/>
              </w:numPr>
              <w:ind w:left="203" w:hanging="270"/>
              <w:jc w:val="left"/>
              <w:cnfStyle w:val="000000100000" w:firstRow="0" w:lastRow="0" w:firstColumn="0" w:lastColumn="0" w:oddVBand="0" w:evenVBand="0" w:oddHBand="1" w:evenHBand="0" w:firstRowFirstColumn="0" w:firstRowLastColumn="0" w:lastRowFirstColumn="0" w:lastRowLastColumn="0"/>
              <w:rPr>
                <w:sz w:val="19"/>
                <w:szCs w:val="19"/>
                <w:lang w:val="en-GB"/>
              </w:rPr>
            </w:pPr>
            <w:r w:rsidRPr="002C0F92">
              <w:rPr>
                <w:sz w:val="19"/>
                <w:szCs w:val="19"/>
                <w:lang w:val="en-GB"/>
              </w:rPr>
              <w:t xml:space="preserve">Germany-based </w:t>
            </w:r>
            <w:proofErr w:type="spellStart"/>
            <w:r w:rsidRPr="002C0F92">
              <w:rPr>
                <w:sz w:val="19"/>
                <w:szCs w:val="19"/>
                <w:lang w:val="en-GB"/>
              </w:rPr>
              <w:t>neobank</w:t>
            </w:r>
            <w:proofErr w:type="spellEnd"/>
          </w:p>
        </w:tc>
        <w:tc>
          <w:tcPr>
            <w:tcW w:w="1557" w:type="pct"/>
            <w:shd w:val="clear" w:color="auto" w:fill="auto"/>
            <w:noWrap/>
            <w:hideMark/>
          </w:tcPr>
          <w:p w14:paraId="1AB0B729" w14:textId="77777777" w:rsidR="004B2A4B" w:rsidRPr="002C0F92" w:rsidRDefault="004B2A4B" w:rsidP="001564D1">
            <w:pPr>
              <w:pStyle w:val="ExhibitText"/>
              <w:numPr>
                <w:ilvl w:val="0"/>
                <w:numId w:val="31"/>
              </w:numPr>
              <w:ind w:left="187" w:hanging="288"/>
              <w:jc w:val="left"/>
              <w:cnfStyle w:val="000000100000" w:firstRow="0" w:lastRow="0" w:firstColumn="0" w:lastColumn="0" w:oddVBand="0" w:evenVBand="0" w:oddHBand="1" w:evenHBand="0" w:firstRowFirstColumn="0" w:firstRowLastColumn="0" w:lastRowFirstColumn="0" w:lastRowLastColumn="0"/>
              <w:rPr>
                <w:sz w:val="19"/>
                <w:szCs w:val="19"/>
                <w:lang w:val="en-GB"/>
              </w:rPr>
            </w:pPr>
            <w:r w:rsidRPr="002C0F92">
              <w:rPr>
                <w:sz w:val="19"/>
                <w:szCs w:val="19"/>
                <w:lang w:val="en-GB"/>
              </w:rPr>
              <w:t>Raised US$40 million in June 2016; valuation over US$100 million</w:t>
            </w:r>
          </w:p>
        </w:tc>
        <w:tc>
          <w:tcPr>
            <w:tcW w:w="446" w:type="pct"/>
            <w:shd w:val="clear" w:color="auto" w:fill="auto"/>
            <w:noWrap/>
            <w:vAlign w:val="center"/>
            <w:hideMark/>
          </w:tcPr>
          <w:p w14:paraId="086F5F4A" w14:textId="77777777" w:rsidR="004B2A4B" w:rsidRPr="002C0F92"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sz w:val="19"/>
                <w:szCs w:val="19"/>
                <w:lang w:val="en-GB"/>
              </w:rPr>
            </w:pPr>
            <w:r w:rsidRPr="002C0F92">
              <w:rPr>
                <w:sz w:val="19"/>
                <w:szCs w:val="19"/>
                <w:lang w:val="en-GB"/>
              </w:rPr>
              <w:t>133.3</w:t>
            </w:r>
          </w:p>
        </w:tc>
        <w:tc>
          <w:tcPr>
            <w:tcW w:w="444" w:type="pct"/>
            <w:shd w:val="clear" w:color="auto" w:fill="auto"/>
            <w:noWrap/>
            <w:vAlign w:val="center"/>
            <w:hideMark/>
          </w:tcPr>
          <w:p w14:paraId="33A7409F" w14:textId="77777777" w:rsidR="004B2A4B" w:rsidRPr="002C0F92"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sz w:val="19"/>
                <w:szCs w:val="19"/>
                <w:lang w:val="en-GB"/>
              </w:rPr>
            </w:pPr>
            <w:r w:rsidRPr="002C0F92">
              <w:rPr>
                <w:sz w:val="19"/>
                <w:szCs w:val="19"/>
                <w:lang w:val="en-GB"/>
              </w:rPr>
              <w:t>200,000</w:t>
            </w:r>
          </w:p>
        </w:tc>
        <w:tc>
          <w:tcPr>
            <w:tcW w:w="449" w:type="pct"/>
            <w:shd w:val="clear" w:color="auto" w:fill="auto"/>
            <w:noWrap/>
            <w:vAlign w:val="center"/>
            <w:hideMark/>
          </w:tcPr>
          <w:p w14:paraId="3266EA15" w14:textId="77777777" w:rsidR="004B2A4B" w:rsidRPr="002C0F92"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sz w:val="19"/>
                <w:szCs w:val="19"/>
                <w:lang w:val="en-GB"/>
              </w:rPr>
            </w:pPr>
            <w:r w:rsidRPr="002C0F92">
              <w:rPr>
                <w:sz w:val="19"/>
                <w:szCs w:val="19"/>
                <w:lang w:val="en-GB"/>
              </w:rPr>
              <w:t>133.3</w:t>
            </w:r>
          </w:p>
        </w:tc>
        <w:tc>
          <w:tcPr>
            <w:tcW w:w="444" w:type="pct"/>
            <w:shd w:val="clear" w:color="auto" w:fill="auto"/>
            <w:noWrap/>
            <w:vAlign w:val="center"/>
            <w:hideMark/>
          </w:tcPr>
          <w:p w14:paraId="312EE4B2" w14:textId="77777777" w:rsidR="004B2A4B" w:rsidRPr="002C0F92"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sz w:val="19"/>
                <w:szCs w:val="19"/>
                <w:lang w:val="en-GB"/>
              </w:rPr>
            </w:pPr>
            <w:r w:rsidRPr="002C0F92">
              <w:rPr>
                <w:sz w:val="19"/>
                <w:szCs w:val="19"/>
                <w:lang w:val="en-GB"/>
              </w:rPr>
              <w:t>666.70</w:t>
            </w:r>
          </w:p>
        </w:tc>
      </w:tr>
      <w:tr w:rsidR="002C0F92" w:rsidRPr="002C0F92" w14:paraId="31C7A612" w14:textId="77777777" w:rsidTr="002C0F92">
        <w:trPr>
          <w:trHeight w:val="300"/>
          <w:jc w:val="center"/>
        </w:trPr>
        <w:tc>
          <w:tcPr>
            <w:cnfStyle w:val="001000000000" w:firstRow="0" w:lastRow="0" w:firstColumn="1" w:lastColumn="0" w:oddVBand="0" w:evenVBand="0" w:oddHBand="0" w:evenHBand="0" w:firstRowFirstColumn="0" w:firstRowLastColumn="0" w:lastRowFirstColumn="0" w:lastRowLastColumn="0"/>
            <w:tcW w:w="548" w:type="pct"/>
            <w:shd w:val="clear" w:color="auto" w:fill="auto"/>
            <w:noWrap/>
            <w:hideMark/>
          </w:tcPr>
          <w:p w14:paraId="2EBB7614" w14:textId="77777777" w:rsidR="004B2A4B" w:rsidRPr="002C0F92" w:rsidRDefault="004B2A4B" w:rsidP="001564D1">
            <w:pPr>
              <w:pStyle w:val="ExhibitText"/>
              <w:jc w:val="left"/>
              <w:rPr>
                <w:sz w:val="19"/>
                <w:szCs w:val="19"/>
                <w:lang w:val="en-GB"/>
              </w:rPr>
            </w:pPr>
            <w:r w:rsidRPr="002C0F92">
              <w:rPr>
                <w:sz w:val="19"/>
                <w:szCs w:val="19"/>
                <w:lang w:val="en-GB"/>
              </w:rPr>
              <w:t>Atom Bank PLC</w:t>
            </w:r>
          </w:p>
        </w:tc>
        <w:tc>
          <w:tcPr>
            <w:tcW w:w="1112" w:type="pct"/>
            <w:shd w:val="clear" w:color="auto" w:fill="auto"/>
            <w:noWrap/>
            <w:hideMark/>
          </w:tcPr>
          <w:p w14:paraId="68ADB528" w14:textId="77777777" w:rsidR="004B2A4B" w:rsidRPr="002C0F92" w:rsidRDefault="004B2A4B" w:rsidP="004B2A4B">
            <w:pPr>
              <w:pStyle w:val="ExhibitText"/>
              <w:numPr>
                <w:ilvl w:val="0"/>
                <w:numId w:val="30"/>
              </w:numPr>
              <w:ind w:left="203" w:hanging="270"/>
              <w:jc w:val="left"/>
              <w:cnfStyle w:val="000000000000" w:firstRow="0" w:lastRow="0" w:firstColumn="0" w:lastColumn="0" w:oddVBand="0" w:evenVBand="0" w:oddHBand="0" w:evenHBand="0" w:firstRowFirstColumn="0" w:firstRowLastColumn="0" w:lastRowFirstColumn="0" w:lastRowLastColumn="0"/>
              <w:rPr>
                <w:sz w:val="19"/>
                <w:szCs w:val="19"/>
                <w:lang w:val="en-GB"/>
              </w:rPr>
            </w:pPr>
            <w:r w:rsidRPr="002C0F92">
              <w:rPr>
                <w:sz w:val="19"/>
                <w:szCs w:val="19"/>
                <w:lang w:val="en-GB"/>
              </w:rPr>
              <w:t>U.K.-based challenger bank</w:t>
            </w:r>
          </w:p>
        </w:tc>
        <w:tc>
          <w:tcPr>
            <w:tcW w:w="1557" w:type="pct"/>
            <w:shd w:val="clear" w:color="auto" w:fill="auto"/>
            <w:noWrap/>
            <w:hideMark/>
          </w:tcPr>
          <w:p w14:paraId="6B0B9BD7" w14:textId="77777777" w:rsidR="004B2A4B" w:rsidRPr="002C0F92" w:rsidRDefault="004B2A4B" w:rsidP="001564D1">
            <w:pPr>
              <w:pStyle w:val="ExhibitText"/>
              <w:numPr>
                <w:ilvl w:val="0"/>
                <w:numId w:val="31"/>
              </w:numPr>
              <w:ind w:left="187" w:hanging="288"/>
              <w:jc w:val="left"/>
              <w:cnfStyle w:val="000000000000" w:firstRow="0" w:lastRow="0" w:firstColumn="0" w:lastColumn="0" w:oddVBand="0" w:evenVBand="0" w:oddHBand="0" w:evenHBand="0" w:firstRowFirstColumn="0" w:firstRowLastColumn="0" w:lastRowFirstColumn="0" w:lastRowLastColumn="0"/>
              <w:rPr>
                <w:sz w:val="19"/>
                <w:szCs w:val="19"/>
                <w:lang w:val="en-GB"/>
              </w:rPr>
            </w:pPr>
            <w:r w:rsidRPr="002C0F92">
              <w:rPr>
                <w:sz w:val="19"/>
                <w:szCs w:val="19"/>
                <w:lang w:val="en-GB"/>
              </w:rPr>
              <w:t>Raised £45 million at £150 million valuation in November 2015</w:t>
            </w:r>
          </w:p>
        </w:tc>
        <w:tc>
          <w:tcPr>
            <w:tcW w:w="446" w:type="pct"/>
            <w:shd w:val="clear" w:color="auto" w:fill="auto"/>
            <w:noWrap/>
            <w:vAlign w:val="center"/>
            <w:hideMark/>
          </w:tcPr>
          <w:p w14:paraId="37667EEB" w14:textId="77777777" w:rsidR="004B2A4B" w:rsidRPr="002C0F92"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sz w:val="19"/>
                <w:szCs w:val="19"/>
                <w:lang w:val="en-GB"/>
              </w:rPr>
            </w:pPr>
            <w:r w:rsidRPr="002C0F92">
              <w:rPr>
                <w:sz w:val="19"/>
                <w:szCs w:val="19"/>
                <w:lang w:val="en-GB"/>
              </w:rPr>
              <w:t>280.5</w:t>
            </w:r>
          </w:p>
        </w:tc>
        <w:tc>
          <w:tcPr>
            <w:tcW w:w="444" w:type="pct"/>
            <w:shd w:val="clear" w:color="auto" w:fill="auto"/>
            <w:noWrap/>
            <w:vAlign w:val="center"/>
            <w:hideMark/>
          </w:tcPr>
          <w:p w14:paraId="721FC1EE" w14:textId="77777777" w:rsidR="004B2A4B" w:rsidRPr="002C0F92"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sz w:val="19"/>
                <w:szCs w:val="19"/>
                <w:lang w:val="en-GB"/>
              </w:rPr>
            </w:pPr>
            <w:r w:rsidRPr="002C0F92">
              <w:rPr>
                <w:sz w:val="19"/>
                <w:szCs w:val="19"/>
                <w:lang w:val="en-GB"/>
              </w:rPr>
              <w:t>0</w:t>
            </w:r>
          </w:p>
        </w:tc>
        <w:tc>
          <w:tcPr>
            <w:tcW w:w="449" w:type="pct"/>
            <w:shd w:val="clear" w:color="auto" w:fill="auto"/>
            <w:noWrap/>
            <w:vAlign w:val="center"/>
            <w:hideMark/>
          </w:tcPr>
          <w:p w14:paraId="475FA904" w14:textId="77777777" w:rsidR="004B2A4B" w:rsidRPr="002C0F92"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sz w:val="19"/>
                <w:szCs w:val="19"/>
                <w:lang w:val="en-GB"/>
              </w:rPr>
            </w:pPr>
            <w:r w:rsidRPr="002C0F92">
              <w:rPr>
                <w:sz w:val="19"/>
                <w:szCs w:val="19"/>
                <w:lang w:val="en-GB"/>
              </w:rPr>
              <w:t>280.5</w:t>
            </w:r>
          </w:p>
        </w:tc>
        <w:tc>
          <w:tcPr>
            <w:tcW w:w="444" w:type="pct"/>
            <w:shd w:val="clear" w:color="auto" w:fill="auto"/>
            <w:noWrap/>
            <w:vAlign w:val="center"/>
            <w:hideMark/>
          </w:tcPr>
          <w:p w14:paraId="3BE3EB53" w14:textId="77777777" w:rsidR="004B2A4B" w:rsidRPr="002C0F92"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sz w:val="19"/>
                <w:szCs w:val="19"/>
                <w:lang w:val="en-GB"/>
              </w:rPr>
            </w:pPr>
            <w:r w:rsidRPr="002C0F92">
              <w:rPr>
                <w:sz w:val="19"/>
                <w:szCs w:val="19"/>
                <w:lang w:val="en-GB"/>
              </w:rPr>
              <w:t>NA</w:t>
            </w:r>
          </w:p>
        </w:tc>
      </w:tr>
      <w:tr w:rsidR="002C0F92" w:rsidRPr="002C0F92" w14:paraId="7F595A0C" w14:textId="77777777" w:rsidTr="002C0F9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48" w:type="pct"/>
            <w:shd w:val="clear" w:color="auto" w:fill="auto"/>
            <w:noWrap/>
            <w:hideMark/>
          </w:tcPr>
          <w:p w14:paraId="533ACEFD" w14:textId="77777777" w:rsidR="004B2A4B" w:rsidRPr="002C0F92" w:rsidRDefault="004B2A4B" w:rsidP="001564D1">
            <w:pPr>
              <w:pStyle w:val="ExhibitText"/>
              <w:jc w:val="left"/>
              <w:rPr>
                <w:sz w:val="19"/>
                <w:szCs w:val="19"/>
                <w:lang w:val="en-GB"/>
              </w:rPr>
            </w:pPr>
            <w:r w:rsidRPr="002C0F92">
              <w:rPr>
                <w:sz w:val="19"/>
                <w:szCs w:val="19"/>
                <w:lang w:val="en-GB"/>
              </w:rPr>
              <w:t>Average</w:t>
            </w:r>
          </w:p>
        </w:tc>
        <w:tc>
          <w:tcPr>
            <w:tcW w:w="1112" w:type="pct"/>
            <w:shd w:val="clear" w:color="auto" w:fill="auto"/>
            <w:noWrap/>
            <w:hideMark/>
          </w:tcPr>
          <w:p w14:paraId="1223A092" w14:textId="77777777" w:rsidR="004B2A4B" w:rsidRPr="002C0F92" w:rsidRDefault="004B2A4B" w:rsidP="00A456AE">
            <w:pPr>
              <w:pStyle w:val="ExhibitText"/>
              <w:jc w:val="center"/>
              <w:cnfStyle w:val="000000100000" w:firstRow="0" w:lastRow="0" w:firstColumn="0" w:lastColumn="0" w:oddVBand="0" w:evenVBand="0" w:oddHBand="1" w:evenHBand="0" w:firstRowFirstColumn="0" w:firstRowLastColumn="0" w:lastRowFirstColumn="0" w:lastRowLastColumn="0"/>
              <w:rPr>
                <w:sz w:val="19"/>
                <w:szCs w:val="19"/>
                <w:lang w:val="en-GB"/>
              </w:rPr>
            </w:pPr>
          </w:p>
        </w:tc>
        <w:tc>
          <w:tcPr>
            <w:tcW w:w="1557" w:type="pct"/>
            <w:shd w:val="clear" w:color="auto" w:fill="auto"/>
            <w:noWrap/>
            <w:hideMark/>
          </w:tcPr>
          <w:p w14:paraId="7BD3C0A6" w14:textId="77777777" w:rsidR="004B2A4B" w:rsidRPr="002C0F92" w:rsidRDefault="004B2A4B" w:rsidP="00A456AE">
            <w:pPr>
              <w:pStyle w:val="ExhibitText"/>
              <w:jc w:val="center"/>
              <w:cnfStyle w:val="000000100000" w:firstRow="0" w:lastRow="0" w:firstColumn="0" w:lastColumn="0" w:oddVBand="0" w:evenVBand="0" w:oddHBand="1" w:evenHBand="0" w:firstRowFirstColumn="0" w:firstRowLastColumn="0" w:lastRowFirstColumn="0" w:lastRowLastColumn="0"/>
              <w:rPr>
                <w:sz w:val="19"/>
                <w:szCs w:val="19"/>
                <w:lang w:val="en-GB"/>
              </w:rPr>
            </w:pPr>
          </w:p>
        </w:tc>
        <w:tc>
          <w:tcPr>
            <w:tcW w:w="446" w:type="pct"/>
            <w:shd w:val="clear" w:color="auto" w:fill="auto"/>
            <w:noWrap/>
            <w:vAlign w:val="center"/>
            <w:hideMark/>
          </w:tcPr>
          <w:p w14:paraId="0592A8AE" w14:textId="77777777" w:rsidR="004B2A4B" w:rsidRPr="002C0F92"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sz w:val="19"/>
                <w:szCs w:val="19"/>
                <w:lang w:val="en-GB"/>
              </w:rPr>
            </w:pPr>
            <w:r w:rsidRPr="002C0F92">
              <w:rPr>
                <w:sz w:val="19"/>
                <w:szCs w:val="19"/>
                <w:lang w:val="en-GB"/>
              </w:rPr>
              <w:t>281.3</w:t>
            </w:r>
          </w:p>
        </w:tc>
        <w:tc>
          <w:tcPr>
            <w:tcW w:w="444" w:type="pct"/>
            <w:shd w:val="clear" w:color="auto" w:fill="auto"/>
            <w:noWrap/>
            <w:vAlign w:val="center"/>
            <w:hideMark/>
          </w:tcPr>
          <w:p w14:paraId="665DBECD" w14:textId="77777777" w:rsidR="004B2A4B" w:rsidRPr="002C0F92"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sz w:val="19"/>
                <w:szCs w:val="19"/>
                <w:lang w:val="en-GB"/>
              </w:rPr>
            </w:pPr>
            <w:r w:rsidRPr="002C0F92">
              <w:rPr>
                <w:sz w:val="19"/>
                <w:szCs w:val="19"/>
                <w:lang w:val="en-GB"/>
              </w:rPr>
              <w:t>364,688</w:t>
            </w:r>
          </w:p>
        </w:tc>
        <w:tc>
          <w:tcPr>
            <w:tcW w:w="449" w:type="pct"/>
            <w:shd w:val="clear" w:color="auto" w:fill="auto"/>
            <w:noWrap/>
            <w:vAlign w:val="center"/>
            <w:hideMark/>
          </w:tcPr>
          <w:p w14:paraId="356DA307" w14:textId="77777777" w:rsidR="004B2A4B" w:rsidRPr="002C0F92"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sz w:val="19"/>
                <w:szCs w:val="19"/>
                <w:lang w:val="en-GB"/>
              </w:rPr>
            </w:pPr>
            <w:r w:rsidRPr="002C0F92">
              <w:rPr>
                <w:sz w:val="19"/>
                <w:szCs w:val="19"/>
                <w:lang w:val="en-GB"/>
              </w:rPr>
              <w:t>281.3</w:t>
            </w:r>
          </w:p>
        </w:tc>
        <w:tc>
          <w:tcPr>
            <w:tcW w:w="444" w:type="pct"/>
            <w:shd w:val="clear" w:color="auto" w:fill="auto"/>
            <w:noWrap/>
            <w:vAlign w:val="center"/>
            <w:hideMark/>
          </w:tcPr>
          <w:p w14:paraId="4A14143E" w14:textId="77777777" w:rsidR="004B2A4B" w:rsidRPr="002C0F92"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sz w:val="19"/>
                <w:szCs w:val="19"/>
                <w:lang w:val="en-GB"/>
              </w:rPr>
            </w:pPr>
            <w:r w:rsidRPr="002C0F92">
              <w:rPr>
                <w:sz w:val="19"/>
                <w:szCs w:val="19"/>
                <w:lang w:val="en-GB"/>
              </w:rPr>
              <w:t>1,057.70</w:t>
            </w:r>
          </w:p>
        </w:tc>
      </w:tr>
    </w:tbl>
    <w:p w14:paraId="21E08229" w14:textId="77777777" w:rsidR="004B2A4B" w:rsidRPr="00CB3BFB" w:rsidRDefault="004B2A4B" w:rsidP="004B2A4B">
      <w:pPr>
        <w:pStyle w:val="FootnoteText1"/>
        <w:rPr>
          <w:lang w:val="en-GB"/>
        </w:rPr>
      </w:pPr>
    </w:p>
    <w:p w14:paraId="3CEE25DA" w14:textId="77777777" w:rsidR="004B2A4B" w:rsidRPr="00CB3BFB" w:rsidRDefault="004B2A4B" w:rsidP="004B2A4B">
      <w:pPr>
        <w:pStyle w:val="FootnoteText1"/>
        <w:rPr>
          <w:lang w:val="en-GB"/>
        </w:rPr>
      </w:pPr>
      <w:r w:rsidRPr="00CB3BFB">
        <w:rPr>
          <w:lang w:val="en-GB"/>
        </w:rPr>
        <w:t>Note: £ = GBP = Great Britain pound, AU$1 = GBP 1.9838, AU$1 = US$1.3659 as of May 2016</w:t>
      </w:r>
    </w:p>
    <w:p w14:paraId="172EF690" w14:textId="77777777" w:rsidR="004B2A4B" w:rsidRPr="00CB3BFB" w:rsidRDefault="004B2A4B" w:rsidP="004B2A4B">
      <w:pPr>
        <w:pStyle w:val="FootnoteText1"/>
        <w:rPr>
          <w:lang w:val="en-GB"/>
        </w:rPr>
      </w:pPr>
      <w:r w:rsidRPr="00CB3BFB">
        <w:rPr>
          <w:lang w:val="en-GB"/>
        </w:rPr>
        <w:t>Source: Created by the case author using data from</w:t>
      </w:r>
      <w:r>
        <w:rPr>
          <w:lang w:val="en-GB"/>
        </w:rPr>
        <w:t xml:space="preserve"> </w:t>
      </w:r>
      <w:r w:rsidRPr="00CB3BFB">
        <w:rPr>
          <w:lang w:val="en-GB"/>
        </w:rPr>
        <w:t>“</w:t>
      </w:r>
      <w:proofErr w:type="spellStart"/>
      <w:r w:rsidRPr="00CB3BFB">
        <w:rPr>
          <w:lang w:val="en-GB"/>
        </w:rPr>
        <w:t>ChimpChange</w:t>
      </w:r>
      <w:proofErr w:type="spellEnd"/>
      <w:r w:rsidRPr="00CB3BFB">
        <w:rPr>
          <w:lang w:val="en-GB"/>
        </w:rPr>
        <w:t xml:space="preserve"> Ltd</w:t>
      </w:r>
      <w:r>
        <w:rPr>
          <w:lang w:val="en-GB"/>
        </w:rPr>
        <w:t>—</w:t>
      </w:r>
      <w:r w:rsidRPr="00CB3BFB">
        <w:rPr>
          <w:lang w:val="en-GB"/>
        </w:rPr>
        <w:t>Initiating Coverage,” Moelis</w:t>
      </w:r>
      <w:r>
        <w:rPr>
          <w:lang w:val="en-GB"/>
        </w:rPr>
        <w:t xml:space="preserve"> &amp; Company,</w:t>
      </w:r>
      <w:r w:rsidRPr="00CB3BFB">
        <w:rPr>
          <w:lang w:val="en-GB"/>
        </w:rPr>
        <w:t xml:space="preserve"> Australia Securities</w:t>
      </w:r>
      <w:r>
        <w:rPr>
          <w:lang w:val="en-GB"/>
        </w:rPr>
        <w:t>—</w:t>
      </w:r>
      <w:r w:rsidRPr="00CB3BFB">
        <w:rPr>
          <w:lang w:val="en-GB"/>
        </w:rPr>
        <w:t xml:space="preserve">Research Department, July 20, 2016, 95, </w:t>
      </w:r>
      <w:proofErr w:type="spellStart"/>
      <w:r w:rsidRPr="00CB3BFB">
        <w:rPr>
          <w:i/>
          <w:lang w:val="en-GB"/>
        </w:rPr>
        <w:t>Chimpchange</w:t>
      </w:r>
      <w:proofErr w:type="spellEnd"/>
      <w:r w:rsidRPr="00CB3BFB">
        <w:rPr>
          <w:i/>
          <w:lang w:val="en-GB"/>
        </w:rPr>
        <w:t xml:space="preserve"> Ltd.: Digital Disruptor</w:t>
      </w:r>
      <w:r w:rsidRPr="00CB3BFB">
        <w:rPr>
          <w:lang w:val="en-GB"/>
        </w:rPr>
        <w:t>, July 21, 2016</w:t>
      </w:r>
      <w:r w:rsidRPr="006D46B4">
        <w:rPr>
          <w:lang w:val="en-GB"/>
        </w:rPr>
        <w:t>, accessed August 8, 2018, www.scribd.com/document/319304412/CCA-2016-07-Moelis-Initiation</w:t>
      </w:r>
      <w:r w:rsidRPr="00CB3BFB">
        <w:rPr>
          <w:lang w:val="en-GB"/>
        </w:rPr>
        <w:t>.</w:t>
      </w:r>
    </w:p>
    <w:p w14:paraId="3ADCAFF7" w14:textId="6D248931" w:rsidR="004B2A4B" w:rsidRPr="004B2A4B" w:rsidRDefault="004B2A4B" w:rsidP="004B2A4B">
      <w:pPr>
        <w:pStyle w:val="BodyTextMain"/>
        <w:rPr>
          <w:lang w:val="en-GB"/>
        </w:rPr>
      </w:pPr>
    </w:p>
    <w:p w14:paraId="76FC442C" w14:textId="77777777" w:rsidR="004B2A4B" w:rsidRDefault="004B2A4B" w:rsidP="004B2A4B">
      <w:pPr>
        <w:pStyle w:val="BodyTextMain"/>
        <w:sectPr w:rsidR="004B2A4B" w:rsidSect="004B2A4B">
          <w:headerReference w:type="default" r:id="rId17"/>
          <w:pgSz w:w="15840" w:h="12240" w:orient="landscape" w:code="1"/>
          <w:pgMar w:top="1440" w:right="1440" w:bottom="1440" w:left="1440" w:header="1080" w:footer="720" w:gutter="0"/>
          <w:cols w:space="720"/>
          <w:docGrid w:linePitch="360"/>
        </w:sectPr>
      </w:pPr>
    </w:p>
    <w:p w14:paraId="22A7EA1A" w14:textId="77777777" w:rsidR="004B2A4B" w:rsidRPr="00CB3BFB" w:rsidRDefault="004B2A4B" w:rsidP="004B2A4B">
      <w:pPr>
        <w:pStyle w:val="ExhibitHeading"/>
        <w:rPr>
          <w:lang w:val="en-GB"/>
        </w:rPr>
      </w:pPr>
      <w:r w:rsidRPr="00CB3BFB">
        <w:rPr>
          <w:lang w:val="en-GB"/>
        </w:rPr>
        <w:lastRenderedPageBreak/>
        <w:t xml:space="preserve">Exhibit </w:t>
      </w:r>
      <w:r>
        <w:rPr>
          <w:lang w:val="en-GB"/>
        </w:rPr>
        <w:t>8</w:t>
      </w:r>
      <w:r w:rsidRPr="00CB3BFB">
        <w:rPr>
          <w:lang w:val="en-GB"/>
        </w:rPr>
        <w:t>: Comparable Listed Companies</w:t>
      </w:r>
    </w:p>
    <w:p w14:paraId="1ECC9EF8" w14:textId="77777777" w:rsidR="004B2A4B" w:rsidRPr="00CB3BFB" w:rsidRDefault="004B2A4B" w:rsidP="004B2A4B">
      <w:pPr>
        <w:pStyle w:val="Footnote"/>
        <w:rPr>
          <w:sz w:val="4"/>
          <w:szCs w:val="4"/>
          <w:lang w:val="en-GB"/>
        </w:rPr>
      </w:pPr>
    </w:p>
    <w:tbl>
      <w:tblPr>
        <w:tblStyle w:val="GridTable4-Accent11"/>
        <w:tblW w:w="94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2"/>
        <w:gridCol w:w="2430"/>
        <w:gridCol w:w="1350"/>
        <w:gridCol w:w="990"/>
        <w:gridCol w:w="900"/>
        <w:gridCol w:w="990"/>
        <w:gridCol w:w="913"/>
        <w:gridCol w:w="861"/>
      </w:tblGrid>
      <w:tr w:rsidR="00940B5C" w:rsidRPr="00940B5C" w14:paraId="29833B96" w14:textId="77777777" w:rsidTr="00940B5C">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32" w:type="dxa"/>
            <w:tcBorders>
              <w:top w:val="single" w:sz="4" w:space="0" w:color="auto"/>
              <w:right w:val="single" w:sz="4" w:space="0" w:color="auto"/>
            </w:tcBorders>
            <w:shd w:val="clear" w:color="auto" w:fill="auto"/>
            <w:hideMark/>
          </w:tcPr>
          <w:p w14:paraId="2AFB5A6D" w14:textId="77777777" w:rsidR="004B2A4B" w:rsidRPr="00940B5C" w:rsidRDefault="004B2A4B" w:rsidP="00A456AE">
            <w:pPr>
              <w:rPr>
                <w:rFonts w:ascii="Arial" w:hAnsi="Arial" w:cs="Arial"/>
                <w:color w:val="000000"/>
                <w:sz w:val="18"/>
                <w:szCs w:val="18"/>
                <w:lang w:val="en-GB"/>
              </w:rPr>
            </w:pPr>
            <w:r w:rsidRPr="00940B5C">
              <w:rPr>
                <w:rFonts w:ascii="Arial" w:hAnsi="Arial" w:cs="Arial"/>
                <w:color w:val="000000"/>
                <w:sz w:val="18"/>
                <w:szCs w:val="18"/>
                <w:lang w:val="en-GB"/>
              </w:rPr>
              <w:t>Market/</w:t>
            </w:r>
            <w:r w:rsidRPr="00940B5C">
              <w:rPr>
                <w:rFonts w:ascii="Arial" w:hAnsi="Arial" w:cs="Arial"/>
                <w:color w:val="000000"/>
                <w:sz w:val="18"/>
                <w:szCs w:val="18"/>
                <w:lang w:val="en-GB"/>
              </w:rPr>
              <w:br/>
              <w:t>Industry</w:t>
            </w:r>
          </w:p>
        </w:tc>
        <w:tc>
          <w:tcPr>
            <w:tcW w:w="2430" w:type="dxa"/>
            <w:tcBorders>
              <w:top w:val="single" w:sz="4" w:space="0" w:color="auto"/>
              <w:left w:val="single" w:sz="4" w:space="0" w:color="auto"/>
              <w:right w:val="single" w:sz="4" w:space="0" w:color="auto"/>
            </w:tcBorders>
            <w:shd w:val="clear" w:color="auto" w:fill="auto"/>
            <w:noWrap/>
            <w:hideMark/>
          </w:tcPr>
          <w:p w14:paraId="07C8C245" w14:textId="77777777" w:rsidR="004B2A4B" w:rsidRPr="00940B5C" w:rsidRDefault="004B2A4B" w:rsidP="00A456A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18"/>
                <w:szCs w:val="18"/>
                <w:lang w:val="en-GB"/>
              </w:rPr>
            </w:pPr>
            <w:r w:rsidRPr="00940B5C">
              <w:rPr>
                <w:rFonts w:ascii="Arial" w:hAnsi="Arial" w:cs="Arial"/>
                <w:color w:val="000000"/>
                <w:sz w:val="18"/>
                <w:szCs w:val="18"/>
                <w:lang w:val="en-GB"/>
              </w:rPr>
              <w:t>Company Name</w:t>
            </w:r>
          </w:p>
        </w:tc>
        <w:tc>
          <w:tcPr>
            <w:tcW w:w="1350" w:type="dxa"/>
            <w:tcBorders>
              <w:top w:val="single" w:sz="4" w:space="0" w:color="auto"/>
              <w:left w:val="single" w:sz="4" w:space="0" w:color="auto"/>
              <w:right w:val="single" w:sz="4" w:space="0" w:color="auto"/>
            </w:tcBorders>
            <w:shd w:val="clear" w:color="auto" w:fill="auto"/>
            <w:noWrap/>
            <w:hideMark/>
          </w:tcPr>
          <w:p w14:paraId="3BD18D29" w14:textId="77777777" w:rsidR="004B2A4B" w:rsidRPr="00940B5C" w:rsidRDefault="004B2A4B" w:rsidP="00A456A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18"/>
                <w:szCs w:val="18"/>
                <w:lang w:val="en-GB"/>
              </w:rPr>
            </w:pPr>
            <w:r w:rsidRPr="00940B5C">
              <w:rPr>
                <w:rFonts w:ascii="Arial" w:hAnsi="Arial" w:cs="Arial"/>
                <w:color w:val="000000"/>
                <w:sz w:val="18"/>
                <w:szCs w:val="18"/>
                <w:lang w:val="en-GB"/>
              </w:rPr>
              <w:t>Country</w:t>
            </w:r>
          </w:p>
        </w:tc>
        <w:tc>
          <w:tcPr>
            <w:tcW w:w="990" w:type="dxa"/>
            <w:tcBorders>
              <w:top w:val="single" w:sz="4" w:space="0" w:color="auto"/>
              <w:left w:val="single" w:sz="4" w:space="0" w:color="auto"/>
              <w:right w:val="single" w:sz="4" w:space="0" w:color="auto"/>
            </w:tcBorders>
            <w:shd w:val="clear" w:color="auto" w:fill="auto"/>
            <w:noWrap/>
            <w:hideMark/>
          </w:tcPr>
          <w:p w14:paraId="71212B4B" w14:textId="6B7065B7" w:rsidR="004B2A4B" w:rsidRPr="00940B5C" w:rsidRDefault="004B2A4B" w:rsidP="00940B5C">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18"/>
                <w:szCs w:val="18"/>
                <w:lang w:val="en-GB"/>
              </w:rPr>
            </w:pPr>
            <w:r w:rsidRPr="00940B5C">
              <w:rPr>
                <w:rFonts w:ascii="Arial" w:hAnsi="Arial" w:cs="Arial"/>
                <w:color w:val="000000"/>
                <w:sz w:val="18"/>
                <w:szCs w:val="18"/>
                <w:lang w:val="en-GB"/>
              </w:rPr>
              <w:t>Market Cap</w:t>
            </w:r>
          </w:p>
        </w:tc>
        <w:tc>
          <w:tcPr>
            <w:tcW w:w="900" w:type="dxa"/>
            <w:tcBorders>
              <w:top w:val="single" w:sz="4" w:space="0" w:color="auto"/>
              <w:left w:val="single" w:sz="4" w:space="0" w:color="auto"/>
              <w:right w:val="single" w:sz="4" w:space="0" w:color="auto"/>
            </w:tcBorders>
            <w:shd w:val="clear" w:color="auto" w:fill="auto"/>
            <w:noWrap/>
            <w:hideMark/>
          </w:tcPr>
          <w:p w14:paraId="2086CE70" w14:textId="77777777" w:rsidR="004B2A4B" w:rsidRPr="00940B5C" w:rsidRDefault="004B2A4B" w:rsidP="00A456A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18"/>
                <w:szCs w:val="18"/>
                <w:lang w:val="en-GB"/>
              </w:rPr>
            </w:pPr>
            <w:r w:rsidRPr="00940B5C">
              <w:rPr>
                <w:rFonts w:ascii="Arial" w:hAnsi="Arial" w:cs="Arial"/>
                <w:color w:val="000000"/>
                <w:sz w:val="18"/>
                <w:szCs w:val="18"/>
                <w:lang w:val="en-GB"/>
              </w:rPr>
              <w:t>Price</w:t>
            </w:r>
          </w:p>
        </w:tc>
        <w:tc>
          <w:tcPr>
            <w:tcW w:w="990" w:type="dxa"/>
            <w:tcBorders>
              <w:top w:val="single" w:sz="4" w:space="0" w:color="auto"/>
              <w:left w:val="single" w:sz="4" w:space="0" w:color="auto"/>
              <w:right w:val="single" w:sz="4" w:space="0" w:color="auto"/>
            </w:tcBorders>
            <w:shd w:val="clear" w:color="auto" w:fill="auto"/>
            <w:noWrap/>
            <w:hideMark/>
          </w:tcPr>
          <w:p w14:paraId="6EAA71A1" w14:textId="069EE403" w:rsidR="004B2A4B" w:rsidRPr="00940B5C" w:rsidRDefault="004B2A4B" w:rsidP="00A456A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18"/>
                <w:szCs w:val="18"/>
                <w:lang w:val="en-GB"/>
              </w:rPr>
            </w:pPr>
            <w:r w:rsidRPr="00940B5C">
              <w:rPr>
                <w:rFonts w:ascii="Arial" w:hAnsi="Arial" w:cs="Arial"/>
                <w:color w:val="000000"/>
                <w:sz w:val="18"/>
                <w:szCs w:val="18"/>
                <w:lang w:val="en-GB"/>
              </w:rPr>
              <w:t>FY2017</w:t>
            </w:r>
            <w:r w:rsidR="00940B5C">
              <w:rPr>
                <w:rFonts w:ascii="Arial" w:hAnsi="Arial" w:cs="Arial"/>
                <w:color w:val="000000"/>
                <w:sz w:val="18"/>
                <w:szCs w:val="18"/>
                <w:lang w:val="en-GB"/>
              </w:rPr>
              <w:br/>
            </w:r>
            <w:r w:rsidRPr="00940B5C">
              <w:rPr>
                <w:rFonts w:ascii="Arial" w:hAnsi="Arial" w:cs="Arial"/>
                <w:color w:val="000000"/>
                <w:sz w:val="18"/>
                <w:szCs w:val="18"/>
                <w:lang w:val="en-GB"/>
              </w:rPr>
              <w:t>P/E</w:t>
            </w:r>
          </w:p>
        </w:tc>
        <w:tc>
          <w:tcPr>
            <w:tcW w:w="913" w:type="dxa"/>
            <w:tcBorders>
              <w:top w:val="single" w:sz="4" w:space="0" w:color="auto"/>
              <w:left w:val="single" w:sz="4" w:space="0" w:color="auto"/>
              <w:right w:val="single" w:sz="4" w:space="0" w:color="auto"/>
            </w:tcBorders>
            <w:shd w:val="clear" w:color="auto" w:fill="auto"/>
            <w:noWrap/>
            <w:hideMark/>
          </w:tcPr>
          <w:p w14:paraId="1BD6309E" w14:textId="189DFAF1" w:rsidR="004B2A4B" w:rsidRPr="00940B5C" w:rsidRDefault="004B2A4B" w:rsidP="00A456A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18"/>
                <w:szCs w:val="18"/>
                <w:lang w:val="en-GB"/>
              </w:rPr>
            </w:pPr>
            <w:r w:rsidRPr="00940B5C">
              <w:rPr>
                <w:rFonts w:ascii="Arial" w:hAnsi="Arial" w:cs="Arial"/>
                <w:color w:val="000000"/>
                <w:sz w:val="18"/>
                <w:szCs w:val="18"/>
                <w:lang w:val="en-GB"/>
              </w:rPr>
              <w:t>FY2018</w:t>
            </w:r>
            <w:r w:rsidR="00940B5C">
              <w:rPr>
                <w:rFonts w:ascii="Arial" w:hAnsi="Arial" w:cs="Arial"/>
                <w:color w:val="000000"/>
                <w:sz w:val="18"/>
                <w:szCs w:val="18"/>
                <w:lang w:val="en-GB"/>
              </w:rPr>
              <w:br/>
            </w:r>
            <w:r w:rsidRPr="00940B5C">
              <w:rPr>
                <w:rFonts w:ascii="Arial" w:hAnsi="Arial" w:cs="Arial"/>
                <w:color w:val="000000"/>
                <w:sz w:val="18"/>
                <w:szCs w:val="18"/>
                <w:lang w:val="en-GB"/>
              </w:rPr>
              <w:t>P/E</w:t>
            </w:r>
          </w:p>
        </w:tc>
        <w:tc>
          <w:tcPr>
            <w:tcW w:w="861" w:type="dxa"/>
            <w:tcBorders>
              <w:top w:val="single" w:sz="4" w:space="0" w:color="auto"/>
              <w:left w:val="single" w:sz="4" w:space="0" w:color="auto"/>
              <w:right w:val="single" w:sz="4" w:space="0" w:color="auto"/>
            </w:tcBorders>
            <w:shd w:val="clear" w:color="auto" w:fill="auto"/>
            <w:noWrap/>
            <w:hideMark/>
          </w:tcPr>
          <w:p w14:paraId="0313CBEF" w14:textId="77777777" w:rsidR="004B2A4B" w:rsidRPr="00940B5C" w:rsidRDefault="004B2A4B" w:rsidP="00A456A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18"/>
                <w:szCs w:val="18"/>
                <w:lang w:val="en-GB"/>
              </w:rPr>
            </w:pPr>
            <w:r w:rsidRPr="00940B5C">
              <w:rPr>
                <w:rFonts w:ascii="Arial" w:hAnsi="Arial" w:cs="Arial"/>
                <w:color w:val="000000"/>
                <w:sz w:val="18"/>
                <w:szCs w:val="18"/>
                <w:lang w:val="en-GB"/>
              </w:rPr>
              <w:t>P/B 2016</w:t>
            </w:r>
          </w:p>
        </w:tc>
      </w:tr>
      <w:tr w:rsidR="004B2A4B" w:rsidRPr="00940B5C" w14:paraId="2FB2B999" w14:textId="77777777" w:rsidTr="00940B5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9466" w:type="dxa"/>
            <w:gridSpan w:val="8"/>
            <w:shd w:val="clear" w:color="auto" w:fill="auto"/>
            <w:hideMark/>
          </w:tcPr>
          <w:p w14:paraId="2A919FF8" w14:textId="77777777" w:rsidR="004B2A4B" w:rsidRPr="00940B5C" w:rsidRDefault="004B2A4B" w:rsidP="00A456AE">
            <w:pPr>
              <w:rPr>
                <w:rFonts w:ascii="Arial" w:hAnsi="Arial" w:cs="Arial"/>
                <w:sz w:val="18"/>
                <w:szCs w:val="18"/>
                <w:lang w:val="en-GB"/>
              </w:rPr>
            </w:pPr>
            <w:r w:rsidRPr="00940B5C">
              <w:rPr>
                <w:rFonts w:ascii="Arial" w:hAnsi="Arial" w:cs="Arial"/>
                <w:color w:val="000000"/>
                <w:sz w:val="18"/>
                <w:szCs w:val="18"/>
                <w:lang w:val="en-GB"/>
              </w:rPr>
              <w:t>Australian Tech (AU$ million)</w:t>
            </w:r>
          </w:p>
        </w:tc>
      </w:tr>
      <w:tr w:rsidR="00940B5C" w:rsidRPr="00940B5C" w14:paraId="214CF2E9" w14:textId="77777777" w:rsidTr="00940B5C">
        <w:trPr>
          <w:trHeight w:val="20"/>
          <w:jc w:val="center"/>
        </w:trPr>
        <w:tc>
          <w:tcPr>
            <w:cnfStyle w:val="001000000000" w:firstRow="0" w:lastRow="0" w:firstColumn="1" w:lastColumn="0" w:oddVBand="0" w:evenVBand="0" w:oddHBand="0" w:evenHBand="0" w:firstRowFirstColumn="0" w:firstRowLastColumn="0" w:lastRowFirstColumn="0" w:lastRowLastColumn="0"/>
            <w:tcW w:w="1032" w:type="dxa"/>
            <w:shd w:val="clear" w:color="auto" w:fill="auto"/>
            <w:hideMark/>
          </w:tcPr>
          <w:p w14:paraId="7686E783" w14:textId="77777777" w:rsidR="004B2A4B" w:rsidRPr="00940B5C" w:rsidRDefault="004B2A4B" w:rsidP="00A456AE">
            <w:pPr>
              <w:pStyle w:val="ExhibitText"/>
              <w:rPr>
                <w:sz w:val="18"/>
                <w:szCs w:val="18"/>
                <w:lang w:val="en-GB"/>
              </w:rPr>
            </w:pPr>
          </w:p>
        </w:tc>
        <w:tc>
          <w:tcPr>
            <w:tcW w:w="2430" w:type="dxa"/>
            <w:shd w:val="clear" w:color="auto" w:fill="auto"/>
            <w:noWrap/>
            <w:vAlign w:val="center"/>
            <w:hideMark/>
          </w:tcPr>
          <w:p w14:paraId="306C90FD" w14:textId="77777777" w:rsidR="004B2A4B" w:rsidRPr="00940B5C" w:rsidRDefault="004B2A4B" w:rsidP="00A456AE">
            <w:pPr>
              <w:pStyle w:val="ExhibitTex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proofErr w:type="spellStart"/>
            <w:r w:rsidRPr="00940B5C">
              <w:rPr>
                <w:color w:val="000000"/>
                <w:sz w:val="18"/>
                <w:szCs w:val="18"/>
                <w:lang w:val="en-GB"/>
              </w:rPr>
              <w:t>Afterpay</w:t>
            </w:r>
            <w:proofErr w:type="spellEnd"/>
            <w:r w:rsidRPr="00940B5C">
              <w:rPr>
                <w:color w:val="000000"/>
                <w:sz w:val="18"/>
                <w:szCs w:val="18"/>
                <w:lang w:val="en-GB"/>
              </w:rPr>
              <w:t xml:space="preserve"> Holdings Ltd.</w:t>
            </w:r>
          </w:p>
        </w:tc>
        <w:tc>
          <w:tcPr>
            <w:tcW w:w="1350" w:type="dxa"/>
            <w:shd w:val="clear" w:color="auto" w:fill="auto"/>
            <w:noWrap/>
            <w:hideMark/>
          </w:tcPr>
          <w:p w14:paraId="50031240" w14:textId="77777777" w:rsidR="004B2A4B" w:rsidRPr="00940B5C" w:rsidRDefault="004B2A4B" w:rsidP="00A456AE">
            <w:pPr>
              <w:pStyle w:val="ExhibitText"/>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Australia</w:t>
            </w:r>
          </w:p>
        </w:tc>
        <w:tc>
          <w:tcPr>
            <w:tcW w:w="990" w:type="dxa"/>
            <w:shd w:val="clear" w:color="auto" w:fill="auto"/>
            <w:noWrap/>
            <w:hideMark/>
          </w:tcPr>
          <w:p w14:paraId="20E00103" w14:textId="77777777" w:rsidR="004B2A4B" w:rsidRPr="00940B5C"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295</w:t>
            </w:r>
          </w:p>
        </w:tc>
        <w:tc>
          <w:tcPr>
            <w:tcW w:w="900" w:type="dxa"/>
            <w:shd w:val="clear" w:color="auto" w:fill="auto"/>
            <w:noWrap/>
            <w:hideMark/>
          </w:tcPr>
          <w:p w14:paraId="4C9388CF" w14:textId="77777777" w:rsidR="004B2A4B" w:rsidRPr="00940B5C"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1.79</w:t>
            </w:r>
          </w:p>
        </w:tc>
        <w:tc>
          <w:tcPr>
            <w:tcW w:w="990" w:type="dxa"/>
            <w:shd w:val="clear" w:color="auto" w:fill="auto"/>
            <w:noWrap/>
            <w:hideMark/>
          </w:tcPr>
          <w:p w14:paraId="52F45A4B" w14:textId="77777777" w:rsidR="004B2A4B" w:rsidRPr="00940B5C"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p>
        </w:tc>
        <w:tc>
          <w:tcPr>
            <w:tcW w:w="913" w:type="dxa"/>
            <w:shd w:val="clear" w:color="auto" w:fill="auto"/>
            <w:noWrap/>
            <w:hideMark/>
          </w:tcPr>
          <w:p w14:paraId="0338DB12" w14:textId="77777777" w:rsidR="004B2A4B" w:rsidRPr="00940B5C"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sz w:val="18"/>
                <w:szCs w:val="18"/>
                <w:lang w:val="en-GB"/>
              </w:rPr>
            </w:pPr>
          </w:p>
        </w:tc>
        <w:tc>
          <w:tcPr>
            <w:tcW w:w="861" w:type="dxa"/>
            <w:shd w:val="clear" w:color="auto" w:fill="auto"/>
            <w:noWrap/>
            <w:hideMark/>
          </w:tcPr>
          <w:p w14:paraId="373903A0" w14:textId="77777777" w:rsidR="004B2A4B" w:rsidRPr="00940B5C"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940B5C" w:rsidRPr="00940B5C" w14:paraId="00C345D1" w14:textId="77777777" w:rsidTr="00940B5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32" w:type="dxa"/>
            <w:shd w:val="clear" w:color="auto" w:fill="auto"/>
            <w:hideMark/>
          </w:tcPr>
          <w:p w14:paraId="200FA0B3" w14:textId="77777777" w:rsidR="004B2A4B" w:rsidRPr="00940B5C" w:rsidRDefault="004B2A4B" w:rsidP="00A456AE">
            <w:pPr>
              <w:pStyle w:val="ExhibitText"/>
              <w:rPr>
                <w:sz w:val="18"/>
                <w:szCs w:val="18"/>
                <w:lang w:val="en-GB"/>
              </w:rPr>
            </w:pPr>
          </w:p>
        </w:tc>
        <w:tc>
          <w:tcPr>
            <w:tcW w:w="2430" w:type="dxa"/>
            <w:shd w:val="clear" w:color="auto" w:fill="auto"/>
            <w:noWrap/>
            <w:vAlign w:val="center"/>
            <w:hideMark/>
          </w:tcPr>
          <w:p w14:paraId="1294B485" w14:textId="77777777" w:rsidR="004B2A4B" w:rsidRPr="00940B5C" w:rsidRDefault="004B2A4B" w:rsidP="00A456AE">
            <w:pPr>
              <w:pStyle w:val="ExhibitTex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proofErr w:type="spellStart"/>
            <w:r w:rsidRPr="00940B5C">
              <w:rPr>
                <w:color w:val="000000"/>
                <w:sz w:val="18"/>
                <w:szCs w:val="18"/>
                <w:lang w:val="en-GB"/>
              </w:rPr>
              <w:t>Oneview</w:t>
            </w:r>
            <w:proofErr w:type="spellEnd"/>
            <w:r w:rsidRPr="00940B5C">
              <w:rPr>
                <w:color w:val="000000"/>
                <w:sz w:val="18"/>
                <w:szCs w:val="18"/>
                <w:lang w:val="en-GB"/>
              </w:rPr>
              <w:t xml:space="preserve"> Healthcare</w:t>
            </w:r>
          </w:p>
        </w:tc>
        <w:tc>
          <w:tcPr>
            <w:tcW w:w="1350" w:type="dxa"/>
            <w:shd w:val="clear" w:color="auto" w:fill="auto"/>
            <w:noWrap/>
            <w:hideMark/>
          </w:tcPr>
          <w:p w14:paraId="6DDDFC59" w14:textId="77777777" w:rsidR="004B2A4B" w:rsidRPr="00940B5C" w:rsidRDefault="004B2A4B" w:rsidP="00A456AE">
            <w:pPr>
              <w:pStyle w:val="ExhibitText"/>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Ireland</w:t>
            </w:r>
          </w:p>
        </w:tc>
        <w:tc>
          <w:tcPr>
            <w:tcW w:w="990" w:type="dxa"/>
            <w:shd w:val="clear" w:color="auto" w:fill="auto"/>
            <w:noWrap/>
            <w:hideMark/>
          </w:tcPr>
          <w:p w14:paraId="7826DEB6" w14:textId="77777777" w:rsidR="004B2A4B" w:rsidRPr="00940B5C"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226</w:t>
            </w:r>
          </w:p>
        </w:tc>
        <w:tc>
          <w:tcPr>
            <w:tcW w:w="900" w:type="dxa"/>
            <w:shd w:val="clear" w:color="auto" w:fill="auto"/>
            <w:noWrap/>
            <w:hideMark/>
          </w:tcPr>
          <w:p w14:paraId="063ADA0A" w14:textId="77777777" w:rsidR="004B2A4B" w:rsidRPr="00940B5C"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4.38</w:t>
            </w:r>
          </w:p>
        </w:tc>
        <w:tc>
          <w:tcPr>
            <w:tcW w:w="990" w:type="dxa"/>
            <w:shd w:val="clear" w:color="auto" w:fill="auto"/>
            <w:noWrap/>
            <w:hideMark/>
          </w:tcPr>
          <w:p w14:paraId="1ACB7718" w14:textId="77777777" w:rsidR="004B2A4B" w:rsidRPr="00940B5C"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p>
        </w:tc>
        <w:tc>
          <w:tcPr>
            <w:tcW w:w="913" w:type="dxa"/>
            <w:shd w:val="clear" w:color="auto" w:fill="auto"/>
            <w:noWrap/>
            <w:hideMark/>
          </w:tcPr>
          <w:p w14:paraId="0AA495CF" w14:textId="77777777" w:rsidR="004B2A4B" w:rsidRPr="00940B5C"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sz w:val="18"/>
                <w:szCs w:val="18"/>
                <w:lang w:val="en-GB"/>
              </w:rPr>
            </w:pPr>
          </w:p>
        </w:tc>
        <w:tc>
          <w:tcPr>
            <w:tcW w:w="861" w:type="dxa"/>
            <w:shd w:val="clear" w:color="auto" w:fill="auto"/>
            <w:noWrap/>
            <w:hideMark/>
          </w:tcPr>
          <w:p w14:paraId="6713E19E" w14:textId="77777777" w:rsidR="004B2A4B" w:rsidRPr="00940B5C"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20.3x</w:t>
            </w:r>
          </w:p>
        </w:tc>
      </w:tr>
      <w:tr w:rsidR="00940B5C" w:rsidRPr="00940B5C" w14:paraId="2FC87C14" w14:textId="77777777" w:rsidTr="00940B5C">
        <w:trPr>
          <w:trHeight w:val="20"/>
          <w:jc w:val="center"/>
        </w:trPr>
        <w:tc>
          <w:tcPr>
            <w:cnfStyle w:val="001000000000" w:firstRow="0" w:lastRow="0" w:firstColumn="1" w:lastColumn="0" w:oddVBand="0" w:evenVBand="0" w:oddHBand="0" w:evenHBand="0" w:firstRowFirstColumn="0" w:firstRowLastColumn="0" w:lastRowFirstColumn="0" w:lastRowLastColumn="0"/>
            <w:tcW w:w="1032" w:type="dxa"/>
            <w:shd w:val="clear" w:color="auto" w:fill="auto"/>
            <w:hideMark/>
          </w:tcPr>
          <w:p w14:paraId="5E5A071D" w14:textId="77777777" w:rsidR="004B2A4B" w:rsidRPr="00940B5C" w:rsidRDefault="004B2A4B" w:rsidP="00A456AE">
            <w:pPr>
              <w:pStyle w:val="ExhibitText"/>
              <w:rPr>
                <w:color w:val="000000"/>
                <w:sz w:val="18"/>
                <w:szCs w:val="18"/>
                <w:lang w:val="en-GB"/>
              </w:rPr>
            </w:pPr>
          </w:p>
        </w:tc>
        <w:tc>
          <w:tcPr>
            <w:tcW w:w="2430" w:type="dxa"/>
            <w:shd w:val="clear" w:color="auto" w:fill="auto"/>
            <w:noWrap/>
            <w:vAlign w:val="center"/>
            <w:hideMark/>
          </w:tcPr>
          <w:p w14:paraId="3ECFD979" w14:textId="77777777" w:rsidR="004B2A4B" w:rsidRPr="00940B5C" w:rsidRDefault="004B2A4B" w:rsidP="00A456AE">
            <w:pPr>
              <w:pStyle w:val="ExhibitTex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proofErr w:type="spellStart"/>
            <w:r w:rsidRPr="00940B5C">
              <w:rPr>
                <w:color w:val="000000"/>
                <w:sz w:val="18"/>
                <w:szCs w:val="18"/>
                <w:lang w:val="en-GB"/>
              </w:rPr>
              <w:t>Touchcorp</w:t>
            </w:r>
            <w:proofErr w:type="spellEnd"/>
            <w:r w:rsidRPr="00940B5C">
              <w:rPr>
                <w:color w:val="000000"/>
                <w:sz w:val="18"/>
                <w:szCs w:val="18"/>
                <w:lang w:val="en-GB"/>
              </w:rPr>
              <w:t xml:space="preserve"> Ltd.</w:t>
            </w:r>
          </w:p>
        </w:tc>
        <w:tc>
          <w:tcPr>
            <w:tcW w:w="1350" w:type="dxa"/>
            <w:shd w:val="clear" w:color="auto" w:fill="auto"/>
            <w:noWrap/>
            <w:hideMark/>
          </w:tcPr>
          <w:p w14:paraId="46D6D883" w14:textId="77777777" w:rsidR="004B2A4B" w:rsidRPr="00940B5C" w:rsidRDefault="004B2A4B" w:rsidP="00A456AE">
            <w:pPr>
              <w:pStyle w:val="ExhibitText"/>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Australia</w:t>
            </w:r>
          </w:p>
        </w:tc>
        <w:tc>
          <w:tcPr>
            <w:tcW w:w="990" w:type="dxa"/>
            <w:shd w:val="clear" w:color="auto" w:fill="auto"/>
            <w:noWrap/>
            <w:hideMark/>
          </w:tcPr>
          <w:p w14:paraId="3B3D0676" w14:textId="77777777" w:rsidR="004B2A4B" w:rsidRPr="00940B5C"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191</w:t>
            </w:r>
          </w:p>
        </w:tc>
        <w:tc>
          <w:tcPr>
            <w:tcW w:w="900" w:type="dxa"/>
            <w:shd w:val="clear" w:color="auto" w:fill="auto"/>
            <w:noWrap/>
            <w:hideMark/>
          </w:tcPr>
          <w:p w14:paraId="2F2DB3C9" w14:textId="77777777" w:rsidR="004B2A4B" w:rsidRPr="00940B5C"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1.61</w:t>
            </w:r>
          </w:p>
        </w:tc>
        <w:tc>
          <w:tcPr>
            <w:tcW w:w="990" w:type="dxa"/>
            <w:shd w:val="clear" w:color="auto" w:fill="auto"/>
            <w:noWrap/>
            <w:hideMark/>
          </w:tcPr>
          <w:p w14:paraId="0756F479" w14:textId="77777777" w:rsidR="004B2A4B" w:rsidRPr="00940B5C"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11.8x</w:t>
            </w:r>
          </w:p>
        </w:tc>
        <w:tc>
          <w:tcPr>
            <w:tcW w:w="913" w:type="dxa"/>
            <w:shd w:val="clear" w:color="auto" w:fill="auto"/>
            <w:noWrap/>
            <w:hideMark/>
          </w:tcPr>
          <w:p w14:paraId="2DED8041" w14:textId="77777777" w:rsidR="004B2A4B" w:rsidRPr="00940B5C"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10.6x</w:t>
            </w:r>
          </w:p>
        </w:tc>
        <w:tc>
          <w:tcPr>
            <w:tcW w:w="861" w:type="dxa"/>
            <w:shd w:val="clear" w:color="auto" w:fill="auto"/>
            <w:noWrap/>
            <w:hideMark/>
          </w:tcPr>
          <w:p w14:paraId="0B5DFD3B" w14:textId="77777777" w:rsidR="004B2A4B" w:rsidRPr="00940B5C"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4.3x</w:t>
            </w:r>
          </w:p>
        </w:tc>
      </w:tr>
      <w:tr w:rsidR="00940B5C" w:rsidRPr="00940B5C" w14:paraId="172A60BB" w14:textId="77777777" w:rsidTr="00940B5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32" w:type="dxa"/>
            <w:shd w:val="clear" w:color="auto" w:fill="auto"/>
            <w:hideMark/>
          </w:tcPr>
          <w:p w14:paraId="394CD538" w14:textId="77777777" w:rsidR="004B2A4B" w:rsidRPr="00940B5C" w:rsidRDefault="004B2A4B" w:rsidP="00A456AE">
            <w:pPr>
              <w:pStyle w:val="ExhibitText"/>
              <w:rPr>
                <w:color w:val="000000"/>
                <w:sz w:val="18"/>
                <w:szCs w:val="18"/>
                <w:lang w:val="en-GB"/>
              </w:rPr>
            </w:pPr>
          </w:p>
        </w:tc>
        <w:tc>
          <w:tcPr>
            <w:tcW w:w="2430" w:type="dxa"/>
            <w:shd w:val="clear" w:color="auto" w:fill="auto"/>
            <w:noWrap/>
            <w:vAlign w:val="center"/>
            <w:hideMark/>
          </w:tcPr>
          <w:p w14:paraId="539CA9E6" w14:textId="77777777" w:rsidR="004B2A4B" w:rsidRPr="00940B5C" w:rsidRDefault="004B2A4B" w:rsidP="00A456AE">
            <w:pPr>
              <w:pStyle w:val="ExhibitTex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Mobile Embrace Ltd.</w:t>
            </w:r>
          </w:p>
        </w:tc>
        <w:tc>
          <w:tcPr>
            <w:tcW w:w="1350" w:type="dxa"/>
            <w:shd w:val="clear" w:color="auto" w:fill="auto"/>
            <w:noWrap/>
            <w:hideMark/>
          </w:tcPr>
          <w:p w14:paraId="3C2EAD41" w14:textId="77777777" w:rsidR="004B2A4B" w:rsidRPr="00940B5C" w:rsidRDefault="004B2A4B" w:rsidP="00A456AE">
            <w:pPr>
              <w:pStyle w:val="ExhibitText"/>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Australia</w:t>
            </w:r>
          </w:p>
        </w:tc>
        <w:tc>
          <w:tcPr>
            <w:tcW w:w="990" w:type="dxa"/>
            <w:shd w:val="clear" w:color="auto" w:fill="auto"/>
            <w:noWrap/>
            <w:hideMark/>
          </w:tcPr>
          <w:p w14:paraId="65B96224" w14:textId="77777777" w:rsidR="004B2A4B" w:rsidRPr="00940B5C"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142</w:t>
            </w:r>
          </w:p>
        </w:tc>
        <w:tc>
          <w:tcPr>
            <w:tcW w:w="900" w:type="dxa"/>
            <w:shd w:val="clear" w:color="auto" w:fill="auto"/>
            <w:noWrap/>
            <w:hideMark/>
          </w:tcPr>
          <w:p w14:paraId="13F6DC84" w14:textId="77777777" w:rsidR="004B2A4B" w:rsidRPr="00940B5C"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0.32</w:t>
            </w:r>
          </w:p>
        </w:tc>
        <w:tc>
          <w:tcPr>
            <w:tcW w:w="990" w:type="dxa"/>
            <w:shd w:val="clear" w:color="auto" w:fill="auto"/>
            <w:noWrap/>
            <w:hideMark/>
          </w:tcPr>
          <w:p w14:paraId="00767AD7" w14:textId="77777777" w:rsidR="004B2A4B" w:rsidRPr="00940B5C"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12.8x</w:t>
            </w:r>
          </w:p>
        </w:tc>
        <w:tc>
          <w:tcPr>
            <w:tcW w:w="913" w:type="dxa"/>
            <w:shd w:val="clear" w:color="auto" w:fill="auto"/>
            <w:noWrap/>
            <w:hideMark/>
          </w:tcPr>
          <w:p w14:paraId="5C533723" w14:textId="77777777" w:rsidR="004B2A4B" w:rsidRPr="00940B5C"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p>
        </w:tc>
        <w:tc>
          <w:tcPr>
            <w:tcW w:w="861" w:type="dxa"/>
            <w:shd w:val="clear" w:color="auto" w:fill="auto"/>
            <w:noWrap/>
            <w:hideMark/>
          </w:tcPr>
          <w:p w14:paraId="7F7719EC" w14:textId="77777777" w:rsidR="004B2A4B" w:rsidRPr="00940B5C"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6.3x</w:t>
            </w:r>
          </w:p>
        </w:tc>
      </w:tr>
      <w:tr w:rsidR="00940B5C" w:rsidRPr="00940B5C" w14:paraId="3CC3DC57" w14:textId="77777777" w:rsidTr="00940B5C">
        <w:trPr>
          <w:trHeight w:val="20"/>
          <w:jc w:val="center"/>
        </w:trPr>
        <w:tc>
          <w:tcPr>
            <w:cnfStyle w:val="001000000000" w:firstRow="0" w:lastRow="0" w:firstColumn="1" w:lastColumn="0" w:oddVBand="0" w:evenVBand="0" w:oddHBand="0" w:evenHBand="0" w:firstRowFirstColumn="0" w:firstRowLastColumn="0" w:lastRowFirstColumn="0" w:lastRowLastColumn="0"/>
            <w:tcW w:w="1032" w:type="dxa"/>
            <w:shd w:val="clear" w:color="auto" w:fill="auto"/>
            <w:hideMark/>
          </w:tcPr>
          <w:p w14:paraId="4FCDB249" w14:textId="77777777" w:rsidR="004B2A4B" w:rsidRPr="00940B5C" w:rsidRDefault="004B2A4B" w:rsidP="00A456AE">
            <w:pPr>
              <w:pStyle w:val="ExhibitText"/>
              <w:rPr>
                <w:color w:val="000000"/>
                <w:sz w:val="18"/>
                <w:szCs w:val="18"/>
                <w:lang w:val="en-GB"/>
              </w:rPr>
            </w:pPr>
          </w:p>
        </w:tc>
        <w:tc>
          <w:tcPr>
            <w:tcW w:w="2430" w:type="dxa"/>
            <w:shd w:val="clear" w:color="auto" w:fill="auto"/>
            <w:noWrap/>
            <w:vAlign w:val="center"/>
            <w:hideMark/>
          </w:tcPr>
          <w:p w14:paraId="213D77E2" w14:textId="77777777" w:rsidR="004B2A4B" w:rsidRPr="00940B5C" w:rsidRDefault="004B2A4B" w:rsidP="00A456AE">
            <w:pPr>
              <w:pStyle w:val="ExhibitTex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proofErr w:type="spellStart"/>
            <w:r w:rsidRPr="00940B5C">
              <w:rPr>
                <w:color w:val="000000"/>
                <w:sz w:val="18"/>
                <w:szCs w:val="18"/>
                <w:lang w:val="en-GB"/>
              </w:rPr>
              <w:t>Zipmoney</w:t>
            </w:r>
            <w:proofErr w:type="spellEnd"/>
            <w:r w:rsidRPr="00940B5C">
              <w:rPr>
                <w:color w:val="000000"/>
                <w:sz w:val="18"/>
                <w:szCs w:val="18"/>
                <w:lang w:val="en-GB"/>
              </w:rPr>
              <w:t xml:space="preserve"> Ltd.</w:t>
            </w:r>
          </w:p>
        </w:tc>
        <w:tc>
          <w:tcPr>
            <w:tcW w:w="1350" w:type="dxa"/>
            <w:shd w:val="clear" w:color="auto" w:fill="auto"/>
            <w:noWrap/>
            <w:hideMark/>
          </w:tcPr>
          <w:p w14:paraId="4E2CD904" w14:textId="77777777" w:rsidR="004B2A4B" w:rsidRPr="00940B5C" w:rsidRDefault="004B2A4B" w:rsidP="00A456AE">
            <w:pPr>
              <w:pStyle w:val="ExhibitText"/>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Australia</w:t>
            </w:r>
          </w:p>
        </w:tc>
        <w:tc>
          <w:tcPr>
            <w:tcW w:w="990" w:type="dxa"/>
            <w:shd w:val="clear" w:color="auto" w:fill="auto"/>
            <w:noWrap/>
            <w:hideMark/>
          </w:tcPr>
          <w:p w14:paraId="298E45F9" w14:textId="77777777" w:rsidR="004B2A4B" w:rsidRPr="00940B5C"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138</w:t>
            </w:r>
          </w:p>
        </w:tc>
        <w:tc>
          <w:tcPr>
            <w:tcW w:w="900" w:type="dxa"/>
            <w:shd w:val="clear" w:color="auto" w:fill="auto"/>
            <w:noWrap/>
            <w:hideMark/>
          </w:tcPr>
          <w:p w14:paraId="521F1AED" w14:textId="77777777" w:rsidR="004B2A4B" w:rsidRPr="00940B5C"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0.67</w:t>
            </w:r>
          </w:p>
        </w:tc>
        <w:tc>
          <w:tcPr>
            <w:tcW w:w="990" w:type="dxa"/>
            <w:shd w:val="clear" w:color="auto" w:fill="auto"/>
            <w:noWrap/>
            <w:hideMark/>
          </w:tcPr>
          <w:p w14:paraId="0E58DC27" w14:textId="77777777" w:rsidR="004B2A4B" w:rsidRPr="00940B5C"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51.2x</w:t>
            </w:r>
          </w:p>
        </w:tc>
        <w:tc>
          <w:tcPr>
            <w:tcW w:w="913" w:type="dxa"/>
            <w:shd w:val="clear" w:color="auto" w:fill="auto"/>
            <w:noWrap/>
            <w:hideMark/>
          </w:tcPr>
          <w:p w14:paraId="020286C9" w14:textId="77777777" w:rsidR="004B2A4B" w:rsidRPr="00940B5C"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36.9x</w:t>
            </w:r>
          </w:p>
        </w:tc>
        <w:tc>
          <w:tcPr>
            <w:tcW w:w="861" w:type="dxa"/>
            <w:shd w:val="clear" w:color="auto" w:fill="auto"/>
            <w:noWrap/>
            <w:hideMark/>
          </w:tcPr>
          <w:p w14:paraId="35F96C7E" w14:textId="77777777" w:rsidR="004B2A4B" w:rsidRPr="00940B5C"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108.3x</w:t>
            </w:r>
          </w:p>
        </w:tc>
      </w:tr>
      <w:tr w:rsidR="00940B5C" w:rsidRPr="00940B5C" w14:paraId="3E334B38" w14:textId="77777777" w:rsidTr="00940B5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32" w:type="dxa"/>
            <w:shd w:val="clear" w:color="auto" w:fill="auto"/>
            <w:hideMark/>
          </w:tcPr>
          <w:p w14:paraId="40E8D9C9" w14:textId="77777777" w:rsidR="004B2A4B" w:rsidRPr="00940B5C" w:rsidRDefault="004B2A4B" w:rsidP="00A456AE">
            <w:pPr>
              <w:pStyle w:val="ExhibitText"/>
              <w:rPr>
                <w:color w:val="000000"/>
                <w:sz w:val="18"/>
                <w:szCs w:val="18"/>
                <w:lang w:val="en-GB"/>
              </w:rPr>
            </w:pPr>
          </w:p>
        </w:tc>
        <w:tc>
          <w:tcPr>
            <w:tcW w:w="2430" w:type="dxa"/>
            <w:shd w:val="clear" w:color="auto" w:fill="auto"/>
            <w:noWrap/>
            <w:vAlign w:val="center"/>
            <w:hideMark/>
          </w:tcPr>
          <w:p w14:paraId="3FF7C83D" w14:textId="77777777" w:rsidR="004B2A4B" w:rsidRPr="00940B5C" w:rsidRDefault="004B2A4B" w:rsidP="00A456AE">
            <w:pPr>
              <w:pStyle w:val="ExhibitTex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Updater</w:t>
            </w:r>
          </w:p>
        </w:tc>
        <w:tc>
          <w:tcPr>
            <w:tcW w:w="1350" w:type="dxa"/>
            <w:shd w:val="clear" w:color="auto" w:fill="auto"/>
            <w:noWrap/>
            <w:hideMark/>
          </w:tcPr>
          <w:p w14:paraId="1FC9AC4C" w14:textId="77777777" w:rsidR="004B2A4B" w:rsidRPr="00940B5C" w:rsidRDefault="004B2A4B" w:rsidP="00A456AE">
            <w:pPr>
              <w:pStyle w:val="ExhibitText"/>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United States</w:t>
            </w:r>
          </w:p>
        </w:tc>
        <w:tc>
          <w:tcPr>
            <w:tcW w:w="990" w:type="dxa"/>
            <w:shd w:val="clear" w:color="auto" w:fill="auto"/>
            <w:noWrap/>
            <w:hideMark/>
          </w:tcPr>
          <w:p w14:paraId="16E394D0" w14:textId="77777777" w:rsidR="004B2A4B" w:rsidRPr="00940B5C"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128</w:t>
            </w:r>
          </w:p>
        </w:tc>
        <w:tc>
          <w:tcPr>
            <w:tcW w:w="900" w:type="dxa"/>
            <w:shd w:val="clear" w:color="auto" w:fill="auto"/>
            <w:noWrap/>
            <w:hideMark/>
          </w:tcPr>
          <w:p w14:paraId="33D0A1B1" w14:textId="77777777" w:rsidR="004B2A4B" w:rsidRPr="00940B5C"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0.30</w:t>
            </w:r>
          </w:p>
        </w:tc>
        <w:tc>
          <w:tcPr>
            <w:tcW w:w="990" w:type="dxa"/>
            <w:shd w:val="clear" w:color="auto" w:fill="auto"/>
            <w:noWrap/>
            <w:hideMark/>
          </w:tcPr>
          <w:p w14:paraId="65D7CAA1" w14:textId="77777777" w:rsidR="004B2A4B" w:rsidRPr="00940B5C"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p>
        </w:tc>
        <w:tc>
          <w:tcPr>
            <w:tcW w:w="913" w:type="dxa"/>
            <w:shd w:val="clear" w:color="auto" w:fill="auto"/>
            <w:noWrap/>
            <w:hideMark/>
          </w:tcPr>
          <w:p w14:paraId="22857FB2" w14:textId="77777777" w:rsidR="004B2A4B" w:rsidRPr="00940B5C"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sz w:val="18"/>
                <w:szCs w:val="18"/>
                <w:lang w:val="en-GB"/>
              </w:rPr>
            </w:pPr>
          </w:p>
        </w:tc>
        <w:tc>
          <w:tcPr>
            <w:tcW w:w="861" w:type="dxa"/>
            <w:shd w:val="clear" w:color="auto" w:fill="auto"/>
            <w:noWrap/>
            <w:hideMark/>
          </w:tcPr>
          <w:p w14:paraId="76809725" w14:textId="77777777" w:rsidR="004B2A4B" w:rsidRPr="00940B5C"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8.2x</w:t>
            </w:r>
          </w:p>
        </w:tc>
      </w:tr>
      <w:tr w:rsidR="00940B5C" w:rsidRPr="00940B5C" w14:paraId="081EFB0B" w14:textId="77777777" w:rsidTr="00940B5C">
        <w:trPr>
          <w:trHeight w:val="20"/>
          <w:jc w:val="center"/>
        </w:trPr>
        <w:tc>
          <w:tcPr>
            <w:cnfStyle w:val="001000000000" w:firstRow="0" w:lastRow="0" w:firstColumn="1" w:lastColumn="0" w:oddVBand="0" w:evenVBand="0" w:oddHBand="0" w:evenHBand="0" w:firstRowFirstColumn="0" w:firstRowLastColumn="0" w:lastRowFirstColumn="0" w:lastRowLastColumn="0"/>
            <w:tcW w:w="1032" w:type="dxa"/>
            <w:shd w:val="clear" w:color="auto" w:fill="auto"/>
            <w:hideMark/>
          </w:tcPr>
          <w:p w14:paraId="50D98905" w14:textId="77777777" w:rsidR="004B2A4B" w:rsidRPr="00940B5C" w:rsidRDefault="004B2A4B" w:rsidP="00A456AE">
            <w:pPr>
              <w:pStyle w:val="ExhibitText"/>
              <w:rPr>
                <w:color w:val="000000"/>
                <w:sz w:val="18"/>
                <w:szCs w:val="18"/>
                <w:lang w:val="en-GB"/>
              </w:rPr>
            </w:pPr>
          </w:p>
        </w:tc>
        <w:tc>
          <w:tcPr>
            <w:tcW w:w="2430" w:type="dxa"/>
            <w:shd w:val="clear" w:color="auto" w:fill="auto"/>
            <w:noWrap/>
            <w:vAlign w:val="center"/>
            <w:hideMark/>
          </w:tcPr>
          <w:p w14:paraId="446A7150" w14:textId="77777777" w:rsidR="004B2A4B" w:rsidRPr="00940B5C" w:rsidRDefault="004B2A4B" w:rsidP="00A456AE">
            <w:pPr>
              <w:pStyle w:val="ExhibitTex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Bps Technology Ltd.</w:t>
            </w:r>
          </w:p>
        </w:tc>
        <w:tc>
          <w:tcPr>
            <w:tcW w:w="1350" w:type="dxa"/>
            <w:shd w:val="clear" w:color="auto" w:fill="auto"/>
            <w:noWrap/>
            <w:hideMark/>
          </w:tcPr>
          <w:p w14:paraId="4289E480" w14:textId="77777777" w:rsidR="004B2A4B" w:rsidRPr="00940B5C" w:rsidRDefault="004B2A4B" w:rsidP="00A456AE">
            <w:pPr>
              <w:pStyle w:val="ExhibitText"/>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Australia</w:t>
            </w:r>
          </w:p>
        </w:tc>
        <w:tc>
          <w:tcPr>
            <w:tcW w:w="990" w:type="dxa"/>
            <w:shd w:val="clear" w:color="auto" w:fill="auto"/>
            <w:noWrap/>
            <w:hideMark/>
          </w:tcPr>
          <w:p w14:paraId="3F0FE58E" w14:textId="77777777" w:rsidR="004B2A4B" w:rsidRPr="00940B5C"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54</w:t>
            </w:r>
          </w:p>
        </w:tc>
        <w:tc>
          <w:tcPr>
            <w:tcW w:w="900" w:type="dxa"/>
            <w:shd w:val="clear" w:color="auto" w:fill="auto"/>
            <w:noWrap/>
            <w:hideMark/>
          </w:tcPr>
          <w:p w14:paraId="5FE6575E" w14:textId="77777777" w:rsidR="004B2A4B" w:rsidRPr="00940B5C"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0.92</w:t>
            </w:r>
          </w:p>
        </w:tc>
        <w:tc>
          <w:tcPr>
            <w:tcW w:w="990" w:type="dxa"/>
            <w:shd w:val="clear" w:color="auto" w:fill="auto"/>
            <w:noWrap/>
            <w:hideMark/>
          </w:tcPr>
          <w:p w14:paraId="22B2A8BC" w14:textId="77777777" w:rsidR="004B2A4B" w:rsidRPr="00940B5C"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0.1x</w:t>
            </w:r>
          </w:p>
        </w:tc>
        <w:tc>
          <w:tcPr>
            <w:tcW w:w="913" w:type="dxa"/>
            <w:shd w:val="clear" w:color="auto" w:fill="auto"/>
            <w:noWrap/>
            <w:hideMark/>
          </w:tcPr>
          <w:p w14:paraId="3B000A3E" w14:textId="77777777" w:rsidR="004B2A4B" w:rsidRPr="00940B5C"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0.0x</w:t>
            </w:r>
          </w:p>
        </w:tc>
        <w:tc>
          <w:tcPr>
            <w:tcW w:w="861" w:type="dxa"/>
            <w:shd w:val="clear" w:color="auto" w:fill="auto"/>
            <w:noWrap/>
            <w:hideMark/>
          </w:tcPr>
          <w:p w14:paraId="0B95AD1D" w14:textId="77777777" w:rsidR="004B2A4B" w:rsidRPr="00940B5C"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1.6x</w:t>
            </w:r>
          </w:p>
        </w:tc>
      </w:tr>
      <w:tr w:rsidR="00940B5C" w:rsidRPr="00940B5C" w14:paraId="6FFBC2E9" w14:textId="77777777" w:rsidTr="00940B5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32" w:type="dxa"/>
            <w:shd w:val="clear" w:color="auto" w:fill="auto"/>
            <w:hideMark/>
          </w:tcPr>
          <w:p w14:paraId="27918FBE" w14:textId="77777777" w:rsidR="004B2A4B" w:rsidRPr="00940B5C" w:rsidRDefault="004B2A4B" w:rsidP="00A456AE">
            <w:pPr>
              <w:pStyle w:val="ExhibitText"/>
              <w:rPr>
                <w:color w:val="000000"/>
                <w:sz w:val="18"/>
                <w:szCs w:val="18"/>
                <w:lang w:val="en-GB"/>
              </w:rPr>
            </w:pPr>
          </w:p>
        </w:tc>
        <w:tc>
          <w:tcPr>
            <w:tcW w:w="2430" w:type="dxa"/>
            <w:shd w:val="clear" w:color="auto" w:fill="auto"/>
            <w:noWrap/>
            <w:vAlign w:val="center"/>
            <w:hideMark/>
          </w:tcPr>
          <w:p w14:paraId="16442F16" w14:textId="77777777" w:rsidR="004B2A4B" w:rsidRPr="00940B5C" w:rsidRDefault="004B2A4B" w:rsidP="00A456AE">
            <w:pPr>
              <w:pStyle w:val="ExhibitText"/>
              <w:cnfStyle w:val="000000100000" w:firstRow="0" w:lastRow="0" w:firstColumn="0" w:lastColumn="0" w:oddVBand="0" w:evenVBand="0" w:oddHBand="1" w:evenHBand="0" w:firstRowFirstColumn="0" w:firstRowLastColumn="0" w:lastRowFirstColumn="0" w:lastRowLastColumn="0"/>
              <w:rPr>
                <w:sz w:val="18"/>
                <w:szCs w:val="18"/>
                <w:lang w:val="en-GB"/>
              </w:rPr>
            </w:pPr>
          </w:p>
        </w:tc>
        <w:tc>
          <w:tcPr>
            <w:tcW w:w="1350" w:type="dxa"/>
            <w:shd w:val="clear" w:color="auto" w:fill="auto"/>
            <w:noWrap/>
            <w:hideMark/>
          </w:tcPr>
          <w:p w14:paraId="50CF2845" w14:textId="77777777" w:rsidR="004B2A4B" w:rsidRPr="00940B5C" w:rsidRDefault="004B2A4B" w:rsidP="00A456AE">
            <w:pPr>
              <w:pStyle w:val="ExhibitText"/>
              <w:jc w:val="center"/>
              <w:cnfStyle w:val="000000100000" w:firstRow="0" w:lastRow="0" w:firstColumn="0" w:lastColumn="0" w:oddVBand="0" w:evenVBand="0" w:oddHBand="1" w:evenHBand="0" w:firstRowFirstColumn="0" w:firstRowLastColumn="0" w:lastRowFirstColumn="0" w:lastRowLastColumn="0"/>
              <w:rPr>
                <w:sz w:val="18"/>
                <w:szCs w:val="18"/>
                <w:lang w:val="en-GB"/>
              </w:rPr>
            </w:pPr>
          </w:p>
        </w:tc>
        <w:tc>
          <w:tcPr>
            <w:tcW w:w="990" w:type="dxa"/>
            <w:shd w:val="clear" w:color="auto" w:fill="auto"/>
            <w:noWrap/>
            <w:hideMark/>
          </w:tcPr>
          <w:p w14:paraId="3648D1A2" w14:textId="77777777" w:rsidR="004B2A4B" w:rsidRPr="00940B5C"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sz w:val="18"/>
                <w:szCs w:val="18"/>
                <w:lang w:val="en-GB"/>
              </w:rPr>
            </w:pPr>
          </w:p>
        </w:tc>
        <w:tc>
          <w:tcPr>
            <w:tcW w:w="900" w:type="dxa"/>
            <w:shd w:val="clear" w:color="auto" w:fill="auto"/>
            <w:noWrap/>
            <w:hideMark/>
          </w:tcPr>
          <w:p w14:paraId="229F0347" w14:textId="77777777" w:rsidR="004B2A4B" w:rsidRPr="00940B5C"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sz w:val="18"/>
                <w:szCs w:val="18"/>
                <w:lang w:val="en-GB"/>
              </w:rPr>
            </w:pPr>
          </w:p>
        </w:tc>
        <w:tc>
          <w:tcPr>
            <w:tcW w:w="990" w:type="dxa"/>
            <w:shd w:val="clear" w:color="auto" w:fill="auto"/>
            <w:noWrap/>
            <w:hideMark/>
          </w:tcPr>
          <w:p w14:paraId="494D82F3" w14:textId="77777777" w:rsidR="004B2A4B" w:rsidRPr="00940B5C"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sz w:val="18"/>
                <w:szCs w:val="18"/>
                <w:lang w:val="en-GB"/>
              </w:rPr>
            </w:pPr>
          </w:p>
        </w:tc>
        <w:tc>
          <w:tcPr>
            <w:tcW w:w="913" w:type="dxa"/>
            <w:shd w:val="clear" w:color="auto" w:fill="auto"/>
            <w:noWrap/>
            <w:hideMark/>
          </w:tcPr>
          <w:p w14:paraId="3DA57B0B" w14:textId="77777777" w:rsidR="004B2A4B" w:rsidRPr="00940B5C"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sz w:val="18"/>
                <w:szCs w:val="18"/>
                <w:lang w:val="en-GB"/>
              </w:rPr>
            </w:pPr>
          </w:p>
        </w:tc>
        <w:tc>
          <w:tcPr>
            <w:tcW w:w="861" w:type="dxa"/>
            <w:shd w:val="clear" w:color="auto" w:fill="auto"/>
            <w:noWrap/>
            <w:hideMark/>
          </w:tcPr>
          <w:p w14:paraId="106E3BE0" w14:textId="77777777" w:rsidR="004B2A4B" w:rsidRPr="00940B5C"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sz w:val="18"/>
                <w:szCs w:val="18"/>
                <w:lang w:val="en-GB"/>
              </w:rPr>
            </w:pPr>
          </w:p>
        </w:tc>
      </w:tr>
      <w:tr w:rsidR="00940B5C" w:rsidRPr="00940B5C" w14:paraId="694FCE99" w14:textId="77777777" w:rsidTr="00940B5C">
        <w:trPr>
          <w:trHeight w:val="20"/>
          <w:jc w:val="center"/>
        </w:trPr>
        <w:tc>
          <w:tcPr>
            <w:cnfStyle w:val="001000000000" w:firstRow="0" w:lastRow="0" w:firstColumn="1" w:lastColumn="0" w:oddVBand="0" w:evenVBand="0" w:oddHBand="0" w:evenHBand="0" w:firstRowFirstColumn="0" w:firstRowLastColumn="0" w:lastRowFirstColumn="0" w:lastRowLastColumn="0"/>
            <w:tcW w:w="1032" w:type="dxa"/>
            <w:shd w:val="clear" w:color="auto" w:fill="auto"/>
            <w:hideMark/>
          </w:tcPr>
          <w:p w14:paraId="287149E0" w14:textId="77777777" w:rsidR="004B2A4B" w:rsidRPr="00940B5C" w:rsidRDefault="004B2A4B" w:rsidP="00A456AE">
            <w:pPr>
              <w:pStyle w:val="ExhibitText"/>
              <w:rPr>
                <w:sz w:val="18"/>
                <w:szCs w:val="18"/>
                <w:lang w:val="en-GB"/>
              </w:rPr>
            </w:pPr>
          </w:p>
        </w:tc>
        <w:tc>
          <w:tcPr>
            <w:tcW w:w="2430" w:type="dxa"/>
            <w:shd w:val="clear" w:color="auto" w:fill="auto"/>
            <w:noWrap/>
            <w:vAlign w:val="center"/>
            <w:hideMark/>
          </w:tcPr>
          <w:p w14:paraId="1D2BD923" w14:textId="77777777" w:rsidR="004B2A4B" w:rsidRPr="00940B5C" w:rsidRDefault="004B2A4B" w:rsidP="00A456AE">
            <w:pPr>
              <w:pStyle w:val="ExhibitText"/>
              <w:cnfStyle w:val="000000000000" w:firstRow="0" w:lastRow="0" w:firstColumn="0" w:lastColumn="0" w:oddVBand="0" w:evenVBand="0" w:oddHBand="0" w:evenHBand="0" w:firstRowFirstColumn="0" w:firstRowLastColumn="0" w:lastRowFirstColumn="0" w:lastRowLastColumn="0"/>
              <w:rPr>
                <w:sz w:val="18"/>
                <w:szCs w:val="18"/>
                <w:lang w:val="en-GB"/>
              </w:rPr>
            </w:pPr>
          </w:p>
        </w:tc>
        <w:tc>
          <w:tcPr>
            <w:tcW w:w="1350" w:type="dxa"/>
            <w:shd w:val="clear" w:color="auto" w:fill="auto"/>
            <w:noWrap/>
            <w:hideMark/>
          </w:tcPr>
          <w:p w14:paraId="3635E77C" w14:textId="77777777" w:rsidR="004B2A4B" w:rsidRPr="00940B5C" w:rsidRDefault="004B2A4B" w:rsidP="00A456AE">
            <w:pPr>
              <w:pStyle w:val="ExhibitText"/>
              <w:jc w:val="center"/>
              <w:cnfStyle w:val="000000000000" w:firstRow="0" w:lastRow="0" w:firstColumn="0" w:lastColumn="0" w:oddVBand="0" w:evenVBand="0" w:oddHBand="0" w:evenHBand="0" w:firstRowFirstColumn="0" w:firstRowLastColumn="0" w:lastRowFirstColumn="0" w:lastRowLastColumn="0"/>
              <w:rPr>
                <w:sz w:val="18"/>
                <w:szCs w:val="18"/>
                <w:lang w:val="en-GB"/>
              </w:rPr>
            </w:pPr>
          </w:p>
        </w:tc>
        <w:tc>
          <w:tcPr>
            <w:tcW w:w="990" w:type="dxa"/>
            <w:shd w:val="clear" w:color="auto" w:fill="auto"/>
            <w:noWrap/>
            <w:hideMark/>
          </w:tcPr>
          <w:p w14:paraId="4CFE5CBC" w14:textId="77777777" w:rsidR="004B2A4B" w:rsidRPr="00940B5C"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average</w:t>
            </w:r>
          </w:p>
        </w:tc>
        <w:tc>
          <w:tcPr>
            <w:tcW w:w="900" w:type="dxa"/>
            <w:shd w:val="clear" w:color="auto" w:fill="auto"/>
            <w:noWrap/>
            <w:hideMark/>
          </w:tcPr>
          <w:p w14:paraId="55386639" w14:textId="77777777" w:rsidR="004B2A4B" w:rsidRPr="00940B5C"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p>
        </w:tc>
        <w:tc>
          <w:tcPr>
            <w:tcW w:w="990" w:type="dxa"/>
            <w:shd w:val="clear" w:color="auto" w:fill="auto"/>
            <w:noWrap/>
            <w:hideMark/>
          </w:tcPr>
          <w:p w14:paraId="6FB66EF2" w14:textId="77777777" w:rsidR="004B2A4B" w:rsidRPr="00940B5C"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18.9x</w:t>
            </w:r>
          </w:p>
        </w:tc>
        <w:tc>
          <w:tcPr>
            <w:tcW w:w="913" w:type="dxa"/>
            <w:shd w:val="clear" w:color="auto" w:fill="auto"/>
            <w:noWrap/>
            <w:hideMark/>
          </w:tcPr>
          <w:p w14:paraId="44CB3CBD" w14:textId="77777777" w:rsidR="004B2A4B" w:rsidRPr="00940B5C"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15.9x</w:t>
            </w:r>
          </w:p>
        </w:tc>
        <w:tc>
          <w:tcPr>
            <w:tcW w:w="861" w:type="dxa"/>
            <w:shd w:val="clear" w:color="auto" w:fill="auto"/>
            <w:noWrap/>
            <w:hideMark/>
          </w:tcPr>
          <w:p w14:paraId="43E5FE0B" w14:textId="77777777" w:rsidR="004B2A4B" w:rsidRPr="00940B5C"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24.8x</w:t>
            </w:r>
          </w:p>
        </w:tc>
      </w:tr>
      <w:tr w:rsidR="00940B5C" w:rsidRPr="00940B5C" w14:paraId="64FBC1FE" w14:textId="77777777" w:rsidTr="00940B5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32" w:type="dxa"/>
            <w:shd w:val="clear" w:color="auto" w:fill="auto"/>
            <w:hideMark/>
          </w:tcPr>
          <w:p w14:paraId="35B5C549" w14:textId="77777777" w:rsidR="004B2A4B" w:rsidRPr="00940B5C" w:rsidRDefault="004B2A4B" w:rsidP="00A456AE">
            <w:pPr>
              <w:pStyle w:val="ExhibitText"/>
              <w:rPr>
                <w:color w:val="000000"/>
                <w:sz w:val="18"/>
                <w:szCs w:val="18"/>
                <w:lang w:val="en-GB"/>
              </w:rPr>
            </w:pPr>
          </w:p>
        </w:tc>
        <w:tc>
          <w:tcPr>
            <w:tcW w:w="2430" w:type="dxa"/>
            <w:shd w:val="clear" w:color="auto" w:fill="auto"/>
            <w:noWrap/>
            <w:vAlign w:val="center"/>
            <w:hideMark/>
          </w:tcPr>
          <w:p w14:paraId="195E451C" w14:textId="77777777" w:rsidR="004B2A4B" w:rsidRPr="00940B5C" w:rsidRDefault="004B2A4B" w:rsidP="00A456AE">
            <w:pPr>
              <w:pStyle w:val="ExhibitText"/>
              <w:cnfStyle w:val="000000100000" w:firstRow="0" w:lastRow="0" w:firstColumn="0" w:lastColumn="0" w:oddVBand="0" w:evenVBand="0" w:oddHBand="1" w:evenHBand="0" w:firstRowFirstColumn="0" w:firstRowLastColumn="0" w:lastRowFirstColumn="0" w:lastRowLastColumn="0"/>
              <w:rPr>
                <w:sz w:val="18"/>
                <w:szCs w:val="18"/>
                <w:lang w:val="en-GB"/>
              </w:rPr>
            </w:pPr>
          </w:p>
        </w:tc>
        <w:tc>
          <w:tcPr>
            <w:tcW w:w="1350" w:type="dxa"/>
            <w:shd w:val="clear" w:color="auto" w:fill="auto"/>
            <w:noWrap/>
            <w:hideMark/>
          </w:tcPr>
          <w:p w14:paraId="508DF081" w14:textId="77777777" w:rsidR="004B2A4B" w:rsidRPr="00940B5C" w:rsidRDefault="004B2A4B" w:rsidP="00A456AE">
            <w:pPr>
              <w:pStyle w:val="ExhibitText"/>
              <w:jc w:val="center"/>
              <w:cnfStyle w:val="000000100000" w:firstRow="0" w:lastRow="0" w:firstColumn="0" w:lastColumn="0" w:oddVBand="0" w:evenVBand="0" w:oddHBand="1" w:evenHBand="0" w:firstRowFirstColumn="0" w:firstRowLastColumn="0" w:lastRowFirstColumn="0" w:lastRowLastColumn="0"/>
              <w:rPr>
                <w:sz w:val="18"/>
                <w:szCs w:val="18"/>
                <w:lang w:val="en-GB"/>
              </w:rPr>
            </w:pPr>
          </w:p>
        </w:tc>
        <w:tc>
          <w:tcPr>
            <w:tcW w:w="990" w:type="dxa"/>
            <w:shd w:val="clear" w:color="auto" w:fill="auto"/>
            <w:noWrap/>
            <w:hideMark/>
          </w:tcPr>
          <w:p w14:paraId="70505A94" w14:textId="77777777" w:rsidR="004B2A4B" w:rsidRPr="00940B5C"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median</w:t>
            </w:r>
          </w:p>
        </w:tc>
        <w:tc>
          <w:tcPr>
            <w:tcW w:w="900" w:type="dxa"/>
            <w:shd w:val="clear" w:color="auto" w:fill="auto"/>
            <w:noWrap/>
            <w:hideMark/>
          </w:tcPr>
          <w:p w14:paraId="55AFD82D" w14:textId="77777777" w:rsidR="004B2A4B" w:rsidRPr="00940B5C"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p>
        </w:tc>
        <w:tc>
          <w:tcPr>
            <w:tcW w:w="990" w:type="dxa"/>
            <w:shd w:val="clear" w:color="auto" w:fill="auto"/>
            <w:noWrap/>
            <w:hideMark/>
          </w:tcPr>
          <w:p w14:paraId="56050C4A" w14:textId="77777777" w:rsidR="004B2A4B" w:rsidRPr="00940B5C"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12.3x</w:t>
            </w:r>
          </w:p>
        </w:tc>
        <w:tc>
          <w:tcPr>
            <w:tcW w:w="913" w:type="dxa"/>
            <w:shd w:val="clear" w:color="auto" w:fill="auto"/>
            <w:noWrap/>
            <w:hideMark/>
          </w:tcPr>
          <w:p w14:paraId="1AB559D6" w14:textId="77777777" w:rsidR="004B2A4B" w:rsidRPr="00940B5C"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10.6x</w:t>
            </w:r>
          </w:p>
        </w:tc>
        <w:tc>
          <w:tcPr>
            <w:tcW w:w="861" w:type="dxa"/>
            <w:shd w:val="clear" w:color="auto" w:fill="auto"/>
            <w:noWrap/>
            <w:hideMark/>
          </w:tcPr>
          <w:p w14:paraId="3A44303F" w14:textId="77777777" w:rsidR="004B2A4B" w:rsidRPr="00940B5C"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7.2x</w:t>
            </w:r>
          </w:p>
        </w:tc>
      </w:tr>
      <w:tr w:rsidR="004B2A4B" w:rsidRPr="00940B5C" w14:paraId="33C99A4F" w14:textId="77777777" w:rsidTr="00940B5C">
        <w:trPr>
          <w:trHeight w:val="20"/>
          <w:jc w:val="center"/>
        </w:trPr>
        <w:tc>
          <w:tcPr>
            <w:cnfStyle w:val="001000000000" w:firstRow="0" w:lastRow="0" w:firstColumn="1" w:lastColumn="0" w:oddVBand="0" w:evenVBand="0" w:oddHBand="0" w:evenHBand="0" w:firstRowFirstColumn="0" w:firstRowLastColumn="0" w:lastRowFirstColumn="0" w:lastRowLastColumn="0"/>
            <w:tcW w:w="9466" w:type="dxa"/>
            <w:gridSpan w:val="8"/>
            <w:shd w:val="clear" w:color="auto" w:fill="auto"/>
            <w:hideMark/>
          </w:tcPr>
          <w:p w14:paraId="294E16B3" w14:textId="77777777" w:rsidR="004B2A4B" w:rsidRPr="00940B5C" w:rsidRDefault="004B2A4B" w:rsidP="00A456AE">
            <w:pPr>
              <w:pStyle w:val="ExhibitText"/>
              <w:jc w:val="left"/>
              <w:rPr>
                <w:sz w:val="18"/>
                <w:szCs w:val="18"/>
                <w:lang w:val="en-GB"/>
              </w:rPr>
            </w:pPr>
            <w:r w:rsidRPr="00940B5C">
              <w:rPr>
                <w:color w:val="000000"/>
                <w:sz w:val="18"/>
                <w:szCs w:val="18"/>
                <w:lang w:val="en-GB"/>
              </w:rPr>
              <w:t>U.S. Digital Banking Leaders (US$ million)</w:t>
            </w:r>
          </w:p>
        </w:tc>
      </w:tr>
      <w:tr w:rsidR="00940B5C" w:rsidRPr="00940B5C" w14:paraId="2275C58B" w14:textId="77777777" w:rsidTr="00940B5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32" w:type="dxa"/>
            <w:shd w:val="clear" w:color="auto" w:fill="auto"/>
            <w:hideMark/>
          </w:tcPr>
          <w:p w14:paraId="583194E6" w14:textId="77777777" w:rsidR="004B2A4B" w:rsidRPr="00940B5C" w:rsidRDefault="004B2A4B" w:rsidP="00A456AE">
            <w:pPr>
              <w:pStyle w:val="ExhibitText"/>
              <w:rPr>
                <w:sz w:val="18"/>
                <w:szCs w:val="18"/>
                <w:lang w:val="en-GB"/>
              </w:rPr>
            </w:pPr>
          </w:p>
        </w:tc>
        <w:tc>
          <w:tcPr>
            <w:tcW w:w="2430" w:type="dxa"/>
            <w:shd w:val="clear" w:color="auto" w:fill="auto"/>
            <w:noWrap/>
            <w:vAlign w:val="center"/>
            <w:hideMark/>
          </w:tcPr>
          <w:p w14:paraId="012A3159" w14:textId="77777777" w:rsidR="004B2A4B" w:rsidRPr="00940B5C" w:rsidRDefault="004B2A4B" w:rsidP="00A456AE">
            <w:pPr>
              <w:pStyle w:val="ExhibitText"/>
              <w:jc w:val="lef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Capital One Financial Corp.</w:t>
            </w:r>
          </w:p>
        </w:tc>
        <w:tc>
          <w:tcPr>
            <w:tcW w:w="1350" w:type="dxa"/>
            <w:shd w:val="clear" w:color="auto" w:fill="auto"/>
            <w:noWrap/>
            <w:hideMark/>
          </w:tcPr>
          <w:p w14:paraId="4AB3C520" w14:textId="77777777" w:rsidR="004B2A4B" w:rsidRPr="00940B5C" w:rsidRDefault="004B2A4B" w:rsidP="00A456AE">
            <w:pPr>
              <w:pStyle w:val="ExhibitText"/>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United States</w:t>
            </w:r>
          </w:p>
        </w:tc>
        <w:tc>
          <w:tcPr>
            <w:tcW w:w="990" w:type="dxa"/>
            <w:shd w:val="clear" w:color="auto" w:fill="auto"/>
            <w:noWrap/>
            <w:hideMark/>
          </w:tcPr>
          <w:p w14:paraId="6D9E3364" w14:textId="77777777" w:rsidR="004B2A4B" w:rsidRPr="00940B5C"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 xml:space="preserve">34,746 </w:t>
            </w:r>
          </w:p>
        </w:tc>
        <w:tc>
          <w:tcPr>
            <w:tcW w:w="900" w:type="dxa"/>
            <w:shd w:val="clear" w:color="auto" w:fill="auto"/>
            <w:noWrap/>
            <w:hideMark/>
          </w:tcPr>
          <w:p w14:paraId="692675AB" w14:textId="77777777" w:rsidR="004B2A4B" w:rsidRPr="00940B5C"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67.85</w:t>
            </w:r>
          </w:p>
        </w:tc>
        <w:tc>
          <w:tcPr>
            <w:tcW w:w="990" w:type="dxa"/>
            <w:shd w:val="clear" w:color="auto" w:fill="auto"/>
            <w:noWrap/>
            <w:hideMark/>
          </w:tcPr>
          <w:p w14:paraId="037D0202" w14:textId="77777777" w:rsidR="004B2A4B" w:rsidRPr="00940B5C"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8.4x</w:t>
            </w:r>
          </w:p>
        </w:tc>
        <w:tc>
          <w:tcPr>
            <w:tcW w:w="913" w:type="dxa"/>
            <w:shd w:val="clear" w:color="auto" w:fill="auto"/>
            <w:noWrap/>
            <w:hideMark/>
          </w:tcPr>
          <w:p w14:paraId="6DC2B4E1" w14:textId="77777777" w:rsidR="004B2A4B" w:rsidRPr="00940B5C"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7.4x</w:t>
            </w:r>
          </w:p>
        </w:tc>
        <w:tc>
          <w:tcPr>
            <w:tcW w:w="861" w:type="dxa"/>
            <w:shd w:val="clear" w:color="auto" w:fill="auto"/>
            <w:noWrap/>
            <w:hideMark/>
          </w:tcPr>
          <w:p w14:paraId="61A217BE" w14:textId="77777777" w:rsidR="004B2A4B" w:rsidRPr="00940B5C"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0.7x</w:t>
            </w:r>
          </w:p>
        </w:tc>
      </w:tr>
      <w:tr w:rsidR="00940B5C" w:rsidRPr="00940B5C" w14:paraId="375ED7E4" w14:textId="77777777" w:rsidTr="00940B5C">
        <w:trPr>
          <w:trHeight w:val="20"/>
          <w:jc w:val="center"/>
        </w:trPr>
        <w:tc>
          <w:tcPr>
            <w:cnfStyle w:val="001000000000" w:firstRow="0" w:lastRow="0" w:firstColumn="1" w:lastColumn="0" w:oddVBand="0" w:evenVBand="0" w:oddHBand="0" w:evenHBand="0" w:firstRowFirstColumn="0" w:firstRowLastColumn="0" w:lastRowFirstColumn="0" w:lastRowLastColumn="0"/>
            <w:tcW w:w="1032" w:type="dxa"/>
            <w:shd w:val="clear" w:color="auto" w:fill="auto"/>
            <w:hideMark/>
          </w:tcPr>
          <w:p w14:paraId="1B282018" w14:textId="77777777" w:rsidR="004B2A4B" w:rsidRPr="00940B5C" w:rsidRDefault="004B2A4B" w:rsidP="00A456AE">
            <w:pPr>
              <w:pStyle w:val="ExhibitText"/>
              <w:rPr>
                <w:color w:val="000000"/>
                <w:sz w:val="18"/>
                <w:szCs w:val="18"/>
                <w:lang w:val="en-GB"/>
              </w:rPr>
            </w:pPr>
          </w:p>
        </w:tc>
        <w:tc>
          <w:tcPr>
            <w:tcW w:w="2430" w:type="dxa"/>
            <w:shd w:val="clear" w:color="auto" w:fill="auto"/>
            <w:noWrap/>
            <w:vAlign w:val="center"/>
            <w:hideMark/>
          </w:tcPr>
          <w:p w14:paraId="6D63EDD7" w14:textId="77777777" w:rsidR="004B2A4B" w:rsidRPr="00940B5C" w:rsidRDefault="004B2A4B" w:rsidP="00A456AE">
            <w:pPr>
              <w:pStyle w:val="ExhibitText"/>
              <w:jc w:val="lef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Discover Financial Services</w:t>
            </w:r>
          </w:p>
        </w:tc>
        <w:tc>
          <w:tcPr>
            <w:tcW w:w="1350" w:type="dxa"/>
            <w:shd w:val="clear" w:color="auto" w:fill="auto"/>
            <w:noWrap/>
            <w:hideMark/>
          </w:tcPr>
          <w:p w14:paraId="2DA848FE" w14:textId="77777777" w:rsidR="004B2A4B" w:rsidRPr="00940B5C" w:rsidRDefault="004B2A4B" w:rsidP="00A456AE">
            <w:pPr>
              <w:pStyle w:val="ExhibitText"/>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United States</w:t>
            </w:r>
          </w:p>
        </w:tc>
        <w:tc>
          <w:tcPr>
            <w:tcW w:w="990" w:type="dxa"/>
            <w:shd w:val="clear" w:color="auto" w:fill="auto"/>
            <w:noWrap/>
            <w:hideMark/>
          </w:tcPr>
          <w:p w14:paraId="2C0503BA" w14:textId="77777777" w:rsidR="004B2A4B" w:rsidRPr="00940B5C"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 xml:space="preserve">23,369 </w:t>
            </w:r>
          </w:p>
        </w:tc>
        <w:tc>
          <w:tcPr>
            <w:tcW w:w="900" w:type="dxa"/>
            <w:shd w:val="clear" w:color="auto" w:fill="auto"/>
            <w:noWrap/>
            <w:hideMark/>
          </w:tcPr>
          <w:p w14:paraId="576CCD09" w14:textId="77777777" w:rsidR="004B2A4B" w:rsidRPr="00940B5C"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56.69</w:t>
            </w:r>
          </w:p>
        </w:tc>
        <w:tc>
          <w:tcPr>
            <w:tcW w:w="990" w:type="dxa"/>
            <w:shd w:val="clear" w:color="auto" w:fill="auto"/>
            <w:noWrap/>
            <w:hideMark/>
          </w:tcPr>
          <w:p w14:paraId="0402C3A4" w14:textId="77777777" w:rsidR="004B2A4B" w:rsidRPr="00940B5C"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9.3x</w:t>
            </w:r>
          </w:p>
        </w:tc>
        <w:tc>
          <w:tcPr>
            <w:tcW w:w="913" w:type="dxa"/>
            <w:shd w:val="clear" w:color="auto" w:fill="auto"/>
            <w:noWrap/>
            <w:hideMark/>
          </w:tcPr>
          <w:p w14:paraId="7918173B" w14:textId="77777777" w:rsidR="004B2A4B" w:rsidRPr="00940B5C"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8.6x</w:t>
            </w:r>
          </w:p>
        </w:tc>
        <w:tc>
          <w:tcPr>
            <w:tcW w:w="861" w:type="dxa"/>
            <w:shd w:val="clear" w:color="auto" w:fill="auto"/>
            <w:noWrap/>
            <w:hideMark/>
          </w:tcPr>
          <w:p w14:paraId="2C403C87" w14:textId="77777777" w:rsidR="004B2A4B" w:rsidRPr="00940B5C"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2.1x</w:t>
            </w:r>
          </w:p>
        </w:tc>
      </w:tr>
      <w:tr w:rsidR="00940B5C" w:rsidRPr="00940B5C" w14:paraId="69C75158" w14:textId="77777777" w:rsidTr="00940B5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32" w:type="dxa"/>
            <w:shd w:val="clear" w:color="auto" w:fill="auto"/>
            <w:hideMark/>
          </w:tcPr>
          <w:p w14:paraId="4C8D1F4B" w14:textId="77777777" w:rsidR="004B2A4B" w:rsidRPr="00940B5C" w:rsidRDefault="004B2A4B" w:rsidP="00A456AE">
            <w:pPr>
              <w:pStyle w:val="ExhibitText"/>
              <w:rPr>
                <w:color w:val="000000"/>
                <w:sz w:val="18"/>
                <w:szCs w:val="18"/>
                <w:lang w:val="en-GB"/>
              </w:rPr>
            </w:pPr>
          </w:p>
        </w:tc>
        <w:tc>
          <w:tcPr>
            <w:tcW w:w="2430" w:type="dxa"/>
            <w:shd w:val="clear" w:color="auto" w:fill="auto"/>
            <w:noWrap/>
            <w:vAlign w:val="center"/>
            <w:hideMark/>
          </w:tcPr>
          <w:p w14:paraId="5CF65570" w14:textId="77777777" w:rsidR="004B2A4B" w:rsidRPr="00940B5C" w:rsidRDefault="004B2A4B" w:rsidP="00A456AE">
            <w:pPr>
              <w:pStyle w:val="ExhibitText"/>
              <w:jc w:val="lef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 xml:space="preserve">Synchrony Financial </w:t>
            </w:r>
          </w:p>
        </w:tc>
        <w:tc>
          <w:tcPr>
            <w:tcW w:w="1350" w:type="dxa"/>
            <w:shd w:val="clear" w:color="auto" w:fill="auto"/>
            <w:noWrap/>
            <w:hideMark/>
          </w:tcPr>
          <w:p w14:paraId="713897AE" w14:textId="77777777" w:rsidR="004B2A4B" w:rsidRPr="00940B5C" w:rsidRDefault="004B2A4B" w:rsidP="00A456AE">
            <w:pPr>
              <w:pStyle w:val="ExhibitText"/>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United States</w:t>
            </w:r>
          </w:p>
        </w:tc>
        <w:tc>
          <w:tcPr>
            <w:tcW w:w="990" w:type="dxa"/>
            <w:shd w:val="clear" w:color="auto" w:fill="auto"/>
            <w:noWrap/>
            <w:hideMark/>
          </w:tcPr>
          <w:p w14:paraId="231FE0EE" w14:textId="77777777" w:rsidR="004B2A4B" w:rsidRPr="00940B5C"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 xml:space="preserve">23,283 </w:t>
            </w:r>
          </w:p>
        </w:tc>
        <w:tc>
          <w:tcPr>
            <w:tcW w:w="900" w:type="dxa"/>
            <w:shd w:val="clear" w:color="auto" w:fill="auto"/>
            <w:noWrap/>
            <w:hideMark/>
          </w:tcPr>
          <w:p w14:paraId="1904C189" w14:textId="77777777" w:rsidR="004B2A4B" w:rsidRPr="00940B5C"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27.92</w:t>
            </w:r>
          </w:p>
        </w:tc>
        <w:tc>
          <w:tcPr>
            <w:tcW w:w="990" w:type="dxa"/>
            <w:shd w:val="clear" w:color="auto" w:fill="auto"/>
            <w:noWrap/>
            <w:hideMark/>
          </w:tcPr>
          <w:p w14:paraId="66816BA6" w14:textId="77777777" w:rsidR="004B2A4B" w:rsidRPr="00940B5C"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9.3x</w:t>
            </w:r>
          </w:p>
        </w:tc>
        <w:tc>
          <w:tcPr>
            <w:tcW w:w="913" w:type="dxa"/>
            <w:shd w:val="clear" w:color="auto" w:fill="auto"/>
            <w:noWrap/>
            <w:hideMark/>
          </w:tcPr>
          <w:p w14:paraId="0E0BB911" w14:textId="77777777" w:rsidR="004B2A4B" w:rsidRPr="00940B5C"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8.4x</w:t>
            </w:r>
          </w:p>
        </w:tc>
        <w:tc>
          <w:tcPr>
            <w:tcW w:w="861" w:type="dxa"/>
            <w:shd w:val="clear" w:color="auto" w:fill="auto"/>
            <w:noWrap/>
            <w:hideMark/>
          </w:tcPr>
          <w:p w14:paraId="72C77B05" w14:textId="77777777" w:rsidR="004B2A4B" w:rsidRPr="00940B5C"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1.8x</w:t>
            </w:r>
          </w:p>
        </w:tc>
      </w:tr>
      <w:tr w:rsidR="00940B5C" w:rsidRPr="00940B5C" w14:paraId="4D245E8F" w14:textId="77777777" w:rsidTr="00940B5C">
        <w:trPr>
          <w:trHeight w:val="20"/>
          <w:jc w:val="center"/>
        </w:trPr>
        <w:tc>
          <w:tcPr>
            <w:cnfStyle w:val="001000000000" w:firstRow="0" w:lastRow="0" w:firstColumn="1" w:lastColumn="0" w:oddVBand="0" w:evenVBand="0" w:oddHBand="0" w:evenHBand="0" w:firstRowFirstColumn="0" w:firstRowLastColumn="0" w:lastRowFirstColumn="0" w:lastRowLastColumn="0"/>
            <w:tcW w:w="1032" w:type="dxa"/>
            <w:shd w:val="clear" w:color="auto" w:fill="auto"/>
            <w:hideMark/>
          </w:tcPr>
          <w:p w14:paraId="1E8897C7" w14:textId="77777777" w:rsidR="004B2A4B" w:rsidRPr="00940B5C" w:rsidRDefault="004B2A4B" w:rsidP="00A456AE">
            <w:pPr>
              <w:pStyle w:val="ExhibitText"/>
              <w:rPr>
                <w:color w:val="000000"/>
                <w:sz w:val="18"/>
                <w:szCs w:val="18"/>
                <w:lang w:val="en-GB"/>
              </w:rPr>
            </w:pPr>
          </w:p>
        </w:tc>
        <w:tc>
          <w:tcPr>
            <w:tcW w:w="2430" w:type="dxa"/>
            <w:shd w:val="clear" w:color="auto" w:fill="auto"/>
            <w:noWrap/>
            <w:vAlign w:val="center"/>
            <w:hideMark/>
          </w:tcPr>
          <w:p w14:paraId="79337BF7" w14:textId="77777777" w:rsidR="004B2A4B" w:rsidRPr="00940B5C" w:rsidRDefault="004B2A4B" w:rsidP="00A456AE">
            <w:pPr>
              <w:pStyle w:val="ExhibitText"/>
              <w:jc w:val="lef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Ally Financial Inc</w:t>
            </w:r>
          </w:p>
        </w:tc>
        <w:tc>
          <w:tcPr>
            <w:tcW w:w="1350" w:type="dxa"/>
            <w:shd w:val="clear" w:color="auto" w:fill="auto"/>
            <w:noWrap/>
            <w:hideMark/>
          </w:tcPr>
          <w:p w14:paraId="4727A84B" w14:textId="77777777" w:rsidR="004B2A4B" w:rsidRPr="00940B5C" w:rsidRDefault="004B2A4B" w:rsidP="00A456AE">
            <w:pPr>
              <w:pStyle w:val="ExhibitText"/>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United States</w:t>
            </w:r>
          </w:p>
        </w:tc>
        <w:tc>
          <w:tcPr>
            <w:tcW w:w="990" w:type="dxa"/>
            <w:shd w:val="clear" w:color="auto" w:fill="auto"/>
            <w:noWrap/>
            <w:hideMark/>
          </w:tcPr>
          <w:p w14:paraId="57701EEF" w14:textId="77777777" w:rsidR="004B2A4B" w:rsidRPr="00940B5C"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 xml:space="preserve">8,306 </w:t>
            </w:r>
          </w:p>
        </w:tc>
        <w:tc>
          <w:tcPr>
            <w:tcW w:w="900" w:type="dxa"/>
            <w:shd w:val="clear" w:color="auto" w:fill="auto"/>
            <w:noWrap/>
            <w:hideMark/>
          </w:tcPr>
          <w:p w14:paraId="035FA0ED" w14:textId="77777777" w:rsidR="004B2A4B" w:rsidRPr="00940B5C"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17.17</w:t>
            </w:r>
          </w:p>
        </w:tc>
        <w:tc>
          <w:tcPr>
            <w:tcW w:w="990" w:type="dxa"/>
            <w:shd w:val="clear" w:color="auto" w:fill="auto"/>
            <w:noWrap/>
            <w:hideMark/>
          </w:tcPr>
          <w:p w14:paraId="06AD5F5F" w14:textId="77777777" w:rsidR="004B2A4B" w:rsidRPr="00940B5C"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6.6x</w:t>
            </w:r>
          </w:p>
        </w:tc>
        <w:tc>
          <w:tcPr>
            <w:tcW w:w="913" w:type="dxa"/>
            <w:shd w:val="clear" w:color="auto" w:fill="auto"/>
            <w:noWrap/>
            <w:hideMark/>
          </w:tcPr>
          <w:p w14:paraId="443066A0" w14:textId="77777777" w:rsidR="004B2A4B" w:rsidRPr="00940B5C"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6.0x</w:t>
            </w:r>
          </w:p>
        </w:tc>
        <w:tc>
          <w:tcPr>
            <w:tcW w:w="861" w:type="dxa"/>
            <w:shd w:val="clear" w:color="auto" w:fill="auto"/>
            <w:noWrap/>
            <w:hideMark/>
          </w:tcPr>
          <w:p w14:paraId="0FDDDAED" w14:textId="77777777" w:rsidR="004B2A4B" w:rsidRPr="00940B5C"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0.6x</w:t>
            </w:r>
          </w:p>
        </w:tc>
      </w:tr>
      <w:tr w:rsidR="00940B5C" w:rsidRPr="00940B5C" w14:paraId="52EFBF91" w14:textId="77777777" w:rsidTr="00940B5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32" w:type="dxa"/>
            <w:shd w:val="clear" w:color="auto" w:fill="auto"/>
            <w:hideMark/>
          </w:tcPr>
          <w:p w14:paraId="074C7117" w14:textId="77777777" w:rsidR="004B2A4B" w:rsidRPr="00940B5C" w:rsidRDefault="004B2A4B" w:rsidP="00A456AE">
            <w:pPr>
              <w:pStyle w:val="ExhibitText"/>
              <w:rPr>
                <w:color w:val="000000"/>
                <w:sz w:val="18"/>
                <w:szCs w:val="18"/>
                <w:lang w:val="en-GB"/>
              </w:rPr>
            </w:pPr>
          </w:p>
        </w:tc>
        <w:tc>
          <w:tcPr>
            <w:tcW w:w="2430" w:type="dxa"/>
            <w:shd w:val="clear" w:color="auto" w:fill="auto"/>
            <w:noWrap/>
            <w:vAlign w:val="center"/>
            <w:hideMark/>
          </w:tcPr>
          <w:p w14:paraId="1A9B2A5E" w14:textId="77777777" w:rsidR="004B2A4B" w:rsidRPr="00940B5C" w:rsidRDefault="004B2A4B" w:rsidP="00A456AE">
            <w:pPr>
              <w:pStyle w:val="ExhibitText"/>
              <w:jc w:val="lef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Citigroup Inc.</w:t>
            </w:r>
          </w:p>
        </w:tc>
        <w:tc>
          <w:tcPr>
            <w:tcW w:w="1350" w:type="dxa"/>
            <w:shd w:val="clear" w:color="auto" w:fill="auto"/>
            <w:noWrap/>
            <w:hideMark/>
          </w:tcPr>
          <w:p w14:paraId="4DB515AA" w14:textId="77777777" w:rsidR="004B2A4B" w:rsidRPr="00940B5C" w:rsidRDefault="004B2A4B" w:rsidP="00A456AE">
            <w:pPr>
              <w:pStyle w:val="ExhibitText"/>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United States</w:t>
            </w:r>
          </w:p>
        </w:tc>
        <w:tc>
          <w:tcPr>
            <w:tcW w:w="990" w:type="dxa"/>
            <w:shd w:val="clear" w:color="auto" w:fill="auto"/>
            <w:noWrap/>
            <w:hideMark/>
          </w:tcPr>
          <w:p w14:paraId="370CF978" w14:textId="77777777" w:rsidR="004B2A4B" w:rsidRPr="00940B5C"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 xml:space="preserve">6,810 </w:t>
            </w:r>
          </w:p>
        </w:tc>
        <w:tc>
          <w:tcPr>
            <w:tcW w:w="900" w:type="dxa"/>
            <w:shd w:val="clear" w:color="auto" w:fill="auto"/>
            <w:noWrap/>
            <w:hideMark/>
          </w:tcPr>
          <w:p w14:paraId="07CB3ADA" w14:textId="77777777" w:rsidR="004B2A4B" w:rsidRPr="00940B5C"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33.76</w:t>
            </w:r>
          </w:p>
        </w:tc>
        <w:tc>
          <w:tcPr>
            <w:tcW w:w="990" w:type="dxa"/>
            <w:shd w:val="clear" w:color="auto" w:fill="auto"/>
            <w:noWrap/>
            <w:hideMark/>
          </w:tcPr>
          <w:p w14:paraId="1A9D70E6" w14:textId="77777777" w:rsidR="004B2A4B" w:rsidRPr="00940B5C"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9.2x</w:t>
            </w:r>
          </w:p>
        </w:tc>
        <w:tc>
          <w:tcPr>
            <w:tcW w:w="913" w:type="dxa"/>
            <w:shd w:val="clear" w:color="auto" w:fill="auto"/>
            <w:noWrap/>
            <w:hideMark/>
          </w:tcPr>
          <w:p w14:paraId="2500E7C5" w14:textId="77777777" w:rsidR="004B2A4B" w:rsidRPr="00940B5C"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8.7x</w:t>
            </w:r>
          </w:p>
        </w:tc>
        <w:tc>
          <w:tcPr>
            <w:tcW w:w="861" w:type="dxa"/>
            <w:shd w:val="clear" w:color="auto" w:fill="auto"/>
            <w:noWrap/>
            <w:hideMark/>
          </w:tcPr>
          <w:p w14:paraId="2EC83D98" w14:textId="77777777" w:rsidR="004B2A4B" w:rsidRPr="00940B5C"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0.6x</w:t>
            </w:r>
          </w:p>
        </w:tc>
      </w:tr>
      <w:tr w:rsidR="00940B5C" w:rsidRPr="00940B5C" w14:paraId="01DE1372" w14:textId="77777777" w:rsidTr="00940B5C">
        <w:trPr>
          <w:trHeight w:val="20"/>
          <w:jc w:val="center"/>
        </w:trPr>
        <w:tc>
          <w:tcPr>
            <w:cnfStyle w:val="001000000000" w:firstRow="0" w:lastRow="0" w:firstColumn="1" w:lastColumn="0" w:oddVBand="0" w:evenVBand="0" w:oddHBand="0" w:evenHBand="0" w:firstRowFirstColumn="0" w:firstRowLastColumn="0" w:lastRowFirstColumn="0" w:lastRowLastColumn="0"/>
            <w:tcW w:w="1032" w:type="dxa"/>
            <w:shd w:val="clear" w:color="auto" w:fill="auto"/>
            <w:hideMark/>
          </w:tcPr>
          <w:p w14:paraId="5295053A" w14:textId="77777777" w:rsidR="004B2A4B" w:rsidRPr="00940B5C" w:rsidRDefault="004B2A4B" w:rsidP="00A456AE">
            <w:pPr>
              <w:pStyle w:val="ExhibitText"/>
              <w:rPr>
                <w:color w:val="000000"/>
                <w:sz w:val="18"/>
                <w:szCs w:val="18"/>
                <w:lang w:val="en-GB"/>
              </w:rPr>
            </w:pPr>
          </w:p>
        </w:tc>
        <w:tc>
          <w:tcPr>
            <w:tcW w:w="2430" w:type="dxa"/>
            <w:shd w:val="clear" w:color="auto" w:fill="auto"/>
            <w:noWrap/>
            <w:vAlign w:val="center"/>
            <w:hideMark/>
          </w:tcPr>
          <w:p w14:paraId="39F65CF6" w14:textId="77777777" w:rsidR="004B2A4B" w:rsidRPr="00940B5C" w:rsidRDefault="004B2A4B" w:rsidP="00A456AE">
            <w:pPr>
              <w:pStyle w:val="ExhibitText"/>
              <w:jc w:val="lef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EverBank Financial Corp.</w:t>
            </w:r>
          </w:p>
        </w:tc>
        <w:tc>
          <w:tcPr>
            <w:tcW w:w="1350" w:type="dxa"/>
            <w:shd w:val="clear" w:color="auto" w:fill="auto"/>
            <w:noWrap/>
            <w:hideMark/>
          </w:tcPr>
          <w:p w14:paraId="3B590982" w14:textId="77777777" w:rsidR="004B2A4B" w:rsidRPr="00940B5C" w:rsidRDefault="004B2A4B" w:rsidP="00A456AE">
            <w:pPr>
              <w:pStyle w:val="ExhibitText"/>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United States</w:t>
            </w:r>
          </w:p>
        </w:tc>
        <w:tc>
          <w:tcPr>
            <w:tcW w:w="990" w:type="dxa"/>
            <w:shd w:val="clear" w:color="auto" w:fill="auto"/>
            <w:noWrap/>
            <w:hideMark/>
          </w:tcPr>
          <w:p w14:paraId="61CE8648" w14:textId="77777777" w:rsidR="004B2A4B" w:rsidRPr="00940B5C"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 xml:space="preserve">1,960 </w:t>
            </w:r>
          </w:p>
        </w:tc>
        <w:tc>
          <w:tcPr>
            <w:tcW w:w="900" w:type="dxa"/>
            <w:shd w:val="clear" w:color="auto" w:fill="auto"/>
            <w:noWrap/>
            <w:hideMark/>
          </w:tcPr>
          <w:p w14:paraId="4B0271FD" w14:textId="77777777" w:rsidR="004B2A4B" w:rsidRPr="00940B5C"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15.65</w:t>
            </w:r>
          </w:p>
        </w:tc>
        <w:tc>
          <w:tcPr>
            <w:tcW w:w="990" w:type="dxa"/>
            <w:shd w:val="clear" w:color="auto" w:fill="auto"/>
            <w:noWrap/>
            <w:hideMark/>
          </w:tcPr>
          <w:p w14:paraId="37DBDE16" w14:textId="77777777" w:rsidR="004B2A4B" w:rsidRPr="00940B5C"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10.2x</w:t>
            </w:r>
          </w:p>
        </w:tc>
        <w:tc>
          <w:tcPr>
            <w:tcW w:w="913" w:type="dxa"/>
            <w:shd w:val="clear" w:color="auto" w:fill="auto"/>
            <w:noWrap/>
            <w:hideMark/>
          </w:tcPr>
          <w:p w14:paraId="08E3D068" w14:textId="77777777" w:rsidR="004B2A4B" w:rsidRPr="00940B5C"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9.7x</w:t>
            </w:r>
          </w:p>
        </w:tc>
        <w:tc>
          <w:tcPr>
            <w:tcW w:w="861" w:type="dxa"/>
            <w:shd w:val="clear" w:color="auto" w:fill="auto"/>
            <w:noWrap/>
            <w:hideMark/>
          </w:tcPr>
          <w:p w14:paraId="26BED42A" w14:textId="77777777" w:rsidR="004B2A4B" w:rsidRPr="00940B5C"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1.0x</w:t>
            </w:r>
          </w:p>
        </w:tc>
      </w:tr>
      <w:tr w:rsidR="00940B5C" w:rsidRPr="00940B5C" w14:paraId="4692D7E8" w14:textId="77777777" w:rsidTr="00940B5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32" w:type="dxa"/>
            <w:shd w:val="clear" w:color="auto" w:fill="auto"/>
            <w:hideMark/>
          </w:tcPr>
          <w:p w14:paraId="3F9CBB21" w14:textId="77777777" w:rsidR="004B2A4B" w:rsidRPr="00940B5C" w:rsidRDefault="004B2A4B" w:rsidP="00A456AE">
            <w:pPr>
              <w:pStyle w:val="ExhibitText"/>
              <w:rPr>
                <w:color w:val="000000"/>
                <w:sz w:val="18"/>
                <w:szCs w:val="18"/>
                <w:lang w:val="en-GB"/>
              </w:rPr>
            </w:pPr>
          </w:p>
        </w:tc>
        <w:tc>
          <w:tcPr>
            <w:tcW w:w="2430" w:type="dxa"/>
            <w:shd w:val="clear" w:color="auto" w:fill="auto"/>
            <w:noWrap/>
            <w:vAlign w:val="center"/>
            <w:hideMark/>
          </w:tcPr>
          <w:p w14:paraId="7AC3BC1A" w14:textId="77777777" w:rsidR="004B2A4B" w:rsidRPr="00940B5C" w:rsidRDefault="004B2A4B" w:rsidP="00A456AE">
            <w:pPr>
              <w:pStyle w:val="ExhibitText"/>
              <w:jc w:val="lef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proofErr w:type="spellStart"/>
            <w:r w:rsidRPr="00940B5C">
              <w:rPr>
                <w:color w:val="000000"/>
                <w:sz w:val="18"/>
                <w:szCs w:val="18"/>
                <w:lang w:val="en-GB"/>
              </w:rPr>
              <w:t>Bofi</w:t>
            </w:r>
            <w:proofErr w:type="spellEnd"/>
            <w:r w:rsidRPr="00940B5C">
              <w:rPr>
                <w:color w:val="000000"/>
                <w:sz w:val="18"/>
                <w:szCs w:val="18"/>
                <w:lang w:val="en-GB"/>
              </w:rPr>
              <w:t xml:space="preserve"> Holding Inc.</w:t>
            </w:r>
          </w:p>
        </w:tc>
        <w:tc>
          <w:tcPr>
            <w:tcW w:w="1350" w:type="dxa"/>
            <w:shd w:val="clear" w:color="auto" w:fill="auto"/>
            <w:noWrap/>
            <w:hideMark/>
          </w:tcPr>
          <w:p w14:paraId="42141D7E" w14:textId="77777777" w:rsidR="004B2A4B" w:rsidRPr="00940B5C" w:rsidRDefault="004B2A4B" w:rsidP="00A456AE">
            <w:pPr>
              <w:pStyle w:val="ExhibitText"/>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United States</w:t>
            </w:r>
          </w:p>
        </w:tc>
        <w:tc>
          <w:tcPr>
            <w:tcW w:w="990" w:type="dxa"/>
            <w:shd w:val="clear" w:color="auto" w:fill="auto"/>
            <w:noWrap/>
            <w:hideMark/>
          </w:tcPr>
          <w:p w14:paraId="18BC41C5" w14:textId="77777777" w:rsidR="004B2A4B" w:rsidRPr="00940B5C"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 xml:space="preserve">1,165 </w:t>
            </w:r>
          </w:p>
        </w:tc>
        <w:tc>
          <w:tcPr>
            <w:tcW w:w="900" w:type="dxa"/>
            <w:shd w:val="clear" w:color="auto" w:fill="auto"/>
            <w:noWrap/>
            <w:hideMark/>
          </w:tcPr>
          <w:p w14:paraId="0933D1A0" w14:textId="77777777" w:rsidR="004B2A4B" w:rsidRPr="00940B5C"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18.48</w:t>
            </w:r>
          </w:p>
        </w:tc>
        <w:tc>
          <w:tcPr>
            <w:tcW w:w="990" w:type="dxa"/>
            <w:shd w:val="clear" w:color="auto" w:fill="auto"/>
            <w:noWrap/>
            <w:hideMark/>
          </w:tcPr>
          <w:p w14:paraId="23FD9D4D" w14:textId="77777777" w:rsidR="004B2A4B" w:rsidRPr="00940B5C"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8.5x</w:t>
            </w:r>
          </w:p>
        </w:tc>
        <w:tc>
          <w:tcPr>
            <w:tcW w:w="913" w:type="dxa"/>
            <w:shd w:val="clear" w:color="auto" w:fill="auto"/>
            <w:noWrap/>
            <w:hideMark/>
          </w:tcPr>
          <w:p w14:paraId="538852F6" w14:textId="77777777" w:rsidR="004B2A4B" w:rsidRPr="00940B5C"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7.8x</w:t>
            </w:r>
          </w:p>
        </w:tc>
        <w:tc>
          <w:tcPr>
            <w:tcW w:w="861" w:type="dxa"/>
            <w:shd w:val="clear" w:color="auto" w:fill="auto"/>
            <w:noWrap/>
            <w:hideMark/>
          </w:tcPr>
          <w:p w14:paraId="2FE385DA" w14:textId="77777777" w:rsidR="004B2A4B" w:rsidRPr="00940B5C"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2.2x</w:t>
            </w:r>
          </w:p>
        </w:tc>
      </w:tr>
      <w:tr w:rsidR="00940B5C" w:rsidRPr="00940B5C" w14:paraId="0D8026F6" w14:textId="77777777" w:rsidTr="00940B5C">
        <w:trPr>
          <w:trHeight w:val="20"/>
          <w:jc w:val="center"/>
        </w:trPr>
        <w:tc>
          <w:tcPr>
            <w:cnfStyle w:val="001000000000" w:firstRow="0" w:lastRow="0" w:firstColumn="1" w:lastColumn="0" w:oddVBand="0" w:evenVBand="0" w:oddHBand="0" w:evenHBand="0" w:firstRowFirstColumn="0" w:firstRowLastColumn="0" w:lastRowFirstColumn="0" w:lastRowLastColumn="0"/>
            <w:tcW w:w="1032" w:type="dxa"/>
            <w:shd w:val="clear" w:color="auto" w:fill="auto"/>
            <w:hideMark/>
          </w:tcPr>
          <w:p w14:paraId="0A71C5B6" w14:textId="77777777" w:rsidR="004B2A4B" w:rsidRPr="00940B5C" w:rsidRDefault="004B2A4B" w:rsidP="00A456AE">
            <w:pPr>
              <w:pStyle w:val="ExhibitText"/>
              <w:rPr>
                <w:color w:val="000000"/>
                <w:sz w:val="18"/>
                <w:szCs w:val="18"/>
                <w:lang w:val="en-GB"/>
              </w:rPr>
            </w:pPr>
          </w:p>
        </w:tc>
        <w:tc>
          <w:tcPr>
            <w:tcW w:w="2430" w:type="dxa"/>
            <w:shd w:val="clear" w:color="auto" w:fill="auto"/>
            <w:noWrap/>
            <w:vAlign w:val="center"/>
            <w:hideMark/>
          </w:tcPr>
          <w:p w14:paraId="49BA9635" w14:textId="77777777" w:rsidR="004B2A4B" w:rsidRPr="00940B5C" w:rsidRDefault="004B2A4B" w:rsidP="00A456AE">
            <w:pPr>
              <w:pStyle w:val="ExhibitText"/>
              <w:jc w:val="lef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Flushing Financial Corp.</w:t>
            </w:r>
          </w:p>
        </w:tc>
        <w:tc>
          <w:tcPr>
            <w:tcW w:w="1350" w:type="dxa"/>
            <w:shd w:val="clear" w:color="auto" w:fill="auto"/>
            <w:noWrap/>
            <w:hideMark/>
          </w:tcPr>
          <w:p w14:paraId="162146D9" w14:textId="77777777" w:rsidR="004B2A4B" w:rsidRPr="00940B5C" w:rsidRDefault="004B2A4B" w:rsidP="00A456AE">
            <w:pPr>
              <w:pStyle w:val="ExhibitText"/>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United States</w:t>
            </w:r>
          </w:p>
        </w:tc>
        <w:tc>
          <w:tcPr>
            <w:tcW w:w="990" w:type="dxa"/>
            <w:shd w:val="clear" w:color="auto" w:fill="auto"/>
            <w:noWrap/>
            <w:hideMark/>
          </w:tcPr>
          <w:p w14:paraId="15A7B346" w14:textId="77777777" w:rsidR="004B2A4B" w:rsidRPr="00940B5C"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 xml:space="preserve">614 </w:t>
            </w:r>
          </w:p>
        </w:tc>
        <w:tc>
          <w:tcPr>
            <w:tcW w:w="900" w:type="dxa"/>
            <w:shd w:val="clear" w:color="auto" w:fill="auto"/>
            <w:noWrap/>
            <w:hideMark/>
          </w:tcPr>
          <w:p w14:paraId="5D953FFF" w14:textId="77777777" w:rsidR="004B2A4B" w:rsidRPr="00940B5C"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21.21</w:t>
            </w:r>
          </w:p>
        </w:tc>
        <w:tc>
          <w:tcPr>
            <w:tcW w:w="990" w:type="dxa"/>
            <w:shd w:val="clear" w:color="auto" w:fill="auto"/>
            <w:noWrap/>
            <w:hideMark/>
          </w:tcPr>
          <w:p w14:paraId="41C502FC" w14:textId="77777777" w:rsidR="004B2A4B" w:rsidRPr="00940B5C"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13.3x</w:t>
            </w:r>
          </w:p>
        </w:tc>
        <w:tc>
          <w:tcPr>
            <w:tcW w:w="913" w:type="dxa"/>
            <w:shd w:val="clear" w:color="auto" w:fill="auto"/>
            <w:noWrap/>
            <w:hideMark/>
          </w:tcPr>
          <w:p w14:paraId="3E106639" w14:textId="77777777" w:rsidR="004B2A4B" w:rsidRPr="00940B5C"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12.7x</w:t>
            </w:r>
          </w:p>
        </w:tc>
        <w:tc>
          <w:tcPr>
            <w:tcW w:w="861" w:type="dxa"/>
            <w:shd w:val="clear" w:color="auto" w:fill="auto"/>
            <w:noWrap/>
            <w:hideMark/>
          </w:tcPr>
          <w:p w14:paraId="162E6908" w14:textId="77777777" w:rsidR="004B2A4B" w:rsidRPr="00940B5C"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1.3x</w:t>
            </w:r>
          </w:p>
        </w:tc>
      </w:tr>
      <w:tr w:rsidR="00940B5C" w:rsidRPr="00940B5C" w14:paraId="3112027B" w14:textId="77777777" w:rsidTr="00940B5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32" w:type="dxa"/>
            <w:shd w:val="clear" w:color="auto" w:fill="auto"/>
            <w:hideMark/>
          </w:tcPr>
          <w:p w14:paraId="086350AF" w14:textId="77777777" w:rsidR="004B2A4B" w:rsidRPr="00940B5C" w:rsidRDefault="004B2A4B" w:rsidP="00A456AE">
            <w:pPr>
              <w:pStyle w:val="ExhibitText"/>
              <w:rPr>
                <w:color w:val="000000"/>
                <w:sz w:val="18"/>
                <w:szCs w:val="18"/>
                <w:lang w:val="en-GB"/>
              </w:rPr>
            </w:pPr>
          </w:p>
        </w:tc>
        <w:tc>
          <w:tcPr>
            <w:tcW w:w="2430" w:type="dxa"/>
            <w:shd w:val="clear" w:color="auto" w:fill="auto"/>
            <w:noWrap/>
            <w:vAlign w:val="center"/>
            <w:hideMark/>
          </w:tcPr>
          <w:p w14:paraId="651B0E95" w14:textId="77777777" w:rsidR="004B2A4B" w:rsidRPr="00940B5C" w:rsidRDefault="004B2A4B" w:rsidP="00A456AE">
            <w:pPr>
              <w:pStyle w:val="ExhibitText"/>
              <w:jc w:val="lef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First Internet Bancorp</w:t>
            </w:r>
          </w:p>
        </w:tc>
        <w:tc>
          <w:tcPr>
            <w:tcW w:w="1350" w:type="dxa"/>
            <w:shd w:val="clear" w:color="auto" w:fill="auto"/>
            <w:noWrap/>
            <w:hideMark/>
          </w:tcPr>
          <w:p w14:paraId="5A0B4F22" w14:textId="77777777" w:rsidR="004B2A4B" w:rsidRPr="00940B5C" w:rsidRDefault="004B2A4B" w:rsidP="00A456AE">
            <w:pPr>
              <w:pStyle w:val="ExhibitText"/>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United States</w:t>
            </w:r>
          </w:p>
        </w:tc>
        <w:tc>
          <w:tcPr>
            <w:tcW w:w="990" w:type="dxa"/>
            <w:shd w:val="clear" w:color="auto" w:fill="auto"/>
            <w:noWrap/>
            <w:hideMark/>
          </w:tcPr>
          <w:p w14:paraId="7EE79F7E" w14:textId="77777777" w:rsidR="004B2A4B" w:rsidRPr="00940B5C"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 xml:space="preserve">136 </w:t>
            </w:r>
          </w:p>
        </w:tc>
        <w:tc>
          <w:tcPr>
            <w:tcW w:w="900" w:type="dxa"/>
            <w:shd w:val="clear" w:color="auto" w:fill="auto"/>
            <w:noWrap/>
            <w:hideMark/>
          </w:tcPr>
          <w:p w14:paraId="16DEA44E" w14:textId="77777777" w:rsidR="004B2A4B" w:rsidRPr="00940B5C"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24.63</w:t>
            </w:r>
          </w:p>
        </w:tc>
        <w:tc>
          <w:tcPr>
            <w:tcW w:w="990" w:type="dxa"/>
            <w:shd w:val="clear" w:color="auto" w:fill="auto"/>
            <w:noWrap/>
            <w:hideMark/>
          </w:tcPr>
          <w:p w14:paraId="7651FDA7" w14:textId="77777777" w:rsidR="004B2A4B" w:rsidRPr="00940B5C"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8.3x</w:t>
            </w:r>
          </w:p>
        </w:tc>
        <w:tc>
          <w:tcPr>
            <w:tcW w:w="913" w:type="dxa"/>
            <w:shd w:val="clear" w:color="auto" w:fill="auto"/>
            <w:noWrap/>
            <w:hideMark/>
          </w:tcPr>
          <w:p w14:paraId="427CEE26" w14:textId="77777777" w:rsidR="004B2A4B" w:rsidRPr="00940B5C"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p>
        </w:tc>
        <w:tc>
          <w:tcPr>
            <w:tcW w:w="861" w:type="dxa"/>
            <w:shd w:val="clear" w:color="auto" w:fill="auto"/>
            <w:noWrap/>
            <w:hideMark/>
          </w:tcPr>
          <w:p w14:paraId="4DC8F2A8" w14:textId="77777777" w:rsidR="004B2A4B" w:rsidRPr="00940B5C"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1.3x</w:t>
            </w:r>
          </w:p>
        </w:tc>
      </w:tr>
      <w:tr w:rsidR="00940B5C" w:rsidRPr="00940B5C" w14:paraId="60CB5D8F" w14:textId="77777777" w:rsidTr="00940B5C">
        <w:trPr>
          <w:trHeight w:val="20"/>
          <w:jc w:val="center"/>
        </w:trPr>
        <w:tc>
          <w:tcPr>
            <w:cnfStyle w:val="001000000000" w:firstRow="0" w:lastRow="0" w:firstColumn="1" w:lastColumn="0" w:oddVBand="0" w:evenVBand="0" w:oddHBand="0" w:evenHBand="0" w:firstRowFirstColumn="0" w:firstRowLastColumn="0" w:lastRowFirstColumn="0" w:lastRowLastColumn="0"/>
            <w:tcW w:w="1032" w:type="dxa"/>
            <w:shd w:val="clear" w:color="auto" w:fill="auto"/>
            <w:hideMark/>
          </w:tcPr>
          <w:p w14:paraId="1AF5EE4B" w14:textId="77777777" w:rsidR="004B2A4B" w:rsidRPr="00940B5C" w:rsidRDefault="004B2A4B" w:rsidP="00A456AE">
            <w:pPr>
              <w:pStyle w:val="ExhibitText"/>
              <w:rPr>
                <w:sz w:val="18"/>
                <w:szCs w:val="18"/>
                <w:lang w:val="en-GB"/>
              </w:rPr>
            </w:pPr>
          </w:p>
        </w:tc>
        <w:tc>
          <w:tcPr>
            <w:tcW w:w="2430" w:type="dxa"/>
            <w:shd w:val="clear" w:color="auto" w:fill="auto"/>
            <w:noWrap/>
            <w:vAlign w:val="center"/>
            <w:hideMark/>
          </w:tcPr>
          <w:p w14:paraId="67C38344" w14:textId="77777777" w:rsidR="004B2A4B" w:rsidRPr="00940B5C" w:rsidRDefault="004B2A4B" w:rsidP="00A456AE">
            <w:pPr>
              <w:pStyle w:val="ExhibitText"/>
              <w:cnfStyle w:val="000000000000" w:firstRow="0" w:lastRow="0" w:firstColumn="0" w:lastColumn="0" w:oddVBand="0" w:evenVBand="0" w:oddHBand="0" w:evenHBand="0" w:firstRowFirstColumn="0" w:firstRowLastColumn="0" w:lastRowFirstColumn="0" w:lastRowLastColumn="0"/>
              <w:rPr>
                <w:sz w:val="18"/>
                <w:szCs w:val="18"/>
                <w:lang w:val="en-GB"/>
              </w:rPr>
            </w:pPr>
          </w:p>
        </w:tc>
        <w:tc>
          <w:tcPr>
            <w:tcW w:w="1350" w:type="dxa"/>
            <w:shd w:val="clear" w:color="auto" w:fill="auto"/>
            <w:noWrap/>
            <w:hideMark/>
          </w:tcPr>
          <w:p w14:paraId="528FC79B" w14:textId="77777777" w:rsidR="004B2A4B" w:rsidRPr="00940B5C" w:rsidRDefault="004B2A4B" w:rsidP="00A456AE">
            <w:pPr>
              <w:pStyle w:val="ExhibitText"/>
              <w:jc w:val="center"/>
              <w:cnfStyle w:val="000000000000" w:firstRow="0" w:lastRow="0" w:firstColumn="0" w:lastColumn="0" w:oddVBand="0" w:evenVBand="0" w:oddHBand="0" w:evenHBand="0" w:firstRowFirstColumn="0" w:firstRowLastColumn="0" w:lastRowFirstColumn="0" w:lastRowLastColumn="0"/>
              <w:rPr>
                <w:sz w:val="18"/>
                <w:szCs w:val="18"/>
                <w:lang w:val="en-GB"/>
              </w:rPr>
            </w:pPr>
          </w:p>
        </w:tc>
        <w:tc>
          <w:tcPr>
            <w:tcW w:w="990" w:type="dxa"/>
            <w:shd w:val="clear" w:color="auto" w:fill="auto"/>
            <w:noWrap/>
            <w:hideMark/>
          </w:tcPr>
          <w:p w14:paraId="70E96178" w14:textId="77777777" w:rsidR="004B2A4B" w:rsidRPr="00940B5C"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average</w:t>
            </w:r>
          </w:p>
        </w:tc>
        <w:tc>
          <w:tcPr>
            <w:tcW w:w="900" w:type="dxa"/>
            <w:shd w:val="clear" w:color="auto" w:fill="auto"/>
            <w:noWrap/>
            <w:hideMark/>
          </w:tcPr>
          <w:p w14:paraId="444D2278" w14:textId="77777777" w:rsidR="004B2A4B" w:rsidRPr="00940B5C"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p>
        </w:tc>
        <w:tc>
          <w:tcPr>
            <w:tcW w:w="990" w:type="dxa"/>
            <w:shd w:val="clear" w:color="auto" w:fill="auto"/>
            <w:noWrap/>
            <w:hideMark/>
          </w:tcPr>
          <w:p w14:paraId="5E302265" w14:textId="77777777" w:rsidR="004B2A4B" w:rsidRPr="00940B5C"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9.2x</w:t>
            </w:r>
          </w:p>
        </w:tc>
        <w:tc>
          <w:tcPr>
            <w:tcW w:w="913" w:type="dxa"/>
            <w:shd w:val="clear" w:color="auto" w:fill="auto"/>
            <w:noWrap/>
            <w:hideMark/>
          </w:tcPr>
          <w:p w14:paraId="77A45D7F" w14:textId="77777777" w:rsidR="004B2A4B" w:rsidRPr="00940B5C"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8.7x</w:t>
            </w:r>
          </w:p>
        </w:tc>
        <w:tc>
          <w:tcPr>
            <w:tcW w:w="861" w:type="dxa"/>
            <w:shd w:val="clear" w:color="auto" w:fill="auto"/>
            <w:noWrap/>
            <w:hideMark/>
          </w:tcPr>
          <w:p w14:paraId="77A3C50C" w14:textId="77777777" w:rsidR="004B2A4B" w:rsidRPr="00940B5C"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1.3x</w:t>
            </w:r>
          </w:p>
        </w:tc>
      </w:tr>
      <w:tr w:rsidR="00940B5C" w:rsidRPr="00940B5C" w14:paraId="0F8C6613" w14:textId="77777777" w:rsidTr="00940B5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32" w:type="dxa"/>
            <w:shd w:val="clear" w:color="auto" w:fill="auto"/>
            <w:hideMark/>
          </w:tcPr>
          <w:p w14:paraId="74D12F0E" w14:textId="77777777" w:rsidR="004B2A4B" w:rsidRPr="00940B5C" w:rsidRDefault="004B2A4B" w:rsidP="00A456AE">
            <w:pPr>
              <w:pStyle w:val="ExhibitText"/>
              <w:rPr>
                <w:color w:val="000000"/>
                <w:sz w:val="18"/>
                <w:szCs w:val="18"/>
                <w:lang w:val="en-GB"/>
              </w:rPr>
            </w:pPr>
          </w:p>
        </w:tc>
        <w:tc>
          <w:tcPr>
            <w:tcW w:w="2430" w:type="dxa"/>
            <w:shd w:val="clear" w:color="auto" w:fill="auto"/>
            <w:noWrap/>
            <w:vAlign w:val="center"/>
            <w:hideMark/>
          </w:tcPr>
          <w:p w14:paraId="180732CF" w14:textId="77777777" w:rsidR="004B2A4B" w:rsidRPr="00940B5C" w:rsidRDefault="004B2A4B" w:rsidP="00A456AE">
            <w:pPr>
              <w:pStyle w:val="ExhibitText"/>
              <w:cnfStyle w:val="000000100000" w:firstRow="0" w:lastRow="0" w:firstColumn="0" w:lastColumn="0" w:oddVBand="0" w:evenVBand="0" w:oddHBand="1" w:evenHBand="0" w:firstRowFirstColumn="0" w:firstRowLastColumn="0" w:lastRowFirstColumn="0" w:lastRowLastColumn="0"/>
              <w:rPr>
                <w:sz w:val="18"/>
                <w:szCs w:val="18"/>
                <w:lang w:val="en-GB"/>
              </w:rPr>
            </w:pPr>
          </w:p>
        </w:tc>
        <w:tc>
          <w:tcPr>
            <w:tcW w:w="1350" w:type="dxa"/>
            <w:shd w:val="clear" w:color="auto" w:fill="auto"/>
            <w:noWrap/>
            <w:hideMark/>
          </w:tcPr>
          <w:p w14:paraId="6734F94D" w14:textId="77777777" w:rsidR="004B2A4B" w:rsidRPr="00940B5C" w:rsidRDefault="004B2A4B" w:rsidP="00A456AE">
            <w:pPr>
              <w:pStyle w:val="ExhibitText"/>
              <w:jc w:val="center"/>
              <w:cnfStyle w:val="000000100000" w:firstRow="0" w:lastRow="0" w:firstColumn="0" w:lastColumn="0" w:oddVBand="0" w:evenVBand="0" w:oddHBand="1" w:evenHBand="0" w:firstRowFirstColumn="0" w:firstRowLastColumn="0" w:lastRowFirstColumn="0" w:lastRowLastColumn="0"/>
              <w:rPr>
                <w:sz w:val="18"/>
                <w:szCs w:val="18"/>
                <w:lang w:val="en-GB"/>
              </w:rPr>
            </w:pPr>
          </w:p>
        </w:tc>
        <w:tc>
          <w:tcPr>
            <w:tcW w:w="990" w:type="dxa"/>
            <w:shd w:val="clear" w:color="auto" w:fill="auto"/>
            <w:noWrap/>
            <w:hideMark/>
          </w:tcPr>
          <w:p w14:paraId="764CF176" w14:textId="77777777" w:rsidR="004B2A4B" w:rsidRPr="00940B5C"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median</w:t>
            </w:r>
          </w:p>
        </w:tc>
        <w:tc>
          <w:tcPr>
            <w:tcW w:w="900" w:type="dxa"/>
            <w:shd w:val="clear" w:color="auto" w:fill="auto"/>
            <w:noWrap/>
            <w:hideMark/>
          </w:tcPr>
          <w:p w14:paraId="00D82AB1" w14:textId="77777777" w:rsidR="004B2A4B" w:rsidRPr="00940B5C"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p>
        </w:tc>
        <w:tc>
          <w:tcPr>
            <w:tcW w:w="990" w:type="dxa"/>
            <w:shd w:val="clear" w:color="auto" w:fill="auto"/>
            <w:noWrap/>
            <w:hideMark/>
          </w:tcPr>
          <w:p w14:paraId="7FEA6E49" w14:textId="77777777" w:rsidR="004B2A4B" w:rsidRPr="00940B5C"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9.2x</w:t>
            </w:r>
          </w:p>
        </w:tc>
        <w:tc>
          <w:tcPr>
            <w:tcW w:w="913" w:type="dxa"/>
            <w:shd w:val="clear" w:color="auto" w:fill="auto"/>
            <w:noWrap/>
            <w:hideMark/>
          </w:tcPr>
          <w:p w14:paraId="5F95EA3E" w14:textId="77777777" w:rsidR="004B2A4B" w:rsidRPr="00940B5C"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8.5x</w:t>
            </w:r>
          </w:p>
        </w:tc>
        <w:tc>
          <w:tcPr>
            <w:tcW w:w="861" w:type="dxa"/>
            <w:shd w:val="clear" w:color="auto" w:fill="auto"/>
            <w:noWrap/>
            <w:hideMark/>
          </w:tcPr>
          <w:p w14:paraId="15483E58" w14:textId="77777777" w:rsidR="004B2A4B" w:rsidRPr="00940B5C"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1.3x</w:t>
            </w:r>
          </w:p>
        </w:tc>
      </w:tr>
      <w:tr w:rsidR="004B2A4B" w:rsidRPr="00940B5C" w14:paraId="3899E44D" w14:textId="77777777" w:rsidTr="00940B5C">
        <w:trPr>
          <w:trHeight w:val="20"/>
          <w:jc w:val="center"/>
        </w:trPr>
        <w:tc>
          <w:tcPr>
            <w:cnfStyle w:val="001000000000" w:firstRow="0" w:lastRow="0" w:firstColumn="1" w:lastColumn="0" w:oddVBand="0" w:evenVBand="0" w:oddHBand="0" w:evenHBand="0" w:firstRowFirstColumn="0" w:firstRowLastColumn="0" w:lastRowFirstColumn="0" w:lastRowLastColumn="0"/>
            <w:tcW w:w="9466" w:type="dxa"/>
            <w:gridSpan w:val="8"/>
            <w:shd w:val="clear" w:color="auto" w:fill="auto"/>
            <w:hideMark/>
          </w:tcPr>
          <w:p w14:paraId="1834B1E9" w14:textId="77777777" w:rsidR="004B2A4B" w:rsidRPr="00940B5C" w:rsidRDefault="004B2A4B" w:rsidP="00A456AE">
            <w:pPr>
              <w:pStyle w:val="ExhibitText"/>
              <w:jc w:val="left"/>
              <w:rPr>
                <w:sz w:val="18"/>
                <w:szCs w:val="18"/>
                <w:lang w:val="en-GB"/>
              </w:rPr>
            </w:pPr>
            <w:r w:rsidRPr="00940B5C">
              <w:rPr>
                <w:color w:val="000000"/>
                <w:sz w:val="18"/>
                <w:szCs w:val="18"/>
                <w:lang w:val="en-GB"/>
              </w:rPr>
              <w:t>U.S. Banking (US$ million)</w:t>
            </w:r>
          </w:p>
        </w:tc>
      </w:tr>
      <w:tr w:rsidR="00940B5C" w:rsidRPr="00940B5C" w14:paraId="20F617D4" w14:textId="77777777" w:rsidTr="00940B5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32" w:type="dxa"/>
            <w:shd w:val="clear" w:color="auto" w:fill="auto"/>
            <w:hideMark/>
          </w:tcPr>
          <w:p w14:paraId="02D841B5" w14:textId="77777777" w:rsidR="004B2A4B" w:rsidRPr="00940B5C" w:rsidRDefault="004B2A4B" w:rsidP="00A456AE">
            <w:pPr>
              <w:pStyle w:val="ExhibitText"/>
              <w:rPr>
                <w:sz w:val="18"/>
                <w:szCs w:val="18"/>
                <w:lang w:val="en-GB"/>
              </w:rPr>
            </w:pPr>
          </w:p>
        </w:tc>
        <w:tc>
          <w:tcPr>
            <w:tcW w:w="2430" w:type="dxa"/>
            <w:shd w:val="clear" w:color="auto" w:fill="auto"/>
            <w:noWrap/>
            <w:vAlign w:val="center"/>
            <w:hideMark/>
          </w:tcPr>
          <w:p w14:paraId="3D5D672A" w14:textId="77777777" w:rsidR="004B2A4B" w:rsidRPr="00940B5C" w:rsidRDefault="004B2A4B" w:rsidP="00A456AE">
            <w:pPr>
              <w:pStyle w:val="ExhibitTex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Wells Fargo &amp; Co.</w:t>
            </w:r>
          </w:p>
        </w:tc>
        <w:tc>
          <w:tcPr>
            <w:tcW w:w="1350" w:type="dxa"/>
            <w:shd w:val="clear" w:color="auto" w:fill="auto"/>
            <w:noWrap/>
            <w:hideMark/>
          </w:tcPr>
          <w:p w14:paraId="434B88C2" w14:textId="77777777" w:rsidR="004B2A4B" w:rsidRPr="00940B5C" w:rsidRDefault="004B2A4B" w:rsidP="00A456AE">
            <w:pPr>
              <w:pStyle w:val="ExhibitText"/>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United States</w:t>
            </w:r>
          </w:p>
        </w:tc>
        <w:tc>
          <w:tcPr>
            <w:tcW w:w="990" w:type="dxa"/>
            <w:shd w:val="clear" w:color="auto" w:fill="auto"/>
            <w:noWrap/>
            <w:hideMark/>
          </w:tcPr>
          <w:p w14:paraId="43CA446E" w14:textId="77777777" w:rsidR="004B2A4B" w:rsidRPr="00940B5C"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245,475</w:t>
            </w:r>
          </w:p>
        </w:tc>
        <w:tc>
          <w:tcPr>
            <w:tcW w:w="900" w:type="dxa"/>
            <w:shd w:val="clear" w:color="auto" w:fill="auto"/>
            <w:noWrap/>
            <w:hideMark/>
          </w:tcPr>
          <w:p w14:paraId="41B01484" w14:textId="77777777" w:rsidR="004B2A4B" w:rsidRPr="00940B5C"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48.35</w:t>
            </w:r>
          </w:p>
        </w:tc>
        <w:tc>
          <w:tcPr>
            <w:tcW w:w="990" w:type="dxa"/>
            <w:shd w:val="clear" w:color="auto" w:fill="auto"/>
            <w:noWrap/>
            <w:hideMark/>
          </w:tcPr>
          <w:p w14:paraId="1B0FDCA7" w14:textId="77777777" w:rsidR="004B2A4B" w:rsidRPr="00940B5C"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11.2x</w:t>
            </w:r>
          </w:p>
        </w:tc>
        <w:tc>
          <w:tcPr>
            <w:tcW w:w="913" w:type="dxa"/>
            <w:shd w:val="clear" w:color="auto" w:fill="auto"/>
            <w:noWrap/>
            <w:hideMark/>
          </w:tcPr>
          <w:p w14:paraId="4A90BE32" w14:textId="77777777" w:rsidR="004B2A4B" w:rsidRPr="00940B5C"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10.5x</w:t>
            </w:r>
          </w:p>
        </w:tc>
        <w:tc>
          <w:tcPr>
            <w:tcW w:w="861" w:type="dxa"/>
            <w:shd w:val="clear" w:color="auto" w:fill="auto"/>
            <w:noWrap/>
            <w:hideMark/>
          </w:tcPr>
          <w:p w14:paraId="2DDD619A" w14:textId="77777777" w:rsidR="004B2A4B" w:rsidRPr="00940B5C"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1.3x</w:t>
            </w:r>
          </w:p>
        </w:tc>
      </w:tr>
      <w:tr w:rsidR="00940B5C" w:rsidRPr="00940B5C" w14:paraId="2DE27C8B" w14:textId="77777777" w:rsidTr="00940B5C">
        <w:trPr>
          <w:trHeight w:val="20"/>
          <w:jc w:val="center"/>
        </w:trPr>
        <w:tc>
          <w:tcPr>
            <w:cnfStyle w:val="001000000000" w:firstRow="0" w:lastRow="0" w:firstColumn="1" w:lastColumn="0" w:oddVBand="0" w:evenVBand="0" w:oddHBand="0" w:evenHBand="0" w:firstRowFirstColumn="0" w:firstRowLastColumn="0" w:lastRowFirstColumn="0" w:lastRowLastColumn="0"/>
            <w:tcW w:w="1032" w:type="dxa"/>
            <w:shd w:val="clear" w:color="auto" w:fill="auto"/>
            <w:hideMark/>
          </w:tcPr>
          <w:p w14:paraId="1BFCF36A" w14:textId="77777777" w:rsidR="004B2A4B" w:rsidRPr="00940B5C" w:rsidRDefault="004B2A4B" w:rsidP="00A456AE">
            <w:pPr>
              <w:pStyle w:val="ExhibitText"/>
              <w:rPr>
                <w:color w:val="000000"/>
                <w:sz w:val="18"/>
                <w:szCs w:val="18"/>
                <w:lang w:val="en-GB"/>
              </w:rPr>
            </w:pPr>
          </w:p>
        </w:tc>
        <w:tc>
          <w:tcPr>
            <w:tcW w:w="2430" w:type="dxa"/>
            <w:shd w:val="clear" w:color="auto" w:fill="auto"/>
            <w:noWrap/>
            <w:vAlign w:val="center"/>
            <w:hideMark/>
          </w:tcPr>
          <w:p w14:paraId="5212E35A" w14:textId="77777777" w:rsidR="004B2A4B" w:rsidRPr="00940B5C" w:rsidRDefault="004B2A4B" w:rsidP="00A456AE">
            <w:pPr>
              <w:pStyle w:val="ExhibitTex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JPMorgan Chase &amp; Co.</w:t>
            </w:r>
          </w:p>
        </w:tc>
        <w:tc>
          <w:tcPr>
            <w:tcW w:w="1350" w:type="dxa"/>
            <w:shd w:val="clear" w:color="auto" w:fill="auto"/>
            <w:noWrap/>
            <w:hideMark/>
          </w:tcPr>
          <w:p w14:paraId="39A8D63A" w14:textId="77777777" w:rsidR="004B2A4B" w:rsidRPr="00940B5C" w:rsidRDefault="004B2A4B" w:rsidP="00A456AE">
            <w:pPr>
              <w:pStyle w:val="ExhibitText"/>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United States</w:t>
            </w:r>
          </w:p>
        </w:tc>
        <w:tc>
          <w:tcPr>
            <w:tcW w:w="990" w:type="dxa"/>
            <w:shd w:val="clear" w:color="auto" w:fill="auto"/>
            <w:noWrap/>
            <w:hideMark/>
          </w:tcPr>
          <w:p w14:paraId="1D2F4371" w14:textId="77777777" w:rsidR="004B2A4B" w:rsidRPr="00940B5C"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231,101</w:t>
            </w:r>
          </w:p>
        </w:tc>
        <w:tc>
          <w:tcPr>
            <w:tcW w:w="900" w:type="dxa"/>
            <w:shd w:val="clear" w:color="auto" w:fill="auto"/>
            <w:noWrap/>
            <w:hideMark/>
          </w:tcPr>
          <w:p w14:paraId="393B0DC2" w14:textId="77777777" w:rsidR="004B2A4B" w:rsidRPr="00940B5C"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63.20</w:t>
            </w:r>
          </w:p>
        </w:tc>
        <w:tc>
          <w:tcPr>
            <w:tcW w:w="990" w:type="dxa"/>
            <w:shd w:val="clear" w:color="auto" w:fill="auto"/>
            <w:noWrap/>
            <w:hideMark/>
          </w:tcPr>
          <w:p w14:paraId="298B9ECC" w14:textId="77777777" w:rsidR="004B2A4B" w:rsidRPr="00940B5C"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10.1x</w:t>
            </w:r>
          </w:p>
        </w:tc>
        <w:tc>
          <w:tcPr>
            <w:tcW w:w="913" w:type="dxa"/>
            <w:shd w:val="clear" w:color="auto" w:fill="auto"/>
            <w:noWrap/>
            <w:hideMark/>
          </w:tcPr>
          <w:p w14:paraId="6C57D159" w14:textId="77777777" w:rsidR="004B2A4B" w:rsidRPr="00940B5C"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9.1x</w:t>
            </w:r>
          </w:p>
        </w:tc>
        <w:tc>
          <w:tcPr>
            <w:tcW w:w="861" w:type="dxa"/>
            <w:shd w:val="clear" w:color="auto" w:fill="auto"/>
            <w:noWrap/>
            <w:hideMark/>
          </w:tcPr>
          <w:p w14:paraId="000729FD" w14:textId="77777777" w:rsidR="004B2A4B" w:rsidRPr="00940B5C"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0.9x</w:t>
            </w:r>
          </w:p>
        </w:tc>
      </w:tr>
      <w:tr w:rsidR="00940B5C" w:rsidRPr="00940B5C" w14:paraId="72D069F0" w14:textId="77777777" w:rsidTr="00940B5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32" w:type="dxa"/>
            <w:shd w:val="clear" w:color="auto" w:fill="auto"/>
            <w:hideMark/>
          </w:tcPr>
          <w:p w14:paraId="64D0ABB9" w14:textId="77777777" w:rsidR="004B2A4B" w:rsidRPr="00940B5C" w:rsidRDefault="004B2A4B" w:rsidP="00A456AE">
            <w:pPr>
              <w:pStyle w:val="ExhibitText"/>
              <w:rPr>
                <w:color w:val="000000"/>
                <w:sz w:val="18"/>
                <w:szCs w:val="18"/>
                <w:lang w:val="en-GB"/>
              </w:rPr>
            </w:pPr>
          </w:p>
        </w:tc>
        <w:tc>
          <w:tcPr>
            <w:tcW w:w="2430" w:type="dxa"/>
            <w:shd w:val="clear" w:color="auto" w:fill="auto"/>
            <w:noWrap/>
            <w:vAlign w:val="center"/>
            <w:hideMark/>
          </w:tcPr>
          <w:p w14:paraId="3458CDC5" w14:textId="77777777" w:rsidR="004B2A4B" w:rsidRPr="00940B5C" w:rsidRDefault="004B2A4B" w:rsidP="00A456AE">
            <w:pPr>
              <w:pStyle w:val="ExhibitTex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Bank of America Corp.</w:t>
            </w:r>
          </w:p>
        </w:tc>
        <w:tc>
          <w:tcPr>
            <w:tcW w:w="1350" w:type="dxa"/>
            <w:shd w:val="clear" w:color="auto" w:fill="auto"/>
            <w:noWrap/>
            <w:hideMark/>
          </w:tcPr>
          <w:p w14:paraId="4DDAD82E" w14:textId="77777777" w:rsidR="004B2A4B" w:rsidRPr="00940B5C" w:rsidRDefault="004B2A4B" w:rsidP="00A456AE">
            <w:pPr>
              <w:pStyle w:val="ExhibitText"/>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United States</w:t>
            </w:r>
          </w:p>
        </w:tc>
        <w:tc>
          <w:tcPr>
            <w:tcW w:w="990" w:type="dxa"/>
            <w:shd w:val="clear" w:color="auto" w:fill="auto"/>
            <w:noWrap/>
            <w:hideMark/>
          </w:tcPr>
          <w:p w14:paraId="5FA43FD7" w14:textId="77777777" w:rsidR="004B2A4B" w:rsidRPr="00940B5C"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139,082</w:t>
            </w:r>
          </w:p>
        </w:tc>
        <w:tc>
          <w:tcPr>
            <w:tcW w:w="900" w:type="dxa"/>
            <w:shd w:val="clear" w:color="auto" w:fill="auto"/>
            <w:noWrap/>
            <w:hideMark/>
          </w:tcPr>
          <w:p w14:paraId="3B3200DC" w14:textId="77777777" w:rsidR="004B2A4B" w:rsidRPr="00940B5C"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13.54</w:t>
            </w:r>
          </w:p>
        </w:tc>
        <w:tc>
          <w:tcPr>
            <w:tcW w:w="990" w:type="dxa"/>
            <w:shd w:val="clear" w:color="auto" w:fill="auto"/>
            <w:noWrap/>
            <w:hideMark/>
          </w:tcPr>
          <w:p w14:paraId="0857C507" w14:textId="77777777" w:rsidR="004B2A4B" w:rsidRPr="00940B5C"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8.8x</w:t>
            </w:r>
          </w:p>
        </w:tc>
        <w:tc>
          <w:tcPr>
            <w:tcW w:w="913" w:type="dxa"/>
            <w:shd w:val="clear" w:color="auto" w:fill="auto"/>
            <w:noWrap/>
            <w:hideMark/>
          </w:tcPr>
          <w:p w14:paraId="2A2E4D80" w14:textId="77777777" w:rsidR="004B2A4B" w:rsidRPr="00940B5C"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7.4x</w:t>
            </w:r>
          </w:p>
        </w:tc>
        <w:tc>
          <w:tcPr>
            <w:tcW w:w="861" w:type="dxa"/>
            <w:shd w:val="clear" w:color="auto" w:fill="auto"/>
            <w:noWrap/>
            <w:hideMark/>
          </w:tcPr>
          <w:p w14:paraId="4D5FE491" w14:textId="77777777" w:rsidR="004B2A4B" w:rsidRPr="00940B5C"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0.5x</w:t>
            </w:r>
          </w:p>
        </w:tc>
      </w:tr>
      <w:tr w:rsidR="00940B5C" w:rsidRPr="00940B5C" w14:paraId="3B9C6E74" w14:textId="77777777" w:rsidTr="00940B5C">
        <w:trPr>
          <w:trHeight w:val="20"/>
          <w:jc w:val="center"/>
        </w:trPr>
        <w:tc>
          <w:tcPr>
            <w:cnfStyle w:val="001000000000" w:firstRow="0" w:lastRow="0" w:firstColumn="1" w:lastColumn="0" w:oddVBand="0" w:evenVBand="0" w:oddHBand="0" w:evenHBand="0" w:firstRowFirstColumn="0" w:firstRowLastColumn="0" w:lastRowFirstColumn="0" w:lastRowLastColumn="0"/>
            <w:tcW w:w="1032" w:type="dxa"/>
            <w:shd w:val="clear" w:color="auto" w:fill="auto"/>
            <w:hideMark/>
          </w:tcPr>
          <w:p w14:paraId="407CFF2B" w14:textId="77777777" w:rsidR="004B2A4B" w:rsidRPr="00940B5C" w:rsidRDefault="004B2A4B" w:rsidP="00A456AE">
            <w:pPr>
              <w:pStyle w:val="ExhibitText"/>
              <w:rPr>
                <w:color w:val="000000"/>
                <w:sz w:val="18"/>
                <w:szCs w:val="18"/>
                <w:lang w:val="en-GB"/>
              </w:rPr>
            </w:pPr>
          </w:p>
        </w:tc>
        <w:tc>
          <w:tcPr>
            <w:tcW w:w="2430" w:type="dxa"/>
            <w:shd w:val="clear" w:color="auto" w:fill="auto"/>
            <w:noWrap/>
            <w:vAlign w:val="center"/>
            <w:hideMark/>
          </w:tcPr>
          <w:p w14:paraId="1655EC84" w14:textId="77777777" w:rsidR="004B2A4B" w:rsidRPr="00940B5C" w:rsidRDefault="004B2A4B" w:rsidP="00A456AE">
            <w:pPr>
              <w:pStyle w:val="ExhibitTex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Citigroup Inc.</w:t>
            </w:r>
          </w:p>
        </w:tc>
        <w:tc>
          <w:tcPr>
            <w:tcW w:w="1350" w:type="dxa"/>
            <w:shd w:val="clear" w:color="auto" w:fill="auto"/>
            <w:noWrap/>
            <w:hideMark/>
          </w:tcPr>
          <w:p w14:paraId="795F39E6" w14:textId="77777777" w:rsidR="004B2A4B" w:rsidRPr="00940B5C" w:rsidRDefault="004B2A4B" w:rsidP="00A456AE">
            <w:pPr>
              <w:pStyle w:val="ExhibitText"/>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United States</w:t>
            </w:r>
          </w:p>
        </w:tc>
        <w:tc>
          <w:tcPr>
            <w:tcW w:w="990" w:type="dxa"/>
            <w:shd w:val="clear" w:color="auto" w:fill="auto"/>
            <w:noWrap/>
            <w:hideMark/>
          </w:tcPr>
          <w:p w14:paraId="553D245D" w14:textId="77777777" w:rsidR="004B2A4B" w:rsidRPr="00940B5C"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127,493</w:t>
            </w:r>
          </w:p>
        </w:tc>
        <w:tc>
          <w:tcPr>
            <w:tcW w:w="900" w:type="dxa"/>
            <w:shd w:val="clear" w:color="auto" w:fill="auto"/>
            <w:noWrap/>
            <w:hideMark/>
          </w:tcPr>
          <w:p w14:paraId="25A8EEB6" w14:textId="77777777" w:rsidR="004B2A4B" w:rsidRPr="00940B5C"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43.44</w:t>
            </w:r>
          </w:p>
        </w:tc>
        <w:tc>
          <w:tcPr>
            <w:tcW w:w="990" w:type="dxa"/>
            <w:shd w:val="clear" w:color="auto" w:fill="auto"/>
            <w:noWrap/>
            <w:hideMark/>
          </w:tcPr>
          <w:p w14:paraId="5CDA774F" w14:textId="77777777" w:rsidR="004B2A4B" w:rsidRPr="00940B5C"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8.2x</w:t>
            </w:r>
          </w:p>
        </w:tc>
        <w:tc>
          <w:tcPr>
            <w:tcW w:w="913" w:type="dxa"/>
            <w:shd w:val="clear" w:color="auto" w:fill="auto"/>
            <w:noWrap/>
            <w:hideMark/>
          </w:tcPr>
          <w:p w14:paraId="441FFE92" w14:textId="77777777" w:rsidR="004B2A4B" w:rsidRPr="00940B5C"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7.2x</w:t>
            </w:r>
          </w:p>
        </w:tc>
        <w:tc>
          <w:tcPr>
            <w:tcW w:w="861" w:type="dxa"/>
            <w:shd w:val="clear" w:color="auto" w:fill="auto"/>
            <w:noWrap/>
            <w:hideMark/>
          </w:tcPr>
          <w:p w14:paraId="1A75FDF5" w14:textId="77777777" w:rsidR="004B2A4B" w:rsidRPr="00940B5C"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0.6x</w:t>
            </w:r>
          </w:p>
        </w:tc>
      </w:tr>
      <w:tr w:rsidR="00940B5C" w:rsidRPr="00940B5C" w14:paraId="18BC4AE9" w14:textId="77777777" w:rsidTr="00940B5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32" w:type="dxa"/>
            <w:shd w:val="clear" w:color="auto" w:fill="auto"/>
            <w:hideMark/>
          </w:tcPr>
          <w:p w14:paraId="7B4638CB" w14:textId="77777777" w:rsidR="004B2A4B" w:rsidRPr="00940B5C" w:rsidRDefault="004B2A4B" w:rsidP="00A456AE">
            <w:pPr>
              <w:pStyle w:val="ExhibitText"/>
              <w:rPr>
                <w:color w:val="000000"/>
                <w:sz w:val="18"/>
                <w:szCs w:val="18"/>
                <w:lang w:val="en-GB"/>
              </w:rPr>
            </w:pPr>
          </w:p>
        </w:tc>
        <w:tc>
          <w:tcPr>
            <w:tcW w:w="2430" w:type="dxa"/>
            <w:shd w:val="clear" w:color="auto" w:fill="auto"/>
            <w:noWrap/>
            <w:vAlign w:val="center"/>
            <w:hideMark/>
          </w:tcPr>
          <w:p w14:paraId="4FFDD016" w14:textId="77777777" w:rsidR="004B2A4B" w:rsidRPr="00940B5C" w:rsidRDefault="004B2A4B" w:rsidP="00A456AE">
            <w:pPr>
              <w:pStyle w:val="ExhibitTex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HSBC Holdings</w:t>
            </w:r>
          </w:p>
        </w:tc>
        <w:tc>
          <w:tcPr>
            <w:tcW w:w="1350" w:type="dxa"/>
            <w:shd w:val="clear" w:color="auto" w:fill="auto"/>
            <w:noWrap/>
            <w:hideMark/>
          </w:tcPr>
          <w:p w14:paraId="5724BE12" w14:textId="77777777" w:rsidR="004B2A4B" w:rsidRPr="00940B5C" w:rsidRDefault="004B2A4B" w:rsidP="00A456AE">
            <w:pPr>
              <w:pStyle w:val="ExhibitText"/>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Britain</w:t>
            </w:r>
          </w:p>
        </w:tc>
        <w:tc>
          <w:tcPr>
            <w:tcW w:w="990" w:type="dxa"/>
            <w:shd w:val="clear" w:color="auto" w:fill="auto"/>
            <w:noWrap/>
            <w:hideMark/>
          </w:tcPr>
          <w:p w14:paraId="379CAFD3" w14:textId="77777777" w:rsidR="004B2A4B" w:rsidRPr="00940B5C"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125,680</w:t>
            </w:r>
          </w:p>
        </w:tc>
        <w:tc>
          <w:tcPr>
            <w:tcW w:w="900" w:type="dxa"/>
            <w:shd w:val="clear" w:color="auto" w:fill="auto"/>
            <w:noWrap/>
            <w:hideMark/>
          </w:tcPr>
          <w:p w14:paraId="11121217" w14:textId="77777777" w:rsidR="004B2A4B" w:rsidRPr="00940B5C"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31.54</w:t>
            </w:r>
          </w:p>
        </w:tc>
        <w:tc>
          <w:tcPr>
            <w:tcW w:w="990" w:type="dxa"/>
            <w:shd w:val="clear" w:color="auto" w:fill="auto"/>
            <w:noWrap/>
            <w:hideMark/>
          </w:tcPr>
          <w:p w14:paraId="7D4CA710" w14:textId="77777777" w:rsidR="004B2A4B" w:rsidRPr="00940B5C"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10.2x</w:t>
            </w:r>
          </w:p>
        </w:tc>
        <w:tc>
          <w:tcPr>
            <w:tcW w:w="913" w:type="dxa"/>
            <w:shd w:val="clear" w:color="auto" w:fill="auto"/>
            <w:noWrap/>
            <w:hideMark/>
          </w:tcPr>
          <w:p w14:paraId="00B1FF30" w14:textId="77777777" w:rsidR="004B2A4B" w:rsidRPr="00940B5C"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9.2x</w:t>
            </w:r>
          </w:p>
        </w:tc>
        <w:tc>
          <w:tcPr>
            <w:tcW w:w="861" w:type="dxa"/>
            <w:shd w:val="clear" w:color="auto" w:fill="auto"/>
            <w:noWrap/>
            <w:hideMark/>
          </w:tcPr>
          <w:p w14:paraId="479776FB" w14:textId="77777777" w:rsidR="004B2A4B" w:rsidRPr="00940B5C"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0.6x</w:t>
            </w:r>
          </w:p>
        </w:tc>
      </w:tr>
      <w:tr w:rsidR="00940B5C" w:rsidRPr="00940B5C" w14:paraId="0391A2BD" w14:textId="77777777" w:rsidTr="00940B5C">
        <w:trPr>
          <w:trHeight w:val="20"/>
          <w:jc w:val="center"/>
        </w:trPr>
        <w:tc>
          <w:tcPr>
            <w:cnfStyle w:val="001000000000" w:firstRow="0" w:lastRow="0" w:firstColumn="1" w:lastColumn="0" w:oddVBand="0" w:evenVBand="0" w:oddHBand="0" w:evenHBand="0" w:firstRowFirstColumn="0" w:firstRowLastColumn="0" w:lastRowFirstColumn="0" w:lastRowLastColumn="0"/>
            <w:tcW w:w="1032" w:type="dxa"/>
            <w:shd w:val="clear" w:color="auto" w:fill="auto"/>
            <w:hideMark/>
          </w:tcPr>
          <w:p w14:paraId="0A9295C7" w14:textId="77777777" w:rsidR="004B2A4B" w:rsidRPr="00940B5C" w:rsidRDefault="004B2A4B" w:rsidP="00A456AE">
            <w:pPr>
              <w:pStyle w:val="ExhibitText"/>
              <w:rPr>
                <w:color w:val="000000"/>
                <w:sz w:val="18"/>
                <w:szCs w:val="18"/>
                <w:lang w:val="en-GB"/>
              </w:rPr>
            </w:pPr>
          </w:p>
        </w:tc>
        <w:tc>
          <w:tcPr>
            <w:tcW w:w="2430" w:type="dxa"/>
            <w:shd w:val="clear" w:color="auto" w:fill="auto"/>
            <w:noWrap/>
            <w:vAlign w:val="center"/>
            <w:hideMark/>
          </w:tcPr>
          <w:p w14:paraId="3488B18F" w14:textId="77777777" w:rsidR="004B2A4B" w:rsidRPr="00940B5C" w:rsidRDefault="004B2A4B" w:rsidP="00A456AE">
            <w:pPr>
              <w:pStyle w:val="ExhibitTex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Royal Bank of Canada</w:t>
            </w:r>
          </w:p>
        </w:tc>
        <w:tc>
          <w:tcPr>
            <w:tcW w:w="1350" w:type="dxa"/>
            <w:shd w:val="clear" w:color="auto" w:fill="auto"/>
            <w:noWrap/>
            <w:hideMark/>
          </w:tcPr>
          <w:p w14:paraId="7B10929D" w14:textId="77777777" w:rsidR="004B2A4B" w:rsidRPr="00940B5C" w:rsidRDefault="004B2A4B" w:rsidP="00A456AE">
            <w:pPr>
              <w:pStyle w:val="ExhibitText"/>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Canada</w:t>
            </w:r>
          </w:p>
        </w:tc>
        <w:tc>
          <w:tcPr>
            <w:tcW w:w="990" w:type="dxa"/>
            <w:shd w:val="clear" w:color="auto" w:fill="auto"/>
            <w:noWrap/>
            <w:hideMark/>
          </w:tcPr>
          <w:p w14:paraId="45D57ECE" w14:textId="77777777" w:rsidR="004B2A4B" w:rsidRPr="00940B5C"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90,282</w:t>
            </w:r>
          </w:p>
        </w:tc>
        <w:tc>
          <w:tcPr>
            <w:tcW w:w="900" w:type="dxa"/>
            <w:shd w:val="clear" w:color="auto" w:fill="auto"/>
            <w:noWrap/>
            <w:hideMark/>
          </w:tcPr>
          <w:p w14:paraId="2A6E82B9" w14:textId="77777777" w:rsidR="004B2A4B" w:rsidRPr="00940B5C"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60.66</w:t>
            </w:r>
          </w:p>
        </w:tc>
        <w:tc>
          <w:tcPr>
            <w:tcW w:w="990" w:type="dxa"/>
            <w:shd w:val="clear" w:color="auto" w:fill="auto"/>
            <w:noWrap/>
            <w:hideMark/>
          </w:tcPr>
          <w:p w14:paraId="6C99BD89" w14:textId="77777777" w:rsidR="004B2A4B" w:rsidRPr="00940B5C"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8.6x</w:t>
            </w:r>
          </w:p>
        </w:tc>
        <w:tc>
          <w:tcPr>
            <w:tcW w:w="913" w:type="dxa"/>
            <w:shd w:val="clear" w:color="auto" w:fill="auto"/>
            <w:noWrap/>
            <w:hideMark/>
          </w:tcPr>
          <w:p w14:paraId="610911CD" w14:textId="77777777" w:rsidR="004B2A4B" w:rsidRPr="00940B5C"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8.2x</w:t>
            </w:r>
          </w:p>
        </w:tc>
        <w:tc>
          <w:tcPr>
            <w:tcW w:w="861" w:type="dxa"/>
            <w:shd w:val="clear" w:color="auto" w:fill="auto"/>
            <w:noWrap/>
            <w:hideMark/>
          </w:tcPr>
          <w:p w14:paraId="33FCC801" w14:textId="77777777" w:rsidR="004B2A4B" w:rsidRPr="00940B5C"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1.4x</w:t>
            </w:r>
          </w:p>
        </w:tc>
      </w:tr>
      <w:tr w:rsidR="00940B5C" w:rsidRPr="00940B5C" w14:paraId="23AB075D" w14:textId="77777777" w:rsidTr="00940B5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32" w:type="dxa"/>
            <w:shd w:val="clear" w:color="auto" w:fill="auto"/>
            <w:hideMark/>
          </w:tcPr>
          <w:p w14:paraId="051CCE02" w14:textId="77777777" w:rsidR="004B2A4B" w:rsidRPr="00940B5C" w:rsidRDefault="004B2A4B" w:rsidP="00A456AE">
            <w:pPr>
              <w:pStyle w:val="ExhibitText"/>
              <w:rPr>
                <w:color w:val="000000"/>
                <w:sz w:val="18"/>
                <w:szCs w:val="18"/>
                <w:lang w:val="en-GB"/>
              </w:rPr>
            </w:pPr>
          </w:p>
        </w:tc>
        <w:tc>
          <w:tcPr>
            <w:tcW w:w="2430" w:type="dxa"/>
            <w:shd w:val="clear" w:color="auto" w:fill="auto"/>
            <w:noWrap/>
            <w:vAlign w:val="center"/>
            <w:hideMark/>
          </w:tcPr>
          <w:p w14:paraId="3D17CFAF" w14:textId="77777777" w:rsidR="004B2A4B" w:rsidRPr="00940B5C" w:rsidRDefault="004B2A4B" w:rsidP="00A456AE">
            <w:pPr>
              <w:pStyle w:val="ExhibitTex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US Bancorp</w:t>
            </w:r>
          </w:p>
        </w:tc>
        <w:tc>
          <w:tcPr>
            <w:tcW w:w="1350" w:type="dxa"/>
            <w:shd w:val="clear" w:color="auto" w:fill="auto"/>
            <w:noWrap/>
            <w:hideMark/>
          </w:tcPr>
          <w:p w14:paraId="558745D0" w14:textId="77777777" w:rsidR="004B2A4B" w:rsidRPr="00940B5C" w:rsidRDefault="004B2A4B" w:rsidP="00A456AE">
            <w:pPr>
              <w:pStyle w:val="ExhibitText"/>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United States</w:t>
            </w:r>
          </w:p>
        </w:tc>
        <w:tc>
          <w:tcPr>
            <w:tcW w:w="990" w:type="dxa"/>
            <w:shd w:val="clear" w:color="auto" w:fill="auto"/>
            <w:noWrap/>
            <w:hideMark/>
          </w:tcPr>
          <w:p w14:paraId="418E2337" w14:textId="77777777" w:rsidR="004B2A4B" w:rsidRPr="00940B5C"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70,213</w:t>
            </w:r>
          </w:p>
        </w:tc>
        <w:tc>
          <w:tcPr>
            <w:tcW w:w="900" w:type="dxa"/>
            <w:shd w:val="clear" w:color="auto" w:fill="auto"/>
            <w:noWrap/>
            <w:hideMark/>
          </w:tcPr>
          <w:p w14:paraId="04E9C8FB" w14:textId="77777777" w:rsidR="004B2A4B" w:rsidRPr="00940B5C"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40.67</w:t>
            </w:r>
          </w:p>
        </w:tc>
        <w:tc>
          <w:tcPr>
            <w:tcW w:w="990" w:type="dxa"/>
            <w:shd w:val="clear" w:color="auto" w:fill="auto"/>
            <w:noWrap/>
            <w:hideMark/>
          </w:tcPr>
          <w:p w14:paraId="17CFEA0D" w14:textId="77777777" w:rsidR="004B2A4B" w:rsidRPr="00940B5C"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11.7x</w:t>
            </w:r>
          </w:p>
        </w:tc>
        <w:tc>
          <w:tcPr>
            <w:tcW w:w="913" w:type="dxa"/>
            <w:shd w:val="clear" w:color="auto" w:fill="auto"/>
            <w:noWrap/>
            <w:hideMark/>
          </w:tcPr>
          <w:p w14:paraId="1E52B64A" w14:textId="77777777" w:rsidR="004B2A4B" w:rsidRPr="00940B5C"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10.9x</w:t>
            </w:r>
          </w:p>
        </w:tc>
        <w:tc>
          <w:tcPr>
            <w:tcW w:w="861" w:type="dxa"/>
            <w:shd w:val="clear" w:color="auto" w:fill="auto"/>
            <w:noWrap/>
            <w:hideMark/>
          </w:tcPr>
          <w:p w14:paraId="6627E5E2" w14:textId="77777777" w:rsidR="004B2A4B" w:rsidRPr="00940B5C"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1.5x</w:t>
            </w:r>
          </w:p>
        </w:tc>
      </w:tr>
      <w:tr w:rsidR="00940B5C" w:rsidRPr="00940B5C" w14:paraId="4CA73386" w14:textId="77777777" w:rsidTr="00940B5C">
        <w:trPr>
          <w:trHeight w:val="20"/>
          <w:jc w:val="center"/>
        </w:trPr>
        <w:tc>
          <w:tcPr>
            <w:cnfStyle w:val="001000000000" w:firstRow="0" w:lastRow="0" w:firstColumn="1" w:lastColumn="0" w:oddVBand="0" w:evenVBand="0" w:oddHBand="0" w:evenHBand="0" w:firstRowFirstColumn="0" w:firstRowLastColumn="0" w:lastRowFirstColumn="0" w:lastRowLastColumn="0"/>
            <w:tcW w:w="1032" w:type="dxa"/>
            <w:shd w:val="clear" w:color="auto" w:fill="auto"/>
            <w:hideMark/>
          </w:tcPr>
          <w:p w14:paraId="734642B7" w14:textId="77777777" w:rsidR="004B2A4B" w:rsidRPr="00940B5C" w:rsidRDefault="004B2A4B" w:rsidP="00A456AE">
            <w:pPr>
              <w:pStyle w:val="ExhibitText"/>
              <w:rPr>
                <w:color w:val="000000"/>
                <w:sz w:val="18"/>
                <w:szCs w:val="18"/>
                <w:lang w:val="en-GB"/>
              </w:rPr>
            </w:pPr>
          </w:p>
        </w:tc>
        <w:tc>
          <w:tcPr>
            <w:tcW w:w="2430" w:type="dxa"/>
            <w:shd w:val="clear" w:color="auto" w:fill="auto"/>
            <w:noWrap/>
            <w:vAlign w:val="center"/>
            <w:hideMark/>
          </w:tcPr>
          <w:p w14:paraId="697A4EB4" w14:textId="77777777" w:rsidR="004B2A4B" w:rsidRPr="00940B5C" w:rsidRDefault="004B2A4B" w:rsidP="00A456AE">
            <w:pPr>
              <w:pStyle w:val="ExhibitTex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Goldman Sachs Group Inc.</w:t>
            </w:r>
          </w:p>
        </w:tc>
        <w:tc>
          <w:tcPr>
            <w:tcW w:w="1350" w:type="dxa"/>
            <w:shd w:val="clear" w:color="auto" w:fill="auto"/>
            <w:noWrap/>
            <w:hideMark/>
          </w:tcPr>
          <w:p w14:paraId="142A42B5" w14:textId="77777777" w:rsidR="004B2A4B" w:rsidRPr="00940B5C" w:rsidRDefault="004B2A4B" w:rsidP="00A456AE">
            <w:pPr>
              <w:pStyle w:val="ExhibitText"/>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United States</w:t>
            </w:r>
          </w:p>
        </w:tc>
        <w:tc>
          <w:tcPr>
            <w:tcW w:w="990" w:type="dxa"/>
            <w:shd w:val="clear" w:color="auto" w:fill="auto"/>
            <w:noWrap/>
            <w:hideMark/>
          </w:tcPr>
          <w:p w14:paraId="344DE223" w14:textId="77777777" w:rsidR="004B2A4B" w:rsidRPr="00940B5C"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68,135</w:t>
            </w:r>
          </w:p>
        </w:tc>
        <w:tc>
          <w:tcPr>
            <w:tcW w:w="900" w:type="dxa"/>
            <w:shd w:val="clear" w:color="auto" w:fill="auto"/>
            <w:noWrap/>
            <w:hideMark/>
          </w:tcPr>
          <w:p w14:paraId="2AE91E06" w14:textId="77777777" w:rsidR="004B2A4B" w:rsidRPr="00940B5C"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156.92</w:t>
            </w:r>
          </w:p>
        </w:tc>
        <w:tc>
          <w:tcPr>
            <w:tcW w:w="990" w:type="dxa"/>
            <w:shd w:val="clear" w:color="auto" w:fill="auto"/>
            <w:noWrap/>
            <w:hideMark/>
          </w:tcPr>
          <w:p w14:paraId="4C31A6B1" w14:textId="77777777" w:rsidR="004B2A4B" w:rsidRPr="00940B5C"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9.1x</w:t>
            </w:r>
          </w:p>
        </w:tc>
        <w:tc>
          <w:tcPr>
            <w:tcW w:w="913" w:type="dxa"/>
            <w:shd w:val="clear" w:color="auto" w:fill="auto"/>
            <w:noWrap/>
            <w:hideMark/>
          </w:tcPr>
          <w:p w14:paraId="27D4BE53" w14:textId="77777777" w:rsidR="004B2A4B" w:rsidRPr="00940B5C"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8.1x</w:t>
            </w:r>
          </w:p>
        </w:tc>
        <w:tc>
          <w:tcPr>
            <w:tcW w:w="861" w:type="dxa"/>
            <w:shd w:val="clear" w:color="auto" w:fill="auto"/>
            <w:noWrap/>
            <w:hideMark/>
          </w:tcPr>
          <w:p w14:paraId="279650D1" w14:textId="77777777" w:rsidR="004B2A4B" w:rsidRPr="00940B5C"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0.8x</w:t>
            </w:r>
          </w:p>
        </w:tc>
      </w:tr>
      <w:tr w:rsidR="00940B5C" w:rsidRPr="00940B5C" w14:paraId="758370F9" w14:textId="77777777" w:rsidTr="00940B5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32" w:type="dxa"/>
            <w:shd w:val="clear" w:color="auto" w:fill="auto"/>
            <w:hideMark/>
          </w:tcPr>
          <w:p w14:paraId="45706E1A" w14:textId="77777777" w:rsidR="004B2A4B" w:rsidRPr="00940B5C" w:rsidRDefault="004B2A4B" w:rsidP="00A456AE">
            <w:pPr>
              <w:pStyle w:val="ExhibitText"/>
              <w:rPr>
                <w:color w:val="000000"/>
                <w:sz w:val="18"/>
                <w:szCs w:val="18"/>
                <w:lang w:val="en-GB"/>
              </w:rPr>
            </w:pPr>
          </w:p>
        </w:tc>
        <w:tc>
          <w:tcPr>
            <w:tcW w:w="2430" w:type="dxa"/>
            <w:shd w:val="clear" w:color="auto" w:fill="auto"/>
            <w:noWrap/>
            <w:vAlign w:val="center"/>
            <w:hideMark/>
          </w:tcPr>
          <w:p w14:paraId="053CADCC" w14:textId="77777777" w:rsidR="004B2A4B" w:rsidRPr="00940B5C" w:rsidRDefault="004B2A4B" w:rsidP="00A456AE">
            <w:pPr>
              <w:pStyle w:val="ExhibitTex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Morgan Stanley</w:t>
            </w:r>
          </w:p>
        </w:tc>
        <w:tc>
          <w:tcPr>
            <w:tcW w:w="1350" w:type="dxa"/>
            <w:shd w:val="clear" w:color="auto" w:fill="auto"/>
            <w:noWrap/>
            <w:hideMark/>
          </w:tcPr>
          <w:p w14:paraId="03E41021" w14:textId="77777777" w:rsidR="004B2A4B" w:rsidRPr="00940B5C" w:rsidRDefault="004B2A4B" w:rsidP="00A456AE">
            <w:pPr>
              <w:pStyle w:val="ExhibitText"/>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United States</w:t>
            </w:r>
          </w:p>
        </w:tc>
        <w:tc>
          <w:tcPr>
            <w:tcW w:w="990" w:type="dxa"/>
            <w:shd w:val="clear" w:color="auto" w:fill="auto"/>
            <w:noWrap/>
            <w:hideMark/>
          </w:tcPr>
          <w:p w14:paraId="5F4B6B1F" w14:textId="77777777" w:rsidR="004B2A4B" w:rsidRPr="00940B5C"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53,016</w:t>
            </w:r>
          </w:p>
        </w:tc>
        <w:tc>
          <w:tcPr>
            <w:tcW w:w="900" w:type="dxa"/>
            <w:shd w:val="clear" w:color="auto" w:fill="auto"/>
            <w:noWrap/>
            <w:hideMark/>
          </w:tcPr>
          <w:p w14:paraId="6B5979BF" w14:textId="77777777" w:rsidR="004B2A4B" w:rsidRPr="00940B5C"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27.37</w:t>
            </w:r>
          </w:p>
        </w:tc>
        <w:tc>
          <w:tcPr>
            <w:tcW w:w="990" w:type="dxa"/>
            <w:shd w:val="clear" w:color="auto" w:fill="auto"/>
            <w:noWrap/>
            <w:hideMark/>
          </w:tcPr>
          <w:p w14:paraId="62A08D65" w14:textId="77777777" w:rsidR="004B2A4B" w:rsidRPr="00940B5C"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9.5x</w:t>
            </w:r>
          </w:p>
        </w:tc>
        <w:tc>
          <w:tcPr>
            <w:tcW w:w="913" w:type="dxa"/>
            <w:shd w:val="clear" w:color="auto" w:fill="auto"/>
            <w:noWrap/>
            <w:hideMark/>
          </w:tcPr>
          <w:p w14:paraId="445D4305" w14:textId="77777777" w:rsidR="004B2A4B" w:rsidRPr="00940B5C"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8.3x</w:t>
            </w:r>
          </w:p>
        </w:tc>
        <w:tc>
          <w:tcPr>
            <w:tcW w:w="861" w:type="dxa"/>
            <w:shd w:val="clear" w:color="auto" w:fill="auto"/>
            <w:noWrap/>
            <w:hideMark/>
          </w:tcPr>
          <w:p w14:paraId="48E0DCCD" w14:textId="77777777" w:rsidR="004B2A4B" w:rsidRPr="00940B5C"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0.7x</w:t>
            </w:r>
          </w:p>
        </w:tc>
      </w:tr>
      <w:tr w:rsidR="00940B5C" w:rsidRPr="00940B5C" w14:paraId="338F2C7C" w14:textId="77777777" w:rsidTr="00940B5C">
        <w:trPr>
          <w:trHeight w:val="20"/>
          <w:jc w:val="center"/>
        </w:trPr>
        <w:tc>
          <w:tcPr>
            <w:cnfStyle w:val="001000000000" w:firstRow="0" w:lastRow="0" w:firstColumn="1" w:lastColumn="0" w:oddVBand="0" w:evenVBand="0" w:oddHBand="0" w:evenHBand="0" w:firstRowFirstColumn="0" w:firstRowLastColumn="0" w:lastRowFirstColumn="0" w:lastRowLastColumn="0"/>
            <w:tcW w:w="1032" w:type="dxa"/>
            <w:shd w:val="clear" w:color="auto" w:fill="auto"/>
            <w:hideMark/>
          </w:tcPr>
          <w:p w14:paraId="4E91EBC1" w14:textId="77777777" w:rsidR="004B2A4B" w:rsidRPr="00940B5C" w:rsidRDefault="004B2A4B" w:rsidP="00A456AE">
            <w:pPr>
              <w:pStyle w:val="ExhibitText"/>
              <w:rPr>
                <w:color w:val="000000"/>
                <w:sz w:val="18"/>
                <w:szCs w:val="18"/>
                <w:lang w:val="en-GB"/>
              </w:rPr>
            </w:pPr>
          </w:p>
        </w:tc>
        <w:tc>
          <w:tcPr>
            <w:tcW w:w="2430" w:type="dxa"/>
            <w:shd w:val="clear" w:color="auto" w:fill="auto"/>
            <w:noWrap/>
            <w:vAlign w:val="center"/>
            <w:hideMark/>
          </w:tcPr>
          <w:p w14:paraId="4F0E2926" w14:textId="77777777" w:rsidR="004B2A4B" w:rsidRPr="00940B5C" w:rsidRDefault="004B2A4B" w:rsidP="00A456AE">
            <w:pPr>
              <w:pStyle w:val="ExhibitTex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Bank of NY Mellon Corp.</w:t>
            </w:r>
          </w:p>
        </w:tc>
        <w:tc>
          <w:tcPr>
            <w:tcW w:w="1350" w:type="dxa"/>
            <w:shd w:val="clear" w:color="auto" w:fill="auto"/>
            <w:noWrap/>
            <w:hideMark/>
          </w:tcPr>
          <w:p w14:paraId="6D4D6F11" w14:textId="77777777" w:rsidR="004B2A4B" w:rsidRPr="00940B5C" w:rsidRDefault="004B2A4B" w:rsidP="00A456AE">
            <w:pPr>
              <w:pStyle w:val="ExhibitText"/>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United States</w:t>
            </w:r>
          </w:p>
        </w:tc>
        <w:tc>
          <w:tcPr>
            <w:tcW w:w="990" w:type="dxa"/>
            <w:shd w:val="clear" w:color="auto" w:fill="auto"/>
            <w:noWrap/>
            <w:hideMark/>
          </w:tcPr>
          <w:p w14:paraId="4EAADE54" w14:textId="77777777" w:rsidR="004B2A4B" w:rsidRPr="00940B5C"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42,405</w:t>
            </w:r>
          </w:p>
        </w:tc>
        <w:tc>
          <w:tcPr>
            <w:tcW w:w="900" w:type="dxa"/>
            <w:shd w:val="clear" w:color="auto" w:fill="auto"/>
            <w:noWrap/>
            <w:hideMark/>
          </w:tcPr>
          <w:p w14:paraId="0C201FCD" w14:textId="77777777" w:rsidR="004B2A4B" w:rsidRPr="00940B5C"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39.37</w:t>
            </w:r>
          </w:p>
        </w:tc>
        <w:tc>
          <w:tcPr>
            <w:tcW w:w="990" w:type="dxa"/>
            <w:shd w:val="clear" w:color="auto" w:fill="auto"/>
            <w:noWrap/>
            <w:hideMark/>
          </w:tcPr>
          <w:p w14:paraId="4770A26F" w14:textId="77777777" w:rsidR="004B2A4B" w:rsidRPr="00940B5C"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11.6x</w:t>
            </w:r>
          </w:p>
        </w:tc>
        <w:tc>
          <w:tcPr>
            <w:tcW w:w="913" w:type="dxa"/>
            <w:shd w:val="clear" w:color="auto" w:fill="auto"/>
            <w:noWrap/>
            <w:hideMark/>
          </w:tcPr>
          <w:p w14:paraId="4714678C" w14:textId="77777777" w:rsidR="004B2A4B" w:rsidRPr="00940B5C"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10.3x</w:t>
            </w:r>
          </w:p>
        </w:tc>
        <w:tc>
          <w:tcPr>
            <w:tcW w:w="861" w:type="dxa"/>
            <w:shd w:val="clear" w:color="auto" w:fill="auto"/>
            <w:noWrap/>
            <w:hideMark/>
          </w:tcPr>
          <w:p w14:paraId="74D53CEC" w14:textId="77777777" w:rsidR="004B2A4B" w:rsidRPr="00940B5C"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1.1x</w:t>
            </w:r>
          </w:p>
        </w:tc>
      </w:tr>
      <w:tr w:rsidR="00940B5C" w:rsidRPr="00940B5C" w14:paraId="6C16AD07" w14:textId="77777777" w:rsidTr="00940B5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32" w:type="dxa"/>
            <w:shd w:val="clear" w:color="auto" w:fill="auto"/>
            <w:hideMark/>
          </w:tcPr>
          <w:p w14:paraId="16AA698A" w14:textId="77777777" w:rsidR="004B2A4B" w:rsidRPr="00940B5C" w:rsidRDefault="004B2A4B" w:rsidP="00A456AE">
            <w:pPr>
              <w:pStyle w:val="ExhibitText"/>
              <w:rPr>
                <w:sz w:val="18"/>
                <w:szCs w:val="18"/>
                <w:lang w:val="en-GB"/>
              </w:rPr>
            </w:pPr>
          </w:p>
        </w:tc>
        <w:tc>
          <w:tcPr>
            <w:tcW w:w="2430" w:type="dxa"/>
            <w:shd w:val="clear" w:color="auto" w:fill="auto"/>
            <w:noWrap/>
            <w:vAlign w:val="center"/>
            <w:hideMark/>
          </w:tcPr>
          <w:p w14:paraId="229F9A77" w14:textId="77777777" w:rsidR="004B2A4B" w:rsidRPr="00940B5C" w:rsidRDefault="004B2A4B" w:rsidP="00A456AE">
            <w:pPr>
              <w:pStyle w:val="ExhibitText"/>
              <w:cnfStyle w:val="000000100000" w:firstRow="0" w:lastRow="0" w:firstColumn="0" w:lastColumn="0" w:oddVBand="0" w:evenVBand="0" w:oddHBand="1" w:evenHBand="0" w:firstRowFirstColumn="0" w:firstRowLastColumn="0" w:lastRowFirstColumn="0" w:lastRowLastColumn="0"/>
              <w:rPr>
                <w:sz w:val="18"/>
                <w:szCs w:val="18"/>
                <w:lang w:val="en-GB"/>
              </w:rPr>
            </w:pPr>
          </w:p>
        </w:tc>
        <w:tc>
          <w:tcPr>
            <w:tcW w:w="1350" w:type="dxa"/>
            <w:shd w:val="clear" w:color="auto" w:fill="auto"/>
            <w:noWrap/>
            <w:hideMark/>
          </w:tcPr>
          <w:p w14:paraId="5FF59E12" w14:textId="77777777" w:rsidR="004B2A4B" w:rsidRPr="00940B5C" w:rsidRDefault="004B2A4B" w:rsidP="00A456AE">
            <w:pPr>
              <w:pStyle w:val="ExhibitText"/>
              <w:jc w:val="center"/>
              <w:cnfStyle w:val="000000100000" w:firstRow="0" w:lastRow="0" w:firstColumn="0" w:lastColumn="0" w:oddVBand="0" w:evenVBand="0" w:oddHBand="1" w:evenHBand="0" w:firstRowFirstColumn="0" w:firstRowLastColumn="0" w:lastRowFirstColumn="0" w:lastRowLastColumn="0"/>
              <w:rPr>
                <w:sz w:val="18"/>
                <w:szCs w:val="18"/>
                <w:lang w:val="en-GB"/>
              </w:rPr>
            </w:pPr>
          </w:p>
        </w:tc>
        <w:tc>
          <w:tcPr>
            <w:tcW w:w="990" w:type="dxa"/>
            <w:shd w:val="clear" w:color="auto" w:fill="auto"/>
            <w:noWrap/>
            <w:hideMark/>
          </w:tcPr>
          <w:p w14:paraId="6CBE0662" w14:textId="77777777" w:rsidR="004B2A4B" w:rsidRPr="00940B5C"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average</w:t>
            </w:r>
          </w:p>
        </w:tc>
        <w:tc>
          <w:tcPr>
            <w:tcW w:w="900" w:type="dxa"/>
            <w:shd w:val="clear" w:color="auto" w:fill="auto"/>
            <w:noWrap/>
            <w:hideMark/>
          </w:tcPr>
          <w:p w14:paraId="5107C261" w14:textId="77777777" w:rsidR="004B2A4B" w:rsidRPr="00940B5C"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p>
        </w:tc>
        <w:tc>
          <w:tcPr>
            <w:tcW w:w="990" w:type="dxa"/>
            <w:shd w:val="clear" w:color="auto" w:fill="auto"/>
            <w:noWrap/>
            <w:hideMark/>
          </w:tcPr>
          <w:p w14:paraId="31B8E8EB" w14:textId="77777777" w:rsidR="004B2A4B" w:rsidRPr="00940B5C"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9.9x</w:t>
            </w:r>
          </w:p>
        </w:tc>
        <w:tc>
          <w:tcPr>
            <w:tcW w:w="913" w:type="dxa"/>
            <w:shd w:val="clear" w:color="auto" w:fill="auto"/>
            <w:noWrap/>
            <w:hideMark/>
          </w:tcPr>
          <w:p w14:paraId="1DCC4582" w14:textId="77777777" w:rsidR="004B2A4B" w:rsidRPr="00940B5C"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8.9x</w:t>
            </w:r>
          </w:p>
        </w:tc>
        <w:tc>
          <w:tcPr>
            <w:tcW w:w="861" w:type="dxa"/>
            <w:shd w:val="clear" w:color="auto" w:fill="auto"/>
            <w:noWrap/>
            <w:hideMark/>
          </w:tcPr>
          <w:p w14:paraId="4093404D" w14:textId="77777777" w:rsidR="004B2A4B" w:rsidRPr="00940B5C"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0.9x</w:t>
            </w:r>
          </w:p>
        </w:tc>
      </w:tr>
      <w:tr w:rsidR="00940B5C" w:rsidRPr="00940B5C" w14:paraId="2F6A5C82" w14:textId="77777777" w:rsidTr="00940B5C">
        <w:trPr>
          <w:trHeight w:val="20"/>
          <w:jc w:val="center"/>
        </w:trPr>
        <w:tc>
          <w:tcPr>
            <w:cnfStyle w:val="001000000000" w:firstRow="0" w:lastRow="0" w:firstColumn="1" w:lastColumn="0" w:oddVBand="0" w:evenVBand="0" w:oddHBand="0" w:evenHBand="0" w:firstRowFirstColumn="0" w:firstRowLastColumn="0" w:lastRowFirstColumn="0" w:lastRowLastColumn="0"/>
            <w:tcW w:w="1032" w:type="dxa"/>
            <w:shd w:val="clear" w:color="auto" w:fill="auto"/>
            <w:hideMark/>
          </w:tcPr>
          <w:p w14:paraId="3CF8C454" w14:textId="77777777" w:rsidR="004B2A4B" w:rsidRPr="00940B5C" w:rsidRDefault="004B2A4B" w:rsidP="00A456AE">
            <w:pPr>
              <w:pStyle w:val="ExhibitText"/>
              <w:rPr>
                <w:color w:val="000000"/>
                <w:sz w:val="18"/>
                <w:szCs w:val="18"/>
                <w:lang w:val="en-GB"/>
              </w:rPr>
            </w:pPr>
          </w:p>
        </w:tc>
        <w:tc>
          <w:tcPr>
            <w:tcW w:w="2430" w:type="dxa"/>
            <w:shd w:val="clear" w:color="auto" w:fill="auto"/>
            <w:noWrap/>
            <w:vAlign w:val="center"/>
            <w:hideMark/>
          </w:tcPr>
          <w:p w14:paraId="2E909BD0" w14:textId="77777777" w:rsidR="004B2A4B" w:rsidRPr="00940B5C" w:rsidRDefault="004B2A4B" w:rsidP="00A456AE">
            <w:pPr>
              <w:pStyle w:val="ExhibitText"/>
              <w:cnfStyle w:val="000000000000" w:firstRow="0" w:lastRow="0" w:firstColumn="0" w:lastColumn="0" w:oddVBand="0" w:evenVBand="0" w:oddHBand="0" w:evenHBand="0" w:firstRowFirstColumn="0" w:firstRowLastColumn="0" w:lastRowFirstColumn="0" w:lastRowLastColumn="0"/>
              <w:rPr>
                <w:sz w:val="18"/>
                <w:szCs w:val="18"/>
                <w:lang w:val="en-GB"/>
              </w:rPr>
            </w:pPr>
          </w:p>
        </w:tc>
        <w:tc>
          <w:tcPr>
            <w:tcW w:w="1350" w:type="dxa"/>
            <w:shd w:val="clear" w:color="auto" w:fill="auto"/>
            <w:noWrap/>
            <w:hideMark/>
          </w:tcPr>
          <w:p w14:paraId="7CB65778" w14:textId="77777777" w:rsidR="004B2A4B" w:rsidRPr="00940B5C" w:rsidRDefault="004B2A4B" w:rsidP="00A456AE">
            <w:pPr>
              <w:pStyle w:val="ExhibitText"/>
              <w:jc w:val="center"/>
              <w:cnfStyle w:val="000000000000" w:firstRow="0" w:lastRow="0" w:firstColumn="0" w:lastColumn="0" w:oddVBand="0" w:evenVBand="0" w:oddHBand="0" w:evenHBand="0" w:firstRowFirstColumn="0" w:firstRowLastColumn="0" w:lastRowFirstColumn="0" w:lastRowLastColumn="0"/>
              <w:rPr>
                <w:sz w:val="18"/>
                <w:szCs w:val="18"/>
                <w:lang w:val="en-GB"/>
              </w:rPr>
            </w:pPr>
          </w:p>
        </w:tc>
        <w:tc>
          <w:tcPr>
            <w:tcW w:w="990" w:type="dxa"/>
            <w:shd w:val="clear" w:color="auto" w:fill="auto"/>
            <w:noWrap/>
            <w:hideMark/>
          </w:tcPr>
          <w:p w14:paraId="7A469FC9" w14:textId="77777777" w:rsidR="004B2A4B" w:rsidRPr="00940B5C"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median</w:t>
            </w:r>
          </w:p>
        </w:tc>
        <w:tc>
          <w:tcPr>
            <w:tcW w:w="900" w:type="dxa"/>
            <w:shd w:val="clear" w:color="auto" w:fill="auto"/>
            <w:noWrap/>
            <w:hideMark/>
          </w:tcPr>
          <w:p w14:paraId="026CD257" w14:textId="77777777" w:rsidR="004B2A4B" w:rsidRPr="00940B5C"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p>
        </w:tc>
        <w:tc>
          <w:tcPr>
            <w:tcW w:w="990" w:type="dxa"/>
            <w:shd w:val="clear" w:color="auto" w:fill="auto"/>
            <w:noWrap/>
            <w:hideMark/>
          </w:tcPr>
          <w:p w14:paraId="23CE11DF" w14:textId="77777777" w:rsidR="004B2A4B" w:rsidRPr="00940B5C"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9.8x</w:t>
            </w:r>
          </w:p>
        </w:tc>
        <w:tc>
          <w:tcPr>
            <w:tcW w:w="913" w:type="dxa"/>
            <w:shd w:val="clear" w:color="auto" w:fill="auto"/>
            <w:noWrap/>
            <w:hideMark/>
          </w:tcPr>
          <w:p w14:paraId="33906FAE" w14:textId="77777777" w:rsidR="004B2A4B" w:rsidRPr="00940B5C"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8.7x</w:t>
            </w:r>
          </w:p>
        </w:tc>
        <w:tc>
          <w:tcPr>
            <w:tcW w:w="861" w:type="dxa"/>
            <w:shd w:val="clear" w:color="auto" w:fill="auto"/>
            <w:noWrap/>
            <w:hideMark/>
          </w:tcPr>
          <w:p w14:paraId="4719449F" w14:textId="77777777" w:rsidR="004B2A4B" w:rsidRPr="00940B5C"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0.9x</w:t>
            </w:r>
          </w:p>
        </w:tc>
      </w:tr>
      <w:tr w:rsidR="004B2A4B" w:rsidRPr="00940B5C" w14:paraId="239BC03A" w14:textId="77777777" w:rsidTr="00940B5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9466" w:type="dxa"/>
            <w:gridSpan w:val="8"/>
            <w:shd w:val="clear" w:color="auto" w:fill="auto"/>
            <w:hideMark/>
          </w:tcPr>
          <w:p w14:paraId="1E6BAB6A" w14:textId="77777777" w:rsidR="004B2A4B" w:rsidRPr="00940B5C" w:rsidRDefault="004B2A4B" w:rsidP="00A456AE">
            <w:pPr>
              <w:pStyle w:val="ExhibitText"/>
              <w:jc w:val="left"/>
              <w:rPr>
                <w:sz w:val="18"/>
                <w:szCs w:val="18"/>
                <w:lang w:val="en-GB"/>
              </w:rPr>
            </w:pPr>
            <w:r w:rsidRPr="00940B5C">
              <w:rPr>
                <w:color w:val="000000"/>
                <w:sz w:val="18"/>
                <w:szCs w:val="18"/>
                <w:lang w:val="en-GB"/>
              </w:rPr>
              <w:t>U.S. Payments Technology (US$ million)</w:t>
            </w:r>
          </w:p>
        </w:tc>
      </w:tr>
      <w:tr w:rsidR="00940B5C" w:rsidRPr="00940B5C" w14:paraId="27392309" w14:textId="77777777" w:rsidTr="00940B5C">
        <w:trPr>
          <w:trHeight w:val="20"/>
          <w:jc w:val="center"/>
        </w:trPr>
        <w:tc>
          <w:tcPr>
            <w:cnfStyle w:val="001000000000" w:firstRow="0" w:lastRow="0" w:firstColumn="1" w:lastColumn="0" w:oddVBand="0" w:evenVBand="0" w:oddHBand="0" w:evenHBand="0" w:firstRowFirstColumn="0" w:firstRowLastColumn="0" w:lastRowFirstColumn="0" w:lastRowLastColumn="0"/>
            <w:tcW w:w="1032" w:type="dxa"/>
            <w:shd w:val="clear" w:color="auto" w:fill="auto"/>
            <w:hideMark/>
          </w:tcPr>
          <w:p w14:paraId="292A25D2" w14:textId="77777777" w:rsidR="004B2A4B" w:rsidRPr="00940B5C" w:rsidRDefault="004B2A4B" w:rsidP="00A456AE">
            <w:pPr>
              <w:pStyle w:val="ExhibitText"/>
              <w:rPr>
                <w:sz w:val="18"/>
                <w:szCs w:val="18"/>
                <w:lang w:val="en-GB"/>
              </w:rPr>
            </w:pPr>
          </w:p>
        </w:tc>
        <w:tc>
          <w:tcPr>
            <w:tcW w:w="2430" w:type="dxa"/>
            <w:shd w:val="clear" w:color="auto" w:fill="auto"/>
            <w:noWrap/>
            <w:vAlign w:val="center"/>
            <w:hideMark/>
          </w:tcPr>
          <w:p w14:paraId="50F9BE55" w14:textId="77777777" w:rsidR="004B2A4B" w:rsidRPr="00940B5C" w:rsidRDefault="004B2A4B" w:rsidP="00A456AE">
            <w:pPr>
              <w:pStyle w:val="ExhibitTex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Visa Inc.</w:t>
            </w:r>
          </w:p>
        </w:tc>
        <w:tc>
          <w:tcPr>
            <w:tcW w:w="1350" w:type="dxa"/>
            <w:shd w:val="clear" w:color="auto" w:fill="auto"/>
            <w:noWrap/>
            <w:hideMark/>
          </w:tcPr>
          <w:p w14:paraId="1807A2F1" w14:textId="77777777" w:rsidR="004B2A4B" w:rsidRPr="00940B5C" w:rsidRDefault="004B2A4B" w:rsidP="00A456AE">
            <w:pPr>
              <w:pStyle w:val="ExhibitText"/>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United States</w:t>
            </w:r>
          </w:p>
        </w:tc>
        <w:tc>
          <w:tcPr>
            <w:tcW w:w="990" w:type="dxa"/>
            <w:shd w:val="clear" w:color="auto" w:fill="auto"/>
            <w:noWrap/>
            <w:hideMark/>
          </w:tcPr>
          <w:p w14:paraId="7802A5C7" w14:textId="77777777" w:rsidR="004B2A4B" w:rsidRPr="00940B5C"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184,783</w:t>
            </w:r>
          </w:p>
        </w:tc>
        <w:tc>
          <w:tcPr>
            <w:tcW w:w="900" w:type="dxa"/>
            <w:shd w:val="clear" w:color="auto" w:fill="auto"/>
            <w:noWrap/>
            <w:hideMark/>
          </w:tcPr>
          <w:p w14:paraId="189EC645" w14:textId="77777777" w:rsidR="004B2A4B" w:rsidRPr="00940B5C"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77.48</w:t>
            </w:r>
          </w:p>
        </w:tc>
        <w:tc>
          <w:tcPr>
            <w:tcW w:w="990" w:type="dxa"/>
            <w:shd w:val="clear" w:color="auto" w:fill="auto"/>
            <w:noWrap/>
            <w:hideMark/>
          </w:tcPr>
          <w:p w14:paraId="1E290C07" w14:textId="77777777" w:rsidR="004B2A4B" w:rsidRPr="00940B5C"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23.9x</w:t>
            </w:r>
          </w:p>
        </w:tc>
        <w:tc>
          <w:tcPr>
            <w:tcW w:w="913" w:type="dxa"/>
            <w:shd w:val="clear" w:color="auto" w:fill="auto"/>
            <w:noWrap/>
            <w:hideMark/>
          </w:tcPr>
          <w:p w14:paraId="27BF1C8C" w14:textId="77777777" w:rsidR="004B2A4B" w:rsidRPr="00940B5C"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20.5x</w:t>
            </w:r>
          </w:p>
        </w:tc>
        <w:tc>
          <w:tcPr>
            <w:tcW w:w="861" w:type="dxa"/>
            <w:shd w:val="clear" w:color="auto" w:fill="auto"/>
            <w:noWrap/>
            <w:hideMark/>
          </w:tcPr>
          <w:p w14:paraId="69B6DC95" w14:textId="77777777" w:rsidR="004B2A4B" w:rsidRPr="00940B5C"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6.2x</w:t>
            </w:r>
          </w:p>
        </w:tc>
      </w:tr>
      <w:tr w:rsidR="00940B5C" w:rsidRPr="00940B5C" w14:paraId="7EF6E84A" w14:textId="77777777" w:rsidTr="00940B5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32" w:type="dxa"/>
            <w:shd w:val="clear" w:color="auto" w:fill="auto"/>
            <w:hideMark/>
          </w:tcPr>
          <w:p w14:paraId="5601E11E" w14:textId="77777777" w:rsidR="004B2A4B" w:rsidRPr="00940B5C" w:rsidRDefault="004B2A4B" w:rsidP="00A456AE">
            <w:pPr>
              <w:pStyle w:val="ExhibitText"/>
              <w:rPr>
                <w:color w:val="000000"/>
                <w:sz w:val="18"/>
                <w:szCs w:val="18"/>
                <w:lang w:val="en-GB"/>
              </w:rPr>
            </w:pPr>
          </w:p>
        </w:tc>
        <w:tc>
          <w:tcPr>
            <w:tcW w:w="2430" w:type="dxa"/>
            <w:shd w:val="clear" w:color="auto" w:fill="auto"/>
            <w:noWrap/>
            <w:vAlign w:val="center"/>
            <w:hideMark/>
          </w:tcPr>
          <w:p w14:paraId="2126155D" w14:textId="77777777" w:rsidR="004B2A4B" w:rsidRPr="00940B5C" w:rsidRDefault="004B2A4B" w:rsidP="00A456AE">
            <w:pPr>
              <w:pStyle w:val="ExhibitTex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Mastercard Inc.</w:t>
            </w:r>
          </w:p>
        </w:tc>
        <w:tc>
          <w:tcPr>
            <w:tcW w:w="1350" w:type="dxa"/>
            <w:shd w:val="clear" w:color="auto" w:fill="auto"/>
            <w:noWrap/>
            <w:hideMark/>
          </w:tcPr>
          <w:p w14:paraId="4D0E65FA" w14:textId="77777777" w:rsidR="004B2A4B" w:rsidRPr="00940B5C" w:rsidRDefault="004B2A4B" w:rsidP="00A456AE">
            <w:pPr>
              <w:pStyle w:val="ExhibitText"/>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United States</w:t>
            </w:r>
          </w:p>
        </w:tc>
        <w:tc>
          <w:tcPr>
            <w:tcW w:w="990" w:type="dxa"/>
            <w:shd w:val="clear" w:color="auto" w:fill="auto"/>
            <w:noWrap/>
            <w:hideMark/>
          </w:tcPr>
          <w:p w14:paraId="3C6B15D1" w14:textId="77777777" w:rsidR="004B2A4B" w:rsidRPr="00940B5C"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98,883</w:t>
            </w:r>
          </w:p>
        </w:tc>
        <w:tc>
          <w:tcPr>
            <w:tcW w:w="900" w:type="dxa"/>
            <w:shd w:val="clear" w:color="auto" w:fill="auto"/>
            <w:noWrap/>
            <w:hideMark/>
          </w:tcPr>
          <w:p w14:paraId="7330BF46" w14:textId="77777777" w:rsidR="004B2A4B" w:rsidRPr="00940B5C"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90.00</w:t>
            </w:r>
          </w:p>
        </w:tc>
        <w:tc>
          <w:tcPr>
            <w:tcW w:w="990" w:type="dxa"/>
            <w:shd w:val="clear" w:color="auto" w:fill="auto"/>
            <w:noWrap/>
            <w:hideMark/>
          </w:tcPr>
          <w:p w14:paraId="3026E428" w14:textId="77777777" w:rsidR="004B2A4B" w:rsidRPr="00940B5C"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18.7x</w:t>
            </w:r>
          </w:p>
        </w:tc>
        <w:tc>
          <w:tcPr>
            <w:tcW w:w="913" w:type="dxa"/>
            <w:shd w:val="clear" w:color="auto" w:fill="auto"/>
            <w:noWrap/>
            <w:hideMark/>
          </w:tcPr>
          <w:p w14:paraId="5F0B9272" w14:textId="77777777" w:rsidR="004B2A4B" w:rsidRPr="00940B5C"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14.2x</w:t>
            </w:r>
          </w:p>
        </w:tc>
        <w:tc>
          <w:tcPr>
            <w:tcW w:w="861" w:type="dxa"/>
            <w:shd w:val="clear" w:color="auto" w:fill="auto"/>
            <w:noWrap/>
            <w:hideMark/>
          </w:tcPr>
          <w:p w14:paraId="59FDF6EE" w14:textId="77777777" w:rsidR="004B2A4B" w:rsidRPr="00940B5C"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16.3x</w:t>
            </w:r>
          </w:p>
        </w:tc>
      </w:tr>
      <w:tr w:rsidR="00940B5C" w:rsidRPr="00940B5C" w14:paraId="0FC7724F" w14:textId="77777777" w:rsidTr="00940B5C">
        <w:trPr>
          <w:trHeight w:val="20"/>
          <w:jc w:val="center"/>
        </w:trPr>
        <w:tc>
          <w:tcPr>
            <w:cnfStyle w:val="001000000000" w:firstRow="0" w:lastRow="0" w:firstColumn="1" w:lastColumn="0" w:oddVBand="0" w:evenVBand="0" w:oddHBand="0" w:evenHBand="0" w:firstRowFirstColumn="0" w:firstRowLastColumn="0" w:lastRowFirstColumn="0" w:lastRowLastColumn="0"/>
            <w:tcW w:w="1032" w:type="dxa"/>
            <w:shd w:val="clear" w:color="auto" w:fill="auto"/>
            <w:hideMark/>
          </w:tcPr>
          <w:p w14:paraId="613A6B4C" w14:textId="77777777" w:rsidR="004B2A4B" w:rsidRPr="00940B5C" w:rsidRDefault="004B2A4B" w:rsidP="00A456AE">
            <w:pPr>
              <w:pStyle w:val="ExhibitText"/>
              <w:rPr>
                <w:color w:val="000000"/>
                <w:sz w:val="18"/>
                <w:szCs w:val="18"/>
                <w:lang w:val="en-GB"/>
              </w:rPr>
            </w:pPr>
          </w:p>
        </w:tc>
        <w:tc>
          <w:tcPr>
            <w:tcW w:w="2430" w:type="dxa"/>
            <w:shd w:val="clear" w:color="auto" w:fill="auto"/>
            <w:noWrap/>
            <w:vAlign w:val="center"/>
            <w:hideMark/>
          </w:tcPr>
          <w:p w14:paraId="19332B96" w14:textId="77777777" w:rsidR="004B2A4B" w:rsidRPr="00940B5C" w:rsidRDefault="004B2A4B" w:rsidP="00A456AE">
            <w:pPr>
              <w:pStyle w:val="ExhibitTex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American Express</w:t>
            </w:r>
          </w:p>
        </w:tc>
        <w:tc>
          <w:tcPr>
            <w:tcW w:w="1350" w:type="dxa"/>
            <w:shd w:val="clear" w:color="auto" w:fill="auto"/>
            <w:noWrap/>
            <w:hideMark/>
          </w:tcPr>
          <w:p w14:paraId="5B1BDF53" w14:textId="77777777" w:rsidR="004B2A4B" w:rsidRPr="00940B5C" w:rsidRDefault="004B2A4B" w:rsidP="00A456AE">
            <w:pPr>
              <w:pStyle w:val="ExhibitText"/>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United States</w:t>
            </w:r>
          </w:p>
        </w:tc>
        <w:tc>
          <w:tcPr>
            <w:tcW w:w="990" w:type="dxa"/>
            <w:shd w:val="clear" w:color="auto" w:fill="auto"/>
            <w:noWrap/>
            <w:hideMark/>
          </w:tcPr>
          <w:p w14:paraId="57535814" w14:textId="77777777" w:rsidR="004B2A4B" w:rsidRPr="00940B5C"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59,915</w:t>
            </w:r>
          </w:p>
        </w:tc>
        <w:tc>
          <w:tcPr>
            <w:tcW w:w="900" w:type="dxa"/>
            <w:shd w:val="clear" w:color="auto" w:fill="auto"/>
            <w:noWrap/>
            <w:hideMark/>
          </w:tcPr>
          <w:p w14:paraId="3366EACE" w14:textId="77777777" w:rsidR="004B2A4B" w:rsidRPr="00940B5C"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63.00</w:t>
            </w:r>
          </w:p>
        </w:tc>
        <w:tc>
          <w:tcPr>
            <w:tcW w:w="990" w:type="dxa"/>
            <w:shd w:val="clear" w:color="auto" w:fill="auto"/>
            <w:noWrap/>
            <w:hideMark/>
          </w:tcPr>
          <w:p w14:paraId="0E4ABE20" w14:textId="77777777" w:rsidR="004B2A4B" w:rsidRPr="00940B5C"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p>
        </w:tc>
        <w:tc>
          <w:tcPr>
            <w:tcW w:w="913" w:type="dxa"/>
            <w:shd w:val="clear" w:color="auto" w:fill="auto"/>
            <w:noWrap/>
            <w:hideMark/>
          </w:tcPr>
          <w:p w14:paraId="646C8A92" w14:textId="77777777" w:rsidR="004B2A4B" w:rsidRPr="00940B5C"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sz w:val="18"/>
                <w:szCs w:val="18"/>
                <w:lang w:val="en-GB"/>
              </w:rPr>
            </w:pPr>
          </w:p>
        </w:tc>
        <w:tc>
          <w:tcPr>
            <w:tcW w:w="861" w:type="dxa"/>
            <w:shd w:val="clear" w:color="auto" w:fill="auto"/>
            <w:noWrap/>
            <w:hideMark/>
          </w:tcPr>
          <w:p w14:paraId="330CDEAD" w14:textId="77777777" w:rsidR="004B2A4B" w:rsidRPr="00940B5C"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940B5C" w:rsidRPr="00940B5C" w14:paraId="2BFBCE45" w14:textId="77777777" w:rsidTr="00940B5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32" w:type="dxa"/>
            <w:shd w:val="clear" w:color="auto" w:fill="auto"/>
            <w:hideMark/>
          </w:tcPr>
          <w:p w14:paraId="717903E8" w14:textId="77777777" w:rsidR="004B2A4B" w:rsidRPr="00940B5C" w:rsidRDefault="004B2A4B" w:rsidP="00A456AE">
            <w:pPr>
              <w:pStyle w:val="ExhibitText"/>
              <w:rPr>
                <w:sz w:val="18"/>
                <w:szCs w:val="18"/>
                <w:lang w:val="en-GB"/>
              </w:rPr>
            </w:pPr>
          </w:p>
        </w:tc>
        <w:tc>
          <w:tcPr>
            <w:tcW w:w="2430" w:type="dxa"/>
            <w:shd w:val="clear" w:color="auto" w:fill="auto"/>
            <w:noWrap/>
            <w:vAlign w:val="center"/>
            <w:hideMark/>
          </w:tcPr>
          <w:p w14:paraId="4A97D8DC" w14:textId="77777777" w:rsidR="004B2A4B" w:rsidRPr="00940B5C" w:rsidRDefault="004B2A4B" w:rsidP="00A456AE">
            <w:pPr>
              <w:pStyle w:val="ExhibitTex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proofErr w:type="spellStart"/>
            <w:r w:rsidRPr="00940B5C">
              <w:rPr>
                <w:color w:val="000000"/>
                <w:sz w:val="18"/>
                <w:szCs w:val="18"/>
                <w:lang w:val="en-GB"/>
              </w:rPr>
              <w:t>Paypal</w:t>
            </w:r>
            <w:proofErr w:type="spellEnd"/>
            <w:r w:rsidRPr="00940B5C">
              <w:rPr>
                <w:color w:val="000000"/>
                <w:sz w:val="18"/>
                <w:szCs w:val="18"/>
                <w:lang w:val="en-GB"/>
              </w:rPr>
              <w:t xml:space="preserve"> Holdings Inc.</w:t>
            </w:r>
          </w:p>
        </w:tc>
        <w:tc>
          <w:tcPr>
            <w:tcW w:w="1350" w:type="dxa"/>
            <w:shd w:val="clear" w:color="auto" w:fill="auto"/>
            <w:noWrap/>
            <w:hideMark/>
          </w:tcPr>
          <w:p w14:paraId="3E675A3F" w14:textId="77777777" w:rsidR="004B2A4B" w:rsidRPr="00940B5C" w:rsidRDefault="004B2A4B" w:rsidP="00A456AE">
            <w:pPr>
              <w:pStyle w:val="ExhibitText"/>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United States</w:t>
            </w:r>
          </w:p>
        </w:tc>
        <w:tc>
          <w:tcPr>
            <w:tcW w:w="990" w:type="dxa"/>
            <w:shd w:val="clear" w:color="auto" w:fill="auto"/>
            <w:noWrap/>
            <w:hideMark/>
          </w:tcPr>
          <w:p w14:paraId="1DFDF310" w14:textId="77777777" w:rsidR="004B2A4B" w:rsidRPr="00940B5C"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47,015</w:t>
            </w:r>
          </w:p>
        </w:tc>
        <w:tc>
          <w:tcPr>
            <w:tcW w:w="900" w:type="dxa"/>
            <w:shd w:val="clear" w:color="auto" w:fill="auto"/>
            <w:noWrap/>
            <w:hideMark/>
          </w:tcPr>
          <w:p w14:paraId="32626DED" w14:textId="77777777" w:rsidR="004B2A4B" w:rsidRPr="00940B5C"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38.79</w:t>
            </w:r>
          </w:p>
        </w:tc>
        <w:tc>
          <w:tcPr>
            <w:tcW w:w="990" w:type="dxa"/>
            <w:shd w:val="clear" w:color="auto" w:fill="auto"/>
            <w:noWrap/>
            <w:hideMark/>
          </w:tcPr>
          <w:p w14:paraId="051FF105" w14:textId="77777777" w:rsidR="004B2A4B" w:rsidRPr="00940B5C"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22.0x</w:t>
            </w:r>
          </w:p>
        </w:tc>
        <w:tc>
          <w:tcPr>
            <w:tcW w:w="913" w:type="dxa"/>
            <w:shd w:val="clear" w:color="auto" w:fill="auto"/>
            <w:noWrap/>
            <w:hideMark/>
          </w:tcPr>
          <w:p w14:paraId="356E1114" w14:textId="77777777" w:rsidR="004B2A4B" w:rsidRPr="00940B5C"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18.9x</w:t>
            </w:r>
          </w:p>
        </w:tc>
        <w:tc>
          <w:tcPr>
            <w:tcW w:w="861" w:type="dxa"/>
            <w:shd w:val="clear" w:color="auto" w:fill="auto"/>
            <w:noWrap/>
            <w:hideMark/>
          </w:tcPr>
          <w:p w14:paraId="5A91F1F3" w14:textId="77777777" w:rsidR="004B2A4B" w:rsidRPr="00940B5C"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3.4x</w:t>
            </w:r>
          </w:p>
        </w:tc>
      </w:tr>
      <w:tr w:rsidR="00940B5C" w:rsidRPr="00940B5C" w14:paraId="557BA66A" w14:textId="77777777" w:rsidTr="00940B5C">
        <w:trPr>
          <w:trHeight w:val="20"/>
          <w:jc w:val="center"/>
        </w:trPr>
        <w:tc>
          <w:tcPr>
            <w:cnfStyle w:val="001000000000" w:firstRow="0" w:lastRow="0" w:firstColumn="1" w:lastColumn="0" w:oddVBand="0" w:evenVBand="0" w:oddHBand="0" w:evenHBand="0" w:firstRowFirstColumn="0" w:firstRowLastColumn="0" w:lastRowFirstColumn="0" w:lastRowLastColumn="0"/>
            <w:tcW w:w="1032" w:type="dxa"/>
            <w:shd w:val="clear" w:color="auto" w:fill="auto"/>
            <w:hideMark/>
          </w:tcPr>
          <w:p w14:paraId="7625027B" w14:textId="77777777" w:rsidR="004B2A4B" w:rsidRPr="00940B5C" w:rsidRDefault="004B2A4B" w:rsidP="00A456AE">
            <w:pPr>
              <w:pStyle w:val="ExhibitText"/>
              <w:rPr>
                <w:sz w:val="18"/>
                <w:szCs w:val="18"/>
                <w:lang w:val="en-GB"/>
              </w:rPr>
            </w:pPr>
          </w:p>
        </w:tc>
        <w:tc>
          <w:tcPr>
            <w:tcW w:w="2430" w:type="dxa"/>
            <w:shd w:val="clear" w:color="auto" w:fill="auto"/>
            <w:noWrap/>
            <w:hideMark/>
          </w:tcPr>
          <w:p w14:paraId="04DD2B96" w14:textId="77777777" w:rsidR="004B2A4B" w:rsidRPr="00940B5C" w:rsidRDefault="004B2A4B" w:rsidP="00A456AE">
            <w:pPr>
              <w:pStyle w:val="ExhibitText"/>
              <w:cnfStyle w:val="000000000000" w:firstRow="0" w:lastRow="0" w:firstColumn="0" w:lastColumn="0" w:oddVBand="0" w:evenVBand="0" w:oddHBand="0" w:evenHBand="0" w:firstRowFirstColumn="0" w:firstRowLastColumn="0" w:lastRowFirstColumn="0" w:lastRowLastColumn="0"/>
              <w:rPr>
                <w:sz w:val="18"/>
                <w:szCs w:val="18"/>
                <w:lang w:val="en-GB"/>
              </w:rPr>
            </w:pPr>
          </w:p>
        </w:tc>
        <w:tc>
          <w:tcPr>
            <w:tcW w:w="1350" w:type="dxa"/>
            <w:shd w:val="clear" w:color="auto" w:fill="auto"/>
            <w:noWrap/>
            <w:hideMark/>
          </w:tcPr>
          <w:p w14:paraId="33DDD98F" w14:textId="77777777" w:rsidR="004B2A4B" w:rsidRPr="00940B5C" w:rsidRDefault="004B2A4B" w:rsidP="00A456AE">
            <w:pPr>
              <w:pStyle w:val="ExhibitText"/>
              <w:jc w:val="center"/>
              <w:cnfStyle w:val="000000000000" w:firstRow="0" w:lastRow="0" w:firstColumn="0" w:lastColumn="0" w:oddVBand="0" w:evenVBand="0" w:oddHBand="0" w:evenHBand="0" w:firstRowFirstColumn="0" w:firstRowLastColumn="0" w:lastRowFirstColumn="0" w:lastRowLastColumn="0"/>
              <w:rPr>
                <w:sz w:val="18"/>
                <w:szCs w:val="18"/>
                <w:lang w:val="en-GB"/>
              </w:rPr>
            </w:pPr>
          </w:p>
        </w:tc>
        <w:tc>
          <w:tcPr>
            <w:tcW w:w="990" w:type="dxa"/>
            <w:shd w:val="clear" w:color="auto" w:fill="auto"/>
            <w:noWrap/>
            <w:hideMark/>
          </w:tcPr>
          <w:p w14:paraId="60F0020A" w14:textId="77777777" w:rsidR="004B2A4B" w:rsidRPr="00940B5C"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average</w:t>
            </w:r>
          </w:p>
        </w:tc>
        <w:tc>
          <w:tcPr>
            <w:tcW w:w="900" w:type="dxa"/>
            <w:shd w:val="clear" w:color="auto" w:fill="auto"/>
            <w:noWrap/>
            <w:hideMark/>
          </w:tcPr>
          <w:p w14:paraId="728B1139" w14:textId="77777777" w:rsidR="004B2A4B" w:rsidRPr="00940B5C"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p>
        </w:tc>
        <w:tc>
          <w:tcPr>
            <w:tcW w:w="990" w:type="dxa"/>
            <w:shd w:val="clear" w:color="auto" w:fill="auto"/>
            <w:noWrap/>
            <w:hideMark/>
          </w:tcPr>
          <w:p w14:paraId="5C209E82" w14:textId="77777777" w:rsidR="004B2A4B" w:rsidRPr="00940B5C"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21.6x</w:t>
            </w:r>
          </w:p>
        </w:tc>
        <w:tc>
          <w:tcPr>
            <w:tcW w:w="913" w:type="dxa"/>
            <w:shd w:val="clear" w:color="auto" w:fill="auto"/>
            <w:noWrap/>
            <w:hideMark/>
          </w:tcPr>
          <w:p w14:paraId="6A6DC328" w14:textId="77777777" w:rsidR="004B2A4B" w:rsidRPr="00940B5C"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178x</w:t>
            </w:r>
          </w:p>
        </w:tc>
        <w:tc>
          <w:tcPr>
            <w:tcW w:w="861" w:type="dxa"/>
            <w:shd w:val="clear" w:color="auto" w:fill="auto"/>
            <w:noWrap/>
            <w:hideMark/>
          </w:tcPr>
          <w:p w14:paraId="0FE4BEE2" w14:textId="77777777" w:rsidR="004B2A4B" w:rsidRPr="00940B5C" w:rsidRDefault="004B2A4B" w:rsidP="00A456AE">
            <w:pPr>
              <w:pStyle w:val="ExhibitText"/>
              <w:jc w:val="right"/>
              <w:cnfStyle w:val="000000000000" w:firstRow="0" w:lastRow="0" w:firstColumn="0" w:lastColumn="0" w:oddVBand="0" w:evenVBand="0" w:oddHBand="0" w:evenHBand="0" w:firstRowFirstColumn="0" w:firstRowLastColumn="0" w:lastRowFirstColumn="0" w:lastRowLastColumn="0"/>
              <w:rPr>
                <w:color w:val="000000"/>
                <w:sz w:val="18"/>
                <w:szCs w:val="18"/>
                <w:lang w:val="en-GB"/>
              </w:rPr>
            </w:pPr>
            <w:r w:rsidRPr="00940B5C">
              <w:rPr>
                <w:color w:val="000000"/>
                <w:sz w:val="18"/>
                <w:szCs w:val="18"/>
                <w:lang w:val="en-GB"/>
              </w:rPr>
              <w:t>8.6x</w:t>
            </w:r>
          </w:p>
        </w:tc>
      </w:tr>
      <w:tr w:rsidR="00940B5C" w:rsidRPr="00940B5C" w14:paraId="36743571" w14:textId="77777777" w:rsidTr="00940B5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32" w:type="dxa"/>
            <w:shd w:val="clear" w:color="auto" w:fill="auto"/>
            <w:hideMark/>
          </w:tcPr>
          <w:p w14:paraId="03AC00D6" w14:textId="77777777" w:rsidR="004B2A4B" w:rsidRPr="00940B5C" w:rsidRDefault="004B2A4B" w:rsidP="00A456AE">
            <w:pPr>
              <w:pStyle w:val="ExhibitText"/>
              <w:rPr>
                <w:color w:val="000000"/>
                <w:sz w:val="18"/>
                <w:szCs w:val="18"/>
                <w:lang w:val="en-GB"/>
              </w:rPr>
            </w:pPr>
          </w:p>
        </w:tc>
        <w:tc>
          <w:tcPr>
            <w:tcW w:w="2430" w:type="dxa"/>
            <w:shd w:val="clear" w:color="auto" w:fill="auto"/>
            <w:noWrap/>
            <w:hideMark/>
          </w:tcPr>
          <w:p w14:paraId="78A8BA6D" w14:textId="77777777" w:rsidR="004B2A4B" w:rsidRPr="00940B5C" w:rsidRDefault="004B2A4B" w:rsidP="00A456AE">
            <w:pPr>
              <w:pStyle w:val="ExhibitText"/>
              <w:cnfStyle w:val="000000100000" w:firstRow="0" w:lastRow="0" w:firstColumn="0" w:lastColumn="0" w:oddVBand="0" w:evenVBand="0" w:oddHBand="1" w:evenHBand="0" w:firstRowFirstColumn="0" w:firstRowLastColumn="0" w:lastRowFirstColumn="0" w:lastRowLastColumn="0"/>
              <w:rPr>
                <w:sz w:val="18"/>
                <w:szCs w:val="18"/>
                <w:lang w:val="en-GB"/>
              </w:rPr>
            </w:pPr>
          </w:p>
        </w:tc>
        <w:tc>
          <w:tcPr>
            <w:tcW w:w="1350" w:type="dxa"/>
            <w:shd w:val="clear" w:color="auto" w:fill="auto"/>
            <w:noWrap/>
            <w:hideMark/>
          </w:tcPr>
          <w:p w14:paraId="7C04D9A3" w14:textId="77777777" w:rsidR="004B2A4B" w:rsidRPr="00940B5C" w:rsidRDefault="004B2A4B" w:rsidP="00A456AE">
            <w:pPr>
              <w:pStyle w:val="ExhibitText"/>
              <w:jc w:val="center"/>
              <w:cnfStyle w:val="000000100000" w:firstRow="0" w:lastRow="0" w:firstColumn="0" w:lastColumn="0" w:oddVBand="0" w:evenVBand="0" w:oddHBand="1" w:evenHBand="0" w:firstRowFirstColumn="0" w:firstRowLastColumn="0" w:lastRowFirstColumn="0" w:lastRowLastColumn="0"/>
              <w:rPr>
                <w:sz w:val="18"/>
                <w:szCs w:val="18"/>
                <w:lang w:val="en-GB"/>
              </w:rPr>
            </w:pPr>
          </w:p>
        </w:tc>
        <w:tc>
          <w:tcPr>
            <w:tcW w:w="990" w:type="dxa"/>
            <w:shd w:val="clear" w:color="auto" w:fill="auto"/>
            <w:noWrap/>
            <w:hideMark/>
          </w:tcPr>
          <w:p w14:paraId="611E2D96" w14:textId="77777777" w:rsidR="004B2A4B" w:rsidRPr="00940B5C"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median</w:t>
            </w:r>
          </w:p>
        </w:tc>
        <w:tc>
          <w:tcPr>
            <w:tcW w:w="900" w:type="dxa"/>
            <w:shd w:val="clear" w:color="auto" w:fill="auto"/>
            <w:noWrap/>
            <w:hideMark/>
          </w:tcPr>
          <w:p w14:paraId="5DC7B892" w14:textId="77777777" w:rsidR="004B2A4B" w:rsidRPr="00940B5C"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p>
        </w:tc>
        <w:tc>
          <w:tcPr>
            <w:tcW w:w="990" w:type="dxa"/>
            <w:shd w:val="clear" w:color="auto" w:fill="auto"/>
            <w:noWrap/>
            <w:hideMark/>
          </w:tcPr>
          <w:p w14:paraId="52009427" w14:textId="77777777" w:rsidR="004B2A4B" w:rsidRPr="00940B5C"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22.0x</w:t>
            </w:r>
          </w:p>
        </w:tc>
        <w:tc>
          <w:tcPr>
            <w:tcW w:w="913" w:type="dxa"/>
            <w:shd w:val="clear" w:color="auto" w:fill="auto"/>
            <w:noWrap/>
            <w:hideMark/>
          </w:tcPr>
          <w:p w14:paraId="7B407135" w14:textId="77777777" w:rsidR="004B2A4B" w:rsidRPr="00940B5C"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18.9x</w:t>
            </w:r>
          </w:p>
        </w:tc>
        <w:tc>
          <w:tcPr>
            <w:tcW w:w="861" w:type="dxa"/>
            <w:shd w:val="clear" w:color="auto" w:fill="auto"/>
            <w:noWrap/>
            <w:hideMark/>
          </w:tcPr>
          <w:p w14:paraId="724404AC" w14:textId="77777777" w:rsidR="004B2A4B" w:rsidRPr="00940B5C" w:rsidRDefault="004B2A4B" w:rsidP="00A456AE">
            <w:pPr>
              <w:pStyle w:val="ExhibitText"/>
              <w:jc w:val="right"/>
              <w:cnfStyle w:val="000000100000" w:firstRow="0" w:lastRow="0" w:firstColumn="0" w:lastColumn="0" w:oddVBand="0" w:evenVBand="0" w:oddHBand="1" w:evenHBand="0" w:firstRowFirstColumn="0" w:firstRowLastColumn="0" w:lastRowFirstColumn="0" w:lastRowLastColumn="0"/>
              <w:rPr>
                <w:color w:val="000000"/>
                <w:sz w:val="18"/>
                <w:szCs w:val="18"/>
                <w:lang w:val="en-GB"/>
              </w:rPr>
            </w:pPr>
            <w:r w:rsidRPr="00940B5C">
              <w:rPr>
                <w:color w:val="000000"/>
                <w:sz w:val="18"/>
                <w:szCs w:val="18"/>
                <w:lang w:val="en-GB"/>
              </w:rPr>
              <w:t>6.2x</w:t>
            </w:r>
          </w:p>
        </w:tc>
      </w:tr>
    </w:tbl>
    <w:p w14:paraId="23330CBD" w14:textId="77777777" w:rsidR="004B2A4B" w:rsidRDefault="004B2A4B" w:rsidP="004B2A4B">
      <w:pPr>
        <w:pStyle w:val="Footnote"/>
        <w:rPr>
          <w:lang w:val="en-GB"/>
        </w:rPr>
      </w:pPr>
    </w:p>
    <w:p w14:paraId="787C7C95" w14:textId="77777777" w:rsidR="004B2A4B" w:rsidRDefault="004B2A4B" w:rsidP="004B2A4B">
      <w:pPr>
        <w:pStyle w:val="Footnote"/>
        <w:rPr>
          <w:lang w:val="en-GB"/>
        </w:rPr>
      </w:pPr>
      <w:r>
        <w:rPr>
          <w:lang w:val="en-GB"/>
        </w:rPr>
        <w:t>Note: FY = fiscal year; P/E = price to earnings; P/B = price to book value</w:t>
      </w:r>
    </w:p>
    <w:p w14:paraId="3F576ACD" w14:textId="5AC45CBC" w:rsidR="004B2A4B" w:rsidRDefault="004B2A4B" w:rsidP="00940B5C">
      <w:pPr>
        <w:pStyle w:val="FootnoteText1"/>
      </w:pPr>
      <w:r w:rsidRPr="00CB3BFB">
        <w:rPr>
          <w:lang w:val="en-GB"/>
        </w:rPr>
        <w:t xml:space="preserve">Source: Created by case author using data from “Figure 23: Listed Comparative Metrics,” in </w:t>
      </w:r>
      <w:proofErr w:type="spellStart"/>
      <w:r w:rsidRPr="00CB3BFB">
        <w:rPr>
          <w:lang w:val="en-GB"/>
        </w:rPr>
        <w:t>ChimpChange</w:t>
      </w:r>
      <w:proofErr w:type="spellEnd"/>
      <w:r w:rsidRPr="00CB3BFB">
        <w:rPr>
          <w:lang w:val="en-GB"/>
        </w:rPr>
        <w:t xml:space="preserve"> Ltd</w:t>
      </w:r>
      <w:r>
        <w:rPr>
          <w:lang w:val="en-GB"/>
        </w:rPr>
        <w:t>—</w:t>
      </w:r>
      <w:r w:rsidRPr="00CB3BFB">
        <w:rPr>
          <w:lang w:val="en-GB"/>
        </w:rPr>
        <w:t>Initiating Coverage,” Moelis Australia Securities</w:t>
      </w:r>
      <w:r>
        <w:rPr>
          <w:lang w:val="en-GB"/>
        </w:rPr>
        <w:t>—</w:t>
      </w:r>
      <w:r w:rsidRPr="00CB3BFB">
        <w:rPr>
          <w:lang w:val="en-GB"/>
        </w:rPr>
        <w:t xml:space="preserve">Research Department, July 20, 2016, 95, </w:t>
      </w:r>
      <w:proofErr w:type="spellStart"/>
      <w:r w:rsidRPr="00CB3BFB">
        <w:rPr>
          <w:i/>
          <w:lang w:val="en-GB"/>
        </w:rPr>
        <w:t>Chimpchange</w:t>
      </w:r>
      <w:proofErr w:type="spellEnd"/>
      <w:r w:rsidRPr="00CB3BFB">
        <w:rPr>
          <w:i/>
          <w:lang w:val="en-GB"/>
        </w:rPr>
        <w:t xml:space="preserve"> Ltd.: Digital Disruptor</w:t>
      </w:r>
      <w:r w:rsidRPr="00CB3BFB">
        <w:rPr>
          <w:lang w:val="en-GB"/>
        </w:rPr>
        <w:t>, 16, July 21, 2016</w:t>
      </w:r>
      <w:r w:rsidRPr="006D46B4">
        <w:rPr>
          <w:lang w:val="en-GB"/>
        </w:rPr>
        <w:t>, accessed August 8, 2018, www.scribd.com/document/319304412/CCA-2016-07-Moelis-Initiation</w:t>
      </w:r>
      <w:r w:rsidRPr="00CB3BFB">
        <w:rPr>
          <w:lang w:val="en-GB"/>
        </w:rPr>
        <w:t>.</w:t>
      </w:r>
    </w:p>
    <w:p w14:paraId="6A5710EC" w14:textId="77777777" w:rsidR="004B2A4B" w:rsidRDefault="004B2A4B" w:rsidP="004B2A4B">
      <w:pPr>
        <w:pStyle w:val="BodyTextMain"/>
      </w:pPr>
    </w:p>
    <w:p w14:paraId="705CF5BA" w14:textId="77777777" w:rsidR="004B2A4B" w:rsidRDefault="004B2A4B" w:rsidP="004B2A4B">
      <w:pPr>
        <w:pStyle w:val="BodyTextMain"/>
        <w:sectPr w:rsidR="004B2A4B" w:rsidSect="004B2A4B">
          <w:headerReference w:type="default" r:id="rId18"/>
          <w:pgSz w:w="12240" w:h="15840" w:code="1"/>
          <w:pgMar w:top="1080" w:right="1440" w:bottom="1440" w:left="1440" w:header="1080" w:footer="720" w:gutter="0"/>
          <w:cols w:space="720"/>
          <w:docGrid w:linePitch="360"/>
        </w:sectPr>
      </w:pPr>
    </w:p>
    <w:p w14:paraId="0F37D9FA" w14:textId="2D058267" w:rsidR="004B2A4B" w:rsidRPr="00CB3BFB" w:rsidRDefault="004B2A4B" w:rsidP="004B2A4B">
      <w:pPr>
        <w:pStyle w:val="ExhibitHeading"/>
        <w:rPr>
          <w:lang w:val="en-GB"/>
        </w:rPr>
      </w:pPr>
      <w:r w:rsidRPr="00CB3BFB">
        <w:rPr>
          <w:lang w:val="en-GB"/>
        </w:rPr>
        <w:lastRenderedPageBreak/>
        <w:t xml:space="preserve">Exhibit </w:t>
      </w:r>
      <w:r>
        <w:rPr>
          <w:lang w:val="en-GB"/>
        </w:rPr>
        <w:t>9</w:t>
      </w:r>
      <w:r w:rsidRPr="00CB3BFB">
        <w:rPr>
          <w:lang w:val="en-GB"/>
        </w:rPr>
        <w:t>: PRO FORMA Growth estimates based on management forecasts (</w:t>
      </w:r>
      <w:r w:rsidR="009B55B6">
        <w:rPr>
          <w:lang w:val="en-GB"/>
        </w:rPr>
        <w:t xml:space="preserve">In </w:t>
      </w:r>
      <w:r w:rsidRPr="00CB3BFB">
        <w:rPr>
          <w:lang w:val="en-GB"/>
        </w:rPr>
        <w:t>US</w:t>
      </w:r>
      <w:r w:rsidR="009B55B6">
        <w:rPr>
          <w:lang w:val="en-GB"/>
        </w:rPr>
        <w:t>$</w:t>
      </w:r>
      <w:r w:rsidRPr="00CB3BFB">
        <w:rPr>
          <w:lang w:val="en-GB"/>
        </w:rPr>
        <w:t xml:space="preserve"> ‘000)</w:t>
      </w:r>
    </w:p>
    <w:p w14:paraId="6CB20E5B" w14:textId="77777777" w:rsidR="004B2A4B" w:rsidRPr="00CB3BFB" w:rsidRDefault="004B2A4B" w:rsidP="004B2A4B">
      <w:pPr>
        <w:pStyle w:val="BodyTextMain"/>
        <w:rPr>
          <w:sz w:val="16"/>
          <w:szCs w:val="16"/>
          <w:lang w:val="en-GB"/>
        </w:rPr>
      </w:pPr>
    </w:p>
    <w:tbl>
      <w:tblPr>
        <w:tblStyle w:val="GridTable4-Accent11"/>
        <w:tblW w:w="128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3"/>
        <w:gridCol w:w="269"/>
        <w:gridCol w:w="828"/>
        <w:gridCol w:w="1097"/>
        <w:gridCol w:w="1242"/>
        <w:gridCol w:w="73"/>
        <w:gridCol w:w="1205"/>
        <w:gridCol w:w="1063"/>
        <w:gridCol w:w="1080"/>
        <w:gridCol w:w="1080"/>
        <w:gridCol w:w="1012"/>
        <w:gridCol w:w="162"/>
      </w:tblGrid>
      <w:tr w:rsidR="00DA6B33" w:rsidRPr="00991A8E" w14:paraId="62DFF6C2" w14:textId="77777777" w:rsidTr="00DA6B33">
        <w:trPr>
          <w:cnfStyle w:val="100000000000" w:firstRow="1" w:lastRow="0" w:firstColumn="0" w:lastColumn="0" w:oddVBand="0" w:evenVBand="0" w:oddHBand="0"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3773" w:type="dxa"/>
            <w:tcBorders>
              <w:top w:val="nil"/>
              <w:left w:val="nil"/>
              <w:bottom w:val="nil"/>
            </w:tcBorders>
            <w:shd w:val="clear" w:color="auto" w:fill="auto"/>
            <w:noWrap/>
            <w:hideMark/>
          </w:tcPr>
          <w:p w14:paraId="05DD9E4A" w14:textId="77777777" w:rsidR="004B2A4B" w:rsidRPr="00991A8E" w:rsidRDefault="004B2A4B" w:rsidP="00A456AE">
            <w:pPr>
              <w:rPr>
                <w:rFonts w:ascii="Arial" w:hAnsi="Arial" w:cs="Arial"/>
                <w:b w:val="0"/>
                <w:bCs w:val="0"/>
                <w:color w:val="auto"/>
                <w:sz w:val="19"/>
                <w:szCs w:val="19"/>
                <w:lang w:val="en-GB"/>
              </w:rPr>
            </w:pPr>
            <w:r w:rsidRPr="00991A8E">
              <w:rPr>
                <w:rFonts w:ascii="Arial" w:hAnsi="Arial" w:cs="Arial"/>
                <w:sz w:val="19"/>
                <w:szCs w:val="19"/>
                <w:lang w:val="en-GB"/>
              </w:rPr>
              <w:t> </w:t>
            </w:r>
          </w:p>
        </w:tc>
        <w:tc>
          <w:tcPr>
            <w:tcW w:w="250" w:type="dxa"/>
            <w:tcBorders>
              <w:top w:val="nil"/>
              <w:bottom w:val="nil"/>
            </w:tcBorders>
            <w:shd w:val="clear" w:color="auto" w:fill="auto"/>
            <w:noWrap/>
            <w:hideMark/>
          </w:tcPr>
          <w:p w14:paraId="220E3FA5" w14:textId="77777777" w:rsidR="004B2A4B" w:rsidRPr="00991A8E" w:rsidRDefault="004B2A4B" w:rsidP="00A456AE">
            <w:pPr>
              <w:cnfStyle w:val="100000000000" w:firstRow="1" w:lastRow="0" w:firstColumn="0" w:lastColumn="0" w:oddVBand="0" w:evenVBand="0" w:oddHBand="0" w:evenHBand="0" w:firstRowFirstColumn="0" w:firstRowLastColumn="0" w:lastRowFirstColumn="0" w:lastRowLastColumn="0"/>
              <w:rPr>
                <w:rFonts w:ascii="Arial" w:hAnsi="Arial" w:cs="Arial"/>
                <w:b w:val="0"/>
                <w:bCs w:val="0"/>
                <w:i/>
                <w:iCs/>
                <w:color w:val="auto"/>
                <w:sz w:val="19"/>
                <w:szCs w:val="19"/>
                <w:lang w:val="en-GB"/>
              </w:rPr>
            </w:pPr>
            <w:r w:rsidRPr="00991A8E">
              <w:rPr>
                <w:rFonts w:ascii="Arial" w:hAnsi="Arial" w:cs="Arial"/>
                <w:i/>
                <w:iCs/>
                <w:sz w:val="19"/>
                <w:szCs w:val="19"/>
                <w:lang w:val="en-GB"/>
              </w:rPr>
              <w:t> </w:t>
            </w:r>
          </w:p>
        </w:tc>
        <w:tc>
          <w:tcPr>
            <w:tcW w:w="3240" w:type="dxa"/>
            <w:gridSpan w:val="4"/>
            <w:tcBorders>
              <w:top w:val="nil"/>
              <w:bottom w:val="nil"/>
            </w:tcBorders>
            <w:shd w:val="clear" w:color="auto" w:fill="auto"/>
            <w:noWrap/>
            <w:hideMark/>
          </w:tcPr>
          <w:p w14:paraId="17AC70B7" w14:textId="77777777" w:rsidR="004B2A4B" w:rsidRPr="00991A8E" w:rsidRDefault="004B2A4B" w:rsidP="00A456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sz w:val="19"/>
                <w:szCs w:val="19"/>
                <w:lang w:val="en-GB"/>
              </w:rPr>
            </w:pPr>
            <w:r w:rsidRPr="00991A8E">
              <w:rPr>
                <w:rFonts w:ascii="Arial" w:hAnsi="Arial" w:cs="Arial"/>
                <w:sz w:val="19"/>
                <w:szCs w:val="19"/>
                <w:lang w:val="en-GB"/>
              </w:rPr>
              <w:t>Historical</w:t>
            </w:r>
          </w:p>
        </w:tc>
        <w:tc>
          <w:tcPr>
            <w:tcW w:w="5602" w:type="dxa"/>
            <w:gridSpan w:val="6"/>
            <w:tcBorders>
              <w:top w:val="nil"/>
              <w:bottom w:val="nil"/>
              <w:right w:val="nil"/>
            </w:tcBorders>
            <w:shd w:val="clear" w:color="auto" w:fill="auto"/>
            <w:noWrap/>
            <w:hideMark/>
          </w:tcPr>
          <w:p w14:paraId="4D6CD2CE" w14:textId="77777777" w:rsidR="004B2A4B" w:rsidRPr="00991A8E" w:rsidRDefault="004B2A4B" w:rsidP="00A456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sz w:val="19"/>
                <w:szCs w:val="19"/>
                <w:lang w:val="en-GB"/>
              </w:rPr>
            </w:pPr>
            <w:r w:rsidRPr="00991A8E">
              <w:rPr>
                <w:rFonts w:ascii="Arial" w:hAnsi="Arial" w:cs="Arial"/>
                <w:sz w:val="19"/>
                <w:szCs w:val="19"/>
                <w:lang w:val="en-GB"/>
              </w:rPr>
              <w:t>Projection</w:t>
            </w:r>
          </w:p>
        </w:tc>
      </w:tr>
      <w:tr w:rsidR="009B55B6" w:rsidRPr="00991A8E" w14:paraId="068FFBEA" w14:textId="77777777" w:rsidTr="00DA6B33">
        <w:trPr>
          <w:gridAfter w:val="1"/>
          <w:cnfStyle w:val="000000100000" w:firstRow="0" w:lastRow="0" w:firstColumn="0" w:lastColumn="0" w:oddVBand="0" w:evenVBand="0" w:oddHBand="1" w:evenHBand="0" w:firstRowFirstColumn="0" w:firstRowLastColumn="0" w:lastRowFirstColumn="0" w:lastRowLastColumn="0"/>
          <w:wAfter w:w="162" w:type="dxa"/>
          <w:trHeight w:val="231"/>
          <w:jc w:val="center"/>
        </w:trPr>
        <w:tc>
          <w:tcPr>
            <w:cnfStyle w:val="001000000000" w:firstRow="0" w:lastRow="0" w:firstColumn="1" w:lastColumn="0" w:oddVBand="0" w:evenVBand="0" w:oddHBand="0" w:evenHBand="0" w:firstRowFirstColumn="0" w:firstRowLastColumn="0" w:lastRowFirstColumn="0" w:lastRowLastColumn="0"/>
            <w:tcW w:w="3773" w:type="dxa"/>
            <w:shd w:val="clear" w:color="auto" w:fill="auto"/>
            <w:noWrap/>
            <w:hideMark/>
          </w:tcPr>
          <w:p w14:paraId="450A6D15" w14:textId="77777777" w:rsidR="009B55B6" w:rsidRPr="00991A8E" w:rsidRDefault="009B55B6" w:rsidP="00A456AE">
            <w:pPr>
              <w:rPr>
                <w:rFonts w:ascii="Arial" w:hAnsi="Arial" w:cs="Arial"/>
                <w:bCs w:val="0"/>
                <w:sz w:val="19"/>
                <w:szCs w:val="19"/>
                <w:lang w:val="en-GB"/>
              </w:rPr>
            </w:pPr>
            <w:r w:rsidRPr="00991A8E">
              <w:rPr>
                <w:rFonts w:ascii="Arial" w:hAnsi="Arial" w:cs="Arial"/>
                <w:sz w:val="19"/>
                <w:szCs w:val="19"/>
                <w:lang w:val="en-GB"/>
              </w:rPr>
              <w:t>Income Statement</w:t>
            </w:r>
          </w:p>
        </w:tc>
        <w:tc>
          <w:tcPr>
            <w:tcW w:w="1078" w:type="dxa"/>
            <w:gridSpan w:val="2"/>
            <w:shd w:val="clear" w:color="auto" w:fill="auto"/>
            <w:noWrap/>
          </w:tcPr>
          <w:p w14:paraId="0AD5A0BE" w14:textId="77777777" w:rsidR="009B55B6" w:rsidRPr="00991A8E" w:rsidRDefault="009B55B6" w:rsidP="00A456AE">
            <w:pPr>
              <w:jc w:val="right"/>
              <w:cnfStyle w:val="000000100000" w:firstRow="0" w:lastRow="0" w:firstColumn="0" w:lastColumn="0" w:oddVBand="0" w:evenVBand="0" w:oddHBand="1" w:evenHBand="0" w:firstRowFirstColumn="0" w:firstRowLastColumn="0" w:lastRowFirstColumn="0" w:lastRowLastColumn="0"/>
              <w:rPr>
                <w:rFonts w:ascii="Arial" w:hAnsi="Arial" w:cs="Arial"/>
                <w:b/>
                <w:bCs/>
                <w:sz w:val="19"/>
                <w:szCs w:val="19"/>
                <w:lang w:val="en-GB"/>
              </w:rPr>
            </w:pPr>
            <w:r w:rsidRPr="00991A8E">
              <w:rPr>
                <w:rFonts w:ascii="Arial" w:hAnsi="Arial" w:cs="Arial"/>
                <w:b/>
                <w:bCs/>
                <w:sz w:val="19"/>
                <w:szCs w:val="19"/>
                <w:lang w:val="en-GB"/>
              </w:rPr>
              <w:t>FY2014</w:t>
            </w:r>
          </w:p>
        </w:tc>
        <w:tc>
          <w:tcPr>
            <w:tcW w:w="1097" w:type="dxa"/>
            <w:shd w:val="clear" w:color="auto" w:fill="auto"/>
            <w:noWrap/>
            <w:hideMark/>
          </w:tcPr>
          <w:p w14:paraId="40845544" w14:textId="77777777" w:rsidR="009B55B6" w:rsidRPr="00991A8E" w:rsidRDefault="009B55B6" w:rsidP="00A456AE">
            <w:pPr>
              <w:jc w:val="right"/>
              <w:cnfStyle w:val="000000100000" w:firstRow="0" w:lastRow="0" w:firstColumn="0" w:lastColumn="0" w:oddVBand="0" w:evenVBand="0" w:oddHBand="1" w:evenHBand="0" w:firstRowFirstColumn="0" w:firstRowLastColumn="0" w:lastRowFirstColumn="0" w:lastRowLastColumn="0"/>
              <w:rPr>
                <w:rFonts w:ascii="Arial" w:hAnsi="Arial" w:cs="Arial"/>
                <w:b/>
                <w:bCs/>
                <w:sz w:val="19"/>
                <w:szCs w:val="19"/>
                <w:lang w:val="en-GB"/>
              </w:rPr>
            </w:pPr>
            <w:r w:rsidRPr="00991A8E">
              <w:rPr>
                <w:rFonts w:ascii="Arial" w:hAnsi="Arial" w:cs="Arial"/>
                <w:b/>
                <w:bCs/>
                <w:sz w:val="19"/>
                <w:szCs w:val="19"/>
                <w:lang w:val="en-GB"/>
              </w:rPr>
              <w:t>FY2015</w:t>
            </w:r>
          </w:p>
        </w:tc>
        <w:tc>
          <w:tcPr>
            <w:tcW w:w="1242" w:type="dxa"/>
            <w:shd w:val="clear" w:color="auto" w:fill="auto"/>
            <w:noWrap/>
            <w:hideMark/>
          </w:tcPr>
          <w:p w14:paraId="2FC7ED0B" w14:textId="77777777" w:rsidR="009B55B6" w:rsidRPr="00991A8E" w:rsidRDefault="009B55B6" w:rsidP="00A456AE">
            <w:pPr>
              <w:jc w:val="right"/>
              <w:cnfStyle w:val="000000100000" w:firstRow="0" w:lastRow="0" w:firstColumn="0" w:lastColumn="0" w:oddVBand="0" w:evenVBand="0" w:oddHBand="1" w:evenHBand="0" w:firstRowFirstColumn="0" w:firstRowLastColumn="0" w:lastRowFirstColumn="0" w:lastRowLastColumn="0"/>
              <w:rPr>
                <w:rFonts w:ascii="Arial" w:hAnsi="Arial" w:cs="Arial"/>
                <w:b/>
                <w:bCs/>
                <w:sz w:val="19"/>
                <w:szCs w:val="19"/>
                <w:lang w:val="en-GB"/>
              </w:rPr>
            </w:pPr>
            <w:r w:rsidRPr="00991A8E">
              <w:rPr>
                <w:rFonts w:ascii="Arial" w:hAnsi="Arial" w:cs="Arial"/>
                <w:b/>
                <w:bCs/>
                <w:sz w:val="19"/>
                <w:szCs w:val="19"/>
                <w:lang w:val="en-GB"/>
              </w:rPr>
              <w:t>H1 FY2016</w:t>
            </w:r>
          </w:p>
        </w:tc>
        <w:tc>
          <w:tcPr>
            <w:tcW w:w="1278" w:type="dxa"/>
            <w:gridSpan w:val="2"/>
            <w:shd w:val="clear" w:color="auto" w:fill="auto"/>
            <w:noWrap/>
            <w:hideMark/>
          </w:tcPr>
          <w:p w14:paraId="23DD8295" w14:textId="77777777" w:rsidR="009B55B6" w:rsidRPr="00991A8E" w:rsidRDefault="009B55B6" w:rsidP="00A456AE">
            <w:pPr>
              <w:jc w:val="right"/>
              <w:cnfStyle w:val="000000100000" w:firstRow="0" w:lastRow="0" w:firstColumn="0" w:lastColumn="0" w:oddVBand="0" w:evenVBand="0" w:oddHBand="1" w:evenHBand="0" w:firstRowFirstColumn="0" w:firstRowLastColumn="0" w:lastRowFirstColumn="0" w:lastRowLastColumn="0"/>
              <w:rPr>
                <w:rFonts w:ascii="Arial" w:hAnsi="Arial" w:cs="Arial"/>
                <w:b/>
                <w:bCs/>
                <w:sz w:val="19"/>
                <w:szCs w:val="19"/>
                <w:lang w:val="en-GB"/>
              </w:rPr>
            </w:pPr>
            <w:r w:rsidRPr="00991A8E">
              <w:rPr>
                <w:rFonts w:ascii="Arial" w:hAnsi="Arial" w:cs="Arial"/>
                <w:b/>
                <w:bCs/>
                <w:sz w:val="19"/>
                <w:szCs w:val="19"/>
                <w:lang w:val="en-GB"/>
              </w:rPr>
              <w:t>H2 FY2016</w:t>
            </w:r>
          </w:p>
        </w:tc>
        <w:tc>
          <w:tcPr>
            <w:tcW w:w="1063" w:type="dxa"/>
            <w:shd w:val="clear" w:color="auto" w:fill="auto"/>
            <w:noWrap/>
            <w:hideMark/>
          </w:tcPr>
          <w:p w14:paraId="03E761D4" w14:textId="77777777" w:rsidR="009B55B6" w:rsidRPr="00991A8E" w:rsidRDefault="009B55B6" w:rsidP="00A456AE">
            <w:pPr>
              <w:jc w:val="right"/>
              <w:cnfStyle w:val="000000100000" w:firstRow="0" w:lastRow="0" w:firstColumn="0" w:lastColumn="0" w:oddVBand="0" w:evenVBand="0" w:oddHBand="1" w:evenHBand="0" w:firstRowFirstColumn="0" w:firstRowLastColumn="0" w:lastRowFirstColumn="0" w:lastRowLastColumn="0"/>
              <w:rPr>
                <w:rFonts w:ascii="Arial" w:hAnsi="Arial" w:cs="Arial"/>
                <w:b/>
                <w:bCs/>
                <w:sz w:val="19"/>
                <w:szCs w:val="19"/>
                <w:lang w:val="en-GB"/>
              </w:rPr>
            </w:pPr>
            <w:r w:rsidRPr="00991A8E">
              <w:rPr>
                <w:rFonts w:ascii="Arial" w:hAnsi="Arial" w:cs="Arial"/>
                <w:b/>
                <w:bCs/>
                <w:sz w:val="19"/>
                <w:szCs w:val="19"/>
                <w:lang w:val="en-GB"/>
              </w:rPr>
              <w:t>FY2017</w:t>
            </w:r>
          </w:p>
        </w:tc>
        <w:tc>
          <w:tcPr>
            <w:tcW w:w="1080" w:type="dxa"/>
            <w:shd w:val="clear" w:color="auto" w:fill="auto"/>
            <w:noWrap/>
            <w:hideMark/>
          </w:tcPr>
          <w:p w14:paraId="5EA0B15E" w14:textId="77777777" w:rsidR="009B55B6" w:rsidRPr="00991A8E" w:rsidRDefault="009B55B6" w:rsidP="00A456AE">
            <w:pPr>
              <w:jc w:val="right"/>
              <w:cnfStyle w:val="000000100000" w:firstRow="0" w:lastRow="0" w:firstColumn="0" w:lastColumn="0" w:oddVBand="0" w:evenVBand="0" w:oddHBand="1" w:evenHBand="0" w:firstRowFirstColumn="0" w:firstRowLastColumn="0" w:lastRowFirstColumn="0" w:lastRowLastColumn="0"/>
              <w:rPr>
                <w:rFonts w:ascii="Arial" w:hAnsi="Arial" w:cs="Arial"/>
                <w:b/>
                <w:bCs/>
                <w:sz w:val="19"/>
                <w:szCs w:val="19"/>
                <w:lang w:val="en-GB"/>
              </w:rPr>
            </w:pPr>
            <w:r w:rsidRPr="00991A8E">
              <w:rPr>
                <w:rFonts w:ascii="Arial" w:hAnsi="Arial" w:cs="Arial"/>
                <w:b/>
                <w:bCs/>
                <w:sz w:val="19"/>
                <w:szCs w:val="19"/>
                <w:lang w:val="en-GB"/>
              </w:rPr>
              <w:t>FY2018</w:t>
            </w:r>
          </w:p>
        </w:tc>
        <w:tc>
          <w:tcPr>
            <w:tcW w:w="1080" w:type="dxa"/>
            <w:shd w:val="clear" w:color="auto" w:fill="auto"/>
            <w:noWrap/>
            <w:hideMark/>
          </w:tcPr>
          <w:p w14:paraId="55C15B8F" w14:textId="77777777" w:rsidR="009B55B6" w:rsidRPr="00991A8E" w:rsidRDefault="009B55B6" w:rsidP="00A456AE">
            <w:pPr>
              <w:jc w:val="right"/>
              <w:cnfStyle w:val="000000100000" w:firstRow="0" w:lastRow="0" w:firstColumn="0" w:lastColumn="0" w:oddVBand="0" w:evenVBand="0" w:oddHBand="1" w:evenHBand="0" w:firstRowFirstColumn="0" w:firstRowLastColumn="0" w:lastRowFirstColumn="0" w:lastRowLastColumn="0"/>
              <w:rPr>
                <w:rFonts w:ascii="Arial" w:hAnsi="Arial" w:cs="Arial"/>
                <w:b/>
                <w:bCs/>
                <w:sz w:val="19"/>
                <w:szCs w:val="19"/>
                <w:lang w:val="en-GB"/>
              </w:rPr>
            </w:pPr>
            <w:r w:rsidRPr="00991A8E">
              <w:rPr>
                <w:rFonts w:ascii="Arial" w:hAnsi="Arial" w:cs="Arial"/>
                <w:b/>
                <w:bCs/>
                <w:sz w:val="19"/>
                <w:szCs w:val="19"/>
                <w:lang w:val="en-GB"/>
              </w:rPr>
              <w:t>FY2019</w:t>
            </w:r>
          </w:p>
        </w:tc>
        <w:tc>
          <w:tcPr>
            <w:tcW w:w="1012" w:type="dxa"/>
            <w:shd w:val="clear" w:color="auto" w:fill="auto"/>
            <w:noWrap/>
            <w:hideMark/>
          </w:tcPr>
          <w:p w14:paraId="75E252D0" w14:textId="77777777" w:rsidR="009B55B6" w:rsidRPr="00991A8E" w:rsidRDefault="009B55B6" w:rsidP="00A456AE">
            <w:pPr>
              <w:jc w:val="right"/>
              <w:cnfStyle w:val="000000100000" w:firstRow="0" w:lastRow="0" w:firstColumn="0" w:lastColumn="0" w:oddVBand="0" w:evenVBand="0" w:oddHBand="1" w:evenHBand="0" w:firstRowFirstColumn="0" w:firstRowLastColumn="0" w:lastRowFirstColumn="0" w:lastRowLastColumn="0"/>
              <w:rPr>
                <w:rFonts w:ascii="Arial" w:hAnsi="Arial" w:cs="Arial"/>
                <w:b/>
                <w:bCs/>
                <w:sz w:val="19"/>
                <w:szCs w:val="19"/>
                <w:lang w:val="en-GB"/>
              </w:rPr>
            </w:pPr>
            <w:r w:rsidRPr="00991A8E">
              <w:rPr>
                <w:rFonts w:ascii="Arial" w:hAnsi="Arial" w:cs="Arial"/>
                <w:b/>
                <w:bCs/>
                <w:sz w:val="19"/>
                <w:szCs w:val="19"/>
                <w:lang w:val="en-GB"/>
              </w:rPr>
              <w:t>FY2020</w:t>
            </w:r>
          </w:p>
        </w:tc>
      </w:tr>
      <w:tr w:rsidR="009B55B6" w:rsidRPr="00991A8E" w14:paraId="029E89B4" w14:textId="77777777" w:rsidTr="00DA6B33">
        <w:trPr>
          <w:gridAfter w:val="1"/>
          <w:wAfter w:w="162" w:type="dxa"/>
          <w:trHeight w:val="231"/>
          <w:jc w:val="center"/>
        </w:trPr>
        <w:tc>
          <w:tcPr>
            <w:cnfStyle w:val="001000000000" w:firstRow="0" w:lastRow="0" w:firstColumn="1" w:lastColumn="0" w:oddVBand="0" w:evenVBand="0" w:oddHBand="0" w:evenHBand="0" w:firstRowFirstColumn="0" w:firstRowLastColumn="0" w:lastRowFirstColumn="0" w:lastRowLastColumn="0"/>
            <w:tcW w:w="3773" w:type="dxa"/>
            <w:shd w:val="clear" w:color="auto" w:fill="auto"/>
            <w:noWrap/>
            <w:hideMark/>
          </w:tcPr>
          <w:p w14:paraId="5CBFE758" w14:textId="77777777" w:rsidR="009B55B6" w:rsidRPr="00991A8E" w:rsidRDefault="009B55B6" w:rsidP="00A456AE">
            <w:pPr>
              <w:outlineLvl w:val="0"/>
              <w:rPr>
                <w:rFonts w:ascii="Arial" w:hAnsi="Arial" w:cs="Arial"/>
                <w:b w:val="0"/>
                <w:sz w:val="19"/>
                <w:szCs w:val="19"/>
                <w:lang w:val="en-GB"/>
              </w:rPr>
            </w:pPr>
            <w:r w:rsidRPr="00991A8E">
              <w:rPr>
                <w:rFonts w:ascii="Arial" w:hAnsi="Arial" w:cs="Arial"/>
                <w:sz w:val="19"/>
                <w:szCs w:val="19"/>
                <w:lang w:val="en-GB"/>
              </w:rPr>
              <w:t>Revenue</w:t>
            </w:r>
          </w:p>
        </w:tc>
        <w:tc>
          <w:tcPr>
            <w:tcW w:w="1078" w:type="dxa"/>
            <w:gridSpan w:val="2"/>
            <w:shd w:val="clear" w:color="auto" w:fill="auto"/>
            <w:noWrap/>
          </w:tcPr>
          <w:p w14:paraId="2C4242F3" w14:textId="77777777" w:rsidR="009B55B6" w:rsidRPr="00991A8E" w:rsidRDefault="009B55B6" w:rsidP="00A456AE">
            <w:pPr>
              <w:jc w:val="right"/>
              <w:outlineLvl w:val="0"/>
              <w:cnfStyle w:val="000000000000" w:firstRow="0" w:lastRow="0" w:firstColumn="0" w:lastColumn="0" w:oddVBand="0" w:evenVBand="0" w:oddHBand="0" w:evenHBand="0" w:firstRowFirstColumn="0" w:firstRowLastColumn="0" w:lastRowFirstColumn="0" w:lastRowLastColumn="0"/>
              <w:rPr>
                <w:rFonts w:ascii="Arial" w:hAnsi="Arial" w:cs="Arial"/>
                <w:bCs/>
                <w:sz w:val="19"/>
                <w:szCs w:val="19"/>
                <w:lang w:val="en-GB"/>
              </w:rPr>
            </w:pPr>
            <w:r w:rsidRPr="00991A8E">
              <w:rPr>
                <w:rFonts w:ascii="Arial" w:hAnsi="Arial" w:cs="Arial"/>
                <w:bCs/>
                <w:sz w:val="19"/>
                <w:szCs w:val="19"/>
                <w:lang w:val="en-GB"/>
              </w:rPr>
              <w:t>0</w:t>
            </w:r>
          </w:p>
        </w:tc>
        <w:tc>
          <w:tcPr>
            <w:tcW w:w="1097" w:type="dxa"/>
            <w:shd w:val="clear" w:color="auto" w:fill="auto"/>
            <w:noWrap/>
            <w:hideMark/>
          </w:tcPr>
          <w:p w14:paraId="050F1C2E" w14:textId="77777777" w:rsidR="009B55B6" w:rsidRPr="00991A8E" w:rsidRDefault="009B55B6" w:rsidP="00A456AE">
            <w:pPr>
              <w:jc w:val="right"/>
              <w:outlineLvl w:val="0"/>
              <w:cnfStyle w:val="000000000000" w:firstRow="0" w:lastRow="0" w:firstColumn="0" w:lastColumn="0" w:oddVBand="0" w:evenVBand="0" w:oddHBand="0" w:evenHBand="0" w:firstRowFirstColumn="0" w:firstRowLastColumn="0" w:lastRowFirstColumn="0" w:lastRowLastColumn="0"/>
              <w:rPr>
                <w:rFonts w:ascii="Arial" w:hAnsi="Arial" w:cs="Arial"/>
                <w:bCs/>
                <w:sz w:val="19"/>
                <w:szCs w:val="19"/>
                <w:lang w:val="en-GB"/>
              </w:rPr>
            </w:pPr>
            <w:r w:rsidRPr="00991A8E">
              <w:rPr>
                <w:rFonts w:ascii="Arial" w:hAnsi="Arial" w:cs="Arial"/>
                <w:bCs/>
                <w:sz w:val="19"/>
                <w:szCs w:val="19"/>
                <w:lang w:val="en-GB"/>
              </w:rPr>
              <w:t>0</w:t>
            </w:r>
          </w:p>
        </w:tc>
        <w:tc>
          <w:tcPr>
            <w:tcW w:w="1242" w:type="dxa"/>
            <w:shd w:val="clear" w:color="auto" w:fill="auto"/>
            <w:noWrap/>
            <w:hideMark/>
          </w:tcPr>
          <w:p w14:paraId="2FB8B128" w14:textId="77777777" w:rsidR="009B55B6" w:rsidRPr="00991A8E" w:rsidRDefault="009B55B6" w:rsidP="00A456AE">
            <w:pPr>
              <w:jc w:val="right"/>
              <w:outlineLvl w:val="0"/>
              <w:cnfStyle w:val="000000000000" w:firstRow="0" w:lastRow="0" w:firstColumn="0" w:lastColumn="0" w:oddVBand="0" w:evenVBand="0" w:oddHBand="0" w:evenHBand="0" w:firstRowFirstColumn="0" w:firstRowLastColumn="0" w:lastRowFirstColumn="0" w:lastRowLastColumn="0"/>
              <w:rPr>
                <w:rFonts w:ascii="Arial" w:hAnsi="Arial" w:cs="Arial"/>
                <w:bCs/>
                <w:sz w:val="19"/>
                <w:szCs w:val="19"/>
                <w:lang w:val="en-GB"/>
              </w:rPr>
            </w:pPr>
            <w:r w:rsidRPr="00991A8E">
              <w:rPr>
                <w:rFonts w:ascii="Arial" w:hAnsi="Arial" w:cs="Arial"/>
                <w:bCs/>
                <w:sz w:val="19"/>
                <w:szCs w:val="19"/>
                <w:lang w:val="en-GB"/>
              </w:rPr>
              <w:t>41</w:t>
            </w:r>
          </w:p>
        </w:tc>
        <w:tc>
          <w:tcPr>
            <w:tcW w:w="1278" w:type="dxa"/>
            <w:gridSpan w:val="2"/>
            <w:shd w:val="clear" w:color="auto" w:fill="auto"/>
            <w:noWrap/>
            <w:hideMark/>
          </w:tcPr>
          <w:p w14:paraId="5B7117F5" w14:textId="77777777" w:rsidR="009B55B6" w:rsidRPr="00991A8E" w:rsidRDefault="009B55B6" w:rsidP="00A456AE">
            <w:pPr>
              <w:jc w:val="right"/>
              <w:outlineLvl w:val="0"/>
              <w:cnfStyle w:val="000000000000" w:firstRow="0" w:lastRow="0" w:firstColumn="0" w:lastColumn="0" w:oddVBand="0" w:evenVBand="0" w:oddHBand="0" w:evenHBand="0" w:firstRowFirstColumn="0" w:firstRowLastColumn="0" w:lastRowFirstColumn="0" w:lastRowLastColumn="0"/>
              <w:rPr>
                <w:rFonts w:ascii="Arial" w:hAnsi="Arial" w:cs="Arial"/>
                <w:bCs/>
                <w:sz w:val="19"/>
                <w:szCs w:val="19"/>
                <w:lang w:val="en-GB"/>
              </w:rPr>
            </w:pPr>
            <w:r w:rsidRPr="00991A8E">
              <w:rPr>
                <w:rFonts w:ascii="Arial" w:hAnsi="Arial" w:cs="Arial"/>
                <w:bCs/>
                <w:sz w:val="19"/>
                <w:szCs w:val="19"/>
                <w:lang w:val="en-GB"/>
              </w:rPr>
              <w:t>279</w:t>
            </w:r>
          </w:p>
        </w:tc>
        <w:tc>
          <w:tcPr>
            <w:tcW w:w="1063" w:type="dxa"/>
            <w:shd w:val="clear" w:color="auto" w:fill="auto"/>
            <w:noWrap/>
            <w:hideMark/>
          </w:tcPr>
          <w:p w14:paraId="1CB0F656" w14:textId="77777777" w:rsidR="009B55B6" w:rsidRPr="00991A8E" w:rsidRDefault="009B55B6" w:rsidP="00A456AE">
            <w:pPr>
              <w:jc w:val="right"/>
              <w:outlineLvl w:val="0"/>
              <w:cnfStyle w:val="000000000000" w:firstRow="0" w:lastRow="0" w:firstColumn="0" w:lastColumn="0" w:oddVBand="0" w:evenVBand="0" w:oddHBand="0" w:evenHBand="0" w:firstRowFirstColumn="0" w:firstRowLastColumn="0" w:lastRowFirstColumn="0" w:lastRowLastColumn="0"/>
              <w:rPr>
                <w:rFonts w:ascii="Arial" w:hAnsi="Arial" w:cs="Arial"/>
                <w:bCs/>
                <w:sz w:val="19"/>
                <w:szCs w:val="19"/>
                <w:lang w:val="en-GB"/>
              </w:rPr>
            </w:pPr>
            <w:r w:rsidRPr="00991A8E">
              <w:rPr>
                <w:rFonts w:ascii="Arial" w:hAnsi="Arial" w:cs="Arial"/>
                <w:bCs/>
                <w:sz w:val="19"/>
                <w:szCs w:val="19"/>
                <w:lang w:val="en-GB"/>
              </w:rPr>
              <w:t>1,422</w:t>
            </w:r>
          </w:p>
        </w:tc>
        <w:tc>
          <w:tcPr>
            <w:tcW w:w="1080" w:type="dxa"/>
            <w:shd w:val="clear" w:color="auto" w:fill="auto"/>
            <w:noWrap/>
            <w:hideMark/>
          </w:tcPr>
          <w:p w14:paraId="4BE6FD09" w14:textId="77777777" w:rsidR="009B55B6" w:rsidRPr="00991A8E" w:rsidRDefault="009B55B6" w:rsidP="00A456AE">
            <w:pPr>
              <w:jc w:val="right"/>
              <w:outlineLvl w:val="0"/>
              <w:cnfStyle w:val="000000000000" w:firstRow="0" w:lastRow="0" w:firstColumn="0" w:lastColumn="0" w:oddVBand="0" w:evenVBand="0" w:oddHBand="0" w:evenHBand="0" w:firstRowFirstColumn="0" w:firstRowLastColumn="0" w:lastRowFirstColumn="0" w:lastRowLastColumn="0"/>
              <w:rPr>
                <w:rFonts w:ascii="Arial" w:hAnsi="Arial" w:cs="Arial"/>
                <w:bCs/>
                <w:sz w:val="19"/>
                <w:szCs w:val="19"/>
                <w:lang w:val="en-GB"/>
              </w:rPr>
            </w:pPr>
            <w:r w:rsidRPr="00991A8E">
              <w:rPr>
                <w:rFonts w:ascii="Arial" w:hAnsi="Arial" w:cs="Arial"/>
                <w:bCs/>
                <w:sz w:val="19"/>
                <w:szCs w:val="19"/>
                <w:lang w:val="en-GB"/>
              </w:rPr>
              <w:t>6,825</w:t>
            </w:r>
          </w:p>
        </w:tc>
        <w:tc>
          <w:tcPr>
            <w:tcW w:w="1080" w:type="dxa"/>
            <w:shd w:val="clear" w:color="auto" w:fill="auto"/>
            <w:noWrap/>
            <w:hideMark/>
          </w:tcPr>
          <w:p w14:paraId="77861A28" w14:textId="77777777" w:rsidR="009B55B6" w:rsidRPr="00991A8E" w:rsidRDefault="009B55B6" w:rsidP="00A456AE">
            <w:pPr>
              <w:jc w:val="right"/>
              <w:outlineLvl w:val="0"/>
              <w:cnfStyle w:val="000000000000" w:firstRow="0" w:lastRow="0" w:firstColumn="0" w:lastColumn="0" w:oddVBand="0" w:evenVBand="0" w:oddHBand="0" w:evenHBand="0" w:firstRowFirstColumn="0" w:firstRowLastColumn="0" w:lastRowFirstColumn="0" w:lastRowLastColumn="0"/>
              <w:rPr>
                <w:rFonts w:ascii="Arial" w:hAnsi="Arial" w:cs="Arial"/>
                <w:bCs/>
                <w:sz w:val="19"/>
                <w:szCs w:val="19"/>
                <w:lang w:val="en-GB"/>
              </w:rPr>
            </w:pPr>
            <w:r w:rsidRPr="00991A8E">
              <w:rPr>
                <w:rFonts w:ascii="Arial" w:hAnsi="Arial" w:cs="Arial"/>
                <w:bCs/>
                <w:sz w:val="19"/>
                <w:szCs w:val="19"/>
                <w:lang w:val="en-GB"/>
              </w:rPr>
              <w:t>20,475</w:t>
            </w:r>
          </w:p>
        </w:tc>
        <w:tc>
          <w:tcPr>
            <w:tcW w:w="1012" w:type="dxa"/>
            <w:shd w:val="clear" w:color="auto" w:fill="auto"/>
            <w:noWrap/>
            <w:hideMark/>
          </w:tcPr>
          <w:p w14:paraId="6EA67334" w14:textId="77777777" w:rsidR="009B55B6" w:rsidRPr="00991A8E" w:rsidRDefault="009B55B6" w:rsidP="00A456AE">
            <w:pPr>
              <w:jc w:val="right"/>
              <w:outlineLvl w:val="0"/>
              <w:cnfStyle w:val="000000000000" w:firstRow="0" w:lastRow="0" w:firstColumn="0" w:lastColumn="0" w:oddVBand="0" w:evenVBand="0" w:oddHBand="0" w:evenHBand="0" w:firstRowFirstColumn="0" w:firstRowLastColumn="0" w:lastRowFirstColumn="0" w:lastRowLastColumn="0"/>
              <w:rPr>
                <w:rFonts w:ascii="Arial" w:hAnsi="Arial" w:cs="Arial"/>
                <w:bCs/>
                <w:sz w:val="19"/>
                <w:szCs w:val="19"/>
                <w:lang w:val="en-GB"/>
              </w:rPr>
            </w:pPr>
            <w:r w:rsidRPr="00991A8E">
              <w:rPr>
                <w:rFonts w:ascii="Arial" w:hAnsi="Arial" w:cs="Arial"/>
                <w:bCs/>
                <w:sz w:val="19"/>
                <w:szCs w:val="19"/>
                <w:lang w:val="en-GB"/>
              </w:rPr>
              <w:t>42,998</w:t>
            </w:r>
          </w:p>
        </w:tc>
      </w:tr>
      <w:tr w:rsidR="009B55B6" w:rsidRPr="00991A8E" w14:paraId="0CBDFC1E" w14:textId="77777777" w:rsidTr="00DA6B33">
        <w:trPr>
          <w:gridAfter w:val="1"/>
          <w:cnfStyle w:val="000000100000" w:firstRow="0" w:lastRow="0" w:firstColumn="0" w:lastColumn="0" w:oddVBand="0" w:evenVBand="0" w:oddHBand="1" w:evenHBand="0" w:firstRowFirstColumn="0" w:firstRowLastColumn="0" w:lastRowFirstColumn="0" w:lastRowLastColumn="0"/>
          <w:wAfter w:w="162" w:type="dxa"/>
          <w:trHeight w:val="231"/>
          <w:jc w:val="center"/>
        </w:trPr>
        <w:tc>
          <w:tcPr>
            <w:cnfStyle w:val="001000000000" w:firstRow="0" w:lastRow="0" w:firstColumn="1" w:lastColumn="0" w:oddVBand="0" w:evenVBand="0" w:oddHBand="0" w:evenHBand="0" w:firstRowFirstColumn="0" w:firstRowLastColumn="0" w:lastRowFirstColumn="0" w:lastRowLastColumn="0"/>
            <w:tcW w:w="3773" w:type="dxa"/>
            <w:shd w:val="clear" w:color="auto" w:fill="auto"/>
            <w:noWrap/>
            <w:hideMark/>
          </w:tcPr>
          <w:p w14:paraId="171582F4" w14:textId="77777777" w:rsidR="009B55B6" w:rsidRPr="00991A8E" w:rsidRDefault="009B55B6" w:rsidP="00A456AE">
            <w:pPr>
              <w:outlineLvl w:val="0"/>
              <w:rPr>
                <w:rFonts w:ascii="Arial" w:hAnsi="Arial" w:cs="Arial"/>
                <w:bCs w:val="0"/>
                <w:sz w:val="19"/>
                <w:szCs w:val="19"/>
                <w:lang w:val="en-GB"/>
              </w:rPr>
            </w:pPr>
            <w:r w:rsidRPr="00991A8E">
              <w:rPr>
                <w:rFonts w:ascii="Arial" w:hAnsi="Arial" w:cs="Arial"/>
                <w:sz w:val="19"/>
                <w:szCs w:val="19"/>
                <w:lang w:val="en-GB"/>
              </w:rPr>
              <w:t>Operating Expense</w:t>
            </w:r>
            <w:r w:rsidRPr="00991A8E">
              <w:rPr>
                <w:rFonts w:ascii="Arial" w:hAnsi="Arial" w:cs="Arial"/>
                <w:bCs w:val="0"/>
                <w:sz w:val="19"/>
                <w:szCs w:val="19"/>
                <w:lang w:val="en-GB"/>
              </w:rPr>
              <w:t>s</w:t>
            </w:r>
          </w:p>
        </w:tc>
        <w:tc>
          <w:tcPr>
            <w:tcW w:w="1078" w:type="dxa"/>
            <w:gridSpan w:val="2"/>
            <w:shd w:val="clear" w:color="auto" w:fill="auto"/>
            <w:noWrap/>
          </w:tcPr>
          <w:p w14:paraId="4C144041" w14:textId="77777777" w:rsidR="009B55B6" w:rsidRPr="00991A8E" w:rsidRDefault="009B55B6" w:rsidP="00A456AE">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p>
        </w:tc>
        <w:tc>
          <w:tcPr>
            <w:tcW w:w="1097" w:type="dxa"/>
            <w:shd w:val="clear" w:color="auto" w:fill="auto"/>
            <w:noWrap/>
            <w:hideMark/>
          </w:tcPr>
          <w:p w14:paraId="3FF1CB77" w14:textId="77777777" w:rsidR="009B55B6" w:rsidRPr="00991A8E" w:rsidRDefault="009B55B6" w:rsidP="00A456AE">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p>
        </w:tc>
        <w:tc>
          <w:tcPr>
            <w:tcW w:w="1242" w:type="dxa"/>
            <w:shd w:val="clear" w:color="auto" w:fill="auto"/>
            <w:noWrap/>
            <w:hideMark/>
          </w:tcPr>
          <w:p w14:paraId="3A176381" w14:textId="77777777" w:rsidR="009B55B6" w:rsidRPr="00991A8E" w:rsidRDefault="009B55B6" w:rsidP="00A456AE">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p>
        </w:tc>
        <w:tc>
          <w:tcPr>
            <w:tcW w:w="1278" w:type="dxa"/>
            <w:gridSpan w:val="2"/>
            <w:shd w:val="clear" w:color="auto" w:fill="auto"/>
            <w:noWrap/>
            <w:hideMark/>
          </w:tcPr>
          <w:p w14:paraId="2E512C72" w14:textId="77777777" w:rsidR="009B55B6" w:rsidRPr="00991A8E" w:rsidRDefault="009B55B6" w:rsidP="00A456AE">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p>
        </w:tc>
        <w:tc>
          <w:tcPr>
            <w:tcW w:w="1063" w:type="dxa"/>
            <w:shd w:val="clear" w:color="auto" w:fill="auto"/>
            <w:noWrap/>
            <w:hideMark/>
          </w:tcPr>
          <w:p w14:paraId="7B22F06B" w14:textId="77777777" w:rsidR="009B55B6" w:rsidRPr="00991A8E" w:rsidRDefault="009B55B6" w:rsidP="00A456AE">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p>
        </w:tc>
        <w:tc>
          <w:tcPr>
            <w:tcW w:w="1080" w:type="dxa"/>
            <w:shd w:val="clear" w:color="auto" w:fill="auto"/>
            <w:noWrap/>
            <w:hideMark/>
          </w:tcPr>
          <w:p w14:paraId="066E455E" w14:textId="77777777" w:rsidR="009B55B6" w:rsidRPr="00991A8E" w:rsidRDefault="009B55B6" w:rsidP="00A456AE">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p>
        </w:tc>
        <w:tc>
          <w:tcPr>
            <w:tcW w:w="1080" w:type="dxa"/>
            <w:shd w:val="clear" w:color="auto" w:fill="auto"/>
            <w:noWrap/>
            <w:hideMark/>
          </w:tcPr>
          <w:p w14:paraId="4F67CA70" w14:textId="77777777" w:rsidR="009B55B6" w:rsidRPr="00991A8E" w:rsidRDefault="009B55B6" w:rsidP="00A456AE">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p>
        </w:tc>
        <w:tc>
          <w:tcPr>
            <w:tcW w:w="1012" w:type="dxa"/>
            <w:shd w:val="clear" w:color="auto" w:fill="auto"/>
            <w:noWrap/>
            <w:hideMark/>
          </w:tcPr>
          <w:p w14:paraId="5BCE19BB" w14:textId="77777777" w:rsidR="009B55B6" w:rsidRPr="00991A8E" w:rsidRDefault="009B55B6" w:rsidP="00A456AE">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p>
        </w:tc>
      </w:tr>
      <w:tr w:rsidR="009B55B6" w:rsidRPr="00991A8E" w14:paraId="4BA80CDC" w14:textId="77777777" w:rsidTr="00DA6B33">
        <w:trPr>
          <w:gridAfter w:val="1"/>
          <w:wAfter w:w="162" w:type="dxa"/>
          <w:trHeight w:val="231"/>
          <w:jc w:val="center"/>
        </w:trPr>
        <w:tc>
          <w:tcPr>
            <w:cnfStyle w:val="001000000000" w:firstRow="0" w:lastRow="0" w:firstColumn="1" w:lastColumn="0" w:oddVBand="0" w:evenVBand="0" w:oddHBand="0" w:evenHBand="0" w:firstRowFirstColumn="0" w:firstRowLastColumn="0" w:lastRowFirstColumn="0" w:lastRowLastColumn="0"/>
            <w:tcW w:w="3773" w:type="dxa"/>
            <w:shd w:val="clear" w:color="auto" w:fill="auto"/>
            <w:noWrap/>
            <w:hideMark/>
          </w:tcPr>
          <w:p w14:paraId="6F7DD4ED" w14:textId="77777777" w:rsidR="009B55B6" w:rsidRPr="00991A8E" w:rsidRDefault="009B55B6" w:rsidP="00A456AE">
            <w:pPr>
              <w:ind w:left="284"/>
              <w:outlineLvl w:val="0"/>
              <w:rPr>
                <w:rFonts w:ascii="Arial" w:hAnsi="Arial" w:cs="Arial"/>
                <w:sz w:val="19"/>
                <w:szCs w:val="19"/>
                <w:lang w:val="en-GB"/>
              </w:rPr>
            </w:pPr>
            <w:r w:rsidRPr="00991A8E">
              <w:rPr>
                <w:rFonts w:ascii="Arial" w:hAnsi="Arial" w:cs="Arial"/>
                <w:sz w:val="19"/>
                <w:szCs w:val="19"/>
                <w:lang w:val="en-GB"/>
              </w:rPr>
              <w:t>Employee Costs</w:t>
            </w:r>
          </w:p>
        </w:tc>
        <w:tc>
          <w:tcPr>
            <w:tcW w:w="1078" w:type="dxa"/>
            <w:gridSpan w:val="2"/>
            <w:shd w:val="clear" w:color="auto" w:fill="auto"/>
            <w:noWrap/>
          </w:tcPr>
          <w:p w14:paraId="4786676A" w14:textId="77777777" w:rsidR="009B55B6" w:rsidRPr="00991A8E" w:rsidRDefault="009B55B6" w:rsidP="00A456AE">
            <w:pPr>
              <w:jc w:val="right"/>
              <w:outlineLvl w:val="0"/>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14</w:t>
            </w:r>
          </w:p>
        </w:tc>
        <w:tc>
          <w:tcPr>
            <w:tcW w:w="1097" w:type="dxa"/>
            <w:shd w:val="clear" w:color="auto" w:fill="auto"/>
            <w:noWrap/>
            <w:hideMark/>
          </w:tcPr>
          <w:p w14:paraId="0A3A2062" w14:textId="77777777" w:rsidR="009B55B6" w:rsidRPr="00991A8E" w:rsidRDefault="009B55B6" w:rsidP="00A456AE">
            <w:pPr>
              <w:jc w:val="right"/>
              <w:outlineLvl w:val="0"/>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1,256</w:t>
            </w:r>
          </w:p>
        </w:tc>
        <w:tc>
          <w:tcPr>
            <w:tcW w:w="1242" w:type="dxa"/>
            <w:shd w:val="clear" w:color="auto" w:fill="auto"/>
            <w:noWrap/>
            <w:hideMark/>
          </w:tcPr>
          <w:p w14:paraId="72F8FF07" w14:textId="77777777" w:rsidR="009B55B6" w:rsidRPr="00991A8E" w:rsidRDefault="009B55B6" w:rsidP="00A456AE">
            <w:pPr>
              <w:jc w:val="right"/>
              <w:outlineLvl w:val="0"/>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874</w:t>
            </w:r>
          </w:p>
        </w:tc>
        <w:tc>
          <w:tcPr>
            <w:tcW w:w="1278" w:type="dxa"/>
            <w:gridSpan w:val="2"/>
            <w:shd w:val="clear" w:color="auto" w:fill="auto"/>
            <w:noWrap/>
            <w:hideMark/>
          </w:tcPr>
          <w:p w14:paraId="555CAEEC" w14:textId="77777777" w:rsidR="009B55B6" w:rsidRPr="00991A8E" w:rsidRDefault="009B55B6" w:rsidP="00A456AE">
            <w:pPr>
              <w:jc w:val="right"/>
              <w:outlineLvl w:val="0"/>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900</w:t>
            </w:r>
          </w:p>
        </w:tc>
        <w:tc>
          <w:tcPr>
            <w:tcW w:w="1063" w:type="dxa"/>
            <w:shd w:val="clear" w:color="auto" w:fill="auto"/>
            <w:noWrap/>
            <w:hideMark/>
          </w:tcPr>
          <w:p w14:paraId="5FAF657B" w14:textId="77777777" w:rsidR="009B55B6" w:rsidRPr="00991A8E" w:rsidRDefault="009B55B6" w:rsidP="00A456AE">
            <w:pPr>
              <w:jc w:val="right"/>
              <w:outlineLvl w:val="0"/>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2,040</w:t>
            </w:r>
          </w:p>
        </w:tc>
        <w:tc>
          <w:tcPr>
            <w:tcW w:w="1080" w:type="dxa"/>
            <w:shd w:val="clear" w:color="auto" w:fill="auto"/>
            <w:noWrap/>
            <w:hideMark/>
          </w:tcPr>
          <w:p w14:paraId="66D5000A" w14:textId="77777777" w:rsidR="009B55B6" w:rsidRPr="00991A8E" w:rsidRDefault="009B55B6" w:rsidP="00A456AE">
            <w:pPr>
              <w:jc w:val="right"/>
              <w:outlineLvl w:val="0"/>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2,346</w:t>
            </w:r>
          </w:p>
        </w:tc>
        <w:tc>
          <w:tcPr>
            <w:tcW w:w="1080" w:type="dxa"/>
            <w:shd w:val="clear" w:color="auto" w:fill="auto"/>
            <w:noWrap/>
            <w:hideMark/>
          </w:tcPr>
          <w:p w14:paraId="146F701A" w14:textId="77777777" w:rsidR="009B55B6" w:rsidRPr="00991A8E" w:rsidRDefault="009B55B6" w:rsidP="00A456AE">
            <w:pPr>
              <w:jc w:val="right"/>
              <w:outlineLvl w:val="0"/>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2,698</w:t>
            </w:r>
          </w:p>
        </w:tc>
        <w:tc>
          <w:tcPr>
            <w:tcW w:w="1012" w:type="dxa"/>
            <w:shd w:val="clear" w:color="auto" w:fill="auto"/>
            <w:noWrap/>
            <w:hideMark/>
          </w:tcPr>
          <w:p w14:paraId="122C6193" w14:textId="77777777" w:rsidR="009B55B6" w:rsidRPr="00991A8E" w:rsidRDefault="009B55B6" w:rsidP="00A456AE">
            <w:pPr>
              <w:jc w:val="right"/>
              <w:outlineLvl w:val="0"/>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2,968</w:t>
            </w:r>
          </w:p>
        </w:tc>
      </w:tr>
      <w:tr w:rsidR="009B55B6" w:rsidRPr="00991A8E" w14:paraId="606C3591" w14:textId="77777777" w:rsidTr="00DA6B33">
        <w:trPr>
          <w:gridAfter w:val="1"/>
          <w:cnfStyle w:val="000000100000" w:firstRow="0" w:lastRow="0" w:firstColumn="0" w:lastColumn="0" w:oddVBand="0" w:evenVBand="0" w:oddHBand="1" w:evenHBand="0" w:firstRowFirstColumn="0" w:firstRowLastColumn="0" w:lastRowFirstColumn="0" w:lastRowLastColumn="0"/>
          <w:wAfter w:w="162" w:type="dxa"/>
          <w:trHeight w:val="231"/>
          <w:jc w:val="center"/>
        </w:trPr>
        <w:tc>
          <w:tcPr>
            <w:cnfStyle w:val="001000000000" w:firstRow="0" w:lastRow="0" w:firstColumn="1" w:lastColumn="0" w:oddVBand="0" w:evenVBand="0" w:oddHBand="0" w:evenHBand="0" w:firstRowFirstColumn="0" w:firstRowLastColumn="0" w:lastRowFirstColumn="0" w:lastRowLastColumn="0"/>
            <w:tcW w:w="3773" w:type="dxa"/>
            <w:shd w:val="clear" w:color="auto" w:fill="auto"/>
            <w:noWrap/>
            <w:hideMark/>
          </w:tcPr>
          <w:p w14:paraId="09022034" w14:textId="77777777" w:rsidR="009B55B6" w:rsidRPr="00991A8E" w:rsidRDefault="009B55B6" w:rsidP="00A456AE">
            <w:pPr>
              <w:ind w:left="284"/>
              <w:outlineLvl w:val="0"/>
              <w:rPr>
                <w:rFonts w:ascii="Arial" w:hAnsi="Arial" w:cs="Arial"/>
                <w:sz w:val="19"/>
                <w:szCs w:val="19"/>
                <w:lang w:val="en-GB"/>
              </w:rPr>
            </w:pPr>
            <w:r w:rsidRPr="00991A8E">
              <w:rPr>
                <w:rFonts w:ascii="Arial" w:hAnsi="Arial" w:cs="Arial"/>
                <w:sz w:val="19"/>
                <w:szCs w:val="19"/>
                <w:lang w:val="en-GB"/>
              </w:rPr>
              <w:t>Consultant &amp; Professional Fees</w:t>
            </w:r>
          </w:p>
        </w:tc>
        <w:tc>
          <w:tcPr>
            <w:tcW w:w="1078" w:type="dxa"/>
            <w:gridSpan w:val="2"/>
            <w:shd w:val="clear" w:color="auto" w:fill="auto"/>
            <w:noWrap/>
          </w:tcPr>
          <w:p w14:paraId="000793C6" w14:textId="77777777" w:rsidR="009B55B6" w:rsidRPr="00991A8E" w:rsidRDefault="009B55B6" w:rsidP="00A456AE">
            <w:pPr>
              <w:jc w:val="right"/>
              <w:outlineLvl w:val="0"/>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275</w:t>
            </w:r>
          </w:p>
        </w:tc>
        <w:tc>
          <w:tcPr>
            <w:tcW w:w="1097" w:type="dxa"/>
            <w:shd w:val="clear" w:color="auto" w:fill="auto"/>
            <w:noWrap/>
            <w:hideMark/>
          </w:tcPr>
          <w:p w14:paraId="3DBCC3B5" w14:textId="77777777" w:rsidR="009B55B6" w:rsidRPr="00991A8E" w:rsidRDefault="009B55B6" w:rsidP="00A456AE">
            <w:pPr>
              <w:jc w:val="right"/>
              <w:outlineLvl w:val="0"/>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191</w:t>
            </w:r>
          </w:p>
        </w:tc>
        <w:tc>
          <w:tcPr>
            <w:tcW w:w="1242" w:type="dxa"/>
            <w:shd w:val="clear" w:color="auto" w:fill="auto"/>
            <w:noWrap/>
            <w:hideMark/>
          </w:tcPr>
          <w:p w14:paraId="0DACDA1D" w14:textId="77777777" w:rsidR="009B55B6" w:rsidRPr="00991A8E" w:rsidRDefault="009B55B6" w:rsidP="00A456AE">
            <w:pPr>
              <w:jc w:val="right"/>
              <w:outlineLvl w:val="0"/>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151</w:t>
            </w:r>
          </w:p>
        </w:tc>
        <w:tc>
          <w:tcPr>
            <w:tcW w:w="1278" w:type="dxa"/>
            <w:gridSpan w:val="2"/>
            <w:shd w:val="clear" w:color="auto" w:fill="auto"/>
            <w:noWrap/>
            <w:hideMark/>
          </w:tcPr>
          <w:p w14:paraId="3B38461B" w14:textId="77777777" w:rsidR="009B55B6" w:rsidRPr="00991A8E" w:rsidRDefault="009B55B6" w:rsidP="00A456AE">
            <w:pPr>
              <w:jc w:val="right"/>
              <w:outlineLvl w:val="0"/>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100</w:t>
            </w:r>
          </w:p>
        </w:tc>
        <w:tc>
          <w:tcPr>
            <w:tcW w:w="1063" w:type="dxa"/>
            <w:shd w:val="clear" w:color="auto" w:fill="auto"/>
            <w:noWrap/>
            <w:hideMark/>
          </w:tcPr>
          <w:p w14:paraId="78E63CCB" w14:textId="77777777" w:rsidR="009B55B6" w:rsidRPr="00991A8E" w:rsidRDefault="009B55B6" w:rsidP="00A456AE">
            <w:pPr>
              <w:jc w:val="right"/>
              <w:outlineLvl w:val="0"/>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251</w:t>
            </w:r>
          </w:p>
        </w:tc>
        <w:tc>
          <w:tcPr>
            <w:tcW w:w="1080" w:type="dxa"/>
            <w:shd w:val="clear" w:color="auto" w:fill="auto"/>
            <w:noWrap/>
            <w:hideMark/>
          </w:tcPr>
          <w:p w14:paraId="33B7206C" w14:textId="77777777" w:rsidR="009B55B6" w:rsidRPr="00991A8E" w:rsidRDefault="009B55B6" w:rsidP="00A456AE">
            <w:pPr>
              <w:jc w:val="right"/>
              <w:outlineLvl w:val="0"/>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289</w:t>
            </w:r>
          </w:p>
        </w:tc>
        <w:tc>
          <w:tcPr>
            <w:tcW w:w="1080" w:type="dxa"/>
            <w:shd w:val="clear" w:color="auto" w:fill="auto"/>
            <w:noWrap/>
            <w:hideMark/>
          </w:tcPr>
          <w:p w14:paraId="13639FA3" w14:textId="77777777" w:rsidR="009B55B6" w:rsidRPr="00991A8E" w:rsidRDefault="009B55B6" w:rsidP="00A456AE">
            <w:pPr>
              <w:jc w:val="right"/>
              <w:outlineLvl w:val="0"/>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332</w:t>
            </w:r>
          </w:p>
        </w:tc>
        <w:tc>
          <w:tcPr>
            <w:tcW w:w="1012" w:type="dxa"/>
            <w:shd w:val="clear" w:color="auto" w:fill="auto"/>
            <w:noWrap/>
            <w:hideMark/>
          </w:tcPr>
          <w:p w14:paraId="6FEFDFDE" w14:textId="77777777" w:rsidR="009B55B6" w:rsidRPr="00991A8E" w:rsidRDefault="009B55B6" w:rsidP="00A456AE">
            <w:pPr>
              <w:jc w:val="right"/>
              <w:outlineLvl w:val="0"/>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365</w:t>
            </w:r>
          </w:p>
        </w:tc>
      </w:tr>
      <w:tr w:rsidR="009B55B6" w:rsidRPr="00991A8E" w14:paraId="603E483F" w14:textId="77777777" w:rsidTr="00DA6B33">
        <w:trPr>
          <w:gridAfter w:val="1"/>
          <w:wAfter w:w="162" w:type="dxa"/>
          <w:trHeight w:val="231"/>
          <w:jc w:val="center"/>
        </w:trPr>
        <w:tc>
          <w:tcPr>
            <w:cnfStyle w:val="001000000000" w:firstRow="0" w:lastRow="0" w:firstColumn="1" w:lastColumn="0" w:oddVBand="0" w:evenVBand="0" w:oddHBand="0" w:evenHBand="0" w:firstRowFirstColumn="0" w:firstRowLastColumn="0" w:lastRowFirstColumn="0" w:lastRowLastColumn="0"/>
            <w:tcW w:w="3773" w:type="dxa"/>
            <w:shd w:val="clear" w:color="auto" w:fill="auto"/>
            <w:noWrap/>
            <w:hideMark/>
          </w:tcPr>
          <w:p w14:paraId="324FE780" w14:textId="77777777" w:rsidR="009B55B6" w:rsidRPr="00991A8E" w:rsidRDefault="009B55B6" w:rsidP="00A456AE">
            <w:pPr>
              <w:ind w:left="284"/>
              <w:outlineLvl w:val="0"/>
              <w:rPr>
                <w:rFonts w:ascii="Arial" w:hAnsi="Arial" w:cs="Arial"/>
                <w:b w:val="0"/>
                <w:sz w:val="19"/>
                <w:szCs w:val="19"/>
                <w:lang w:val="en-GB"/>
              </w:rPr>
            </w:pPr>
            <w:r w:rsidRPr="00991A8E">
              <w:rPr>
                <w:rFonts w:ascii="Arial" w:hAnsi="Arial" w:cs="Arial"/>
                <w:sz w:val="19"/>
                <w:szCs w:val="19"/>
                <w:lang w:val="en-GB"/>
              </w:rPr>
              <w:t>Transaction Costs</w:t>
            </w:r>
          </w:p>
        </w:tc>
        <w:tc>
          <w:tcPr>
            <w:tcW w:w="1078" w:type="dxa"/>
            <w:gridSpan w:val="2"/>
            <w:shd w:val="clear" w:color="auto" w:fill="auto"/>
            <w:noWrap/>
          </w:tcPr>
          <w:p w14:paraId="0AA4EB47" w14:textId="77777777" w:rsidR="009B55B6" w:rsidRPr="00991A8E" w:rsidRDefault="009B55B6" w:rsidP="00A456AE">
            <w:pPr>
              <w:jc w:val="right"/>
              <w:outlineLvl w:val="0"/>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20</w:t>
            </w:r>
          </w:p>
        </w:tc>
        <w:tc>
          <w:tcPr>
            <w:tcW w:w="1097" w:type="dxa"/>
            <w:shd w:val="clear" w:color="auto" w:fill="auto"/>
            <w:noWrap/>
            <w:hideMark/>
          </w:tcPr>
          <w:p w14:paraId="73E2B7D7" w14:textId="77777777" w:rsidR="009B55B6" w:rsidRPr="00991A8E" w:rsidRDefault="009B55B6" w:rsidP="00A456AE">
            <w:pPr>
              <w:jc w:val="right"/>
              <w:outlineLvl w:val="0"/>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147</w:t>
            </w:r>
          </w:p>
        </w:tc>
        <w:tc>
          <w:tcPr>
            <w:tcW w:w="1242" w:type="dxa"/>
            <w:shd w:val="clear" w:color="auto" w:fill="auto"/>
            <w:noWrap/>
            <w:hideMark/>
          </w:tcPr>
          <w:p w14:paraId="5BB3A405" w14:textId="77777777" w:rsidR="009B55B6" w:rsidRPr="00991A8E" w:rsidRDefault="009B55B6" w:rsidP="00A456AE">
            <w:pPr>
              <w:jc w:val="right"/>
              <w:outlineLvl w:val="0"/>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659</w:t>
            </w:r>
          </w:p>
        </w:tc>
        <w:tc>
          <w:tcPr>
            <w:tcW w:w="1278" w:type="dxa"/>
            <w:gridSpan w:val="2"/>
            <w:shd w:val="clear" w:color="auto" w:fill="auto"/>
            <w:noWrap/>
            <w:hideMark/>
          </w:tcPr>
          <w:p w14:paraId="15A849D5" w14:textId="77777777" w:rsidR="009B55B6" w:rsidRPr="00991A8E" w:rsidRDefault="009B55B6" w:rsidP="00A456AE">
            <w:pPr>
              <w:jc w:val="right"/>
              <w:outlineLvl w:val="0"/>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857</w:t>
            </w:r>
          </w:p>
        </w:tc>
        <w:tc>
          <w:tcPr>
            <w:tcW w:w="1063" w:type="dxa"/>
            <w:shd w:val="clear" w:color="auto" w:fill="auto"/>
            <w:noWrap/>
            <w:hideMark/>
          </w:tcPr>
          <w:p w14:paraId="74252713" w14:textId="77777777" w:rsidR="009B55B6" w:rsidRPr="00991A8E" w:rsidRDefault="009B55B6" w:rsidP="00A456AE">
            <w:pPr>
              <w:jc w:val="right"/>
              <w:outlineLvl w:val="0"/>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2,759</w:t>
            </w:r>
          </w:p>
        </w:tc>
        <w:tc>
          <w:tcPr>
            <w:tcW w:w="1080" w:type="dxa"/>
            <w:shd w:val="clear" w:color="auto" w:fill="auto"/>
            <w:noWrap/>
            <w:hideMark/>
          </w:tcPr>
          <w:p w14:paraId="5058F4AB" w14:textId="77777777" w:rsidR="009B55B6" w:rsidRPr="00991A8E" w:rsidRDefault="009B55B6" w:rsidP="00A456AE">
            <w:pPr>
              <w:jc w:val="right"/>
              <w:outlineLvl w:val="0"/>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4,759</w:t>
            </w:r>
          </w:p>
        </w:tc>
        <w:tc>
          <w:tcPr>
            <w:tcW w:w="1080" w:type="dxa"/>
            <w:shd w:val="clear" w:color="auto" w:fill="auto"/>
            <w:noWrap/>
            <w:hideMark/>
          </w:tcPr>
          <w:p w14:paraId="7FAF2C31" w14:textId="77777777" w:rsidR="009B55B6" w:rsidRPr="00991A8E" w:rsidRDefault="009B55B6" w:rsidP="00A456AE">
            <w:pPr>
              <w:jc w:val="right"/>
              <w:outlineLvl w:val="0"/>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7,661</w:t>
            </w:r>
          </w:p>
        </w:tc>
        <w:tc>
          <w:tcPr>
            <w:tcW w:w="1012" w:type="dxa"/>
            <w:shd w:val="clear" w:color="auto" w:fill="auto"/>
            <w:noWrap/>
            <w:hideMark/>
          </w:tcPr>
          <w:p w14:paraId="7E3F5F77" w14:textId="77777777" w:rsidR="009B55B6" w:rsidRPr="00991A8E" w:rsidRDefault="009B55B6" w:rsidP="00A456AE">
            <w:pPr>
              <w:jc w:val="right"/>
              <w:outlineLvl w:val="0"/>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10,956</w:t>
            </w:r>
          </w:p>
        </w:tc>
      </w:tr>
      <w:tr w:rsidR="009B55B6" w:rsidRPr="00991A8E" w14:paraId="26F884BE" w14:textId="77777777" w:rsidTr="00DA6B33">
        <w:trPr>
          <w:gridAfter w:val="1"/>
          <w:cnfStyle w:val="000000100000" w:firstRow="0" w:lastRow="0" w:firstColumn="0" w:lastColumn="0" w:oddVBand="0" w:evenVBand="0" w:oddHBand="1" w:evenHBand="0" w:firstRowFirstColumn="0" w:firstRowLastColumn="0" w:lastRowFirstColumn="0" w:lastRowLastColumn="0"/>
          <w:wAfter w:w="162" w:type="dxa"/>
          <w:trHeight w:val="231"/>
          <w:jc w:val="center"/>
        </w:trPr>
        <w:tc>
          <w:tcPr>
            <w:cnfStyle w:val="001000000000" w:firstRow="0" w:lastRow="0" w:firstColumn="1" w:lastColumn="0" w:oddVBand="0" w:evenVBand="0" w:oddHBand="0" w:evenHBand="0" w:firstRowFirstColumn="0" w:firstRowLastColumn="0" w:lastRowFirstColumn="0" w:lastRowLastColumn="0"/>
            <w:tcW w:w="3773" w:type="dxa"/>
            <w:shd w:val="clear" w:color="auto" w:fill="auto"/>
            <w:noWrap/>
            <w:hideMark/>
          </w:tcPr>
          <w:p w14:paraId="50668801" w14:textId="77777777" w:rsidR="009B55B6" w:rsidRPr="00991A8E" w:rsidRDefault="009B55B6" w:rsidP="00A456AE">
            <w:pPr>
              <w:ind w:left="284"/>
              <w:outlineLvl w:val="0"/>
              <w:rPr>
                <w:rFonts w:ascii="Arial" w:hAnsi="Arial" w:cs="Arial"/>
                <w:b w:val="0"/>
                <w:sz w:val="19"/>
                <w:szCs w:val="19"/>
                <w:lang w:val="en-GB"/>
              </w:rPr>
            </w:pPr>
            <w:r w:rsidRPr="00991A8E">
              <w:rPr>
                <w:rFonts w:ascii="Arial" w:hAnsi="Arial" w:cs="Arial"/>
                <w:sz w:val="19"/>
                <w:szCs w:val="19"/>
                <w:lang w:val="en-GB"/>
              </w:rPr>
              <w:t>Marketing Expense</w:t>
            </w:r>
          </w:p>
        </w:tc>
        <w:tc>
          <w:tcPr>
            <w:tcW w:w="1078" w:type="dxa"/>
            <w:gridSpan w:val="2"/>
            <w:shd w:val="clear" w:color="auto" w:fill="auto"/>
            <w:noWrap/>
          </w:tcPr>
          <w:p w14:paraId="29DB6BDD" w14:textId="77777777" w:rsidR="009B55B6" w:rsidRPr="00991A8E" w:rsidRDefault="009B55B6" w:rsidP="00A456AE">
            <w:pPr>
              <w:jc w:val="right"/>
              <w:outlineLvl w:val="0"/>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42</w:t>
            </w:r>
          </w:p>
        </w:tc>
        <w:tc>
          <w:tcPr>
            <w:tcW w:w="1097" w:type="dxa"/>
            <w:shd w:val="clear" w:color="auto" w:fill="auto"/>
            <w:noWrap/>
            <w:hideMark/>
          </w:tcPr>
          <w:p w14:paraId="61C5C2D1" w14:textId="77777777" w:rsidR="009B55B6" w:rsidRPr="00991A8E" w:rsidRDefault="009B55B6" w:rsidP="00A456AE">
            <w:pPr>
              <w:jc w:val="right"/>
              <w:outlineLvl w:val="0"/>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179</w:t>
            </w:r>
          </w:p>
        </w:tc>
        <w:tc>
          <w:tcPr>
            <w:tcW w:w="1242" w:type="dxa"/>
            <w:shd w:val="clear" w:color="auto" w:fill="auto"/>
            <w:noWrap/>
            <w:hideMark/>
          </w:tcPr>
          <w:p w14:paraId="7ACFBB57" w14:textId="77777777" w:rsidR="009B55B6" w:rsidRPr="00991A8E" w:rsidRDefault="009B55B6" w:rsidP="00A456AE">
            <w:pPr>
              <w:jc w:val="right"/>
              <w:outlineLvl w:val="0"/>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930</w:t>
            </w:r>
          </w:p>
        </w:tc>
        <w:tc>
          <w:tcPr>
            <w:tcW w:w="1278" w:type="dxa"/>
            <w:gridSpan w:val="2"/>
            <w:shd w:val="clear" w:color="auto" w:fill="auto"/>
            <w:noWrap/>
            <w:hideMark/>
          </w:tcPr>
          <w:p w14:paraId="0E52FCA2" w14:textId="77777777" w:rsidR="009B55B6" w:rsidRPr="00991A8E" w:rsidRDefault="009B55B6" w:rsidP="00A456AE">
            <w:pPr>
              <w:jc w:val="right"/>
              <w:outlineLvl w:val="0"/>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1,827</w:t>
            </w:r>
          </w:p>
        </w:tc>
        <w:tc>
          <w:tcPr>
            <w:tcW w:w="1063" w:type="dxa"/>
            <w:shd w:val="clear" w:color="auto" w:fill="auto"/>
            <w:noWrap/>
            <w:hideMark/>
          </w:tcPr>
          <w:p w14:paraId="20B28847" w14:textId="77777777" w:rsidR="009B55B6" w:rsidRPr="00991A8E" w:rsidRDefault="009B55B6" w:rsidP="00A456AE">
            <w:pPr>
              <w:jc w:val="right"/>
              <w:outlineLvl w:val="0"/>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2,558</w:t>
            </w:r>
          </w:p>
        </w:tc>
        <w:tc>
          <w:tcPr>
            <w:tcW w:w="1080" w:type="dxa"/>
            <w:shd w:val="clear" w:color="auto" w:fill="auto"/>
            <w:noWrap/>
            <w:hideMark/>
          </w:tcPr>
          <w:p w14:paraId="7C22D2D2" w14:textId="77777777" w:rsidR="009B55B6" w:rsidRPr="00991A8E" w:rsidRDefault="009B55B6" w:rsidP="00A456AE">
            <w:pPr>
              <w:jc w:val="right"/>
              <w:outlineLvl w:val="0"/>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3,837</w:t>
            </w:r>
          </w:p>
        </w:tc>
        <w:tc>
          <w:tcPr>
            <w:tcW w:w="1080" w:type="dxa"/>
            <w:shd w:val="clear" w:color="auto" w:fill="auto"/>
            <w:noWrap/>
            <w:hideMark/>
          </w:tcPr>
          <w:p w14:paraId="5EFEC9FC" w14:textId="77777777" w:rsidR="009B55B6" w:rsidRPr="00991A8E" w:rsidRDefault="009B55B6" w:rsidP="00A456AE">
            <w:pPr>
              <w:jc w:val="right"/>
              <w:outlineLvl w:val="0"/>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5,371</w:t>
            </w:r>
          </w:p>
        </w:tc>
        <w:tc>
          <w:tcPr>
            <w:tcW w:w="1012" w:type="dxa"/>
            <w:shd w:val="clear" w:color="auto" w:fill="auto"/>
            <w:noWrap/>
            <w:hideMark/>
          </w:tcPr>
          <w:p w14:paraId="6F97A096" w14:textId="77777777" w:rsidR="009B55B6" w:rsidRPr="00991A8E" w:rsidRDefault="009B55B6" w:rsidP="00A456AE">
            <w:pPr>
              <w:jc w:val="right"/>
              <w:outlineLvl w:val="0"/>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6,983</w:t>
            </w:r>
          </w:p>
        </w:tc>
      </w:tr>
      <w:tr w:rsidR="009B55B6" w:rsidRPr="00991A8E" w14:paraId="3D65F31E" w14:textId="77777777" w:rsidTr="00DA6B33">
        <w:trPr>
          <w:gridAfter w:val="1"/>
          <w:wAfter w:w="162" w:type="dxa"/>
          <w:trHeight w:val="231"/>
          <w:jc w:val="center"/>
        </w:trPr>
        <w:tc>
          <w:tcPr>
            <w:cnfStyle w:val="001000000000" w:firstRow="0" w:lastRow="0" w:firstColumn="1" w:lastColumn="0" w:oddVBand="0" w:evenVBand="0" w:oddHBand="0" w:evenHBand="0" w:firstRowFirstColumn="0" w:firstRowLastColumn="0" w:lastRowFirstColumn="0" w:lastRowLastColumn="0"/>
            <w:tcW w:w="3773" w:type="dxa"/>
            <w:shd w:val="clear" w:color="auto" w:fill="auto"/>
            <w:noWrap/>
            <w:hideMark/>
          </w:tcPr>
          <w:p w14:paraId="2709363B" w14:textId="77777777" w:rsidR="009B55B6" w:rsidRPr="00991A8E" w:rsidRDefault="009B55B6" w:rsidP="00A456AE">
            <w:pPr>
              <w:ind w:left="284"/>
              <w:outlineLvl w:val="0"/>
              <w:rPr>
                <w:rFonts w:ascii="Arial" w:hAnsi="Arial" w:cs="Arial"/>
                <w:b w:val="0"/>
                <w:sz w:val="19"/>
                <w:szCs w:val="19"/>
                <w:lang w:val="en-GB"/>
              </w:rPr>
            </w:pPr>
            <w:r w:rsidRPr="00991A8E">
              <w:rPr>
                <w:rFonts w:ascii="Arial" w:hAnsi="Arial" w:cs="Arial"/>
                <w:sz w:val="19"/>
                <w:szCs w:val="19"/>
                <w:lang w:val="en-GB"/>
              </w:rPr>
              <w:t>Depreciation</w:t>
            </w:r>
          </w:p>
        </w:tc>
        <w:tc>
          <w:tcPr>
            <w:tcW w:w="1078" w:type="dxa"/>
            <w:gridSpan w:val="2"/>
            <w:shd w:val="clear" w:color="auto" w:fill="auto"/>
            <w:noWrap/>
          </w:tcPr>
          <w:p w14:paraId="644185AA" w14:textId="77777777" w:rsidR="009B55B6" w:rsidRPr="00991A8E" w:rsidRDefault="009B55B6" w:rsidP="00A456AE">
            <w:pPr>
              <w:jc w:val="right"/>
              <w:outlineLvl w:val="0"/>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1</w:t>
            </w:r>
          </w:p>
        </w:tc>
        <w:tc>
          <w:tcPr>
            <w:tcW w:w="1097" w:type="dxa"/>
            <w:shd w:val="clear" w:color="auto" w:fill="auto"/>
            <w:noWrap/>
            <w:hideMark/>
          </w:tcPr>
          <w:p w14:paraId="40B1B8E7" w14:textId="77777777" w:rsidR="009B55B6" w:rsidRPr="00991A8E" w:rsidRDefault="009B55B6" w:rsidP="00A456AE">
            <w:pPr>
              <w:jc w:val="right"/>
              <w:outlineLvl w:val="0"/>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2</w:t>
            </w:r>
          </w:p>
        </w:tc>
        <w:tc>
          <w:tcPr>
            <w:tcW w:w="1242" w:type="dxa"/>
            <w:shd w:val="clear" w:color="auto" w:fill="auto"/>
            <w:noWrap/>
            <w:hideMark/>
          </w:tcPr>
          <w:p w14:paraId="7D0F5034" w14:textId="77777777" w:rsidR="009B55B6" w:rsidRPr="00991A8E" w:rsidRDefault="009B55B6" w:rsidP="00A456AE">
            <w:pPr>
              <w:jc w:val="right"/>
              <w:outlineLvl w:val="0"/>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126</w:t>
            </w:r>
          </w:p>
        </w:tc>
        <w:tc>
          <w:tcPr>
            <w:tcW w:w="1278" w:type="dxa"/>
            <w:gridSpan w:val="2"/>
            <w:shd w:val="clear" w:color="auto" w:fill="auto"/>
            <w:noWrap/>
            <w:hideMark/>
          </w:tcPr>
          <w:p w14:paraId="4F84D65F" w14:textId="77777777" w:rsidR="009B55B6" w:rsidRPr="00991A8E" w:rsidRDefault="009B55B6" w:rsidP="00A456AE">
            <w:pPr>
              <w:jc w:val="right"/>
              <w:outlineLvl w:val="0"/>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149</w:t>
            </w:r>
          </w:p>
        </w:tc>
        <w:tc>
          <w:tcPr>
            <w:tcW w:w="1063" w:type="dxa"/>
            <w:shd w:val="clear" w:color="auto" w:fill="auto"/>
            <w:noWrap/>
            <w:hideMark/>
          </w:tcPr>
          <w:p w14:paraId="3620E18A" w14:textId="77777777" w:rsidR="009B55B6" w:rsidRPr="00991A8E" w:rsidRDefault="009B55B6" w:rsidP="00A456AE">
            <w:pPr>
              <w:jc w:val="right"/>
              <w:outlineLvl w:val="0"/>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354</w:t>
            </w:r>
          </w:p>
        </w:tc>
        <w:tc>
          <w:tcPr>
            <w:tcW w:w="1080" w:type="dxa"/>
            <w:shd w:val="clear" w:color="auto" w:fill="auto"/>
            <w:noWrap/>
            <w:hideMark/>
          </w:tcPr>
          <w:p w14:paraId="26793B9C" w14:textId="77777777" w:rsidR="009B55B6" w:rsidRPr="00991A8E" w:rsidRDefault="009B55B6" w:rsidP="00A456AE">
            <w:pPr>
              <w:jc w:val="right"/>
              <w:outlineLvl w:val="0"/>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423</w:t>
            </w:r>
          </w:p>
        </w:tc>
        <w:tc>
          <w:tcPr>
            <w:tcW w:w="1080" w:type="dxa"/>
            <w:shd w:val="clear" w:color="auto" w:fill="auto"/>
            <w:noWrap/>
            <w:hideMark/>
          </w:tcPr>
          <w:p w14:paraId="13F0864C" w14:textId="77777777" w:rsidR="009B55B6" w:rsidRPr="00991A8E" w:rsidRDefault="009B55B6" w:rsidP="00A456AE">
            <w:pPr>
              <w:jc w:val="right"/>
              <w:outlineLvl w:val="0"/>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611</w:t>
            </w:r>
          </w:p>
        </w:tc>
        <w:tc>
          <w:tcPr>
            <w:tcW w:w="1012" w:type="dxa"/>
            <w:shd w:val="clear" w:color="auto" w:fill="auto"/>
            <w:noWrap/>
            <w:hideMark/>
          </w:tcPr>
          <w:p w14:paraId="0D5CD50C" w14:textId="77777777" w:rsidR="009B55B6" w:rsidRPr="00991A8E" w:rsidRDefault="009B55B6" w:rsidP="00A456AE">
            <w:pPr>
              <w:jc w:val="right"/>
              <w:outlineLvl w:val="0"/>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867</w:t>
            </w:r>
          </w:p>
        </w:tc>
      </w:tr>
      <w:tr w:rsidR="009B55B6" w:rsidRPr="00991A8E" w14:paraId="2CD155B2" w14:textId="77777777" w:rsidTr="00DA6B33">
        <w:trPr>
          <w:gridAfter w:val="1"/>
          <w:cnfStyle w:val="000000100000" w:firstRow="0" w:lastRow="0" w:firstColumn="0" w:lastColumn="0" w:oddVBand="0" w:evenVBand="0" w:oddHBand="1" w:evenHBand="0" w:firstRowFirstColumn="0" w:firstRowLastColumn="0" w:lastRowFirstColumn="0" w:lastRowLastColumn="0"/>
          <w:wAfter w:w="162" w:type="dxa"/>
          <w:trHeight w:val="231"/>
          <w:jc w:val="center"/>
        </w:trPr>
        <w:tc>
          <w:tcPr>
            <w:cnfStyle w:val="001000000000" w:firstRow="0" w:lastRow="0" w:firstColumn="1" w:lastColumn="0" w:oddVBand="0" w:evenVBand="0" w:oddHBand="0" w:evenHBand="0" w:firstRowFirstColumn="0" w:firstRowLastColumn="0" w:lastRowFirstColumn="0" w:lastRowLastColumn="0"/>
            <w:tcW w:w="3773" w:type="dxa"/>
            <w:shd w:val="clear" w:color="auto" w:fill="auto"/>
            <w:noWrap/>
            <w:hideMark/>
          </w:tcPr>
          <w:p w14:paraId="0B2CA3DD" w14:textId="77777777" w:rsidR="009B55B6" w:rsidRPr="00991A8E" w:rsidRDefault="009B55B6" w:rsidP="00A456AE">
            <w:pPr>
              <w:ind w:left="284"/>
              <w:outlineLvl w:val="0"/>
              <w:rPr>
                <w:rFonts w:ascii="Arial" w:hAnsi="Arial" w:cs="Arial"/>
                <w:b w:val="0"/>
                <w:sz w:val="19"/>
                <w:szCs w:val="19"/>
                <w:lang w:val="en-GB"/>
              </w:rPr>
            </w:pPr>
            <w:r w:rsidRPr="00991A8E">
              <w:rPr>
                <w:rFonts w:ascii="Arial" w:hAnsi="Arial" w:cs="Arial"/>
                <w:sz w:val="19"/>
                <w:szCs w:val="19"/>
                <w:lang w:val="en-GB"/>
              </w:rPr>
              <w:t>Other Expense</w:t>
            </w:r>
          </w:p>
        </w:tc>
        <w:tc>
          <w:tcPr>
            <w:tcW w:w="1078" w:type="dxa"/>
            <w:gridSpan w:val="2"/>
            <w:shd w:val="clear" w:color="auto" w:fill="auto"/>
            <w:noWrap/>
          </w:tcPr>
          <w:p w14:paraId="1DF04142" w14:textId="77777777" w:rsidR="009B55B6" w:rsidRPr="00991A8E" w:rsidRDefault="009B55B6" w:rsidP="00A456AE">
            <w:pPr>
              <w:jc w:val="right"/>
              <w:outlineLvl w:val="0"/>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249</w:t>
            </w:r>
          </w:p>
        </w:tc>
        <w:tc>
          <w:tcPr>
            <w:tcW w:w="1097" w:type="dxa"/>
            <w:shd w:val="clear" w:color="auto" w:fill="auto"/>
            <w:noWrap/>
            <w:hideMark/>
          </w:tcPr>
          <w:p w14:paraId="25043D72" w14:textId="77777777" w:rsidR="009B55B6" w:rsidRPr="00991A8E" w:rsidRDefault="009B55B6" w:rsidP="00A456AE">
            <w:pPr>
              <w:jc w:val="right"/>
              <w:outlineLvl w:val="0"/>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291</w:t>
            </w:r>
          </w:p>
        </w:tc>
        <w:tc>
          <w:tcPr>
            <w:tcW w:w="1242" w:type="dxa"/>
            <w:shd w:val="clear" w:color="auto" w:fill="auto"/>
            <w:noWrap/>
            <w:hideMark/>
          </w:tcPr>
          <w:p w14:paraId="2EB6084B" w14:textId="77777777" w:rsidR="009B55B6" w:rsidRPr="00991A8E" w:rsidRDefault="009B55B6" w:rsidP="00A456AE">
            <w:pPr>
              <w:jc w:val="right"/>
              <w:outlineLvl w:val="0"/>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249</w:t>
            </w:r>
          </w:p>
        </w:tc>
        <w:tc>
          <w:tcPr>
            <w:tcW w:w="1278" w:type="dxa"/>
            <w:gridSpan w:val="2"/>
            <w:shd w:val="clear" w:color="auto" w:fill="auto"/>
            <w:noWrap/>
            <w:hideMark/>
          </w:tcPr>
          <w:p w14:paraId="186902D6" w14:textId="77777777" w:rsidR="009B55B6" w:rsidRPr="00991A8E" w:rsidRDefault="009B55B6" w:rsidP="00A456AE">
            <w:pPr>
              <w:jc w:val="right"/>
              <w:outlineLvl w:val="0"/>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249</w:t>
            </w:r>
          </w:p>
        </w:tc>
        <w:tc>
          <w:tcPr>
            <w:tcW w:w="1063" w:type="dxa"/>
            <w:shd w:val="clear" w:color="auto" w:fill="auto"/>
            <w:noWrap/>
            <w:hideMark/>
          </w:tcPr>
          <w:p w14:paraId="0F9E7A33" w14:textId="77777777" w:rsidR="009B55B6" w:rsidRPr="00991A8E" w:rsidRDefault="009B55B6" w:rsidP="00A456AE">
            <w:pPr>
              <w:jc w:val="right"/>
              <w:outlineLvl w:val="0"/>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498</w:t>
            </w:r>
          </w:p>
        </w:tc>
        <w:tc>
          <w:tcPr>
            <w:tcW w:w="1080" w:type="dxa"/>
            <w:shd w:val="clear" w:color="auto" w:fill="auto"/>
            <w:noWrap/>
            <w:hideMark/>
          </w:tcPr>
          <w:p w14:paraId="4DC2C1AE" w14:textId="77777777" w:rsidR="009B55B6" w:rsidRPr="00991A8E" w:rsidRDefault="009B55B6" w:rsidP="00A456AE">
            <w:pPr>
              <w:jc w:val="right"/>
              <w:outlineLvl w:val="0"/>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573</w:t>
            </w:r>
          </w:p>
        </w:tc>
        <w:tc>
          <w:tcPr>
            <w:tcW w:w="1080" w:type="dxa"/>
            <w:shd w:val="clear" w:color="auto" w:fill="auto"/>
            <w:noWrap/>
            <w:hideMark/>
          </w:tcPr>
          <w:p w14:paraId="438D112B" w14:textId="77777777" w:rsidR="009B55B6" w:rsidRPr="00991A8E" w:rsidRDefault="009B55B6" w:rsidP="00A456AE">
            <w:pPr>
              <w:jc w:val="right"/>
              <w:outlineLvl w:val="0"/>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659</w:t>
            </w:r>
          </w:p>
        </w:tc>
        <w:tc>
          <w:tcPr>
            <w:tcW w:w="1012" w:type="dxa"/>
            <w:shd w:val="clear" w:color="auto" w:fill="auto"/>
            <w:noWrap/>
            <w:hideMark/>
          </w:tcPr>
          <w:p w14:paraId="15D87A1D" w14:textId="77777777" w:rsidR="009B55B6" w:rsidRPr="00991A8E" w:rsidRDefault="009B55B6" w:rsidP="00A456AE">
            <w:pPr>
              <w:jc w:val="right"/>
              <w:outlineLvl w:val="0"/>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724</w:t>
            </w:r>
          </w:p>
        </w:tc>
      </w:tr>
      <w:tr w:rsidR="009B55B6" w:rsidRPr="00991A8E" w14:paraId="034C2DDA" w14:textId="77777777" w:rsidTr="00DA6B33">
        <w:trPr>
          <w:gridAfter w:val="1"/>
          <w:wAfter w:w="162" w:type="dxa"/>
          <w:trHeight w:val="231"/>
          <w:jc w:val="center"/>
        </w:trPr>
        <w:tc>
          <w:tcPr>
            <w:cnfStyle w:val="001000000000" w:firstRow="0" w:lastRow="0" w:firstColumn="1" w:lastColumn="0" w:oddVBand="0" w:evenVBand="0" w:oddHBand="0" w:evenHBand="0" w:firstRowFirstColumn="0" w:firstRowLastColumn="0" w:lastRowFirstColumn="0" w:lastRowLastColumn="0"/>
            <w:tcW w:w="3773" w:type="dxa"/>
            <w:shd w:val="clear" w:color="auto" w:fill="auto"/>
            <w:noWrap/>
            <w:hideMark/>
          </w:tcPr>
          <w:p w14:paraId="75D1591D" w14:textId="77777777" w:rsidR="009B55B6" w:rsidRPr="00991A8E" w:rsidRDefault="009B55B6" w:rsidP="00A456AE">
            <w:pPr>
              <w:outlineLvl w:val="0"/>
              <w:rPr>
                <w:rFonts w:ascii="Arial" w:hAnsi="Arial" w:cs="Arial"/>
                <w:bCs w:val="0"/>
                <w:sz w:val="19"/>
                <w:szCs w:val="19"/>
                <w:lang w:val="en-GB"/>
              </w:rPr>
            </w:pPr>
            <w:r w:rsidRPr="00991A8E">
              <w:rPr>
                <w:rFonts w:ascii="Arial" w:hAnsi="Arial" w:cs="Arial"/>
                <w:sz w:val="19"/>
                <w:szCs w:val="19"/>
                <w:lang w:val="en-GB"/>
              </w:rPr>
              <w:t>Total Operating Expense</w:t>
            </w:r>
            <w:r w:rsidRPr="00991A8E">
              <w:rPr>
                <w:rFonts w:ascii="Arial" w:hAnsi="Arial" w:cs="Arial"/>
                <w:bCs w:val="0"/>
                <w:sz w:val="19"/>
                <w:szCs w:val="19"/>
                <w:lang w:val="en-GB"/>
              </w:rPr>
              <w:t>s</w:t>
            </w:r>
          </w:p>
        </w:tc>
        <w:tc>
          <w:tcPr>
            <w:tcW w:w="1078" w:type="dxa"/>
            <w:gridSpan w:val="2"/>
            <w:shd w:val="clear" w:color="auto" w:fill="auto"/>
            <w:noWrap/>
          </w:tcPr>
          <w:p w14:paraId="7A18A326" w14:textId="77777777" w:rsidR="009B55B6" w:rsidRPr="00991A8E" w:rsidRDefault="009B55B6" w:rsidP="00A456AE">
            <w:pPr>
              <w:jc w:val="right"/>
              <w:outlineLvl w:val="0"/>
              <w:cnfStyle w:val="000000000000" w:firstRow="0" w:lastRow="0" w:firstColumn="0" w:lastColumn="0" w:oddVBand="0" w:evenVBand="0" w:oddHBand="0" w:evenHBand="0" w:firstRowFirstColumn="0" w:firstRowLastColumn="0" w:lastRowFirstColumn="0" w:lastRowLastColumn="0"/>
              <w:rPr>
                <w:rFonts w:ascii="Arial" w:hAnsi="Arial" w:cs="Arial"/>
                <w:b/>
                <w:bCs/>
                <w:sz w:val="19"/>
                <w:szCs w:val="19"/>
                <w:lang w:val="en-GB"/>
              </w:rPr>
            </w:pPr>
            <w:r w:rsidRPr="00991A8E">
              <w:rPr>
                <w:rFonts w:ascii="Arial" w:hAnsi="Arial" w:cs="Arial"/>
                <w:b/>
                <w:bCs/>
                <w:sz w:val="19"/>
                <w:szCs w:val="19"/>
                <w:lang w:val="en-GB"/>
              </w:rPr>
              <w:t>601</w:t>
            </w:r>
          </w:p>
        </w:tc>
        <w:tc>
          <w:tcPr>
            <w:tcW w:w="1097" w:type="dxa"/>
            <w:shd w:val="clear" w:color="auto" w:fill="auto"/>
            <w:noWrap/>
            <w:hideMark/>
          </w:tcPr>
          <w:p w14:paraId="1E37E244" w14:textId="77777777" w:rsidR="009B55B6" w:rsidRPr="00991A8E" w:rsidRDefault="009B55B6" w:rsidP="00A456AE">
            <w:pPr>
              <w:jc w:val="right"/>
              <w:outlineLvl w:val="0"/>
              <w:cnfStyle w:val="000000000000" w:firstRow="0" w:lastRow="0" w:firstColumn="0" w:lastColumn="0" w:oddVBand="0" w:evenVBand="0" w:oddHBand="0" w:evenHBand="0" w:firstRowFirstColumn="0" w:firstRowLastColumn="0" w:lastRowFirstColumn="0" w:lastRowLastColumn="0"/>
              <w:rPr>
                <w:rFonts w:ascii="Arial" w:hAnsi="Arial" w:cs="Arial"/>
                <w:b/>
                <w:bCs/>
                <w:sz w:val="19"/>
                <w:szCs w:val="19"/>
                <w:lang w:val="en-GB"/>
              </w:rPr>
            </w:pPr>
            <w:r w:rsidRPr="00991A8E">
              <w:rPr>
                <w:rFonts w:ascii="Arial" w:hAnsi="Arial" w:cs="Arial"/>
                <w:b/>
                <w:bCs/>
                <w:sz w:val="19"/>
                <w:szCs w:val="19"/>
                <w:lang w:val="en-GB"/>
              </w:rPr>
              <w:t>2,066</w:t>
            </w:r>
          </w:p>
        </w:tc>
        <w:tc>
          <w:tcPr>
            <w:tcW w:w="1242" w:type="dxa"/>
            <w:shd w:val="clear" w:color="auto" w:fill="auto"/>
            <w:noWrap/>
            <w:hideMark/>
          </w:tcPr>
          <w:p w14:paraId="60F00F1C" w14:textId="77777777" w:rsidR="009B55B6" w:rsidRPr="00991A8E" w:rsidRDefault="009B55B6" w:rsidP="00A456AE">
            <w:pPr>
              <w:jc w:val="right"/>
              <w:outlineLvl w:val="0"/>
              <w:cnfStyle w:val="000000000000" w:firstRow="0" w:lastRow="0" w:firstColumn="0" w:lastColumn="0" w:oddVBand="0" w:evenVBand="0" w:oddHBand="0" w:evenHBand="0" w:firstRowFirstColumn="0" w:firstRowLastColumn="0" w:lastRowFirstColumn="0" w:lastRowLastColumn="0"/>
              <w:rPr>
                <w:rFonts w:ascii="Arial" w:hAnsi="Arial" w:cs="Arial"/>
                <w:b/>
                <w:bCs/>
                <w:sz w:val="19"/>
                <w:szCs w:val="19"/>
                <w:lang w:val="en-GB"/>
              </w:rPr>
            </w:pPr>
            <w:r w:rsidRPr="00991A8E">
              <w:rPr>
                <w:rFonts w:ascii="Arial" w:hAnsi="Arial" w:cs="Arial"/>
                <w:b/>
                <w:bCs/>
                <w:sz w:val="19"/>
                <w:szCs w:val="19"/>
                <w:lang w:val="en-GB"/>
              </w:rPr>
              <w:t>2,989</w:t>
            </w:r>
          </w:p>
        </w:tc>
        <w:tc>
          <w:tcPr>
            <w:tcW w:w="1278" w:type="dxa"/>
            <w:gridSpan w:val="2"/>
            <w:shd w:val="clear" w:color="auto" w:fill="auto"/>
            <w:noWrap/>
            <w:hideMark/>
          </w:tcPr>
          <w:p w14:paraId="74809F27" w14:textId="77777777" w:rsidR="009B55B6" w:rsidRPr="00991A8E" w:rsidRDefault="009B55B6" w:rsidP="00A456AE">
            <w:pPr>
              <w:jc w:val="right"/>
              <w:outlineLvl w:val="0"/>
              <w:cnfStyle w:val="000000000000" w:firstRow="0" w:lastRow="0" w:firstColumn="0" w:lastColumn="0" w:oddVBand="0" w:evenVBand="0" w:oddHBand="0" w:evenHBand="0" w:firstRowFirstColumn="0" w:firstRowLastColumn="0" w:lastRowFirstColumn="0" w:lastRowLastColumn="0"/>
              <w:rPr>
                <w:rFonts w:ascii="Arial" w:hAnsi="Arial" w:cs="Arial"/>
                <w:b/>
                <w:bCs/>
                <w:sz w:val="19"/>
                <w:szCs w:val="19"/>
                <w:lang w:val="en-GB"/>
              </w:rPr>
            </w:pPr>
            <w:r w:rsidRPr="00991A8E">
              <w:rPr>
                <w:rFonts w:ascii="Arial" w:hAnsi="Arial" w:cs="Arial"/>
                <w:b/>
                <w:bCs/>
                <w:sz w:val="19"/>
                <w:szCs w:val="19"/>
                <w:lang w:val="en-GB"/>
              </w:rPr>
              <w:t>4,082</w:t>
            </w:r>
          </w:p>
        </w:tc>
        <w:tc>
          <w:tcPr>
            <w:tcW w:w="1063" w:type="dxa"/>
            <w:shd w:val="clear" w:color="auto" w:fill="auto"/>
            <w:noWrap/>
            <w:hideMark/>
          </w:tcPr>
          <w:p w14:paraId="05669049" w14:textId="77777777" w:rsidR="009B55B6" w:rsidRPr="00991A8E" w:rsidRDefault="009B55B6" w:rsidP="00A456AE">
            <w:pPr>
              <w:jc w:val="right"/>
              <w:outlineLvl w:val="0"/>
              <w:cnfStyle w:val="000000000000" w:firstRow="0" w:lastRow="0" w:firstColumn="0" w:lastColumn="0" w:oddVBand="0" w:evenVBand="0" w:oddHBand="0" w:evenHBand="0" w:firstRowFirstColumn="0" w:firstRowLastColumn="0" w:lastRowFirstColumn="0" w:lastRowLastColumn="0"/>
              <w:rPr>
                <w:rFonts w:ascii="Arial" w:hAnsi="Arial" w:cs="Arial"/>
                <w:b/>
                <w:bCs/>
                <w:sz w:val="19"/>
                <w:szCs w:val="19"/>
                <w:lang w:val="en-GB"/>
              </w:rPr>
            </w:pPr>
            <w:r w:rsidRPr="00991A8E">
              <w:rPr>
                <w:rFonts w:ascii="Arial" w:hAnsi="Arial" w:cs="Arial"/>
                <w:b/>
                <w:bCs/>
                <w:sz w:val="19"/>
                <w:szCs w:val="19"/>
                <w:lang w:val="en-GB"/>
              </w:rPr>
              <w:t>8,459</w:t>
            </w:r>
          </w:p>
        </w:tc>
        <w:tc>
          <w:tcPr>
            <w:tcW w:w="1080" w:type="dxa"/>
            <w:shd w:val="clear" w:color="auto" w:fill="auto"/>
            <w:noWrap/>
            <w:hideMark/>
          </w:tcPr>
          <w:p w14:paraId="4AB9F066" w14:textId="77777777" w:rsidR="009B55B6" w:rsidRPr="00991A8E" w:rsidRDefault="009B55B6" w:rsidP="00A456AE">
            <w:pPr>
              <w:jc w:val="right"/>
              <w:outlineLvl w:val="0"/>
              <w:cnfStyle w:val="000000000000" w:firstRow="0" w:lastRow="0" w:firstColumn="0" w:lastColumn="0" w:oddVBand="0" w:evenVBand="0" w:oddHBand="0" w:evenHBand="0" w:firstRowFirstColumn="0" w:firstRowLastColumn="0" w:lastRowFirstColumn="0" w:lastRowLastColumn="0"/>
              <w:rPr>
                <w:rFonts w:ascii="Arial" w:hAnsi="Arial" w:cs="Arial"/>
                <w:b/>
                <w:bCs/>
                <w:sz w:val="19"/>
                <w:szCs w:val="19"/>
                <w:lang w:val="en-GB"/>
              </w:rPr>
            </w:pPr>
            <w:r w:rsidRPr="00991A8E">
              <w:rPr>
                <w:rFonts w:ascii="Arial" w:hAnsi="Arial" w:cs="Arial"/>
                <w:b/>
                <w:bCs/>
                <w:sz w:val="19"/>
                <w:szCs w:val="19"/>
                <w:lang w:val="en-GB"/>
              </w:rPr>
              <w:t>12,226</w:t>
            </w:r>
          </w:p>
        </w:tc>
        <w:tc>
          <w:tcPr>
            <w:tcW w:w="1080" w:type="dxa"/>
            <w:shd w:val="clear" w:color="auto" w:fill="auto"/>
            <w:noWrap/>
            <w:hideMark/>
          </w:tcPr>
          <w:p w14:paraId="5A485584" w14:textId="77777777" w:rsidR="009B55B6" w:rsidRPr="00991A8E" w:rsidRDefault="009B55B6" w:rsidP="00A456AE">
            <w:pPr>
              <w:jc w:val="right"/>
              <w:outlineLvl w:val="0"/>
              <w:cnfStyle w:val="000000000000" w:firstRow="0" w:lastRow="0" w:firstColumn="0" w:lastColumn="0" w:oddVBand="0" w:evenVBand="0" w:oddHBand="0" w:evenHBand="0" w:firstRowFirstColumn="0" w:firstRowLastColumn="0" w:lastRowFirstColumn="0" w:lastRowLastColumn="0"/>
              <w:rPr>
                <w:rFonts w:ascii="Arial" w:hAnsi="Arial" w:cs="Arial"/>
                <w:b/>
                <w:bCs/>
                <w:sz w:val="19"/>
                <w:szCs w:val="19"/>
                <w:lang w:val="en-GB"/>
              </w:rPr>
            </w:pPr>
            <w:r w:rsidRPr="00991A8E">
              <w:rPr>
                <w:rFonts w:ascii="Arial" w:hAnsi="Arial" w:cs="Arial"/>
                <w:b/>
                <w:bCs/>
                <w:sz w:val="19"/>
                <w:szCs w:val="19"/>
                <w:lang w:val="en-GB"/>
              </w:rPr>
              <w:t>17,332</w:t>
            </w:r>
          </w:p>
        </w:tc>
        <w:tc>
          <w:tcPr>
            <w:tcW w:w="1012" w:type="dxa"/>
            <w:shd w:val="clear" w:color="auto" w:fill="auto"/>
            <w:noWrap/>
            <w:hideMark/>
          </w:tcPr>
          <w:p w14:paraId="24058857" w14:textId="77777777" w:rsidR="009B55B6" w:rsidRPr="00991A8E" w:rsidRDefault="009B55B6" w:rsidP="00A456AE">
            <w:pPr>
              <w:jc w:val="right"/>
              <w:outlineLvl w:val="0"/>
              <w:cnfStyle w:val="000000000000" w:firstRow="0" w:lastRow="0" w:firstColumn="0" w:lastColumn="0" w:oddVBand="0" w:evenVBand="0" w:oddHBand="0" w:evenHBand="0" w:firstRowFirstColumn="0" w:firstRowLastColumn="0" w:lastRowFirstColumn="0" w:lastRowLastColumn="0"/>
              <w:rPr>
                <w:rFonts w:ascii="Arial" w:hAnsi="Arial" w:cs="Arial"/>
                <w:b/>
                <w:bCs/>
                <w:sz w:val="19"/>
                <w:szCs w:val="19"/>
                <w:lang w:val="en-GB"/>
              </w:rPr>
            </w:pPr>
            <w:r w:rsidRPr="00991A8E">
              <w:rPr>
                <w:rFonts w:ascii="Arial" w:hAnsi="Arial" w:cs="Arial"/>
                <w:b/>
                <w:bCs/>
                <w:sz w:val="19"/>
                <w:szCs w:val="19"/>
                <w:lang w:val="en-GB"/>
              </w:rPr>
              <w:t>22,862</w:t>
            </w:r>
          </w:p>
        </w:tc>
      </w:tr>
      <w:tr w:rsidR="009B55B6" w:rsidRPr="00991A8E" w14:paraId="28452C99" w14:textId="77777777" w:rsidTr="00DA6B33">
        <w:trPr>
          <w:gridAfter w:val="1"/>
          <w:cnfStyle w:val="000000100000" w:firstRow="0" w:lastRow="0" w:firstColumn="0" w:lastColumn="0" w:oddVBand="0" w:evenVBand="0" w:oddHBand="1" w:evenHBand="0" w:firstRowFirstColumn="0" w:firstRowLastColumn="0" w:lastRowFirstColumn="0" w:lastRowLastColumn="0"/>
          <w:wAfter w:w="162" w:type="dxa"/>
          <w:trHeight w:val="144"/>
          <w:jc w:val="center"/>
        </w:trPr>
        <w:tc>
          <w:tcPr>
            <w:cnfStyle w:val="001000000000" w:firstRow="0" w:lastRow="0" w:firstColumn="1" w:lastColumn="0" w:oddVBand="0" w:evenVBand="0" w:oddHBand="0" w:evenHBand="0" w:firstRowFirstColumn="0" w:firstRowLastColumn="0" w:lastRowFirstColumn="0" w:lastRowLastColumn="0"/>
            <w:tcW w:w="3773" w:type="dxa"/>
            <w:shd w:val="clear" w:color="auto" w:fill="auto"/>
            <w:noWrap/>
            <w:hideMark/>
          </w:tcPr>
          <w:p w14:paraId="1C87B92C" w14:textId="77777777" w:rsidR="009B55B6" w:rsidRPr="00991A8E" w:rsidRDefault="009B55B6" w:rsidP="00A456AE">
            <w:pPr>
              <w:jc w:val="right"/>
              <w:outlineLvl w:val="0"/>
              <w:rPr>
                <w:rFonts w:ascii="Arial" w:hAnsi="Arial" w:cs="Arial"/>
                <w:b w:val="0"/>
                <w:bCs w:val="0"/>
                <w:sz w:val="19"/>
                <w:szCs w:val="19"/>
                <w:lang w:val="en-GB"/>
              </w:rPr>
            </w:pPr>
          </w:p>
        </w:tc>
        <w:tc>
          <w:tcPr>
            <w:tcW w:w="1078" w:type="dxa"/>
            <w:gridSpan w:val="2"/>
            <w:shd w:val="clear" w:color="auto" w:fill="auto"/>
            <w:noWrap/>
          </w:tcPr>
          <w:p w14:paraId="71D21BBC" w14:textId="77777777" w:rsidR="009B55B6" w:rsidRPr="00991A8E" w:rsidRDefault="009B55B6" w:rsidP="00A456AE">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p>
        </w:tc>
        <w:tc>
          <w:tcPr>
            <w:tcW w:w="1097" w:type="dxa"/>
            <w:shd w:val="clear" w:color="auto" w:fill="auto"/>
            <w:noWrap/>
            <w:hideMark/>
          </w:tcPr>
          <w:p w14:paraId="247EEE50" w14:textId="77777777" w:rsidR="009B55B6" w:rsidRPr="00991A8E" w:rsidRDefault="009B55B6" w:rsidP="00A456AE">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p>
        </w:tc>
        <w:tc>
          <w:tcPr>
            <w:tcW w:w="1242" w:type="dxa"/>
            <w:shd w:val="clear" w:color="auto" w:fill="auto"/>
            <w:noWrap/>
            <w:hideMark/>
          </w:tcPr>
          <w:p w14:paraId="34894602" w14:textId="77777777" w:rsidR="009B55B6" w:rsidRPr="00991A8E" w:rsidRDefault="009B55B6" w:rsidP="00A456AE">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p>
        </w:tc>
        <w:tc>
          <w:tcPr>
            <w:tcW w:w="1278" w:type="dxa"/>
            <w:gridSpan w:val="2"/>
            <w:shd w:val="clear" w:color="auto" w:fill="auto"/>
            <w:noWrap/>
            <w:hideMark/>
          </w:tcPr>
          <w:p w14:paraId="114F977E" w14:textId="77777777" w:rsidR="009B55B6" w:rsidRPr="00991A8E" w:rsidRDefault="009B55B6" w:rsidP="00A456AE">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p>
        </w:tc>
        <w:tc>
          <w:tcPr>
            <w:tcW w:w="1063" w:type="dxa"/>
            <w:shd w:val="clear" w:color="auto" w:fill="auto"/>
            <w:noWrap/>
            <w:hideMark/>
          </w:tcPr>
          <w:p w14:paraId="35736B4E" w14:textId="77777777" w:rsidR="009B55B6" w:rsidRPr="00991A8E" w:rsidRDefault="009B55B6" w:rsidP="00A456AE">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p>
        </w:tc>
        <w:tc>
          <w:tcPr>
            <w:tcW w:w="1080" w:type="dxa"/>
            <w:shd w:val="clear" w:color="auto" w:fill="auto"/>
            <w:noWrap/>
            <w:hideMark/>
          </w:tcPr>
          <w:p w14:paraId="27E86176" w14:textId="77777777" w:rsidR="009B55B6" w:rsidRPr="00991A8E" w:rsidRDefault="009B55B6" w:rsidP="00A456AE">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p>
        </w:tc>
        <w:tc>
          <w:tcPr>
            <w:tcW w:w="1080" w:type="dxa"/>
            <w:shd w:val="clear" w:color="auto" w:fill="auto"/>
            <w:noWrap/>
            <w:hideMark/>
          </w:tcPr>
          <w:p w14:paraId="18EFA258" w14:textId="77777777" w:rsidR="009B55B6" w:rsidRPr="00991A8E" w:rsidRDefault="009B55B6" w:rsidP="00A456AE">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p>
        </w:tc>
        <w:tc>
          <w:tcPr>
            <w:tcW w:w="1012" w:type="dxa"/>
            <w:shd w:val="clear" w:color="auto" w:fill="auto"/>
            <w:noWrap/>
            <w:hideMark/>
          </w:tcPr>
          <w:p w14:paraId="3C33BF78" w14:textId="77777777" w:rsidR="009B55B6" w:rsidRPr="00991A8E" w:rsidRDefault="009B55B6" w:rsidP="00A456AE">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p>
        </w:tc>
      </w:tr>
      <w:tr w:rsidR="009B55B6" w:rsidRPr="00991A8E" w14:paraId="6C583467" w14:textId="77777777" w:rsidTr="00DA6B33">
        <w:trPr>
          <w:gridAfter w:val="1"/>
          <w:wAfter w:w="162" w:type="dxa"/>
          <w:trHeight w:val="231"/>
          <w:jc w:val="center"/>
        </w:trPr>
        <w:tc>
          <w:tcPr>
            <w:cnfStyle w:val="001000000000" w:firstRow="0" w:lastRow="0" w:firstColumn="1" w:lastColumn="0" w:oddVBand="0" w:evenVBand="0" w:oddHBand="0" w:evenHBand="0" w:firstRowFirstColumn="0" w:firstRowLastColumn="0" w:lastRowFirstColumn="0" w:lastRowLastColumn="0"/>
            <w:tcW w:w="3773" w:type="dxa"/>
            <w:shd w:val="clear" w:color="auto" w:fill="auto"/>
            <w:noWrap/>
            <w:hideMark/>
          </w:tcPr>
          <w:p w14:paraId="00CCA06F" w14:textId="77777777" w:rsidR="009B55B6" w:rsidRPr="00991A8E" w:rsidRDefault="009B55B6" w:rsidP="00A456AE">
            <w:pPr>
              <w:outlineLvl w:val="0"/>
              <w:rPr>
                <w:rFonts w:ascii="Arial" w:hAnsi="Arial" w:cs="Arial"/>
                <w:bCs w:val="0"/>
                <w:sz w:val="19"/>
                <w:szCs w:val="19"/>
                <w:lang w:val="en-GB"/>
              </w:rPr>
            </w:pPr>
            <w:r w:rsidRPr="00991A8E">
              <w:rPr>
                <w:rFonts w:ascii="Arial" w:hAnsi="Arial" w:cs="Arial"/>
                <w:sz w:val="19"/>
                <w:szCs w:val="19"/>
                <w:lang w:val="en-GB"/>
              </w:rPr>
              <w:t>Operating Profit</w:t>
            </w:r>
          </w:p>
        </w:tc>
        <w:tc>
          <w:tcPr>
            <w:tcW w:w="1078" w:type="dxa"/>
            <w:gridSpan w:val="2"/>
            <w:shd w:val="clear" w:color="auto" w:fill="auto"/>
            <w:noWrap/>
          </w:tcPr>
          <w:p w14:paraId="62018DBB" w14:textId="77777777" w:rsidR="009B55B6" w:rsidRPr="00991A8E" w:rsidRDefault="009B55B6" w:rsidP="00A456AE">
            <w:pPr>
              <w:jc w:val="right"/>
              <w:outlineLvl w:val="0"/>
              <w:cnfStyle w:val="000000000000" w:firstRow="0" w:lastRow="0" w:firstColumn="0" w:lastColumn="0" w:oddVBand="0" w:evenVBand="0" w:oddHBand="0" w:evenHBand="0" w:firstRowFirstColumn="0" w:firstRowLastColumn="0" w:lastRowFirstColumn="0" w:lastRowLastColumn="0"/>
              <w:rPr>
                <w:rFonts w:ascii="Arial" w:hAnsi="Arial" w:cs="Arial"/>
                <w:b/>
                <w:bCs/>
                <w:sz w:val="19"/>
                <w:szCs w:val="19"/>
                <w:lang w:val="en-GB"/>
              </w:rPr>
            </w:pPr>
            <w:r w:rsidRPr="00991A8E">
              <w:rPr>
                <w:rFonts w:ascii="Arial" w:hAnsi="Arial" w:cs="Arial"/>
                <w:b/>
                <w:bCs/>
                <w:sz w:val="19"/>
                <w:szCs w:val="19"/>
                <w:lang w:val="en-GB"/>
              </w:rPr>
              <w:t>−601</w:t>
            </w:r>
          </w:p>
        </w:tc>
        <w:tc>
          <w:tcPr>
            <w:tcW w:w="1097" w:type="dxa"/>
            <w:shd w:val="clear" w:color="auto" w:fill="auto"/>
            <w:noWrap/>
            <w:hideMark/>
          </w:tcPr>
          <w:p w14:paraId="70A7297B" w14:textId="77777777" w:rsidR="009B55B6" w:rsidRPr="00991A8E" w:rsidRDefault="009B55B6" w:rsidP="00A456AE">
            <w:pPr>
              <w:jc w:val="right"/>
              <w:outlineLvl w:val="0"/>
              <w:cnfStyle w:val="000000000000" w:firstRow="0" w:lastRow="0" w:firstColumn="0" w:lastColumn="0" w:oddVBand="0" w:evenVBand="0" w:oddHBand="0" w:evenHBand="0" w:firstRowFirstColumn="0" w:firstRowLastColumn="0" w:lastRowFirstColumn="0" w:lastRowLastColumn="0"/>
              <w:rPr>
                <w:rFonts w:ascii="Arial" w:hAnsi="Arial" w:cs="Arial"/>
                <w:b/>
                <w:bCs/>
                <w:sz w:val="19"/>
                <w:szCs w:val="19"/>
                <w:lang w:val="en-GB"/>
              </w:rPr>
            </w:pPr>
            <w:r w:rsidRPr="00991A8E">
              <w:rPr>
                <w:rFonts w:ascii="Arial" w:hAnsi="Arial" w:cs="Arial"/>
                <w:b/>
                <w:bCs/>
                <w:sz w:val="19"/>
                <w:szCs w:val="19"/>
                <w:lang w:val="en-GB"/>
              </w:rPr>
              <w:t>−2,066</w:t>
            </w:r>
          </w:p>
        </w:tc>
        <w:tc>
          <w:tcPr>
            <w:tcW w:w="1242" w:type="dxa"/>
            <w:shd w:val="clear" w:color="auto" w:fill="auto"/>
            <w:noWrap/>
            <w:hideMark/>
          </w:tcPr>
          <w:p w14:paraId="57EF38C3" w14:textId="77777777" w:rsidR="009B55B6" w:rsidRPr="00991A8E" w:rsidRDefault="009B55B6" w:rsidP="00A456AE">
            <w:pPr>
              <w:jc w:val="right"/>
              <w:outlineLvl w:val="0"/>
              <w:cnfStyle w:val="000000000000" w:firstRow="0" w:lastRow="0" w:firstColumn="0" w:lastColumn="0" w:oddVBand="0" w:evenVBand="0" w:oddHBand="0" w:evenHBand="0" w:firstRowFirstColumn="0" w:firstRowLastColumn="0" w:lastRowFirstColumn="0" w:lastRowLastColumn="0"/>
              <w:rPr>
                <w:rFonts w:ascii="Arial" w:hAnsi="Arial" w:cs="Arial"/>
                <w:b/>
                <w:bCs/>
                <w:sz w:val="19"/>
                <w:szCs w:val="19"/>
                <w:lang w:val="en-GB"/>
              </w:rPr>
            </w:pPr>
            <w:r w:rsidRPr="00991A8E">
              <w:rPr>
                <w:rFonts w:ascii="Arial" w:hAnsi="Arial" w:cs="Arial"/>
                <w:b/>
                <w:bCs/>
                <w:sz w:val="19"/>
                <w:szCs w:val="19"/>
                <w:lang w:val="en-GB"/>
              </w:rPr>
              <w:t>−2,948</w:t>
            </w:r>
          </w:p>
        </w:tc>
        <w:tc>
          <w:tcPr>
            <w:tcW w:w="1278" w:type="dxa"/>
            <w:gridSpan w:val="2"/>
            <w:shd w:val="clear" w:color="auto" w:fill="auto"/>
            <w:noWrap/>
            <w:hideMark/>
          </w:tcPr>
          <w:p w14:paraId="0F616C08" w14:textId="77777777" w:rsidR="009B55B6" w:rsidRPr="00991A8E" w:rsidRDefault="009B55B6" w:rsidP="00A456AE">
            <w:pPr>
              <w:jc w:val="right"/>
              <w:outlineLvl w:val="0"/>
              <w:cnfStyle w:val="000000000000" w:firstRow="0" w:lastRow="0" w:firstColumn="0" w:lastColumn="0" w:oddVBand="0" w:evenVBand="0" w:oddHBand="0" w:evenHBand="0" w:firstRowFirstColumn="0" w:firstRowLastColumn="0" w:lastRowFirstColumn="0" w:lastRowLastColumn="0"/>
              <w:rPr>
                <w:rFonts w:ascii="Arial" w:hAnsi="Arial" w:cs="Arial"/>
                <w:b/>
                <w:bCs/>
                <w:sz w:val="19"/>
                <w:szCs w:val="19"/>
                <w:lang w:val="en-GB"/>
              </w:rPr>
            </w:pPr>
            <w:r w:rsidRPr="00991A8E">
              <w:rPr>
                <w:rFonts w:ascii="Arial" w:hAnsi="Arial" w:cs="Arial"/>
                <w:b/>
                <w:bCs/>
                <w:sz w:val="19"/>
                <w:szCs w:val="19"/>
                <w:lang w:val="en-GB"/>
              </w:rPr>
              <w:t>−3,803</w:t>
            </w:r>
          </w:p>
        </w:tc>
        <w:tc>
          <w:tcPr>
            <w:tcW w:w="1063" w:type="dxa"/>
            <w:shd w:val="clear" w:color="auto" w:fill="auto"/>
            <w:noWrap/>
            <w:hideMark/>
          </w:tcPr>
          <w:p w14:paraId="277A248F" w14:textId="77777777" w:rsidR="009B55B6" w:rsidRPr="00991A8E" w:rsidRDefault="009B55B6" w:rsidP="00A456AE">
            <w:pPr>
              <w:jc w:val="right"/>
              <w:outlineLvl w:val="0"/>
              <w:cnfStyle w:val="000000000000" w:firstRow="0" w:lastRow="0" w:firstColumn="0" w:lastColumn="0" w:oddVBand="0" w:evenVBand="0" w:oddHBand="0" w:evenHBand="0" w:firstRowFirstColumn="0" w:firstRowLastColumn="0" w:lastRowFirstColumn="0" w:lastRowLastColumn="0"/>
              <w:rPr>
                <w:rFonts w:ascii="Arial" w:hAnsi="Arial" w:cs="Arial"/>
                <w:b/>
                <w:bCs/>
                <w:sz w:val="19"/>
                <w:szCs w:val="19"/>
                <w:lang w:val="en-GB"/>
              </w:rPr>
            </w:pPr>
            <w:r w:rsidRPr="00991A8E">
              <w:rPr>
                <w:rFonts w:ascii="Arial" w:hAnsi="Arial" w:cs="Arial"/>
                <w:b/>
                <w:bCs/>
                <w:sz w:val="19"/>
                <w:szCs w:val="19"/>
                <w:lang w:val="en-GB"/>
              </w:rPr>
              <w:t>−7,037</w:t>
            </w:r>
          </w:p>
        </w:tc>
        <w:tc>
          <w:tcPr>
            <w:tcW w:w="1080" w:type="dxa"/>
            <w:shd w:val="clear" w:color="auto" w:fill="auto"/>
            <w:noWrap/>
            <w:hideMark/>
          </w:tcPr>
          <w:p w14:paraId="13D93787" w14:textId="77777777" w:rsidR="009B55B6" w:rsidRPr="00991A8E" w:rsidRDefault="009B55B6" w:rsidP="00A456AE">
            <w:pPr>
              <w:jc w:val="right"/>
              <w:outlineLvl w:val="0"/>
              <w:cnfStyle w:val="000000000000" w:firstRow="0" w:lastRow="0" w:firstColumn="0" w:lastColumn="0" w:oddVBand="0" w:evenVBand="0" w:oddHBand="0" w:evenHBand="0" w:firstRowFirstColumn="0" w:firstRowLastColumn="0" w:lastRowFirstColumn="0" w:lastRowLastColumn="0"/>
              <w:rPr>
                <w:rFonts w:ascii="Arial" w:hAnsi="Arial" w:cs="Arial"/>
                <w:b/>
                <w:bCs/>
                <w:sz w:val="19"/>
                <w:szCs w:val="19"/>
                <w:lang w:val="en-GB"/>
              </w:rPr>
            </w:pPr>
            <w:r w:rsidRPr="00991A8E">
              <w:rPr>
                <w:rFonts w:ascii="Arial" w:hAnsi="Arial" w:cs="Arial"/>
                <w:b/>
                <w:bCs/>
                <w:sz w:val="19"/>
                <w:szCs w:val="19"/>
                <w:lang w:val="en-GB"/>
              </w:rPr>
              <w:t>−5,401</w:t>
            </w:r>
          </w:p>
        </w:tc>
        <w:tc>
          <w:tcPr>
            <w:tcW w:w="1080" w:type="dxa"/>
            <w:shd w:val="clear" w:color="auto" w:fill="auto"/>
            <w:noWrap/>
            <w:hideMark/>
          </w:tcPr>
          <w:p w14:paraId="0F33E4A7" w14:textId="77777777" w:rsidR="009B55B6" w:rsidRPr="00991A8E" w:rsidRDefault="009B55B6" w:rsidP="00A456AE">
            <w:pPr>
              <w:jc w:val="right"/>
              <w:outlineLvl w:val="0"/>
              <w:cnfStyle w:val="000000000000" w:firstRow="0" w:lastRow="0" w:firstColumn="0" w:lastColumn="0" w:oddVBand="0" w:evenVBand="0" w:oddHBand="0" w:evenHBand="0" w:firstRowFirstColumn="0" w:firstRowLastColumn="0" w:lastRowFirstColumn="0" w:lastRowLastColumn="0"/>
              <w:rPr>
                <w:rFonts w:ascii="Arial" w:hAnsi="Arial" w:cs="Arial"/>
                <w:b/>
                <w:bCs/>
                <w:sz w:val="19"/>
                <w:szCs w:val="19"/>
                <w:lang w:val="en-GB"/>
              </w:rPr>
            </w:pPr>
            <w:r w:rsidRPr="00991A8E">
              <w:rPr>
                <w:rFonts w:ascii="Arial" w:hAnsi="Arial" w:cs="Arial"/>
                <w:b/>
                <w:bCs/>
                <w:sz w:val="19"/>
                <w:szCs w:val="19"/>
                <w:lang w:val="en-GB"/>
              </w:rPr>
              <w:t>3,143</w:t>
            </w:r>
          </w:p>
        </w:tc>
        <w:tc>
          <w:tcPr>
            <w:tcW w:w="1012" w:type="dxa"/>
            <w:shd w:val="clear" w:color="auto" w:fill="auto"/>
            <w:noWrap/>
            <w:hideMark/>
          </w:tcPr>
          <w:p w14:paraId="54D78D65" w14:textId="77777777" w:rsidR="009B55B6" w:rsidRPr="00991A8E" w:rsidRDefault="009B55B6" w:rsidP="00A456AE">
            <w:pPr>
              <w:jc w:val="right"/>
              <w:outlineLvl w:val="0"/>
              <w:cnfStyle w:val="000000000000" w:firstRow="0" w:lastRow="0" w:firstColumn="0" w:lastColumn="0" w:oddVBand="0" w:evenVBand="0" w:oddHBand="0" w:evenHBand="0" w:firstRowFirstColumn="0" w:firstRowLastColumn="0" w:lastRowFirstColumn="0" w:lastRowLastColumn="0"/>
              <w:rPr>
                <w:rFonts w:ascii="Arial" w:hAnsi="Arial" w:cs="Arial"/>
                <w:b/>
                <w:bCs/>
                <w:sz w:val="19"/>
                <w:szCs w:val="19"/>
                <w:lang w:val="en-GB"/>
              </w:rPr>
            </w:pPr>
            <w:r w:rsidRPr="00991A8E">
              <w:rPr>
                <w:rFonts w:ascii="Arial" w:hAnsi="Arial" w:cs="Arial"/>
                <w:b/>
                <w:bCs/>
                <w:sz w:val="19"/>
                <w:szCs w:val="19"/>
                <w:lang w:val="en-GB"/>
              </w:rPr>
              <w:t>20,135</w:t>
            </w:r>
          </w:p>
        </w:tc>
      </w:tr>
      <w:tr w:rsidR="009B55B6" w:rsidRPr="00991A8E" w14:paraId="4C4B70B9" w14:textId="77777777" w:rsidTr="00DA6B33">
        <w:trPr>
          <w:gridAfter w:val="1"/>
          <w:cnfStyle w:val="000000100000" w:firstRow="0" w:lastRow="0" w:firstColumn="0" w:lastColumn="0" w:oddVBand="0" w:evenVBand="0" w:oddHBand="1" w:evenHBand="0" w:firstRowFirstColumn="0" w:firstRowLastColumn="0" w:lastRowFirstColumn="0" w:lastRowLastColumn="0"/>
          <w:wAfter w:w="162" w:type="dxa"/>
          <w:trHeight w:val="231"/>
          <w:jc w:val="center"/>
        </w:trPr>
        <w:tc>
          <w:tcPr>
            <w:cnfStyle w:val="001000000000" w:firstRow="0" w:lastRow="0" w:firstColumn="1" w:lastColumn="0" w:oddVBand="0" w:evenVBand="0" w:oddHBand="0" w:evenHBand="0" w:firstRowFirstColumn="0" w:firstRowLastColumn="0" w:lastRowFirstColumn="0" w:lastRowLastColumn="0"/>
            <w:tcW w:w="3773" w:type="dxa"/>
            <w:shd w:val="clear" w:color="auto" w:fill="auto"/>
            <w:noWrap/>
            <w:hideMark/>
          </w:tcPr>
          <w:p w14:paraId="0EDF5605" w14:textId="77777777" w:rsidR="009B55B6" w:rsidRPr="00991A8E" w:rsidRDefault="009B55B6" w:rsidP="00A456AE">
            <w:pPr>
              <w:outlineLvl w:val="0"/>
              <w:rPr>
                <w:rFonts w:ascii="Arial" w:hAnsi="Arial" w:cs="Arial"/>
                <w:bCs w:val="0"/>
                <w:sz w:val="19"/>
                <w:szCs w:val="19"/>
                <w:lang w:val="en-GB"/>
              </w:rPr>
            </w:pPr>
            <w:proofErr w:type="spellStart"/>
            <w:r w:rsidRPr="00991A8E">
              <w:rPr>
                <w:rFonts w:ascii="Arial" w:hAnsi="Arial" w:cs="Arial"/>
                <w:sz w:val="19"/>
                <w:szCs w:val="19"/>
                <w:lang w:val="en-GB"/>
              </w:rPr>
              <w:t>Pretax</w:t>
            </w:r>
            <w:proofErr w:type="spellEnd"/>
            <w:r w:rsidRPr="00991A8E">
              <w:rPr>
                <w:rFonts w:ascii="Arial" w:hAnsi="Arial" w:cs="Arial"/>
                <w:sz w:val="19"/>
                <w:szCs w:val="19"/>
                <w:lang w:val="en-GB"/>
              </w:rPr>
              <w:t xml:space="preserve"> Income</w:t>
            </w:r>
          </w:p>
        </w:tc>
        <w:tc>
          <w:tcPr>
            <w:tcW w:w="1078" w:type="dxa"/>
            <w:gridSpan w:val="2"/>
            <w:shd w:val="clear" w:color="auto" w:fill="auto"/>
            <w:noWrap/>
          </w:tcPr>
          <w:p w14:paraId="2B5AB416" w14:textId="77777777" w:rsidR="009B55B6" w:rsidRPr="00991A8E" w:rsidRDefault="009B55B6" w:rsidP="00A456AE">
            <w:pPr>
              <w:jc w:val="right"/>
              <w:outlineLvl w:val="0"/>
              <w:cnfStyle w:val="000000100000" w:firstRow="0" w:lastRow="0" w:firstColumn="0" w:lastColumn="0" w:oddVBand="0" w:evenVBand="0" w:oddHBand="1" w:evenHBand="0" w:firstRowFirstColumn="0" w:firstRowLastColumn="0" w:lastRowFirstColumn="0" w:lastRowLastColumn="0"/>
              <w:rPr>
                <w:rFonts w:ascii="Arial" w:hAnsi="Arial" w:cs="Arial"/>
                <w:b/>
                <w:bCs/>
                <w:sz w:val="19"/>
                <w:szCs w:val="19"/>
                <w:lang w:val="en-GB"/>
              </w:rPr>
            </w:pPr>
            <w:r w:rsidRPr="00991A8E">
              <w:rPr>
                <w:rFonts w:ascii="Arial" w:hAnsi="Arial" w:cs="Arial"/>
                <w:b/>
                <w:bCs/>
                <w:sz w:val="19"/>
                <w:szCs w:val="19"/>
                <w:lang w:val="en-GB"/>
              </w:rPr>
              <w:t>−601</w:t>
            </w:r>
          </w:p>
        </w:tc>
        <w:tc>
          <w:tcPr>
            <w:tcW w:w="1097" w:type="dxa"/>
            <w:shd w:val="clear" w:color="auto" w:fill="auto"/>
            <w:noWrap/>
            <w:hideMark/>
          </w:tcPr>
          <w:p w14:paraId="51BB8616" w14:textId="77777777" w:rsidR="009B55B6" w:rsidRPr="00991A8E" w:rsidRDefault="009B55B6" w:rsidP="00A456AE">
            <w:pPr>
              <w:jc w:val="right"/>
              <w:outlineLvl w:val="0"/>
              <w:cnfStyle w:val="000000100000" w:firstRow="0" w:lastRow="0" w:firstColumn="0" w:lastColumn="0" w:oddVBand="0" w:evenVBand="0" w:oddHBand="1" w:evenHBand="0" w:firstRowFirstColumn="0" w:firstRowLastColumn="0" w:lastRowFirstColumn="0" w:lastRowLastColumn="0"/>
              <w:rPr>
                <w:rFonts w:ascii="Arial" w:hAnsi="Arial" w:cs="Arial"/>
                <w:b/>
                <w:bCs/>
                <w:sz w:val="19"/>
                <w:szCs w:val="19"/>
                <w:lang w:val="en-GB"/>
              </w:rPr>
            </w:pPr>
            <w:r w:rsidRPr="00991A8E">
              <w:rPr>
                <w:rFonts w:ascii="Arial" w:hAnsi="Arial" w:cs="Arial"/>
                <w:b/>
                <w:bCs/>
                <w:sz w:val="19"/>
                <w:szCs w:val="19"/>
                <w:lang w:val="en-GB"/>
              </w:rPr>
              <w:t>−2,066</w:t>
            </w:r>
          </w:p>
        </w:tc>
        <w:tc>
          <w:tcPr>
            <w:tcW w:w="1242" w:type="dxa"/>
            <w:shd w:val="clear" w:color="auto" w:fill="auto"/>
            <w:noWrap/>
            <w:hideMark/>
          </w:tcPr>
          <w:p w14:paraId="2213C885" w14:textId="77777777" w:rsidR="009B55B6" w:rsidRPr="00991A8E" w:rsidRDefault="009B55B6" w:rsidP="00A456AE">
            <w:pPr>
              <w:jc w:val="right"/>
              <w:outlineLvl w:val="0"/>
              <w:cnfStyle w:val="000000100000" w:firstRow="0" w:lastRow="0" w:firstColumn="0" w:lastColumn="0" w:oddVBand="0" w:evenVBand="0" w:oddHBand="1" w:evenHBand="0" w:firstRowFirstColumn="0" w:firstRowLastColumn="0" w:lastRowFirstColumn="0" w:lastRowLastColumn="0"/>
              <w:rPr>
                <w:rFonts w:ascii="Arial" w:hAnsi="Arial" w:cs="Arial"/>
                <w:b/>
                <w:bCs/>
                <w:sz w:val="19"/>
                <w:szCs w:val="19"/>
                <w:lang w:val="en-GB"/>
              </w:rPr>
            </w:pPr>
            <w:r w:rsidRPr="00991A8E">
              <w:rPr>
                <w:rFonts w:ascii="Arial" w:hAnsi="Arial" w:cs="Arial"/>
                <w:b/>
                <w:bCs/>
                <w:sz w:val="19"/>
                <w:szCs w:val="19"/>
                <w:lang w:val="en-GB"/>
              </w:rPr>
              <w:t>−2,948</w:t>
            </w:r>
          </w:p>
        </w:tc>
        <w:tc>
          <w:tcPr>
            <w:tcW w:w="1278" w:type="dxa"/>
            <w:gridSpan w:val="2"/>
            <w:shd w:val="clear" w:color="auto" w:fill="auto"/>
            <w:noWrap/>
            <w:hideMark/>
          </w:tcPr>
          <w:p w14:paraId="6C005794" w14:textId="77777777" w:rsidR="009B55B6" w:rsidRPr="00991A8E" w:rsidRDefault="009B55B6" w:rsidP="00A456AE">
            <w:pPr>
              <w:jc w:val="right"/>
              <w:outlineLvl w:val="0"/>
              <w:cnfStyle w:val="000000100000" w:firstRow="0" w:lastRow="0" w:firstColumn="0" w:lastColumn="0" w:oddVBand="0" w:evenVBand="0" w:oddHBand="1" w:evenHBand="0" w:firstRowFirstColumn="0" w:firstRowLastColumn="0" w:lastRowFirstColumn="0" w:lastRowLastColumn="0"/>
              <w:rPr>
                <w:rFonts w:ascii="Arial" w:hAnsi="Arial" w:cs="Arial"/>
                <w:b/>
                <w:bCs/>
                <w:sz w:val="19"/>
                <w:szCs w:val="19"/>
                <w:lang w:val="en-GB"/>
              </w:rPr>
            </w:pPr>
            <w:r w:rsidRPr="00991A8E">
              <w:rPr>
                <w:rFonts w:ascii="Arial" w:hAnsi="Arial" w:cs="Arial"/>
                <w:b/>
                <w:bCs/>
                <w:sz w:val="19"/>
                <w:szCs w:val="19"/>
                <w:lang w:val="en-GB"/>
              </w:rPr>
              <w:t>−3,803</w:t>
            </w:r>
          </w:p>
        </w:tc>
        <w:tc>
          <w:tcPr>
            <w:tcW w:w="1063" w:type="dxa"/>
            <w:shd w:val="clear" w:color="auto" w:fill="auto"/>
            <w:noWrap/>
            <w:hideMark/>
          </w:tcPr>
          <w:p w14:paraId="642CAA9F" w14:textId="77777777" w:rsidR="009B55B6" w:rsidRPr="00991A8E" w:rsidRDefault="009B55B6" w:rsidP="00A456AE">
            <w:pPr>
              <w:jc w:val="right"/>
              <w:outlineLvl w:val="0"/>
              <w:cnfStyle w:val="000000100000" w:firstRow="0" w:lastRow="0" w:firstColumn="0" w:lastColumn="0" w:oddVBand="0" w:evenVBand="0" w:oddHBand="1" w:evenHBand="0" w:firstRowFirstColumn="0" w:firstRowLastColumn="0" w:lastRowFirstColumn="0" w:lastRowLastColumn="0"/>
              <w:rPr>
                <w:rFonts w:ascii="Arial" w:hAnsi="Arial" w:cs="Arial"/>
                <w:b/>
                <w:bCs/>
                <w:sz w:val="19"/>
                <w:szCs w:val="19"/>
                <w:lang w:val="en-GB"/>
              </w:rPr>
            </w:pPr>
            <w:r w:rsidRPr="00991A8E">
              <w:rPr>
                <w:rFonts w:ascii="Arial" w:hAnsi="Arial" w:cs="Arial"/>
                <w:b/>
                <w:bCs/>
                <w:sz w:val="19"/>
                <w:szCs w:val="19"/>
                <w:lang w:val="en-GB"/>
              </w:rPr>
              <w:t>−7,037</w:t>
            </w:r>
          </w:p>
        </w:tc>
        <w:tc>
          <w:tcPr>
            <w:tcW w:w="1080" w:type="dxa"/>
            <w:shd w:val="clear" w:color="auto" w:fill="auto"/>
            <w:noWrap/>
            <w:hideMark/>
          </w:tcPr>
          <w:p w14:paraId="209A7825" w14:textId="77777777" w:rsidR="009B55B6" w:rsidRPr="00991A8E" w:rsidRDefault="009B55B6" w:rsidP="00A456AE">
            <w:pPr>
              <w:jc w:val="right"/>
              <w:outlineLvl w:val="0"/>
              <w:cnfStyle w:val="000000100000" w:firstRow="0" w:lastRow="0" w:firstColumn="0" w:lastColumn="0" w:oddVBand="0" w:evenVBand="0" w:oddHBand="1" w:evenHBand="0" w:firstRowFirstColumn="0" w:firstRowLastColumn="0" w:lastRowFirstColumn="0" w:lastRowLastColumn="0"/>
              <w:rPr>
                <w:rFonts w:ascii="Arial" w:hAnsi="Arial" w:cs="Arial"/>
                <w:b/>
                <w:bCs/>
                <w:sz w:val="19"/>
                <w:szCs w:val="19"/>
                <w:lang w:val="en-GB"/>
              </w:rPr>
            </w:pPr>
            <w:r w:rsidRPr="00991A8E">
              <w:rPr>
                <w:rFonts w:ascii="Arial" w:hAnsi="Arial" w:cs="Arial"/>
                <w:b/>
                <w:bCs/>
                <w:sz w:val="19"/>
                <w:szCs w:val="19"/>
                <w:lang w:val="en-GB"/>
              </w:rPr>
              <w:t>−5,401</w:t>
            </w:r>
          </w:p>
        </w:tc>
        <w:tc>
          <w:tcPr>
            <w:tcW w:w="1080" w:type="dxa"/>
            <w:shd w:val="clear" w:color="auto" w:fill="auto"/>
            <w:noWrap/>
            <w:hideMark/>
          </w:tcPr>
          <w:p w14:paraId="60FFE9DF" w14:textId="77777777" w:rsidR="009B55B6" w:rsidRPr="00991A8E" w:rsidRDefault="009B55B6" w:rsidP="00A456AE">
            <w:pPr>
              <w:jc w:val="right"/>
              <w:outlineLvl w:val="0"/>
              <w:cnfStyle w:val="000000100000" w:firstRow="0" w:lastRow="0" w:firstColumn="0" w:lastColumn="0" w:oddVBand="0" w:evenVBand="0" w:oddHBand="1" w:evenHBand="0" w:firstRowFirstColumn="0" w:firstRowLastColumn="0" w:lastRowFirstColumn="0" w:lastRowLastColumn="0"/>
              <w:rPr>
                <w:rFonts w:ascii="Arial" w:hAnsi="Arial" w:cs="Arial"/>
                <w:b/>
                <w:bCs/>
                <w:sz w:val="19"/>
                <w:szCs w:val="19"/>
                <w:lang w:val="en-GB"/>
              </w:rPr>
            </w:pPr>
            <w:r w:rsidRPr="00991A8E">
              <w:rPr>
                <w:rFonts w:ascii="Arial" w:hAnsi="Arial" w:cs="Arial"/>
                <w:b/>
                <w:bCs/>
                <w:sz w:val="19"/>
                <w:szCs w:val="19"/>
                <w:lang w:val="en-GB"/>
              </w:rPr>
              <w:t>3,143</w:t>
            </w:r>
          </w:p>
        </w:tc>
        <w:tc>
          <w:tcPr>
            <w:tcW w:w="1012" w:type="dxa"/>
            <w:shd w:val="clear" w:color="auto" w:fill="auto"/>
            <w:noWrap/>
            <w:hideMark/>
          </w:tcPr>
          <w:p w14:paraId="54BC0653" w14:textId="77777777" w:rsidR="009B55B6" w:rsidRPr="00991A8E" w:rsidRDefault="009B55B6" w:rsidP="00A456AE">
            <w:pPr>
              <w:jc w:val="right"/>
              <w:outlineLvl w:val="0"/>
              <w:cnfStyle w:val="000000100000" w:firstRow="0" w:lastRow="0" w:firstColumn="0" w:lastColumn="0" w:oddVBand="0" w:evenVBand="0" w:oddHBand="1" w:evenHBand="0" w:firstRowFirstColumn="0" w:firstRowLastColumn="0" w:lastRowFirstColumn="0" w:lastRowLastColumn="0"/>
              <w:rPr>
                <w:rFonts w:ascii="Arial" w:hAnsi="Arial" w:cs="Arial"/>
                <w:b/>
                <w:bCs/>
                <w:sz w:val="19"/>
                <w:szCs w:val="19"/>
                <w:lang w:val="en-GB"/>
              </w:rPr>
            </w:pPr>
            <w:r w:rsidRPr="00991A8E">
              <w:rPr>
                <w:rFonts w:ascii="Arial" w:hAnsi="Arial" w:cs="Arial"/>
                <w:b/>
                <w:bCs/>
                <w:sz w:val="19"/>
                <w:szCs w:val="19"/>
                <w:lang w:val="en-GB"/>
              </w:rPr>
              <w:t>20,135</w:t>
            </w:r>
          </w:p>
        </w:tc>
      </w:tr>
      <w:tr w:rsidR="009B55B6" w:rsidRPr="00991A8E" w14:paraId="5B731549" w14:textId="77777777" w:rsidTr="00DA6B33">
        <w:trPr>
          <w:gridAfter w:val="1"/>
          <w:wAfter w:w="162" w:type="dxa"/>
          <w:trHeight w:val="231"/>
          <w:jc w:val="center"/>
        </w:trPr>
        <w:tc>
          <w:tcPr>
            <w:cnfStyle w:val="001000000000" w:firstRow="0" w:lastRow="0" w:firstColumn="1" w:lastColumn="0" w:oddVBand="0" w:evenVBand="0" w:oddHBand="0" w:evenHBand="0" w:firstRowFirstColumn="0" w:firstRowLastColumn="0" w:lastRowFirstColumn="0" w:lastRowLastColumn="0"/>
            <w:tcW w:w="3773" w:type="dxa"/>
            <w:shd w:val="clear" w:color="auto" w:fill="auto"/>
            <w:noWrap/>
            <w:hideMark/>
          </w:tcPr>
          <w:p w14:paraId="0530497E" w14:textId="77777777" w:rsidR="009B55B6" w:rsidRPr="00991A8E" w:rsidRDefault="009B55B6" w:rsidP="00A456AE">
            <w:pPr>
              <w:outlineLvl w:val="0"/>
              <w:rPr>
                <w:rFonts w:ascii="Arial" w:hAnsi="Arial" w:cs="Arial"/>
                <w:b w:val="0"/>
                <w:sz w:val="19"/>
                <w:szCs w:val="19"/>
                <w:lang w:val="en-GB"/>
              </w:rPr>
            </w:pPr>
            <w:r w:rsidRPr="00991A8E">
              <w:rPr>
                <w:rFonts w:ascii="Arial" w:hAnsi="Arial" w:cs="Arial"/>
                <w:sz w:val="19"/>
                <w:szCs w:val="19"/>
                <w:lang w:val="en-GB"/>
              </w:rPr>
              <w:t>Tax</w:t>
            </w:r>
          </w:p>
        </w:tc>
        <w:tc>
          <w:tcPr>
            <w:tcW w:w="1078" w:type="dxa"/>
            <w:gridSpan w:val="2"/>
            <w:shd w:val="clear" w:color="auto" w:fill="auto"/>
            <w:noWrap/>
          </w:tcPr>
          <w:p w14:paraId="57D49FE4" w14:textId="77777777" w:rsidR="009B55B6" w:rsidRPr="00991A8E" w:rsidRDefault="009B55B6" w:rsidP="00A456AE">
            <w:pPr>
              <w:jc w:val="right"/>
              <w:outlineLvl w:val="0"/>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991A8E">
              <w:rPr>
                <w:rFonts w:ascii="Arial" w:hAnsi="Arial" w:cs="Arial"/>
                <w:bCs/>
                <w:sz w:val="19"/>
                <w:szCs w:val="19"/>
                <w:lang w:val="en-GB"/>
              </w:rPr>
              <w:t>−</w:t>
            </w:r>
            <w:r w:rsidRPr="00991A8E">
              <w:rPr>
                <w:rFonts w:ascii="Arial" w:hAnsi="Arial" w:cs="Arial"/>
                <w:sz w:val="19"/>
                <w:szCs w:val="19"/>
                <w:lang w:val="en-GB"/>
              </w:rPr>
              <w:t>258</w:t>
            </w:r>
          </w:p>
        </w:tc>
        <w:tc>
          <w:tcPr>
            <w:tcW w:w="1097" w:type="dxa"/>
            <w:shd w:val="clear" w:color="auto" w:fill="auto"/>
            <w:noWrap/>
            <w:hideMark/>
          </w:tcPr>
          <w:p w14:paraId="1306DC47" w14:textId="77777777" w:rsidR="009B55B6" w:rsidRPr="00991A8E" w:rsidRDefault="009B55B6" w:rsidP="00A456AE">
            <w:pPr>
              <w:jc w:val="right"/>
              <w:outlineLvl w:val="0"/>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991A8E">
              <w:rPr>
                <w:rFonts w:ascii="Arial" w:hAnsi="Arial" w:cs="Arial"/>
                <w:bCs/>
                <w:sz w:val="19"/>
                <w:szCs w:val="19"/>
                <w:lang w:val="en-GB"/>
              </w:rPr>
              <w:t>−</w:t>
            </w:r>
            <w:r w:rsidRPr="00991A8E">
              <w:rPr>
                <w:rFonts w:ascii="Arial" w:hAnsi="Arial" w:cs="Arial"/>
                <w:sz w:val="19"/>
                <w:szCs w:val="19"/>
                <w:lang w:val="en-GB"/>
              </w:rPr>
              <w:t>888</w:t>
            </w:r>
          </w:p>
        </w:tc>
        <w:tc>
          <w:tcPr>
            <w:tcW w:w="1242" w:type="dxa"/>
            <w:shd w:val="clear" w:color="auto" w:fill="auto"/>
            <w:noWrap/>
            <w:hideMark/>
          </w:tcPr>
          <w:p w14:paraId="093D393B" w14:textId="77777777" w:rsidR="009B55B6" w:rsidRPr="00991A8E" w:rsidRDefault="009B55B6" w:rsidP="00A456AE">
            <w:pPr>
              <w:jc w:val="right"/>
              <w:outlineLvl w:val="0"/>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991A8E">
              <w:rPr>
                <w:rFonts w:ascii="Arial" w:hAnsi="Arial" w:cs="Arial"/>
                <w:bCs/>
                <w:sz w:val="19"/>
                <w:szCs w:val="19"/>
                <w:lang w:val="en-GB"/>
              </w:rPr>
              <w:t>−</w:t>
            </w:r>
            <w:r w:rsidRPr="00991A8E">
              <w:rPr>
                <w:rFonts w:ascii="Arial" w:hAnsi="Arial" w:cs="Arial"/>
                <w:sz w:val="19"/>
                <w:szCs w:val="19"/>
                <w:lang w:val="en-GB"/>
              </w:rPr>
              <w:t>1,268</w:t>
            </w:r>
          </w:p>
        </w:tc>
        <w:tc>
          <w:tcPr>
            <w:tcW w:w="1278" w:type="dxa"/>
            <w:gridSpan w:val="2"/>
            <w:shd w:val="clear" w:color="auto" w:fill="auto"/>
            <w:noWrap/>
            <w:hideMark/>
          </w:tcPr>
          <w:p w14:paraId="0CC95112" w14:textId="77777777" w:rsidR="009B55B6" w:rsidRPr="00991A8E" w:rsidRDefault="009B55B6" w:rsidP="00A456AE">
            <w:pPr>
              <w:jc w:val="right"/>
              <w:outlineLvl w:val="0"/>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991A8E">
              <w:rPr>
                <w:rFonts w:ascii="Arial" w:hAnsi="Arial" w:cs="Arial"/>
                <w:bCs/>
                <w:sz w:val="19"/>
                <w:szCs w:val="19"/>
                <w:lang w:val="en-GB"/>
              </w:rPr>
              <w:t>−</w:t>
            </w:r>
            <w:r w:rsidRPr="00991A8E">
              <w:rPr>
                <w:rFonts w:ascii="Arial" w:hAnsi="Arial" w:cs="Arial"/>
                <w:sz w:val="19"/>
                <w:szCs w:val="19"/>
                <w:lang w:val="en-GB"/>
              </w:rPr>
              <w:t>1,635</w:t>
            </w:r>
          </w:p>
        </w:tc>
        <w:tc>
          <w:tcPr>
            <w:tcW w:w="1063" w:type="dxa"/>
            <w:shd w:val="clear" w:color="auto" w:fill="auto"/>
            <w:noWrap/>
            <w:hideMark/>
          </w:tcPr>
          <w:p w14:paraId="2237E1B4" w14:textId="77777777" w:rsidR="009B55B6" w:rsidRPr="00991A8E" w:rsidRDefault="009B55B6" w:rsidP="00A456AE">
            <w:pPr>
              <w:jc w:val="right"/>
              <w:outlineLvl w:val="0"/>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991A8E">
              <w:rPr>
                <w:rFonts w:ascii="Arial" w:hAnsi="Arial" w:cs="Arial"/>
                <w:bCs/>
                <w:sz w:val="19"/>
                <w:szCs w:val="19"/>
                <w:lang w:val="en-GB"/>
              </w:rPr>
              <w:t>−</w:t>
            </w:r>
            <w:r w:rsidRPr="00991A8E">
              <w:rPr>
                <w:rFonts w:ascii="Arial" w:hAnsi="Arial" w:cs="Arial"/>
                <w:sz w:val="19"/>
                <w:szCs w:val="19"/>
                <w:lang w:val="en-GB"/>
              </w:rPr>
              <w:t>3,026</w:t>
            </w:r>
          </w:p>
        </w:tc>
        <w:tc>
          <w:tcPr>
            <w:tcW w:w="1080" w:type="dxa"/>
            <w:shd w:val="clear" w:color="auto" w:fill="auto"/>
            <w:noWrap/>
            <w:hideMark/>
          </w:tcPr>
          <w:p w14:paraId="54DA78C7" w14:textId="77777777" w:rsidR="009B55B6" w:rsidRPr="00991A8E" w:rsidRDefault="009B55B6" w:rsidP="00A456AE">
            <w:pPr>
              <w:jc w:val="right"/>
              <w:outlineLvl w:val="0"/>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991A8E">
              <w:rPr>
                <w:rFonts w:ascii="Arial" w:hAnsi="Arial" w:cs="Arial"/>
                <w:bCs/>
                <w:sz w:val="19"/>
                <w:szCs w:val="19"/>
                <w:lang w:val="en-GB"/>
              </w:rPr>
              <w:t>−</w:t>
            </w:r>
            <w:r w:rsidRPr="00991A8E">
              <w:rPr>
                <w:rFonts w:ascii="Arial" w:hAnsi="Arial" w:cs="Arial"/>
                <w:sz w:val="19"/>
                <w:szCs w:val="19"/>
                <w:lang w:val="en-GB"/>
              </w:rPr>
              <w:t>2,322</w:t>
            </w:r>
          </w:p>
        </w:tc>
        <w:tc>
          <w:tcPr>
            <w:tcW w:w="1080" w:type="dxa"/>
            <w:shd w:val="clear" w:color="auto" w:fill="auto"/>
            <w:noWrap/>
            <w:hideMark/>
          </w:tcPr>
          <w:p w14:paraId="5C584195" w14:textId="77777777" w:rsidR="009B55B6" w:rsidRPr="00991A8E" w:rsidRDefault="009B55B6" w:rsidP="00A456AE">
            <w:pPr>
              <w:jc w:val="right"/>
              <w:outlineLvl w:val="0"/>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1,351</w:t>
            </w:r>
          </w:p>
        </w:tc>
        <w:tc>
          <w:tcPr>
            <w:tcW w:w="1012" w:type="dxa"/>
            <w:shd w:val="clear" w:color="auto" w:fill="auto"/>
            <w:noWrap/>
            <w:hideMark/>
          </w:tcPr>
          <w:p w14:paraId="40D8E26C" w14:textId="77777777" w:rsidR="009B55B6" w:rsidRPr="00991A8E" w:rsidRDefault="009B55B6" w:rsidP="00A456AE">
            <w:pPr>
              <w:jc w:val="right"/>
              <w:outlineLvl w:val="0"/>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8,658</w:t>
            </w:r>
          </w:p>
        </w:tc>
      </w:tr>
      <w:tr w:rsidR="009B55B6" w:rsidRPr="00991A8E" w14:paraId="2FCEC9DC" w14:textId="77777777" w:rsidTr="00DA6B33">
        <w:trPr>
          <w:gridAfter w:val="1"/>
          <w:cnfStyle w:val="000000100000" w:firstRow="0" w:lastRow="0" w:firstColumn="0" w:lastColumn="0" w:oddVBand="0" w:evenVBand="0" w:oddHBand="1" w:evenHBand="0" w:firstRowFirstColumn="0" w:firstRowLastColumn="0" w:lastRowFirstColumn="0" w:lastRowLastColumn="0"/>
          <w:wAfter w:w="162" w:type="dxa"/>
          <w:trHeight w:val="231"/>
          <w:jc w:val="center"/>
        </w:trPr>
        <w:tc>
          <w:tcPr>
            <w:cnfStyle w:val="001000000000" w:firstRow="0" w:lastRow="0" w:firstColumn="1" w:lastColumn="0" w:oddVBand="0" w:evenVBand="0" w:oddHBand="0" w:evenHBand="0" w:firstRowFirstColumn="0" w:firstRowLastColumn="0" w:lastRowFirstColumn="0" w:lastRowLastColumn="0"/>
            <w:tcW w:w="3773" w:type="dxa"/>
            <w:shd w:val="clear" w:color="auto" w:fill="auto"/>
            <w:noWrap/>
            <w:hideMark/>
          </w:tcPr>
          <w:p w14:paraId="6904795E" w14:textId="77777777" w:rsidR="009B55B6" w:rsidRPr="00991A8E" w:rsidRDefault="009B55B6" w:rsidP="00A456AE">
            <w:pPr>
              <w:outlineLvl w:val="0"/>
              <w:rPr>
                <w:rFonts w:ascii="Arial" w:hAnsi="Arial" w:cs="Arial"/>
                <w:bCs w:val="0"/>
                <w:sz w:val="19"/>
                <w:szCs w:val="19"/>
                <w:lang w:val="en-GB"/>
              </w:rPr>
            </w:pPr>
            <w:r w:rsidRPr="00991A8E">
              <w:rPr>
                <w:rFonts w:ascii="Arial" w:hAnsi="Arial" w:cs="Arial"/>
                <w:sz w:val="19"/>
                <w:szCs w:val="19"/>
                <w:lang w:val="en-GB"/>
              </w:rPr>
              <w:t>Net Income</w:t>
            </w:r>
          </w:p>
        </w:tc>
        <w:tc>
          <w:tcPr>
            <w:tcW w:w="1078" w:type="dxa"/>
            <w:gridSpan w:val="2"/>
            <w:shd w:val="clear" w:color="auto" w:fill="auto"/>
            <w:noWrap/>
          </w:tcPr>
          <w:p w14:paraId="00A31DAB" w14:textId="77777777" w:rsidR="009B55B6" w:rsidRPr="00991A8E" w:rsidRDefault="009B55B6" w:rsidP="00A456AE">
            <w:pPr>
              <w:jc w:val="right"/>
              <w:outlineLvl w:val="0"/>
              <w:cnfStyle w:val="000000100000" w:firstRow="0" w:lastRow="0" w:firstColumn="0" w:lastColumn="0" w:oddVBand="0" w:evenVBand="0" w:oddHBand="1" w:evenHBand="0" w:firstRowFirstColumn="0" w:firstRowLastColumn="0" w:lastRowFirstColumn="0" w:lastRowLastColumn="0"/>
              <w:rPr>
                <w:rFonts w:ascii="Arial" w:hAnsi="Arial" w:cs="Arial"/>
                <w:b/>
                <w:bCs/>
                <w:sz w:val="19"/>
                <w:szCs w:val="19"/>
                <w:lang w:val="en-GB"/>
              </w:rPr>
            </w:pPr>
            <w:r w:rsidRPr="00991A8E">
              <w:rPr>
                <w:rFonts w:ascii="Arial" w:hAnsi="Arial" w:cs="Arial"/>
                <w:b/>
                <w:bCs/>
                <w:sz w:val="19"/>
                <w:szCs w:val="19"/>
                <w:lang w:val="en-GB"/>
              </w:rPr>
              <w:t>−343</w:t>
            </w:r>
          </w:p>
        </w:tc>
        <w:tc>
          <w:tcPr>
            <w:tcW w:w="1097" w:type="dxa"/>
            <w:shd w:val="clear" w:color="auto" w:fill="auto"/>
            <w:noWrap/>
            <w:hideMark/>
          </w:tcPr>
          <w:p w14:paraId="0CB5CA51" w14:textId="77777777" w:rsidR="009B55B6" w:rsidRPr="00991A8E" w:rsidRDefault="009B55B6" w:rsidP="00A456AE">
            <w:pPr>
              <w:jc w:val="right"/>
              <w:outlineLvl w:val="0"/>
              <w:cnfStyle w:val="000000100000" w:firstRow="0" w:lastRow="0" w:firstColumn="0" w:lastColumn="0" w:oddVBand="0" w:evenVBand="0" w:oddHBand="1" w:evenHBand="0" w:firstRowFirstColumn="0" w:firstRowLastColumn="0" w:lastRowFirstColumn="0" w:lastRowLastColumn="0"/>
              <w:rPr>
                <w:rFonts w:ascii="Arial" w:hAnsi="Arial" w:cs="Arial"/>
                <w:b/>
                <w:bCs/>
                <w:sz w:val="19"/>
                <w:szCs w:val="19"/>
                <w:lang w:val="en-GB"/>
              </w:rPr>
            </w:pPr>
            <w:r w:rsidRPr="00991A8E">
              <w:rPr>
                <w:rFonts w:ascii="Arial" w:hAnsi="Arial" w:cs="Arial"/>
                <w:b/>
                <w:bCs/>
                <w:sz w:val="19"/>
                <w:szCs w:val="19"/>
                <w:lang w:val="en-GB"/>
              </w:rPr>
              <w:t>−1,178</w:t>
            </w:r>
          </w:p>
        </w:tc>
        <w:tc>
          <w:tcPr>
            <w:tcW w:w="1242" w:type="dxa"/>
            <w:shd w:val="clear" w:color="auto" w:fill="auto"/>
            <w:noWrap/>
            <w:hideMark/>
          </w:tcPr>
          <w:p w14:paraId="351F4AD0" w14:textId="77777777" w:rsidR="009B55B6" w:rsidRPr="00991A8E" w:rsidRDefault="009B55B6" w:rsidP="00A456AE">
            <w:pPr>
              <w:jc w:val="right"/>
              <w:outlineLvl w:val="0"/>
              <w:cnfStyle w:val="000000100000" w:firstRow="0" w:lastRow="0" w:firstColumn="0" w:lastColumn="0" w:oddVBand="0" w:evenVBand="0" w:oddHBand="1" w:evenHBand="0" w:firstRowFirstColumn="0" w:firstRowLastColumn="0" w:lastRowFirstColumn="0" w:lastRowLastColumn="0"/>
              <w:rPr>
                <w:rFonts w:ascii="Arial" w:hAnsi="Arial" w:cs="Arial"/>
                <w:b/>
                <w:bCs/>
                <w:sz w:val="19"/>
                <w:szCs w:val="19"/>
                <w:lang w:val="en-GB"/>
              </w:rPr>
            </w:pPr>
            <w:r w:rsidRPr="00991A8E">
              <w:rPr>
                <w:rFonts w:ascii="Arial" w:hAnsi="Arial" w:cs="Arial"/>
                <w:b/>
                <w:bCs/>
                <w:sz w:val="19"/>
                <w:szCs w:val="19"/>
                <w:lang w:val="en-GB"/>
              </w:rPr>
              <w:t>−1,680</w:t>
            </w:r>
          </w:p>
        </w:tc>
        <w:tc>
          <w:tcPr>
            <w:tcW w:w="1278" w:type="dxa"/>
            <w:gridSpan w:val="2"/>
            <w:shd w:val="clear" w:color="auto" w:fill="auto"/>
            <w:noWrap/>
            <w:hideMark/>
          </w:tcPr>
          <w:p w14:paraId="0C85D430" w14:textId="77777777" w:rsidR="009B55B6" w:rsidRPr="00991A8E" w:rsidRDefault="009B55B6" w:rsidP="00A456AE">
            <w:pPr>
              <w:jc w:val="right"/>
              <w:outlineLvl w:val="0"/>
              <w:cnfStyle w:val="000000100000" w:firstRow="0" w:lastRow="0" w:firstColumn="0" w:lastColumn="0" w:oddVBand="0" w:evenVBand="0" w:oddHBand="1" w:evenHBand="0" w:firstRowFirstColumn="0" w:firstRowLastColumn="0" w:lastRowFirstColumn="0" w:lastRowLastColumn="0"/>
              <w:rPr>
                <w:rFonts w:ascii="Arial" w:hAnsi="Arial" w:cs="Arial"/>
                <w:b/>
                <w:bCs/>
                <w:sz w:val="19"/>
                <w:szCs w:val="19"/>
                <w:lang w:val="en-GB"/>
              </w:rPr>
            </w:pPr>
            <w:r w:rsidRPr="00991A8E">
              <w:rPr>
                <w:rFonts w:ascii="Arial" w:hAnsi="Arial" w:cs="Arial"/>
                <w:b/>
                <w:bCs/>
                <w:sz w:val="19"/>
                <w:szCs w:val="19"/>
                <w:lang w:val="en-GB"/>
              </w:rPr>
              <w:t>−2,168</w:t>
            </w:r>
          </w:p>
        </w:tc>
        <w:tc>
          <w:tcPr>
            <w:tcW w:w="1063" w:type="dxa"/>
            <w:shd w:val="clear" w:color="auto" w:fill="auto"/>
            <w:noWrap/>
            <w:hideMark/>
          </w:tcPr>
          <w:p w14:paraId="0529DD44" w14:textId="77777777" w:rsidR="009B55B6" w:rsidRPr="00991A8E" w:rsidRDefault="009B55B6" w:rsidP="00A456AE">
            <w:pPr>
              <w:jc w:val="right"/>
              <w:outlineLvl w:val="0"/>
              <w:cnfStyle w:val="000000100000" w:firstRow="0" w:lastRow="0" w:firstColumn="0" w:lastColumn="0" w:oddVBand="0" w:evenVBand="0" w:oddHBand="1" w:evenHBand="0" w:firstRowFirstColumn="0" w:firstRowLastColumn="0" w:lastRowFirstColumn="0" w:lastRowLastColumn="0"/>
              <w:rPr>
                <w:rFonts w:ascii="Arial" w:hAnsi="Arial" w:cs="Arial"/>
                <w:b/>
                <w:bCs/>
                <w:sz w:val="19"/>
                <w:szCs w:val="19"/>
                <w:lang w:val="en-GB"/>
              </w:rPr>
            </w:pPr>
            <w:r w:rsidRPr="00991A8E">
              <w:rPr>
                <w:rFonts w:ascii="Arial" w:hAnsi="Arial" w:cs="Arial"/>
                <w:b/>
                <w:bCs/>
                <w:sz w:val="19"/>
                <w:szCs w:val="19"/>
                <w:lang w:val="en-GB"/>
              </w:rPr>
              <w:t>−4,011</w:t>
            </w:r>
          </w:p>
        </w:tc>
        <w:tc>
          <w:tcPr>
            <w:tcW w:w="1080" w:type="dxa"/>
            <w:shd w:val="clear" w:color="auto" w:fill="auto"/>
            <w:noWrap/>
            <w:hideMark/>
          </w:tcPr>
          <w:p w14:paraId="321A2ECA" w14:textId="77777777" w:rsidR="009B55B6" w:rsidRPr="00991A8E" w:rsidRDefault="009B55B6" w:rsidP="00A456AE">
            <w:pPr>
              <w:jc w:val="right"/>
              <w:outlineLvl w:val="0"/>
              <w:cnfStyle w:val="000000100000" w:firstRow="0" w:lastRow="0" w:firstColumn="0" w:lastColumn="0" w:oddVBand="0" w:evenVBand="0" w:oddHBand="1" w:evenHBand="0" w:firstRowFirstColumn="0" w:firstRowLastColumn="0" w:lastRowFirstColumn="0" w:lastRowLastColumn="0"/>
              <w:rPr>
                <w:rFonts w:ascii="Arial" w:hAnsi="Arial" w:cs="Arial"/>
                <w:b/>
                <w:bCs/>
                <w:sz w:val="19"/>
                <w:szCs w:val="19"/>
                <w:lang w:val="en-GB"/>
              </w:rPr>
            </w:pPr>
            <w:r w:rsidRPr="00991A8E">
              <w:rPr>
                <w:rFonts w:ascii="Arial" w:hAnsi="Arial" w:cs="Arial"/>
                <w:b/>
                <w:bCs/>
                <w:sz w:val="19"/>
                <w:szCs w:val="19"/>
                <w:lang w:val="en-GB"/>
              </w:rPr>
              <w:t>−3,078</w:t>
            </w:r>
          </w:p>
        </w:tc>
        <w:tc>
          <w:tcPr>
            <w:tcW w:w="1080" w:type="dxa"/>
            <w:shd w:val="clear" w:color="auto" w:fill="auto"/>
            <w:noWrap/>
            <w:hideMark/>
          </w:tcPr>
          <w:p w14:paraId="3181DC9A" w14:textId="77777777" w:rsidR="009B55B6" w:rsidRPr="00991A8E" w:rsidRDefault="009B55B6" w:rsidP="00A456AE">
            <w:pPr>
              <w:jc w:val="right"/>
              <w:outlineLvl w:val="0"/>
              <w:cnfStyle w:val="000000100000" w:firstRow="0" w:lastRow="0" w:firstColumn="0" w:lastColumn="0" w:oddVBand="0" w:evenVBand="0" w:oddHBand="1" w:evenHBand="0" w:firstRowFirstColumn="0" w:firstRowLastColumn="0" w:lastRowFirstColumn="0" w:lastRowLastColumn="0"/>
              <w:rPr>
                <w:rFonts w:ascii="Arial" w:hAnsi="Arial" w:cs="Arial"/>
                <w:b/>
                <w:bCs/>
                <w:sz w:val="19"/>
                <w:szCs w:val="19"/>
                <w:lang w:val="en-GB"/>
              </w:rPr>
            </w:pPr>
            <w:r w:rsidRPr="00991A8E">
              <w:rPr>
                <w:rFonts w:ascii="Arial" w:hAnsi="Arial" w:cs="Arial"/>
                <w:b/>
                <w:bCs/>
                <w:sz w:val="19"/>
                <w:szCs w:val="19"/>
                <w:lang w:val="en-GB"/>
              </w:rPr>
              <w:t>1,791</w:t>
            </w:r>
          </w:p>
        </w:tc>
        <w:tc>
          <w:tcPr>
            <w:tcW w:w="1012" w:type="dxa"/>
            <w:shd w:val="clear" w:color="auto" w:fill="auto"/>
            <w:noWrap/>
            <w:hideMark/>
          </w:tcPr>
          <w:p w14:paraId="5DF8E0A4" w14:textId="77777777" w:rsidR="009B55B6" w:rsidRPr="00991A8E" w:rsidRDefault="009B55B6" w:rsidP="00A456AE">
            <w:pPr>
              <w:jc w:val="right"/>
              <w:outlineLvl w:val="0"/>
              <w:cnfStyle w:val="000000100000" w:firstRow="0" w:lastRow="0" w:firstColumn="0" w:lastColumn="0" w:oddVBand="0" w:evenVBand="0" w:oddHBand="1" w:evenHBand="0" w:firstRowFirstColumn="0" w:firstRowLastColumn="0" w:lastRowFirstColumn="0" w:lastRowLastColumn="0"/>
              <w:rPr>
                <w:rFonts w:ascii="Arial" w:hAnsi="Arial" w:cs="Arial"/>
                <w:b/>
                <w:bCs/>
                <w:sz w:val="19"/>
                <w:szCs w:val="19"/>
                <w:lang w:val="en-GB"/>
              </w:rPr>
            </w:pPr>
            <w:r w:rsidRPr="00991A8E">
              <w:rPr>
                <w:rFonts w:ascii="Arial" w:hAnsi="Arial" w:cs="Arial"/>
                <w:b/>
                <w:bCs/>
                <w:sz w:val="19"/>
                <w:szCs w:val="19"/>
                <w:lang w:val="en-GB"/>
              </w:rPr>
              <w:t>11,477</w:t>
            </w:r>
          </w:p>
        </w:tc>
      </w:tr>
      <w:tr w:rsidR="009B55B6" w:rsidRPr="00991A8E" w14:paraId="322C1FF8" w14:textId="77777777" w:rsidTr="00DA6B33">
        <w:trPr>
          <w:gridAfter w:val="1"/>
          <w:wAfter w:w="162" w:type="dxa"/>
          <w:trHeight w:val="231"/>
          <w:jc w:val="center"/>
        </w:trPr>
        <w:tc>
          <w:tcPr>
            <w:cnfStyle w:val="001000000000" w:firstRow="0" w:lastRow="0" w:firstColumn="1" w:lastColumn="0" w:oddVBand="0" w:evenVBand="0" w:oddHBand="0" w:evenHBand="0" w:firstRowFirstColumn="0" w:firstRowLastColumn="0" w:lastRowFirstColumn="0" w:lastRowLastColumn="0"/>
            <w:tcW w:w="3773" w:type="dxa"/>
            <w:shd w:val="clear" w:color="auto" w:fill="auto"/>
            <w:noWrap/>
            <w:hideMark/>
          </w:tcPr>
          <w:p w14:paraId="2B22C9BA" w14:textId="77777777" w:rsidR="009B55B6" w:rsidRPr="00991A8E" w:rsidRDefault="009B55B6" w:rsidP="00A456AE">
            <w:pPr>
              <w:jc w:val="right"/>
              <w:rPr>
                <w:rFonts w:ascii="Arial" w:hAnsi="Arial" w:cs="Arial"/>
                <w:bCs w:val="0"/>
                <w:sz w:val="19"/>
                <w:szCs w:val="19"/>
                <w:lang w:val="en-GB"/>
              </w:rPr>
            </w:pPr>
          </w:p>
        </w:tc>
        <w:tc>
          <w:tcPr>
            <w:tcW w:w="1078" w:type="dxa"/>
            <w:gridSpan w:val="2"/>
            <w:shd w:val="clear" w:color="auto" w:fill="auto"/>
            <w:noWrap/>
          </w:tcPr>
          <w:p w14:paraId="035E2A02" w14:textId="77777777" w:rsidR="009B55B6" w:rsidRPr="00991A8E" w:rsidRDefault="009B55B6" w:rsidP="00A456AE">
            <w:pPr>
              <w:cnfStyle w:val="000000000000" w:firstRow="0" w:lastRow="0" w:firstColumn="0" w:lastColumn="0" w:oddVBand="0" w:evenVBand="0" w:oddHBand="0" w:evenHBand="0" w:firstRowFirstColumn="0" w:firstRowLastColumn="0" w:lastRowFirstColumn="0" w:lastRowLastColumn="0"/>
              <w:rPr>
                <w:rFonts w:ascii="Arial" w:hAnsi="Arial" w:cs="Arial"/>
                <w:b/>
                <w:sz w:val="19"/>
                <w:szCs w:val="19"/>
                <w:lang w:val="en-GB"/>
              </w:rPr>
            </w:pPr>
          </w:p>
        </w:tc>
        <w:tc>
          <w:tcPr>
            <w:tcW w:w="1097" w:type="dxa"/>
            <w:shd w:val="clear" w:color="auto" w:fill="auto"/>
            <w:noWrap/>
            <w:hideMark/>
          </w:tcPr>
          <w:p w14:paraId="4E7E4234" w14:textId="77777777" w:rsidR="009B55B6" w:rsidRPr="00991A8E" w:rsidRDefault="009B55B6" w:rsidP="00A456AE">
            <w:pPr>
              <w:cnfStyle w:val="000000000000" w:firstRow="0" w:lastRow="0" w:firstColumn="0" w:lastColumn="0" w:oddVBand="0" w:evenVBand="0" w:oddHBand="0" w:evenHBand="0" w:firstRowFirstColumn="0" w:firstRowLastColumn="0" w:lastRowFirstColumn="0" w:lastRowLastColumn="0"/>
              <w:rPr>
                <w:rFonts w:ascii="Arial" w:hAnsi="Arial" w:cs="Arial"/>
                <w:b/>
                <w:sz w:val="19"/>
                <w:szCs w:val="19"/>
                <w:lang w:val="en-GB"/>
              </w:rPr>
            </w:pPr>
          </w:p>
        </w:tc>
        <w:tc>
          <w:tcPr>
            <w:tcW w:w="1242" w:type="dxa"/>
            <w:shd w:val="clear" w:color="auto" w:fill="auto"/>
            <w:noWrap/>
            <w:hideMark/>
          </w:tcPr>
          <w:p w14:paraId="5CBE9690" w14:textId="77777777" w:rsidR="009B55B6" w:rsidRPr="00991A8E" w:rsidRDefault="009B55B6" w:rsidP="00A456AE">
            <w:pPr>
              <w:cnfStyle w:val="000000000000" w:firstRow="0" w:lastRow="0" w:firstColumn="0" w:lastColumn="0" w:oddVBand="0" w:evenVBand="0" w:oddHBand="0" w:evenHBand="0" w:firstRowFirstColumn="0" w:firstRowLastColumn="0" w:lastRowFirstColumn="0" w:lastRowLastColumn="0"/>
              <w:rPr>
                <w:rFonts w:ascii="Arial" w:hAnsi="Arial" w:cs="Arial"/>
                <w:b/>
                <w:sz w:val="19"/>
                <w:szCs w:val="19"/>
                <w:lang w:val="en-GB"/>
              </w:rPr>
            </w:pPr>
          </w:p>
        </w:tc>
        <w:tc>
          <w:tcPr>
            <w:tcW w:w="1278" w:type="dxa"/>
            <w:gridSpan w:val="2"/>
            <w:shd w:val="clear" w:color="auto" w:fill="auto"/>
            <w:noWrap/>
            <w:hideMark/>
          </w:tcPr>
          <w:p w14:paraId="16A2EBB4" w14:textId="77777777" w:rsidR="009B55B6" w:rsidRPr="00991A8E" w:rsidRDefault="009B55B6" w:rsidP="00A456AE">
            <w:pPr>
              <w:cnfStyle w:val="000000000000" w:firstRow="0" w:lastRow="0" w:firstColumn="0" w:lastColumn="0" w:oddVBand="0" w:evenVBand="0" w:oddHBand="0" w:evenHBand="0" w:firstRowFirstColumn="0" w:firstRowLastColumn="0" w:lastRowFirstColumn="0" w:lastRowLastColumn="0"/>
              <w:rPr>
                <w:rFonts w:ascii="Arial" w:hAnsi="Arial" w:cs="Arial"/>
                <w:b/>
                <w:sz w:val="19"/>
                <w:szCs w:val="19"/>
                <w:lang w:val="en-GB"/>
              </w:rPr>
            </w:pPr>
          </w:p>
        </w:tc>
        <w:tc>
          <w:tcPr>
            <w:tcW w:w="1063" w:type="dxa"/>
            <w:shd w:val="clear" w:color="auto" w:fill="auto"/>
            <w:noWrap/>
            <w:hideMark/>
          </w:tcPr>
          <w:p w14:paraId="0339269F" w14:textId="77777777" w:rsidR="009B55B6" w:rsidRPr="00991A8E" w:rsidRDefault="009B55B6" w:rsidP="00A456AE">
            <w:pPr>
              <w:cnfStyle w:val="000000000000" w:firstRow="0" w:lastRow="0" w:firstColumn="0" w:lastColumn="0" w:oddVBand="0" w:evenVBand="0" w:oddHBand="0" w:evenHBand="0" w:firstRowFirstColumn="0" w:firstRowLastColumn="0" w:lastRowFirstColumn="0" w:lastRowLastColumn="0"/>
              <w:rPr>
                <w:rFonts w:ascii="Arial" w:hAnsi="Arial" w:cs="Arial"/>
                <w:b/>
                <w:sz w:val="19"/>
                <w:szCs w:val="19"/>
                <w:lang w:val="en-GB"/>
              </w:rPr>
            </w:pPr>
          </w:p>
        </w:tc>
        <w:tc>
          <w:tcPr>
            <w:tcW w:w="1080" w:type="dxa"/>
            <w:shd w:val="clear" w:color="auto" w:fill="auto"/>
            <w:noWrap/>
            <w:hideMark/>
          </w:tcPr>
          <w:p w14:paraId="428B4727" w14:textId="77777777" w:rsidR="009B55B6" w:rsidRPr="00991A8E" w:rsidRDefault="009B55B6" w:rsidP="00A456AE">
            <w:pPr>
              <w:cnfStyle w:val="000000000000" w:firstRow="0" w:lastRow="0" w:firstColumn="0" w:lastColumn="0" w:oddVBand="0" w:evenVBand="0" w:oddHBand="0" w:evenHBand="0" w:firstRowFirstColumn="0" w:firstRowLastColumn="0" w:lastRowFirstColumn="0" w:lastRowLastColumn="0"/>
              <w:rPr>
                <w:rFonts w:ascii="Arial" w:hAnsi="Arial" w:cs="Arial"/>
                <w:b/>
                <w:sz w:val="19"/>
                <w:szCs w:val="19"/>
                <w:lang w:val="en-GB"/>
              </w:rPr>
            </w:pPr>
          </w:p>
        </w:tc>
        <w:tc>
          <w:tcPr>
            <w:tcW w:w="1080" w:type="dxa"/>
            <w:shd w:val="clear" w:color="auto" w:fill="auto"/>
            <w:noWrap/>
            <w:hideMark/>
          </w:tcPr>
          <w:p w14:paraId="74356F25" w14:textId="77777777" w:rsidR="009B55B6" w:rsidRPr="00991A8E" w:rsidRDefault="009B55B6" w:rsidP="00A456AE">
            <w:pPr>
              <w:cnfStyle w:val="000000000000" w:firstRow="0" w:lastRow="0" w:firstColumn="0" w:lastColumn="0" w:oddVBand="0" w:evenVBand="0" w:oddHBand="0" w:evenHBand="0" w:firstRowFirstColumn="0" w:firstRowLastColumn="0" w:lastRowFirstColumn="0" w:lastRowLastColumn="0"/>
              <w:rPr>
                <w:rFonts w:ascii="Arial" w:hAnsi="Arial" w:cs="Arial"/>
                <w:b/>
                <w:sz w:val="19"/>
                <w:szCs w:val="19"/>
                <w:lang w:val="en-GB"/>
              </w:rPr>
            </w:pPr>
          </w:p>
        </w:tc>
        <w:tc>
          <w:tcPr>
            <w:tcW w:w="1012" w:type="dxa"/>
            <w:shd w:val="clear" w:color="auto" w:fill="auto"/>
            <w:noWrap/>
            <w:hideMark/>
          </w:tcPr>
          <w:p w14:paraId="40F5D654" w14:textId="77777777" w:rsidR="009B55B6" w:rsidRPr="00991A8E" w:rsidRDefault="009B55B6" w:rsidP="00A456AE">
            <w:pPr>
              <w:cnfStyle w:val="000000000000" w:firstRow="0" w:lastRow="0" w:firstColumn="0" w:lastColumn="0" w:oddVBand="0" w:evenVBand="0" w:oddHBand="0" w:evenHBand="0" w:firstRowFirstColumn="0" w:firstRowLastColumn="0" w:lastRowFirstColumn="0" w:lastRowLastColumn="0"/>
              <w:rPr>
                <w:rFonts w:ascii="Arial" w:hAnsi="Arial" w:cs="Arial"/>
                <w:b/>
                <w:sz w:val="19"/>
                <w:szCs w:val="19"/>
                <w:lang w:val="en-GB"/>
              </w:rPr>
            </w:pPr>
          </w:p>
        </w:tc>
      </w:tr>
      <w:tr w:rsidR="009B55B6" w:rsidRPr="00991A8E" w14:paraId="3272AEDA" w14:textId="77777777" w:rsidTr="00DA6B33">
        <w:trPr>
          <w:gridAfter w:val="1"/>
          <w:cnfStyle w:val="000000100000" w:firstRow="0" w:lastRow="0" w:firstColumn="0" w:lastColumn="0" w:oddVBand="0" w:evenVBand="0" w:oddHBand="1" w:evenHBand="0" w:firstRowFirstColumn="0" w:firstRowLastColumn="0" w:lastRowFirstColumn="0" w:lastRowLastColumn="0"/>
          <w:wAfter w:w="162" w:type="dxa"/>
          <w:trHeight w:val="231"/>
          <w:jc w:val="center"/>
        </w:trPr>
        <w:tc>
          <w:tcPr>
            <w:cnfStyle w:val="001000000000" w:firstRow="0" w:lastRow="0" w:firstColumn="1" w:lastColumn="0" w:oddVBand="0" w:evenVBand="0" w:oddHBand="0" w:evenHBand="0" w:firstRowFirstColumn="0" w:firstRowLastColumn="0" w:lastRowFirstColumn="0" w:lastRowLastColumn="0"/>
            <w:tcW w:w="3773" w:type="dxa"/>
            <w:shd w:val="clear" w:color="auto" w:fill="auto"/>
            <w:noWrap/>
            <w:hideMark/>
          </w:tcPr>
          <w:p w14:paraId="61D3438F" w14:textId="77777777" w:rsidR="009B55B6" w:rsidRPr="00991A8E" w:rsidRDefault="009B55B6" w:rsidP="00A456AE">
            <w:pPr>
              <w:rPr>
                <w:rFonts w:ascii="Arial" w:hAnsi="Arial" w:cs="Arial"/>
                <w:sz w:val="19"/>
                <w:szCs w:val="19"/>
                <w:lang w:val="en-GB"/>
              </w:rPr>
            </w:pPr>
            <w:r w:rsidRPr="00991A8E">
              <w:rPr>
                <w:rFonts w:ascii="Arial" w:hAnsi="Arial" w:cs="Arial"/>
                <w:sz w:val="19"/>
                <w:szCs w:val="19"/>
                <w:lang w:val="en-GB"/>
              </w:rPr>
              <w:t>Assumptions:</w:t>
            </w:r>
          </w:p>
          <w:p w14:paraId="00D3B652" w14:textId="77777777" w:rsidR="009B55B6" w:rsidRPr="00991A8E" w:rsidRDefault="009B55B6" w:rsidP="00A456AE">
            <w:pPr>
              <w:rPr>
                <w:rFonts w:ascii="Arial" w:hAnsi="Arial" w:cs="Arial"/>
                <w:b w:val="0"/>
                <w:sz w:val="19"/>
                <w:szCs w:val="19"/>
                <w:lang w:val="en-GB"/>
              </w:rPr>
            </w:pPr>
            <w:r w:rsidRPr="00991A8E">
              <w:rPr>
                <w:rFonts w:ascii="Arial" w:hAnsi="Arial" w:cs="Arial"/>
                <w:sz w:val="19"/>
                <w:szCs w:val="19"/>
                <w:lang w:val="en-GB"/>
              </w:rPr>
              <w:t>No. of Customers</w:t>
            </w:r>
          </w:p>
        </w:tc>
        <w:tc>
          <w:tcPr>
            <w:tcW w:w="1078" w:type="dxa"/>
            <w:gridSpan w:val="2"/>
            <w:shd w:val="clear" w:color="auto" w:fill="auto"/>
            <w:noWrap/>
          </w:tcPr>
          <w:p w14:paraId="654B3D25" w14:textId="77777777" w:rsidR="009B55B6" w:rsidRPr="00991A8E" w:rsidRDefault="009B55B6" w:rsidP="00A456A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0</w:t>
            </w:r>
          </w:p>
        </w:tc>
        <w:tc>
          <w:tcPr>
            <w:tcW w:w="1097" w:type="dxa"/>
            <w:shd w:val="clear" w:color="auto" w:fill="auto"/>
            <w:noWrap/>
            <w:hideMark/>
          </w:tcPr>
          <w:p w14:paraId="127590AE" w14:textId="77777777" w:rsidR="009B55B6" w:rsidRPr="00991A8E" w:rsidRDefault="009B55B6" w:rsidP="00A456A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40,000</w:t>
            </w:r>
          </w:p>
        </w:tc>
        <w:tc>
          <w:tcPr>
            <w:tcW w:w="1242" w:type="dxa"/>
            <w:shd w:val="clear" w:color="auto" w:fill="auto"/>
            <w:noWrap/>
            <w:hideMark/>
          </w:tcPr>
          <w:p w14:paraId="433C2DB1" w14:textId="77777777" w:rsidR="009B55B6" w:rsidRPr="00991A8E" w:rsidRDefault="009B55B6" w:rsidP="00A456A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87,000</w:t>
            </w:r>
          </w:p>
        </w:tc>
        <w:tc>
          <w:tcPr>
            <w:tcW w:w="1278" w:type="dxa"/>
            <w:gridSpan w:val="2"/>
            <w:shd w:val="clear" w:color="auto" w:fill="auto"/>
            <w:noWrap/>
            <w:hideMark/>
          </w:tcPr>
          <w:p w14:paraId="76B1A7E7" w14:textId="77777777" w:rsidR="009B55B6" w:rsidRPr="00991A8E" w:rsidRDefault="009B55B6" w:rsidP="00A456A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147,900</w:t>
            </w:r>
          </w:p>
        </w:tc>
        <w:tc>
          <w:tcPr>
            <w:tcW w:w="1063" w:type="dxa"/>
            <w:shd w:val="clear" w:color="auto" w:fill="auto"/>
            <w:noWrap/>
            <w:hideMark/>
          </w:tcPr>
          <w:p w14:paraId="1883497F" w14:textId="77777777" w:rsidR="009B55B6" w:rsidRPr="00991A8E" w:rsidRDefault="009B55B6" w:rsidP="00A456A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251,430</w:t>
            </w:r>
          </w:p>
        </w:tc>
        <w:tc>
          <w:tcPr>
            <w:tcW w:w="1080" w:type="dxa"/>
            <w:shd w:val="clear" w:color="auto" w:fill="auto"/>
            <w:noWrap/>
            <w:hideMark/>
          </w:tcPr>
          <w:p w14:paraId="7FA75B49" w14:textId="77777777" w:rsidR="009B55B6" w:rsidRPr="00991A8E" w:rsidRDefault="009B55B6" w:rsidP="00A456A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402,288</w:t>
            </w:r>
          </w:p>
        </w:tc>
        <w:tc>
          <w:tcPr>
            <w:tcW w:w="1080" w:type="dxa"/>
            <w:shd w:val="clear" w:color="auto" w:fill="auto"/>
            <w:noWrap/>
            <w:hideMark/>
          </w:tcPr>
          <w:p w14:paraId="5265EAAB" w14:textId="77777777" w:rsidR="009B55B6" w:rsidRPr="00991A8E" w:rsidRDefault="009B55B6" w:rsidP="00A456A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603,432</w:t>
            </w:r>
          </w:p>
        </w:tc>
        <w:tc>
          <w:tcPr>
            <w:tcW w:w="1012" w:type="dxa"/>
            <w:shd w:val="clear" w:color="auto" w:fill="auto"/>
            <w:noWrap/>
            <w:hideMark/>
          </w:tcPr>
          <w:p w14:paraId="2AE87239" w14:textId="77777777" w:rsidR="009B55B6" w:rsidRPr="00991A8E" w:rsidRDefault="009B55B6" w:rsidP="00A456A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844,805</w:t>
            </w:r>
          </w:p>
        </w:tc>
      </w:tr>
      <w:tr w:rsidR="009B55B6" w:rsidRPr="00991A8E" w14:paraId="15BB3462" w14:textId="77777777" w:rsidTr="00DA6B33">
        <w:trPr>
          <w:gridAfter w:val="1"/>
          <w:wAfter w:w="162" w:type="dxa"/>
          <w:trHeight w:val="231"/>
          <w:jc w:val="center"/>
        </w:trPr>
        <w:tc>
          <w:tcPr>
            <w:cnfStyle w:val="001000000000" w:firstRow="0" w:lastRow="0" w:firstColumn="1" w:lastColumn="0" w:oddVBand="0" w:evenVBand="0" w:oddHBand="0" w:evenHBand="0" w:firstRowFirstColumn="0" w:firstRowLastColumn="0" w:lastRowFirstColumn="0" w:lastRowLastColumn="0"/>
            <w:tcW w:w="3773" w:type="dxa"/>
            <w:shd w:val="clear" w:color="auto" w:fill="auto"/>
            <w:noWrap/>
            <w:hideMark/>
          </w:tcPr>
          <w:p w14:paraId="74AAB93C" w14:textId="77777777" w:rsidR="009B55B6" w:rsidRPr="00991A8E" w:rsidRDefault="009B55B6" w:rsidP="00A456AE">
            <w:pPr>
              <w:rPr>
                <w:rFonts w:ascii="Arial" w:hAnsi="Arial" w:cs="Arial"/>
                <w:b w:val="0"/>
                <w:sz w:val="19"/>
                <w:szCs w:val="19"/>
                <w:lang w:val="en-GB"/>
              </w:rPr>
            </w:pPr>
            <w:r w:rsidRPr="00991A8E">
              <w:rPr>
                <w:rFonts w:ascii="Arial" w:hAnsi="Arial" w:cs="Arial"/>
                <w:sz w:val="19"/>
                <w:szCs w:val="19"/>
                <w:lang w:val="en-GB"/>
              </w:rPr>
              <w:t>Customer Increase</w:t>
            </w:r>
          </w:p>
        </w:tc>
        <w:tc>
          <w:tcPr>
            <w:tcW w:w="1078" w:type="dxa"/>
            <w:gridSpan w:val="2"/>
            <w:shd w:val="clear" w:color="auto" w:fill="auto"/>
            <w:noWrap/>
          </w:tcPr>
          <w:p w14:paraId="5E141E90" w14:textId="77777777" w:rsidR="009B55B6" w:rsidRPr="00991A8E" w:rsidRDefault="009B55B6" w:rsidP="00A456AE">
            <w:pPr>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p>
        </w:tc>
        <w:tc>
          <w:tcPr>
            <w:tcW w:w="1097" w:type="dxa"/>
            <w:shd w:val="clear" w:color="auto" w:fill="auto"/>
            <w:noWrap/>
            <w:hideMark/>
          </w:tcPr>
          <w:p w14:paraId="44E565E9" w14:textId="77777777" w:rsidR="009B55B6" w:rsidRPr="00991A8E" w:rsidRDefault="009B55B6" w:rsidP="00A456A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40,000</w:t>
            </w:r>
          </w:p>
        </w:tc>
        <w:tc>
          <w:tcPr>
            <w:tcW w:w="1242" w:type="dxa"/>
            <w:shd w:val="clear" w:color="auto" w:fill="auto"/>
            <w:noWrap/>
            <w:hideMark/>
          </w:tcPr>
          <w:p w14:paraId="2F836F31" w14:textId="77777777" w:rsidR="009B55B6" w:rsidRPr="00991A8E" w:rsidRDefault="009B55B6" w:rsidP="00A456A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47,000</w:t>
            </w:r>
          </w:p>
        </w:tc>
        <w:tc>
          <w:tcPr>
            <w:tcW w:w="1278" w:type="dxa"/>
            <w:gridSpan w:val="2"/>
            <w:shd w:val="clear" w:color="auto" w:fill="auto"/>
            <w:noWrap/>
            <w:hideMark/>
          </w:tcPr>
          <w:p w14:paraId="604D7295" w14:textId="77777777" w:rsidR="009B55B6" w:rsidRPr="00991A8E" w:rsidRDefault="009B55B6" w:rsidP="00A456A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60,900</w:t>
            </w:r>
          </w:p>
        </w:tc>
        <w:tc>
          <w:tcPr>
            <w:tcW w:w="1063" w:type="dxa"/>
            <w:shd w:val="clear" w:color="auto" w:fill="auto"/>
            <w:noWrap/>
            <w:hideMark/>
          </w:tcPr>
          <w:p w14:paraId="1631986C" w14:textId="77777777" w:rsidR="009B55B6" w:rsidRPr="00991A8E" w:rsidRDefault="009B55B6" w:rsidP="00A456A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103,530</w:t>
            </w:r>
          </w:p>
        </w:tc>
        <w:tc>
          <w:tcPr>
            <w:tcW w:w="1080" w:type="dxa"/>
            <w:shd w:val="clear" w:color="auto" w:fill="auto"/>
            <w:noWrap/>
            <w:hideMark/>
          </w:tcPr>
          <w:p w14:paraId="07B115FE" w14:textId="77777777" w:rsidR="009B55B6" w:rsidRPr="00991A8E" w:rsidRDefault="009B55B6" w:rsidP="00A456A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150,858</w:t>
            </w:r>
          </w:p>
        </w:tc>
        <w:tc>
          <w:tcPr>
            <w:tcW w:w="1080" w:type="dxa"/>
            <w:shd w:val="clear" w:color="auto" w:fill="auto"/>
            <w:noWrap/>
            <w:hideMark/>
          </w:tcPr>
          <w:p w14:paraId="2FA571F0" w14:textId="77777777" w:rsidR="009B55B6" w:rsidRPr="00991A8E" w:rsidRDefault="009B55B6" w:rsidP="00A456A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201,144</w:t>
            </w:r>
          </w:p>
        </w:tc>
        <w:tc>
          <w:tcPr>
            <w:tcW w:w="1012" w:type="dxa"/>
            <w:shd w:val="clear" w:color="auto" w:fill="auto"/>
            <w:noWrap/>
            <w:hideMark/>
          </w:tcPr>
          <w:p w14:paraId="7910D4A8" w14:textId="77777777" w:rsidR="009B55B6" w:rsidRPr="00991A8E" w:rsidRDefault="009B55B6" w:rsidP="00A456A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241,373</w:t>
            </w:r>
          </w:p>
        </w:tc>
      </w:tr>
      <w:tr w:rsidR="009B55B6" w:rsidRPr="00991A8E" w14:paraId="5C61D55A" w14:textId="77777777" w:rsidTr="00DA6B33">
        <w:trPr>
          <w:gridAfter w:val="1"/>
          <w:cnfStyle w:val="000000100000" w:firstRow="0" w:lastRow="0" w:firstColumn="0" w:lastColumn="0" w:oddVBand="0" w:evenVBand="0" w:oddHBand="1" w:evenHBand="0" w:firstRowFirstColumn="0" w:firstRowLastColumn="0" w:lastRowFirstColumn="0" w:lastRowLastColumn="0"/>
          <w:wAfter w:w="162" w:type="dxa"/>
          <w:trHeight w:val="231"/>
          <w:jc w:val="center"/>
        </w:trPr>
        <w:tc>
          <w:tcPr>
            <w:cnfStyle w:val="001000000000" w:firstRow="0" w:lastRow="0" w:firstColumn="1" w:lastColumn="0" w:oddVBand="0" w:evenVBand="0" w:oddHBand="0" w:evenHBand="0" w:firstRowFirstColumn="0" w:firstRowLastColumn="0" w:lastRowFirstColumn="0" w:lastRowLastColumn="0"/>
            <w:tcW w:w="3773" w:type="dxa"/>
            <w:shd w:val="clear" w:color="auto" w:fill="auto"/>
            <w:noWrap/>
            <w:hideMark/>
          </w:tcPr>
          <w:p w14:paraId="49D5571D" w14:textId="77777777" w:rsidR="009B55B6" w:rsidRPr="00991A8E" w:rsidRDefault="009B55B6" w:rsidP="00A456AE">
            <w:pPr>
              <w:rPr>
                <w:rFonts w:ascii="Arial" w:hAnsi="Arial" w:cs="Arial"/>
                <w:b w:val="0"/>
                <w:sz w:val="19"/>
                <w:szCs w:val="19"/>
                <w:lang w:val="en-GB"/>
              </w:rPr>
            </w:pPr>
            <w:r w:rsidRPr="00991A8E">
              <w:rPr>
                <w:rFonts w:ascii="Arial" w:hAnsi="Arial" w:cs="Arial"/>
                <w:sz w:val="19"/>
                <w:szCs w:val="19"/>
                <w:lang w:val="en-GB"/>
              </w:rPr>
              <w:t>Customer Growth</w:t>
            </w:r>
          </w:p>
        </w:tc>
        <w:tc>
          <w:tcPr>
            <w:tcW w:w="1078" w:type="dxa"/>
            <w:gridSpan w:val="2"/>
            <w:shd w:val="clear" w:color="auto" w:fill="auto"/>
            <w:noWrap/>
          </w:tcPr>
          <w:p w14:paraId="5E8BA42D" w14:textId="77777777" w:rsidR="009B55B6" w:rsidRPr="00991A8E" w:rsidRDefault="009B55B6" w:rsidP="00A456AE">
            <w:pPr>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p>
        </w:tc>
        <w:tc>
          <w:tcPr>
            <w:tcW w:w="1097" w:type="dxa"/>
            <w:shd w:val="clear" w:color="auto" w:fill="auto"/>
            <w:noWrap/>
            <w:hideMark/>
          </w:tcPr>
          <w:p w14:paraId="2E264A62" w14:textId="77777777" w:rsidR="009B55B6" w:rsidRPr="00991A8E" w:rsidRDefault="009B55B6" w:rsidP="00A456AE">
            <w:pPr>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p>
        </w:tc>
        <w:tc>
          <w:tcPr>
            <w:tcW w:w="1242" w:type="dxa"/>
            <w:shd w:val="clear" w:color="auto" w:fill="auto"/>
            <w:noWrap/>
            <w:hideMark/>
          </w:tcPr>
          <w:p w14:paraId="0E006AFF" w14:textId="77777777" w:rsidR="009B55B6" w:rsidRPr="00991A8E" w:rsidRDefault="009B55B6" w:rsidP="00A456AE">
            <w:pPr>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p>
        </w:tc>
        <w:tc>
          <w:tcPr>
            <w:tcW w:w="1278" w:type="dxa"/>
            <w:gridSpan w:val="2"/>
            <w:shd w:val="clear" w:color="auto" w:fill="auto"/>
            <w:noWrap/>
            <w:hideMark/>
          </w:tcPr>
          <w:p w14:paraId="41156080" w14:textId="77777777" w:rsidR="009B55B6" w:rsidRPr="00991A8E" w:rsidRDefault="009B55B6" w:rsidP="00A456A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70.0%</w:t>
            </w:r>
          </w:p>
        </w:tc>
        <w:tc>
          <w:tcPr>
            <w:tcW w:w="1063" w:type="dxa"/>
            <w:shd w:val="clear" w:color="auto" w:fill="auto"/>
            <w:noWrap/>
            <w:hideMark/>
          </w:tcPr>
          <w:p w14:paraId="6C23DA40" w14:textId="77777777" w:rsidR="009B55B6" w:rsidRPr="00991A8E" w:rsidRDefault="009B55B6" w:rsidP="00A456A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70.0%</w:t>
            </w:r>
          </w:p>
        </w:tc>
        <w:tc>
          <w:tcPr>
            <w:tcW w:w="1080" w:type="dxa"/>
            <w:shd w:val="clear" w:color="auto" w:fill="auto"/>
            <w:noWrap/>
            <w:hideMark/>
          </w:tcPr>
          <w:p w14:paraId="3678BB97" w14:textId="77777777" w:rsidR="009B55B6" w:rsidRPr="00991A8E" w:rsidRDefault="009B55B6" w:rsidP="00A456A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60.0%</w:t>
            </w:r>
          </w:p>
        </w:tc>
        <w:tc>
          <w:tcPr>
            <w:tcW w:w="1080" w:type="dxa"/>
            <w:shd w:val="clear" w:color="auto" w:fill="auto"/>
            <w:noWrap/>
            <w:hideMark/>
          </w:tcPr>
          <w:p w14:paraId="50C170BD" w14:textId="77777777" w:rsidR="009B55B6" w:rsidRPr="00991A8E" w:rsidRDefault="009B55B6" w:rsidP="00A456A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50.0%</w:t>
            </w:r>
          </w:p>
        </w:tc>
        <w:tc>
          <w:tcPr>
            <w:tcW w:w="1012" w:type="dxa"/>
            <w:shd w:val="clear" w:color="auto" w:fill="auto"/>
            <w:noWrap/>
            <w:hideMark/>
          </w:tcPr>
          <w:p w14:paraId="280ED72E" w14:textId="77777777" w:rsidR="009B55B6" w:rsidRPr="00991A8E" w:rsidRDefault="009B55B6" w:rsidP="00A456A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40.0%</w:t>
            </w:r>
          </w:p>
        </w:tc>
      </w:tr>
      <w:tr w:rsidR="009B55B6" w:rsidRPr="00991A8E" w14:paraId="20BE220A" w14:textId="77777777" w:rsidTr="00DA6B33">
        <w:trPr>
          <w:gridAfter w:val="1"/>
          <w:wAfter w:w="162" w:type="dxa"/>
          <w:trHeight w:val="231"/>
          <w:jc w:val="center"/>
        </w:trPr>
        <w:tc>
          <w:tcPr>
            <w:cnfStyle w:val="001000000000" w:firstRow="0" w:lastRow="0" w:firstColumn="1" w:lastColumn="0" w:oddVBand="0" w:evenVBand="0" w:oddHBand="0" w:evenHBand="0" w:firstRowFirstColumn="0" w:firstRowLastColumn="0" w:lastRowFirstColumn="0" w:lastRowLastColumn="0"/>
            <w:tcW w:w="3773" w:type="dxa"/>
            <w:shd w:val="clear" w:color="auto" w:fill="auto"/>
            <w:noWrap/>
            <w:hideMark/>
          </w:tcPr>
          <w:p w14:paraId="3042CF23" w14:textId="77777777" w:rsidR="009B55B6" w:rsidRPr="00991A8E" w:rsidRDefault="009B55B6" w:rsidP="00A456AE">
            <w:pPr>
              <w:rPr>
                <w:rFonts w:ascii="Arial" w:hAnsi="Arial" w:cs="Arial"/>
                <w:b w:val="0"/>
                <w:sz w:val="19"/>
                <w:szCs w:val="19"/>
                <w:lang w:val="en-GB"/>
              </w:rPr>
            </w:pPr>
            <w:r w:rsidRPr="00991A8E">
              <w:rPr>
                <w:rFonts w:ascii="Arial" w:hAnsi="Arial" w:cs="Arial"/>
                <w:sz w:val="19"/>
                <w:szCs w:val="19"/>
                <w:lang w:val="en-GB"/>
              </w:rPr>
              <w:t>Cost of Customer Acquisition</w:t>
            </w:r>
          </w:p>
        </w:tc>
        <w:tc>
          <w:tcPr>
            <w:tcW w:w="1078" w:type="dxa"/>
            <w:gridSpan w:val="2"/>
            <w:shd w:val="clear" w:color="auto" w:fill="auto"/>
            <w:noWrap/>
          </w:tcPr>
          <w:p w14:paraId="48921800" w14:textId="77777777" w:rsidR="009B55B6" w:rsidRPr="00991A8E" w:rsidRDefault="009B55B6" w:rsidP="00A456AE">
            <w:pPr>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p>
        </w:tc>
        <w:tc>
          <w:tcPr>
            <w:tcW w:w="1097" w:type="dxa"/>
            <w:shd w:val="clear" w:color="auto" w:fill="auto"/>
            <w:noWrap/>
            <w:hideMark/>
          </w:tcPr>
          <w:p w14:paraId="27AF8926" w14:textId="77777777" w:rsidR="009B55B6" w:rsidRPr="00991A8E" w:rsidRDefault="009B55B6" w:rsidP="00A456A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16.50</w:t>
            </w:r>
          </w:p>
        </w:tc>
        <w:tc>
          <w:tcPr>
            <w:tcW w:w="1242" w:type="dxa"/>
            <w:shd w:val="clear" w:color="auto" w:fill="auto"/>
            <w:noWrap/>
            <w:hideMark/>
          </w:tcPr>
          <w:p w14:paraId="142D45C8" w14:textId="77777777" w:rsidR="009B55B6" w:rsidRPr="00991A8E" w:rsidRDefault="009B55B6" w:rsidP="00A456A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16.50</w:t>
            </w:r>
          </w:p>
        </w:tc>
        <w:tc>
          <w:tcPr>
            <w:tcW w:w="1278" w:type="dxa"/>
            <w:gridSpan w:val="2"/>
            <w:shd w:val="clear" w:color="auto" w:fill="auto"/>
            <w:noWrap/>
            <w:hideMark/>
          </w:tcPr>
          <w:p w14:paraId="27DACE5E" w14:textId="77777777" w:rsidR="009B55B6" w:rsidRPr="00991A8E" w:rsidRDefault="009B55B6" w:rsidP="00A456A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16.50</w:t>
            </w:r>
          </w:p>
        </w:tc>
        <w:tc>
          <w:tcPr>
            <w:tcW w:w="1063" w:type="dxa"/>
            <w:shd w:val="clear" w:color="auto" w:fill="auto"/>
            <w:noWrap/>
            <w:hideMark/>
          </w:tcPr>
          <w:p w14:paraId="102BB548" w14:textId="77777777" w:rsidR="009B55B6" w:rsidRPr="00991A8E" w:rsidRDefault="009B55B6" w:rsidP="00A456A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16.67</w:t>
            </w:r>
          </w:p>
        </w:tc>
        <w:tc>
          <w:tcPr>
            <w:tcW w:w="1080" w:type="dxa"/>
            <w:shd w:val="clear" w:color="auto" w:fill="auto"/>
            <w:noWrap/>
            <w:hideMark/>
          </w:tcPr>
          <w:p w14:paraId="77D6496B" w14:textId="77777777" w:rsidR="009B55B6" w:rsidRPr="00991A8E" w:rsidRDefault="009B55B6" w:rsidP="00A456A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17.00</w:t>
            </w:r>
          </w:p>
        </w:tc>
        <w:tc>
          <w:tcPr>
            <w:tcW w:w="1080" w:type="dxa"/>
            <w:shd w:val="clear" w:color="auto" w:fill="auto"/>
            <w:noWrap/>
            <w:hideMark/>
          </w:tcPr>
          <w:p w14:paraId="72CB8BE6" w14:textId="77777777" w:rsidR="009B55B6" w:rsidRPr="00991A8E" w:rsidRDefault="009B55B6" w:rsidP="00A456A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17.51</w:t>
            </w:r>
          </w:p>
        </w:tc>
        <w:tc>
          <w:tcPr>
            <w:tcW w:w="1012" w:type="dxa"/>
            <w:shd w:val="clear" w:color="auto" w:fill="auto"/>
            <w:noWrap/>
            <w:hideMark/>
          </w:tcPr>
          <w:p w14:paraId="05C2E454" w14:textId="77777777" w:rsidR="009B55B6" w:rsidRPr="00991A8E" w:rsidRDefault="009B55B6" w:rsidP="00A456A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15.00</w:t>
            </w:r>
          </w:p>
        </w:tc>
      </w:tr>
      <w:tr w:rsidR="009B55B6" w:rsidRPr="00991A8E" w14:paraId="2A0EA1D4" w14:textId="77777777" w:rsidTr="00DA6B33">
        <w:trPr>
          <w:gridAfter w:val="1"/>
          <w:cnfStyle w:val="000000100000" w:firstRow="0" w:lastRow="0" w:firstColumn="0" w:lastColumn="0" w:oddVBand="0" w:evenVBand="0" w:oddHBand="1" w:evenHBand="0" w:firstRowFirstColumn="0" w:firstRowLastColumn="0" w:lastRowFirstColumn="0" w:lastRowLastColumn="0"/>
          <w:wAfter w:w="162" w:type="dxa"/>
          <w:trHeight w:val="231"/>
          <w:jc w:val="center"/>
        </w:trPr>
        <w:tc>
          <w:tcPr>
            <w:cnfStyle w:val="001000000000" w:firstRow="0" w:lastRow="0" w:firstColumn="1" w:lastColumn="0" w:oddVBand="0" w:evenVBand="0" w:oddHBand="0" w:evenHBand="0" w:firstRowFirstColumn="0" w:firstRowLastColumn="0" w:lastRowFirstColumn="0" w:lastRowLastColumn="0"/>
            <w:tcW w:w="3773" w:type="dxa"/>
            <w:shd w:val="clear" w:color="auto" w:fill="auto"/>
            <w:noWrap/>
            <w:hideMark/>
          </w:tcPr>
          <w:p w14:paraId="392CA3F6" w14:textId="77777777" w:rsidR="009B55B6" w:rsidRPr="00991A8E" w:rsidRDefault="009B55B6" w:rsidP="00A456AE">
            <w:pPr>
              <w:rPr>
                <w:rFonts w:ascii="Arial" w:hAnsi="Arial" w:cs="Arial"/>
                <w:b w:val="0"/>
                <w:sz w:val="19"/>
                <w:szCs w:val="19"/>
                <w:lang w:val="en-GB"/>
              </w:rPr>
            </w:pPr>
            <w:r w:rsidRPr="00991A8E">
              <w:rPr>
                <w:rFonts w:ascii="Arial" w:hAnsi="Arial" w:cs="Arial"/>
                <w:sz w:val="19"/>
                <w:szCs w:val="19"/>
                <w:lang w:val="en-GB"/>
              </w:rPr>
              <w:t>Customer A</w:t>
            </w:r>
            <w:r w:rsidRPr="00991A8E">
              <w:rPr>
                <w:rFonts w:ascii="Arial" w:hAnsi="Arial" w:cs="Arial"/>
                <w:b w:val="0"/>
                <w:sz w:val="19"/>
                <w:szCs w:val="19"/>
                <w:lang w:val="en-GB"/>
              </w:rPr>
              <w:t>c</w:t>
            </w:r>
            <w:r w:rsidRPr="00991A8E">
              <w:rPr>
                <w:rFonts w:ascii="Arial" w:hAnsi="Arial" w:cs="Arial"/>
                <w:sz w:val="19"/>
                <w:szCs w:val="19"/>
                <w:lang w:val="en-GB"/>
              </w:rPr>
              <w:t>quisition Growth</w:t>
            </w:r>
          </w:p>
        </w:tc>
        <w:tc>
          <w:tcPr>
            <w:tcW w:w="1078" w:type="dxa"/>
            <w:gridSpan w:val="2"/>
            <w:shd w:val="clear" w:color="auto" w:fill="auto"/>
            <w:noWrap/>
          </w:tcPr>
          <w:p w14:paraId="53C52C82" w14:textId="77777777" w:rsidR="009B55B6" w:rsidRPr="00991A8E" w:rsidRDefault="009B55B6" w:rsidP="00A456AE">
            <w:pPr>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p>
        </w:tc>
        <w:tc>
          <w:tcPr>
            <w:tcW w:w="1097" w:type="dxa"/>
            <w:shd w:val="clear" w:color="auto" w:fill="auto"/>
            <w:noWrap/>
            <w:hideMark/>
          </w:tcPr>
          <w:p w14:paraId="4E496AFE" w14:textId="77777777" w:rsidR="009B55B6" w:rsidRPr="00991A8E" w:rsidRDefault="009B55B6" w:rsidP="00A456A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0.00</w:t>
            </w:r>
          </w:p>
        </w:tc>
        <w:tc>
          <w:tcPr>
            <w:tcW w:w="1242" w:type="dxa"/>
            <w:shd w:val="clear" w:color="auto" w:fill="auto"/>
            <w:noWrap/>
            <w:hideMark/>
          </w:tcPr>
          <w:p w14:paraId="719A6990" w14:textId="77777777" w:rsidR="009B55B6" w:rsidRPr="00991A8E" w:rsidRDefault="009B55B6" w:rsidP="00A456A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0.00</w:t>
            </w:r>
          </w:p>
        </w:tc>
        <w:tc>
          <w:tcPr>
            <w:tcW w:w="1278" w:type="dxa"/>
            <w:gridSpan w:val="2"/>
            <w:shd w:val="clear" w:color="auto" w:fill="auto"/>
            <w:noWrap/>
            <w:hideMark/>
          </w:tcPr>
          <w:p w14:paraId="4BD0AA9B" w14:textId="77777777" w:rsidR="009B55B6" w:rsidRPr="00991A8E" w:rsidRDefault="009B55B6" w:rsidP="00A456A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0.00</w:t>
            </w:r>
          </w:p>
        </w:tc>
        <w:tc>
          <w:tcPr>
            <w:tcW w:w="1063" w:type="dxa"/>
            <w:shd w:val="clear" w:color="auto" w:fill="auto"/>
            <w:noWrap/>
            <w:hideMark/>
          </w:tcPr>
          <w:p w14:paraId="1F2DC85D" w14:textId="77777777" w:rsidR="009B55B6" w:rsidRPr="00991A8E" w:rsidRDefault="009B55B6" w:rsidP="00A456A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0.01</w:t>
            </w:r>
          </w:p>
        </w:tc>
        <w:tc>
          <w:tcPr>
            <w:tcW w:w="1080" w:type="dxa"/>
            <w:shd w:val="clear" w:color="auto" w:fill="auto"/>
            <w:noWrap/>
            <w:hideMark/>
          </w:tcPr>
          <w:p w14:paraId="3A6C5946" w14:textId="77777777" w:rsidR="009B55B6" w:rsidRPr="00991A8E" w:rsidRDefault="009B55B6" w:rsidP="00A456A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0.02</w:t>
            </w:r>
          </w:p>
        </w:tc>
        <w:tc>
          <w:tcPr>
            <w:tcW w:w="1080" w:type="dxa"/>
            <w:shd w:val="clear" w:color="auto" w:fill="auto"/>
            <w:noWrap/>
            <w:hideMark/>
          </w:tcPr>
          <w:p w14:paraId="69A9A2D3" w14:textId="77777777" w:rsidR="009B55B6" w:rsidRPr="00991A8E" w:rsidRDefault="009B55B6" w:rsidP="00A456A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0.03</w:t>
            </w:r>
          </w:p>
        </w:tc>
        <w:tc>
          <w:tcPr>
            <w:tcW w:w="1012" w:type="dxa"/>
            <w:shd w:val="clear" w:color="auto" w:fill="auto"/>
            <w:noWrap/>
            <w:hideMark/>
          </w:tcPr>
          <w:p w14:paraId="2BD87509" w14:textId="77777777" w:rsidR="009B55B6" w:rsidRPr="00991A8E" w:rsidRDefault="009B55B6" w:rsidP="00A456A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0.00</w:t>
            </w:r>
          </w:p>
        </w:tc>
      </w:tr>
      <w:tr w:rsidR="009B55B6" w:rsidRPr="00991A8E" w14:paraId="2000ADFD" w14:textId="77777777" w:rsidTr="00DA6B33">
        <w:trPr>
          <w:gridAfter w:val="1"/>
          <w:wAfter w:w="162" w:type="dxa"/>
          <w:trHeight w:val="231"/>
          <w:jc w:val="center"/>
        </w:trPr>
        <w:tc>
          <w:tcPr>
            <w:cnfStyle w:val="001000000000" w:firstRow="0" w:lastRow="0" w:firstColumn="1" w:lastColumn="0" w:oddVBand="0" w:evenVBand="0" w:oddHBand="0" w:evenHBand="0" w:firstRowFirstColumn="0" w:firstRowLastColumn="0" w:lastRowFirstColumn="0" w:lastRowLastColumn="0"/>
            <w:tcW w:w="3773" w:type="dxa"/>
            <w:shd w:val="clear" w:color="auto" w:fill="auto"/>
            <w:noWrap/>
            <w:hideMark/>
          </w:tcPr>
          <w:p w14:paraId="0E630767" w14:textId="77777777" w:rsidR="009B55B6" w:rsidRPr="00991A8E" w:rsidRDefault="009B55B6" w:rsidP="00A456AE">
            <w:pPr>
              <w:rPr>
                <w:rFonts w:ascii="Arial" w:hAnsi="Arial" w:cs="Arial"/>
                <w:b w:val="0"/>
                <w:sz w:val="19"/>
                <w:szCs w:val="19"/>
                <w:lang w:val="en-GB"/>
              </w:rPr>
            </w:pPr>
            <w:r w:rsidRPr="00991A8E">
              <w:rPr>
                <w:rFonts w:ascii="Arial" w:hAnsi="Arial" w:cs="Arial"/>
                <w:sz w:val="19"/>
                <w:szCs w:val="19"/>
                <w:lang w:val="en-GB"/>
              </w:rPr>
              <w:t>Total Customer Acquisition Cost</w:t>
            </w:r>
          </w:p>
        </w:tc>
        <w:tc>
          <w:tcPr>
            <w:tcW w:w="1078" w:type="dxa"/>
            <w:gridSpan w:val="2"/>
            <w:shd w:val="clear" w:color="auto" w:fill="auto"/>
            <w:noWrap/>
          </w:tcPr>
          <w:p w14:paraId="43842EAC" w14:textId="77777777" w:rsidR="009B55B6" w:rsidRPr="00991A8E" w:rsidRDefault="009B55B6" w:rsidP="00A456AE">
            <w:pPr>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p>
        </w:tc>
        <w:tc>
          <w:tcPr>
            <w:tcW w:w="1097" w:type="dxa"/>
            <w:shd w:val="clear" w:color="auto" w:fill="auto"/>
            <w:noWrap/>
            <w:hideMark/>
          </w:tcPr>
          <w:p w14:paraId="40FF5786" w14:textId="77777777" w:rsidR="009B55B6" w:rsidRPr="00991A8E" w:rsidRDefault="009B55B6" w:rsidP="00A456A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660.00</w:t>
            </w:r>
          </w:p>
        </w:tc>
        <w:tc>
          <w:tcPr>
            <w:tcW w:w="1242" w:type="dxa"/>
            <w:shd w:val="clear" w:color="auto" w:fill="auto"/>
            <w:noWrap/>
            <w:hideMark/>
          </w:tcPr>
          <w:p w14:paraId="1ECD7DC2" w14:textId="77777777" w:rsidR="009B55B6" w:rsidRPr="00991A8E" w:rsidRDefault="009B55B6" w:rsidP="00A456A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p>
        </w:tc>
        <w:tc>
          <w:tcPr>
            <w:tcW w:w="1278" w:type="dxa"/>
            <w:gridSpan w:val="2"/>
            <w:shd w:val="clear" w:color="auto" w:fill="auto"/>
            <w:noWrap/>
            <w:hideMark/>
          </w:tcPr>
          <w:p w14:paraId="4C5E394B" w14:textId="77777777" w:rsidR="009B55B6" w:rsidRPr="00991A8E" w:rsidRDefault="009B55B6" w:rsidP="00A456A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p>
        </w:tc>
        <w:tc>
          <w:tcPr>
            <w:tcW w:w="1063" w:type="dxa"/>
            <w:shd w:val="clear" w:color="auto" w:fill="auto"/>
            <w:noWrap/>
            <w:hideMark/>
          </w:tcPr>
          <w:p w14:paraId="55C8C677" w14:textId="77777777" w:rsidR="009B55B6" w:rsidRPr="00991A8E" w:rsidRDefault="009B55B6" w:rsidP="00A456A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p>
        </w:tc>
        <w:tc>
          <w:tcPr>
            <w:tcW w:w="1080" w:type="dxa"/>
            <w:shd w:val="clear" w:color="auto" w:fill="auto"/>
            <w:noWrap/>
            <w:hideMark/>
          </w:tcPr>
          <w:p w14:paraId="1272A35E" w14:textId="77777777" w:rsidR="009B55B6" w:rsidRPr="00991A8E" w:rsidRDefault="009B55B6" w:rsidP="00A456A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p>
        </w:tc>
        <w:tc>
          <w:tcPr>
            <w:tcW w:w="1080" w:type="dxa"/>
            <w:shd w:val="clear" w:color="auto" w:fill="auto"/>
            <w:noWrap/>
            <w:hideMark/>
          </w:tcPr>
          <w:p w14:paraId="52F20259" w14:textId="77777777" w:rsidR="009B55B6" w:rsidRPr="00991A8E" w:rsidRDefault="009B55B6" w:rsidP="00A456A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p>
        </w:tc>
        <w:tc>
          <w:tcPr>
            <w:tcW w:w="1012" w:type="dxa"/>
            <w:shd w:val="clear" w:color="auto" w:fill="auto"/>
            <w:noWrap/>
            <w:hideMark/>
          </w:tcPr>
          <w:p w14:paraId="2950E8D3" w14:textId="77777777" w:rsidR="009B55B6" w:rsidRPr="00991A8E" w:rsidRDefault="009B55B6" w:rsidP="00A456A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6,982.79</w:t>
            </w:r>
          </w:p>
        </w:tc>
      </w:tr>
      <w:tr w:rsidR="00DA6B33" w:rsidRPr="00991A8E" w14:paraId="599ED8C6" w14:textId="77777777" w:rsidTr="00DA6B33">
        <w:trPr>
          <w:gridAfter w:val="1"/>
          <w:cnfStyle w:val="000000100000" w:firstRow="0" w:lastRow="0" w:firstColumn="0" w:lastColumn="0" w:oddVBand="0" w:evenVBand="0" w:oddHBand="1" w:evenHBand="0" w:firstRowFirstColumn="0" w:firstRowLastColumn="0" w:lastRowFirstColumn="0" w:lastRowLastColumn="0"/>
          <w:wAfter w:w="162" w:type="dxa"/>
          <w:trHeight w:val="231"/>
          <w:jc w:val="center"/>
        </w:trPr>
        <w:tc>
          <w:tcPr>
            <w:cnfStyle w:val="001000000000" w:firstRow="0" w:lastRow="0" w:firstColumn="1" w:lastColumn="0" w:oddVBand="0" w:evenVBand="0" w:oddHBand="0" w:evenHBand="0" w:firstRowFirstColumn="0" w:firstRowLastColumn="0" w:lastRowFirstColumn="0" w:lastRowLastColumn="0"/>
            <w:tcW w:w="3773" w:type="dxa"/>
            <w:shd w:val="clear" w:color="auto" w:fill="auto"/>
            <w:noWrap/>
            <w:hideMark/>
          </w:tcPr>
          <w:p w14:paraId="4034BC4B" w14:textId="77777777" w:rsidR="00DA6B33" w:rsidRPr="00991A8E" w:rsidRDefault="00DA6B33" w:rsidP="00A456AE">
            <w:pPr>
              <w:rPr>
                <w:rFonts w:ascii="Arial" w:hAnsi="Arial" w:cs="Arial"/>
                <w:bCs w:val="0"/>
                <w:sz w:val="19"/>
                <w:szCs w:val="19"/>
                <w:lang w:val="en-GB"/>
              </w:rPr>
            </w:pPr>
            <w:r w:rsidRPr="00991A8E">
              <w:rPr>
                <w:rFonts w:ascii="Arial" w:hAnsi="Arial" w:cs="Arial"/>
                <w:sz w:val="19"/>
                <w:szCs w:val="19"/>
                <w:lang w:val="en-GB"/>
              </w:rPr>
              <w:t>Total Customer Acqu</w:t>
            </w:r>
            <w:r w:rsidRPr="00991A8E">
              <w:rPr>
                <w:rFonts w:ascii="Arial" w:hAnsi="Arial" w:cs="Arial"/>
                <w:b w:val="0"/>
                <w:sz w:val="19"/>
                <w:szCs w:val="19"/>
                <w:lang w:val="en-GB"/>
              </w:rPr>
              <w:t>i</w:t>
            </w:r>
            <w:r w:rsidRPr="00991A8E">
              <w:rPr>
                <w:rFonts w:ascii="Arial" w:hAnsi="Arial" w:cs="Arial"/>
                <w:sz w:val="19"/>
                <w:szCs w:val="19"/>
                <w:lang w:val="en-GB"/>
              </w:rPr>
              <w:t>sition Cost as % of Operating Expenses</w:t>
            </w:r>
          </w:p>
        </w:tc>
        <w:tc>
          <w:tcPr>
            <w:tcW w:w="1078" w:type="dxa"/>
            <w:gridSpan w:val="2"/>
            <w:shd w:val="clear" w:color="auto" w:fill="auto"/>
          </w:tcPr>
          <w:p w14:paraId="551F7363" w14:textId="4A1C7156" w:rsidR="00DA6B33" w:rsidRPr="00991A8E" w:rsidRDefault="00DA6B33" w:rsidP="00A456AE">
            <w:pPr>
              <w:cnfStyle w:val="000000100000" w:firstRow="0" w:lastRow="0" w:firstColumn="0" w:lastColumn="0" w:oddVBand="0" w:evenVBand="0" w:oddHBand="1" w:evenHBand="0" w:firstRowFirstColumn="0" w:firstRowLastColumn="0" w:lastRowFirstColumn="0" w:lastRowLastColumn="0"/>
              <w:rPr>
                <w:rFonts w:ascii="Arial" w:hAnsi="Arial" w:cs="Arial"/>
                <w:b/>
                <w:sz w:val="19"/>
                <w:szCs w:val="19"/>
                <w:lang w:val="en-GB"/>
              </w:rPr>
            </w:pPr>
          </w:p>
        </w:tc>
        <w:tc>
          <w:tcPr>
            <w:tcW w:w="1097" w:type="dxa"/>
            <w:shd w:val="clear" w:color="auto" w:fill="auto"/>
            <w:noWrap/>
            <w:hideMark/>
          </w:tcPr>
          <w:p w14:paraId="329A8AD0" w14:textId="77777777" w:rsidR="00DA6B33" w:rsidRPr="00991A8E" w:rsidRDefault="00DA6B33" w:rsidP="00A456A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0.32</w:t>
            </w:r>
          </w:p>
        </w:tc>
        <w:tc>
          <w:tcPr>
            <w:tcW w:w="1242" w:type="dxa"/>
            <w:shd w:val="clear" w:color="auto" w:fill="auto"/>
            <w:noWrap/>
            <w:hideMark/>
          </w:tcPr>
          <w:p w14:paraId="6DCC0BFA" w14:textId="77777777" w:rsidR="00DA6B33" w:rsidRPr="00991A8E" w:rsidRDefault="00DA6B33" w:rsidP="00A456A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0.24</w:t>
            </w:r>
          </w:p>
        </w:tc>
        <w:tc>
          <w:tcPr>
            <w:tcW w:w="1278" w:type="dxa"/>
            <w:gridSpan w:val="2"/>
            <w:shd w:val="clear" w:color="auto" w:fill="auto"/>
            <w:noWrap/>
            <w:hideMark/>
          </w:tcPr>
          <w:p w14:paraId="47F45B6C" w14:textId="77777777" w:rsidR="00DA6B33" w:rsidRPr="00991A8E" w:rsidRDefault="00DA6B33" w:rsidP="00A456A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0.24</w:t>
            </w:r>
          </w:p>
        </w:tc>
        <w:tc>
          <w:tcPr>
            <w:tcW w:w="1063" w:type="dxa"/>
            <w:shd w:val="clear" w:color="auto" w:fill="auto"/>
            <w:noWrap/>
            <w:hideMark/>
          </w:tcPr>
          <w:p w14:paraId="046423C4" w14:textId="77777777" w:rsidR="00DA6B33" w:rsidRPr="00991A8E" w:rsidRDefault="00DA6B33" w:rsidP="00A456A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775.50</w:t>
            </w:r>
          </w:p>
        </w:tc>
        <w:tc>
          <w:tcPr>
            <w:tcW w:w="1080" w:type="dxa"/>
            <w:shd w:val="clear" w:color="auto" w:fill="auto"/>
            <w:noWrap/>
            <w:hideMark/>
          </w:tcPr>
          <w:p w14:paraId="10BCCE67" w14:textId="3997A524" w:rsidR="00DA6B33" w:rsidRPr="00991A8E" w:rsidRDefault="00DA6B33" w:rsidP="00A456A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2,009.70</w:t>
            </w:r>
          </w:p>
        </w:tc>
        <w:tc>
          <w:tcPr>
            <w:tcW w:w="1080" w:type="dxa"/>
            <w:shd w:val="clear" w:color="auto" w:fill="auto"/>
            <w:noWrap/>
            <w:hideMark/>
          </w:tcPr>
          <w:p w14:paraId="364701BC" w14:textId="31EBAEA4" w:rsidR="00DA6B33" w:rsidRPr="00991A8E" w:rsidRDefault="00DA6B33" w:rsidP="00A456A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2,841.72</w:t>
            </w:r>
          </w:p>
        </w:tc>
        <w:tc>
          <w:tcPr>
            <w:tcW w:w="1012" w:type="dxa"/>
            <w:shd w:val="clear" w:color="auto" w:fill="auto"/>
            <w:noWrap/>
            <w:hideMark/>
          </w:tcPr>
          <w:p w14:paraId="5D1A6B9A" w14:textId="77777777" w:rsidR="00DA6B33" w:rsidRPr="00991A8E" w:rsidRDefault="00DA6B33" w:rsidP="00A456A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4347.83</w:t>
            </w:r>
          </w:p>
        </w:tc>
      </w:tr>
      <w:tr w:rsidR="009B55B6" w:rsidRPr="00991A8E" w14:paraId="5272AA85" w14:textId="77777777" w:rsidTr="00DA6B33">
        <w:trPr>
          <w:gridAfter w:val="1"/>
          <w:wAfter w:w="162" w:type="dxa"/>
          <w:trHeight w:val="231"/>
          <w:jc w:val="center"/>
        </w:trPr>
        <w:tc>
          <w:tcPr>
            <w:cnfStyle w:val="001000000000" w:firstRow="0" w:lastRow="0" w:firstColumn="1" w:lastColumn="0" w:oddVBand="0" w:evenVBand="0" w:oddHBand="0" w:evenHBand="0" w:firstRowFirstColumn="0" w:firstRowLastColumn="0" w:lastRowFirstColumn="0" w:lastRowLastColumn="0"/>
            <w:tcW w:w="3773" w:type="dxa"/>
            <w:shd w:val="clear" w:color="auto" w:fill="auto"/>
            <w:noWrap/>
            <w:hideMark/>
          </w:tcPr>
          <w:p w14:paraId="3DEEF800" w14:textId="77777777" w:rsidR="009B55B6" w:rsidRPr="00991A8E" w:rsidRDefault="009B55B6" w:rsidP="00A456AE">
            <w:pPr>
              <w:rPr>
                <w:rFonts w:ascii="Arial" w:hAnsi="Arial" w:cs="Arial"/>
                <w:b w:val="0"/>
                <w:sz w:val="19"/>
                <w:szCs w:val="19"/>
                <w:lang w:val="en-GB"/>
              </w:rPr>
            </w:pPr>
            <w:r w:rsidRPr="00991A8E">
              <w:rPr>
                <w:rFonts w:ascii="Arial" w:hAnsi="Arial" w:cs="Arial"/>
                <w:sz w:val="19"/>
                <w:szCs w:val="19"/>
                <w:lang w:val="en-GB"/>
              </w:rPr>
              <w:t>Revenue per Customer</w:t>
            </w:r>
          </w:p>
        </w:tc>
        <w:tc>
          <w:tcPr>
            <w:tcW w:w="1078" w:type="dxa"/>
            <w:gridSpan w:val="2"/>
            <w:shd w:val="clear" w:color="auto" w:fill="auto"/>
            <w:noWrap/>
            <w:hideMark/>
          </w:tcPr>
          <w:p w14:paraId="6BA163F7" w14:textId="77777777" w:rsidR="009B55B6" w:rsidRPr="00991A8E" w:rsidRDefault="009B55B6" w:rsidP="00A456AE">
            <w:pPr>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p>
        </w:tc>
        <w:tc>
          <w:tcPr>
            <w:tcW w:w="1097" w:type="dxa"/>
            <w:shd w:val="clear" w:color="auto" w:fill="auto"/>
            <w:noWrap/>
            <w:hideMark/>
          </w:tcPr>
          <w:p w14:paraId="2984F8D6" w14:textId="77777777" w:rsidR="009B55B6" w:rsidRPr="00991A8E" w:rsidRDefault="009B55B6" w:rsidP="00A456A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0.00</w:t>
            </w:r>
          </w:p>
        </w:tc>
        <w:tc>
          <w:tcPr>
            <w:tcW w:w="1242" w:type="dxa"/>
            <w:shd w:val="clear" w:color="auto" w:fill="auto"/>
            <w:noWrap/>
            <w:hideMark/>
          </w:tcPr>
          <w:p w14:paraId="6D4AF831" w14:textId="77777777" w:rsidR="009B55B6" w:rsidRPr="00991A8E" w:rsidRDefault="009B55B6" w:rsidP="00A456A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0.26</w:t>
            </w:r>
          </w:p>
        </w:tc>
        <w:tc>
          <w:tcPr>
            <w:tcW w:w="1278" w:type="dxa"/>
            <w:gridSpan w:val="2"/>
            <w:shd w:val="clear" w:color="auto" w:fill="auto"/>
            <w:noWrap/>
            <w:hideMark/>
          </w:tcPr>
          <w:p w14:paraId="70205075" w14:textId="77777777" w:rsidR="009B55B6" w:rsidRPr="00991A8E" w:rsidRDefault="009B55B6" w:rsidP="00A456A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0.26</w:t>
            </w:r>
          </w:p>
        </w:tc>
        <w:tc>
          <w:tcPr>
            <w:tcW w:w="1063" w:type="dxa"/>
            <w:shd w:val="clear" w:color="auto" w:fill="auto"/>
            <w:noWrap/>
            <w:hideMark/>
          </w:tcPr>
          <w:p w14:paraId="22BB7E7C" w14:textId="77777777" w:rsidR="009B55B6" w:rsidRPr="00991A8E" w:rsidRDefault="009B55B6" w:rsidP="00A456A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0.26</w:t>
            </w:r>
          </w:p>
        </w:tc>
        <w:tc>
          <w:tcPr>
            <w:tcW w:w="1080" w:type="dxa"/>
            <w:shd w:val="clear" w:color="auto" w:fill="auto"/>
            <w:noWrap/>
            <w:hideMark/>
          </w:tcPr>
          <w:p w14:paraId="0DF016C5" w14:textId="77777777" w:rsidR="009B55B6" w:rsidRPr="00991A8E" w:rsidRDefault="009B55B6" w:rsidP="00A456A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0.26</w:t>
            </w:r>
          </w:p>
        </w:tc>
        <w:tc>
          <w:tcPr>
            <w:tcW w:w="1080" w:type="dxa"/>
            <w:shd w:val="clear" w:color="auto" w:fill="auto"/>
            <w:noWrap/>
            <w:hideMark/>
          </w:tcPr>
          <w:p w14:paraId="4EA62E20" w14:textId="77777777" w:rsidR="009B55B6" w:rsidRPr="00991A8E" w:rsidRDefault="009B55B6" w:rsidP="00A456A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0.26</w:t>
            </w:r>
          </w:p>
        </w:tc>
        <w:tc>
          <w:tcPr>
            <w:tcW w:w="1012" w:type="dxa"/>
            <w:shd w:val="clear" w:color="auto" w:fill="auto"/>
            <w:noWrap/>
            <w:hideMark/>
          </w:tcPr>
          <w:p w14:paraId="5844620E" w14:textId="77777777" w:rsidR="009B55B6" w:rsidRPr="00991A8E" w:rsidRDefault="009B55B6" w:rsidP="00A456A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50.90</w:t>
            </w:r>
          </w:p>
        </w:tc>
      </w:tr>
      <w:tr w:rsidR="009B55B6" w:rsidRPr="00991A8E" w14:paraId="765930EC" w14:textId="77777777" w:rsidTr="00DA6B33">
        <w:trPr>
          <w:gridAfter w:val="1"/>
          <w:cnfStyle w:val="000000100000" w:firstRow="0" w:lastRow="0" w:firstColumn="0" w:lastColumn="0" w:oddVBand="0" w:evenVBand="0" w:oddHBand="1" w:evenHBand="0" w:firstRowFirstColumn="0" w:firstRowLastColumn="0" w:lastRowFirstColumn="0" w:lastRowLastColumn="0"/>
          <w:wAfter w:w="162" w:type="dxa"/>
          <w:trHeight w:val="231"/>
          <w:jc w:val="center"/>
        </w:trPr>
        <w:tc>
          <w:tcPr>
            <w:cnfStyle w:val="001000000000" w:firstRow="0" w:lastRow="0" w:firstColumn="1" w:lastColumn="0" w:oddVBand="0" w:evenVBand="0" w:oddHBand="0" w:evenHBand="0" w:firstRowFirstColumn="0" w:firstRowLastColumn="0" w:lastRowFirstColumn="0" w:lastRowLastColumn="0"/>
            <w:tcW w:w="3773" w:type="dxa"/>
            <w:shd w:val="clear" w:color="auto" w:fill="auto"/>
            <w:noWrap/>
            <w:hideMark/>
          </w:tcPr>
          <w:p w14:paraId="14049EB0" w14:textId="77777777" w:rsidR="009B55B6" w:rsidRPr="00991A8E" w:rsidRDefault="009B55B6" w:rsidP="00A456AE">
            <w:pPr>
              <w:rPr>
                <w:rFonts w:ascii="Arial" w:hAnsi="Arial" w:cs="Arial"/>
                <w:b w:val="0"/>
                <w:sz w:val="19"/>
                <w:szCs w:val="19"/>
                <w:lang w:val="en-GB"/>
              </w:rPr>
            </w:pPr>
            <w:r w:rsidRPr="00991A8E">
              <w:rPr>
                <w:rFonts w:ascii="Arial" w:hAnsi="Arial" w:cs="Arial"/>
                <w:sz w:val="19"/>
                <w:szCs w:val="19"/>
                <w:lang w:val="en-GB"/>
              </w:rPr>
              <w:t>Revenue per Customer</w:t>
            </w:r>
            <w:r w:rsidRPr="00991A8E">
              <w:rPr>
                <w:rFonts w:ascii="Arial" w:hAnsi="Arial" w:cs="Arial"/>
                <w:b w:val="0"/>
                <w:sz w:val="19"/>
                <w:szCs w:val="19"/>
                <w:lang w:val="en-GB"/>
              </w:rPr>
              <w:t>—</w:t>
            </w:r>
            <w:r w:rsidRPr="00991A8E">
              <w:rPr>
                <w:rFonts w:ascii="Arial" w:hAnsi="Arial" w:cs="Arial"/>
                <w:sz w:val="19"/>
                <w:szCs w:val="19"/>
                <w:lang w:val="en-GB"/>
              </w:rPr>
              <w:t>Growth</w:t>
            </w:r>
          </w:p>
        </w:tc>
        <w:tc>
          <w:tcPr>
            <w:tcW w:w="1078" w:type="dxa"/>
            <w:gridSpan w:val="2"/>
            <w:shd w:val="clear" w:color="auto" w:fill="auto"/>
            <w:noWrap/>
            <w:hideMark/>
          </w:tcPr>
          <w:p w14:paraId="4A99E452" w14:textId="77777777" w:rsidR="009B55B6" w:rsidRPr="00991A8E" w:rsidRDefault="009B55B6" w:rsidP="00A456AE">
            <w:pPr>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p>
        </w:tc>
        <w:tc>
          <w:tcPr>
            <w:tcW w:w="1097" w:type="dxa"/>
            <w:shd w:val="clear" w:color="auto" w:fill="auto"/>
            <w:noWrap/>
            <w:hideMark/>
          </w:tcPr>
          <w:p w14:paraId="0CD905F1" w14:textId="77777777" w:rsidR="009B55B6" w:rsidRPr="00991A8E" w:rsidRDefault="009B55B6" w:rsidP="00A456A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0.00</w:t>
            </w:r>
          </w:p>
        </w:tc>
        <w:tc>
          <w:tcPr>
            <w:tcW w:w="1242" w:type="dxa"/>
            <w:shd w:val="clear" w:color="auto" w:fill="auto"/>
            <w:noWrap/>
            <w:hideMark/>
          </w:tcPr>
          <w:p w14:paraId="7CC5B475" w14:textId="77777777" w:rsidR="009B55B6" w:rsidRPr="00991A8E" w:rsidRDefault="009B55B6" w:rsidP="00A456A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p>
        </w:tc>
        <w:tc>
          <w:tcPr>
            <w:tcW w:w="1278" w:type="dxa"/>
            <w:gridSpan w:val="2"/>
            <w:shd w:val="clear" w:color="auto" w:fill="auto"/>
            <w:noWrap/>
            <w:hideMark/>
          </w:tcPr>
          <w:p w14:paraId="47A8D867" w14:textId="77777777" w:rsidR="009B55B6" w:rsidRPr="00991A8E" w:rsidRDefault="009B55B6" w:rsidP="00A456A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p>
        </w:tc>
        <w:tc>
          <w:tcPr>
            <w:tcW w:w="1063" w:type="dxa"/>
            <w:shd w:val="clear" w:color="auto" w:fill="auto"/>
            <w:noWrap/>
            <w:hideMark/>
          </w:tcPr>
          <w:p w14:paraId="3382B079" w14:textId="77777777" w:rsidR="009B55B6" w:rsidRPr="00991A8E" w:rsidRDefault="009B55B6" w:rsidP="00A456A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p>
        </w:tc>
        <w:tc>
          <w:tcPr>
            <w:tcW w:w="1080" w:type="dxa"/>
            <w:shd w:val="clear" w:color="auto" w:fill="auto"/>
            <w:noWrap/>
            <w:hideMark/>
          </w:tcPr>
          <w:p w14:paraId="37B8EF9E" w14:textId="77777777" w:rsidR="009B55B6" w:rsidRPr="00991A8E" w:rsidRDefault="009B55B6" w:rsidP="00A456A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p>
        </w:tc>
        <w:tc>
          <w:tcPr>
            <w:tcW w:w="1080" w:type="dxa"/>
            <w:shd w:val="clear" w:color="auto" w:fill="auto"/>
            <w:noWrap/>
            <w:hideMark/>
          </w:tcPr>
          <w:p w14:paraId="4CCD5C2F" w14:textId="77777777" w:rsidR="009B55B6" w:rsidRPr="00991A8E" w:rsidRDefault="009B55B6" w:rsidP="00A456A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p>
        </w:tc>
        <w:tc>
          <w:tcPr>
            <w:tcW w:w="1012" w:type="dxa"/>
            <w:shd w:val="clear" w:color="auto" w:fill="auto"/>
            <w:noWrap/>
            <w:hideMark/>
          </w:tcPr>
          <w:p w14:paraId="7D566477" w14:textId="77777777" w:rsidR="009B55B6" w:rsidRPr="00991A8E" w:rsidRDefault="009B55B6" w:rsidP="00A456A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0.50</w:t>
            </w:r>
          </w:p>
        </w:tc>
      </w:tr>
      <w:tr w:rsidR="009B55B6" w:rsidRPr="00991A8E" w14:paraId="40A4069A" w14:textId="77777777" w:rsidTr="00DA6B33">
        <w:trPr>
          <w:gridAfter w:val="1"/>
          <w:wAfter w:w="162" w:type="dxa"/>
          <w:trHeight w:val="231"/>
          <w:jc w:val="center"/>
        </w:trPr>
        <w:tc>
          <w:tcPr>
            <w:cnfStyle w:val="001000000000" w:firstRow="0" w:lastRow="0" w:firstColumn="1" w:lastColumn="0" w:oddVBand="0" w:evenVBand="0" w:oddHBand="0" w:evenHBand="0" w:firstRowFirstColumn="0" w:firstRowLastColumn="0" w:lastRowFirstColumn="0" w:lastRowLastColumn="0"/>
            <w:tcW w:w="3773" w:type="dxa"/>
            <w:shd w:val="clear" w:color="auto" w:fill="auto"/>
            <w:noWrap/>
            <w:hideMark/>
          </w:tcPr>
          <w:p w14:paraId="56B6CC23" w14:textId="77777777" w:rsidR="009B55B6" w:rsidRPr="00991A8E" w:rsidRDefault="009B55B6" w:rsidP="00A456AE">
            <w:pPr>
              <w:rPr>
                <w:rFonts w:ascii="Arial" w:hAnsi="Arial" w:cs="Arial"/>
                <w:b w:val="0"/>
                <w:sz w:val="19"/>
                <w:szCs w:val="19"/>
                <w:lang w:val="en-GB"/>
              </w:rPr>
            </w:pPr>
            <w:r w:rsidRPr="00991A8E">
              <w:rPr>
                <w:rFonts w:ascii="Arial" w:hAnsi="Arial" w:cs="Arial"/>
                <w:sz w:val="19"/>
                <w:szCs w:val="19"/>
                <w:lang w:val="en-GB"/>
              </w:rPr>
              <w:t>Cost per Customer</w:t>
            </w:r>
          </w:p>
        </w:tc>
        <w:tc>
          <w:tcPr>
            <w:tcW w:w="1078" w:type="dxa"/>
            <w:gridSpan w:val="2"/>
            <w:shd w:val="clear" w:color="auto" w:fill="auto"/>
            <w:noWrap/>
            <w:hideMark/>
          </w:tcPr>
          <w:p w14:paraId="60DF60CE" w14:textId="77777777" w:rsidR="009B55B6" w:rsidRPr="00991A8E" w:rsidRDefault="009B55B6" w:rsidP="00A456A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0.50</w:t>
            </w:r>
          </w:p>
        </w:tc>
        <w:tc>
          <w:tcPr>
            <w:tcW w:w="1097" w:type="dxa"/>
            <w:shd w:val="clear" w:color="auto" w:fill="auto"/>
            <w:noWrap/>
            <w:hideMark/>
          </w:tcPr>
          <w:p w14:paraId="7491A64F" w14:textId="77777777" w:rsidR="009B55B6" w:rsidRPr="00991A8E" w:rsidRDefault="009B55B6" w:rsidP="00A456A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1.69</w:t>
            </w:r>
          </w:p>
        </w:tc>
        <w:tc>
          <w:tcPr>
            <w:tcW w:w="1242" w:type="dxa"/>
            <w:shd w:val="clear" w:color="auto" w:fill="auto"/>
            <w:noWrap/>
            <w:hideMark/>
          </w:tcPr>
          <w:p w14:paraId="12A61EFC" w14:textId="77777777" w:rsidR="009B55B6" w:rsidRPr="00991A8E" w:rsidRDefault="009B55B6" w:rsidP="00A456A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0.94</w:t>
            </w:r>
          </w:p>
        </w:tc>
        <w:tc>
          <w:tcPr>
            <w:tcW w:w="1278" w:type="dxa"/>
            <w:gridSpan w:val="2"/>
            <w:shd w:val="clear" w:color="auto" w:fill="auto"/>
            <w:noWrap/>
            <w:hideMark/>
          </w:tcPr>
          <w:p w14:paraId="09FF6DCF" w14:textId="77777777" w:rsidR="009B55B6" w:rsidRPr="00991A8E" w:rsidRDefault="009B55B6" w:rsidP="00A456A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1.89</w:t>
            </w:r>
          </w:p>
        </w:tc>
        <w:tc>
          <w:tcPr>
            <w:tcW w:w="1063" w:type="dxa"/>
            <w:shd w:val="clear" w:color="auto" w:fill="auto"/>
            <w:noWrap/>
            <w:hideMark/>
          </w:tcPr>
          <w:p w14:paraId="272463E2" w14:textId="77777777" w:rsidR="009B55B6" w:rsidRPr="00991A8E" w:rsidRDefault="009B55B6" w:rsidP="00A456A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5.66</w:t>
            </w:r>
          </w:p>
        </w:tc>
        <w:tc>
          <w:tcPr>
            <w:tcW w:w="1080" w:type="dxa"/>
            <w:shd w:val="clear" w:color="auto" w:fill="auto"/>
            <w:noWrap/>
            <w:hideMark/>
          </w:tcPr>
          <w:p w14:paraId="3A18AC18" w14:textId="77777777" w:rsidR="009B55B6" w:rsidRPr="00991A8E" w:rsidRDefault="009B55B6" w:rsidP="00A456A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16.97</w:t>
            </w:r>
          </w:p>
        </w:tc>
        <w:tc>
          <w:tcPr>
            <w:tcW w:w="1080" w:type="dxa"/>
            <w:shd w:val="clear" w:color="auto" w:fill="auto"/>
            <w:noWrap/>
            <w:hideMark/>
          </w:tcPr>
          <w:p w14:paraId="5F8EEA23" w14:textId="77777777" w:rsidR="009B55B6" w:rsidRPr="00991A8E" w:rsidRDefault="009B55B6" w:rsidP="00A456A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33.93</w:t>
            </w:r>
          </w:p>
        </w:tc>
        <w:tc>
          <w:tcPr>
            <w:tcW w:w="1012" w:type="dxa"/>
            <w:shd w:val="clear" w:color="auto" w:fill="auto"/>
            <w:noWrap/>
            <w:hideMark/>
          </w:tcPr>
          <w:p w14:paraId="08B91D41" w14:textId="77777777" w:rsidR="009B55B6" w:rsidRPr="00991A8E" w:rsidRDefault="009B55B6" w:rsidP="00A456A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23.53</w:t>
            </w:r>
          </w:p>
        </w:tc>
      </w:tr>
      <w:tr w:rsidR="009B55B6" w:rsidRPr="00991A8E" w14:paraId="65A409A8" w14:textId="77777777" w:rsidTr="00DA6B33">
        <w:trPr>
          <w:gridAfter w:val="1"/>
          <w:cnfStyle w:val="000000100000" w:firstRow="0" w:lastRow="0" w:firstColumn="0" w:lastColumn="0" w:oddVBand="0" w:evenVBand="0" w:oddHBand="1" w:evenHBand="0" w:firstRowFirstColumn="0" w:firstRowLastColumn="0" w:lastRowFirstColumn="0" w:lastRowLastColumn="0"/>
          <w:wAfter w:w="162" w:type="dxa"/>
          <w:trHeight w:val="231"/>
          <w:jc w:val="center"/>
        </w:trPr>
        <w:tc>
          <w:tcPr>
            <w:cnfStyle w:val="001000000000" w:firstRow="0" w:lastRow="0" w:firstColumn="1" w:lastColumn="0" w:oddVBand="0" w:evenVBand="0" w:oddHBand="0" w:evenHBand="0" w:firstRowFirstColumn="0" w:firstRowLastColumn="0" w:lastRowFirstColumn="0" w:lastRowLastColumn="0"/>
            <w:tcW w:w="3773" w:type="dxa"/>
            <w:shd w:val="clear" w:color="auto" w:fill="auto"/>
            <w:noWrap/>
            <w:hideMark/>
          </w:tcPr>
          <w:p w14:paraId="6F9E206D" w14:textId="09F4B47D" w:rsidR="009B55B6" w:rsidRPr="00991A8E" w:rsidRDefault="009B55B6" w:rsidP="001564D1">
            <w:pPr>
              <w:rPr>
                <w:rFonts w:ascii="Arial" w:hAnsi="Arial" w:cs="Arial"/>
                <w:b w:val="0"/>
                <w:sz w:val="19"/>
                <w:szCs w:val="19"/>
                <w:lang w:val="en-GB"/>
              </w:rPr>
            </w:pPr>
            <w:r w:rsidRPr="00991A8E">
              <w:rPr>
                <w:rFonts w:ascii="Arial" w:hAnsi="Arial" w:cs="Arial"/>
                <w:sz w:val="19"/>
                <w:szCs w:val="19"/>
                <w:lang w:val="en-GB"/>
              </w:rPr>
              <w:t xml:space="preserve">Cost per </w:t>
            </w:r>
            <w:r w:rsidR="001564D1">
              <w:rPr>
                <w:rFonts w:ascii="Arial" w:hAnsi="Arial" w:cs="Arial"/>
                <w:sz w:val="19"/>
                <w:szCs w:val="19"/>
                <w:lang w:val="en-GB"/>
              </w:rPr>
              <w:t>C</w:t>
            </w:r>
            <w:r w:rsidRPr="00991A8E">
              <w:rPr>
                <w:rFonts w:ascii="Arial" w:hAnsi="Arial" w:cs="Arial"/>
                <w:sz w:val="19"/>
                <w:szCs w:val="19"/>
                <w:lang w:val="en-GB"/>
              </w:rPr>
              <w:t>ustomer</w:t>
            </w:r>
            <w:r w:rsidRPr="00991A8E">
              <w:rPr>
                <w:rFonts w:ascii="Arial" w:hAnsi="Arial" w:cs="Arial"/>
                <w:b w:val="0"/>
                <w:sz w:val="19"/>
                <w:szCs w:val="19"/>
                <w:lang w:val="en-GB"/>
              </w:rPr>
              <w:t>—</w:t>
            </w:r>
            <w:r w:rsidRPr="00991A8E">
              <w:rPr>
                <w:rFonts w:ascii="Arial" w:hAnsi="Arial" w:cs="Arial"/>
                <w:sz w:val="19"/>
                <w:szCs w:val="19"/>
                <w:lang w:val="en-GB"/>
              </w:rPr>
              <w:t>Growth</w:t>
            </w:r>
          </w:p>
        </w:tc>
        <w:tc>
          <w:tcPr>
            <w:tcW w:w="1078" w:type="dxa"/>
            <w:gridSpan w:val="2"/>
            <w:shd w:val="clear" w:color="auto" w:fill="auto"/>
            <w:noWrap/>
            <w:hideMark/>
          </w:tcPr>
          <w:p w14:paraId="108067EA" w14:textId="77777777" w:rsidR="009B55B6" w:rsidRPr="00991A8E" w:rsidRDefault="009B55B6" w:rsidP="00A456AE">
            <w:pPr>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p>
        </w:tc>
        <w:tc>
          <w:tcPr>
            <w:tcW w:w="1097" w:type="dxa"/>
            <w:shd w:val="clear" w:color="auto" w:fill="auto"/>
            <w:noWrap/>
            <w:hideMark/>
          </w:tcPr>
          <w:p w14:paraId="291F3B19" w14:textId="77777777" w:rsidR="009B55B6" w:rsidRPr="00991A8E" w:rsidRDefault="009B55B6" w:rsidP="00A456A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0.00</w:t>
            </w:r>
          </w:p>
        </w:tc>
        <w:tc>
          <w:tcPr>
            <w:tcW w:w="1242" w:type="dxa"/>
            <w:shd w:val="clear" w:color="auto" w:fill="auto"/>
            <w:noWrap/>
            <w:hideMark/>
          </w:tcPr>
          <w:p w14:paraId="2E2B05AD" w14:textId="77777777" w:rsidR="009B55B6" w:rsidRPr="00991A8E" w:rsidRDefault="009B55B6" w:rsidP="00A456A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0.00</w:t>
            </w:r>
          </w:p>
        </w:tc>
        <w:tc>
          <w:tcPr>
            <w:tcW w:w="1278" w:type="dxa"/>
            <w:gridSpan w:val="2"/>
            <w:shd w:val="clear" w:color="auto" w:fill="auto"/>
            <w:noWrap/>
            <w:hideMark/>
          </w:tcPr>
          <w:p w14:paraId="43857E49" w14:textId="77777777" w:rsidR="009B55B6" w:rsidRPr="00991A8E" w:rsidRDefault="009B55B6" w:rsidP="00A456A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1.00</w:t>
            </w:r>
          </w:p>
        </w:tc>
        <w:tc>
          <w:tcPr>
            <w:tcW w:w="1063" w:type="dxa"/>
            <w:shd w:val="clear" w:color="auto" w:fill="auto"/>
            <w:noWrap/>
            <w:hideMark/>
          </w:tcPr>
          <w:p w14:paraId="734A9873" w14:textId="77777777" w:rsidR="009B55B6" w:rsidRPr="00991A8E" w:rsidRDefault="009B55B6" w:rsidP="00A456A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2.00</w:t>
            </w:r>
          </w:p>
        </w:tc>
        <w:tc>
          <w:tcPr>
            <w:tcW w:w="1080" w:type="dxa"/>
            <w:shd w:val="clear" w:color="auto" w:fill="auto"/>
            <w:noWrap/>
            <w:hideMark/>
          </w:tcPr>
          <w:p w14:paraId="0FC75D21" w14:textId="77777777" w:rsidR="009B55B6" w:rsidRPr="00991A8E" w:rsidRDefault="009B55B6" w:rsidP="00A456A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2.00</w:t>
            </w:r>
          </w:p>
        </w:tc>
        <w:tc>
          <w:tcPr>
            <w:tcW w:w="1080" w:type="dxa"/>
            <w:shd w:val="clear" w:color="auto" w:fill="auto"/>
            <w:noWrap/>
            <w:hideMark/>
          </w:tcPr>
          <w:p w14:paraId="6E4C7D4C" w14:textId="77777777" w:rsidR="009B55B6" w:rsidRPr="00991A8E" w:rsidRDefault="009B55B6" w:rsidP="00A456A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1.00</w:t>
            </w:r>
          </w:p>
        </w:tc>
        <w:tc>
          <w:tcPr>
            <w:tcW w:w="1012" w:type="dxa"/>
            <w:shd w:val="clear" w:color="auto" w:fill="auto"/>
            <w:noWrap/>
            <w:hideMark/>
          </w:tcPr>
          <w:p w14:paraId="076FC34D" w14:textId="77777777" w:rsidR="009B55B6" w:rsidRPr="00991A8E" w:rsidRDefault="009B55B6" w:rsidP="00A456A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0.10</w:t>
            </w:r>
          </w:p>
        </w:tc>
      </w:tr>
      <w:tr w:rsidR="009B55B6" w:rsidRPr="00991A8E" w14:paraId="18BEC61F" w14:textId="77777777" w:rsidTr="00DA6B33">
        <w:trPr>
          <w:gridAfter w:val="1"/>
          <w:wAfter w:w="162" w:type="dxa"/>
          <w:trHeight w:val="231"/>
          <w:jc w:val="center"/>
        </w:trPr>
        <w:tc>
          <w:tcPr>
            <w:cnfStyle w:val="001000000000" w:firstRow="0" w:lastRow="0" w:firstColumn="1" w:lastColumn="0" w:oddVBand="0" w:evenVBand="0" w:oddHBand="0" w:evenHBand="0" w:firstRowFirstColumn="0" w:firstRowLastColumn="0" w:lastRowFirstColumn="0" w:lastRowLastColumn="0"/>
            <w:tcW w:w="3773" w:type="dxa"/>
            <w:shd w:val="clear" w:color="auto" w:fill="auto"/>
            <w:noWrap/>
            <w:hideMark/>
          </w:tcPr>
          <w:p w14:paraId="61136412" w14:textId="77777777" w:rsidR="004B2A4B" w:rsidRPr="00991A8E" w:rsidRDefault="004B2A4B" w:rsidP="00A456AE">
            <w:pPr>
              <w:rPr>
                <w:rFonts w:ascii="Arial" w:hAnsi="Arial" w:cs="Arial"/>
                <w:b w:val="0"/>
                <w:sz w:val="19"/>
                <w:szCs w:val="19"/>
                <w:lang w:val="en-GB"/>
              </w:rPr>
            </w:pPr>
            <w:r w:rsidRPr="00991A8E">
              <w:rPr>
                <w:rFonts w:ascii="Arial" w:hAnsi="Arial" w:cs="Arial"/>
                <w:sz w:val="19"/>
                <w:szCs w:val="19"/>
                <w:lang w:val="en-GB"/>
              </w:rPr>
              <w:t>Depreciation as % of Last Year’s Operating Expenses</w:t>
            </w:r>
          </w:p>
        </w:tc>
        <w:tc>
          <w:tcPr>
            <w:tcW w:w="1078" w:type="dxa"/>
            <w:gridSpan w:val="2"/>
            <w:shd w:val="clear" w:color="auto" w:fill="auto"/>
            <w:noWrap/>
            <w:hideMark/>
          </w:tcPr>
          <w:p w14:paraId="3FF2F1E9" w14:textId="77777777" w:rsidR="004B2A4B" w:rsidRPr="00991A8E" w:rsidRDefault="004B2A4B" w:rsidP="00A456A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0.20</w:t>
            </w:r>
          </w:p>
        </w:tc>
        <w:tc>
          <w:tcPr>
            <w:tcW w:w="1097" w:type="dxa"/>
            <w:shd w:val="clear" w:color="auto" w:fill="auto"/>
            <w:noWrap/>
            <w:hideMark/>
          </w:tcPr>
          <w:p w14:paraId="66375CA5" w14:textId="77777777" w:rsidR="004B2A4B" w:rsidRPr="00991A8E" w:rsidRDefault="004B2A4B" w:rsidP="00A456A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0.10</w:t>
            </w:r>
          </w:p>
        </w:tc>
        <w:tc>
          <w:tcPr>
            <w:tcW w:w="1242" w:type="dxa"/>
            <w:shd w:val="clear" w:color="auto" w:fill="auto"/>
            <w:noWrap/>
            <w:hideMark/>
          </w:tcPr>
          <w:p w14:paraId="74EA2072" w14:textId="77777777" w:rsidR="004B2A4B" w:rsidRPr="00991A8E" w:rsidRDefault="004B2A4B" w:rsidP="00A456A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991A8E">
              <w:rPr>
                <w:rFonts w:ascii="Arial" w:hAnsi="Arial" w:cs="Arial"/>
                <w:sz w:val="19"/>
                <w:szCs w:val="19"/>
                <w:lang w:val="en-GB"/>
              </w:rPr>
              <w:t>4.20</w:t>
            </w:r>
          </w:p>
        </w:tc>
        <w:tc>
          <w:tcPr>
            <w:tcW w:w="1278" w:type="dxa"/>
            <w:gridSpan w:val="2"/>
            <w:shd w:val="clear" w:color="auto" w:fill="auto"/>
            <w:noWrap/>
            <w:hideMark/>
          </w:tcPr>
          <w:p w14:paraId="54EBB4F1" w14:textId="77777777" w:rsidR="004B2A4B" w:rsidRPr="00991A8E" w:rsidRDefault="004B2A4B" w:rsidP="00A456A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p>
        </w:tc>
        <w:tc>
          <w:tcPr>
            <w:tcW w:w="1063" w:type="dxa"/>
            <w:shd w:val="clear" w:color="auto" w:fill="auto"/>
            <w:noWrap/>
            <w:hideMark/>
          </w:tcPr>
          <w:p w14:paraId="7189613B" w14:textId="77777777" w:rsidR="004B2A4B" w:rsidRPr="00991A8E" w:rsidRDefault="004B2A4B" w:rsidP="00A456A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p>
        </w:tc>
        <w:tc>
          <w:tcPr>
            <w:tcW w:w="1080" w:type="dxa"/>
            <w:shd w:val="clear" w:color="auto" w:fill="auto"/>
            <w:noWrap/>
            <w:hideMark/>
          </w:tcPr>
          <w:p w14:paraId="3E6412EA" w14:textId="77777777" w:rsidR="004B2A4B" w:rsidRPr="00991A8E" w:rsidRDefault="004B2A4B" w:rsidP="00A456A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p>
        </w:tc>
        <w:tc>
          <w:tcPr>
            <w:tcW w:w="1080" w:type="dxa"/>
            <w:shd w:val="clear" w:color="auto" w:fill="auto"/>
            <w:noWrap/>
            <w:hideMark/>
          </w:tcPr>
          <w:p w14:paraId="203665DD" w14:textId="77777777" w:rsidR="004B2A4B" w:rsidRPr="00991A8E" w:rsidRDefault="004B2A4B" w:rsidP="00A456A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p>
        </w:tc>
        <w:tc>
          <w:tcPr>
            <w:tcW w:w="1012" w:type="dxa"/>
            <w:shd w:val="clear" w:color="auto" w:fill="auto"/>
            <w:noWrap/>
            <w:hideMark/>
          </w:tcPr>
          <w:p w14:paraId="61EE945E" w14:textId="77777777" w:rsidR="004B2A4B" w:rsidRPr="00991A8E" w:rsidRDefault="004B2A4B" w:rsidP="00A456A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p>
        </w:tc>
      </w:tr>
    </w:tbl>
    <w:p w14:paraId="239DA99E" w14:textId="77777777" w:rsidR="009B55B6" w:rsidRDefault="009B55B6" w:rsidP="009B55B6">
      <w:pPr>
        <w:pStyle w:val="FootnoteText1"/>
      </w:pPr>
    </w:p>
    <w:p w14:paraId="072597B7" w14:textId="77777777" w:rsidR="00662EA3" w:rsidRDefault="004B2A4B" w:rsidP="009B55B6">
      <w:pPr>
        <w:pStyle w:val="FootnoteText1"/>
        <w:sectPr w:rsidR="00662EA3" w:rsidSect="004B2A4B">
          <w:headerReference w:type="default" r:id="rId19"/>
          <w:pgSz w:w="15840" w:h="12240" w:orient="landscape" w:code="1"/>
          <w:pgMar w:top="1440" w:right="1440" w:bottom="1440" w:left="1440" w:header="1080" w:footer="720" w:gutter="0"/>
          <w:cols w:space="720"/>
          <w:docGrid w:linePitch="360"/>
        </w:sectPr>
      </w:pPr>
      <w:r w:rsidRPr="009B55B6">
        <w:t>Source: Created by the case author using data from “</w:t>
      </w:r>
      <w:proofErr w:type="spellStart"/>
      <w:r w:rsidRPr="009B55B6">
        <w:t>ChimpChange</w:t>
      </w:r>
      <w:proofErr w:type="spellEnd"/>
      <w:r w:rsidRPr="009B55B6">
        <w:t xml:space="preserve"> Ltd—Initiating Coverage,” Moelis &amp; Company, Australia Securities—Research Department, July 20, 2016, </w:t>
      </w:r>
      <w:proofErr w:type="spellStart"/>
      <w:r w:rsidRPr="009B55B6">
        <w:t>Chimp</w:t>
      </w:r>
      <w:r w:rsidR="00DA6B33">
        <w:t>C</w:t>
      </w:r>
      <w:r w:rsidRPr="009B55B6">
        <w:t>hange</w:t>
      </w:r>
      <w:proofErr w:type="spellEnd"/>
      <w:r w:rsidRPr="009B55B6">
        <w:t xml:space="preserve"> Ltd.: Digital Disruptor, 16, July 21, 20, accessed August 8, 2018, </w:t>
      </w:r>
      <w:bookmarkStart w:id="0" w:name="_GoBack"/>
      <w:bookmarkEnd w:id="0"/>
      <w:r w:rsidRPr="009B55B6">
        <w:t>www.scribd.com/document/319304412/CCA-2016-07-Moelis-Initiation.</w:t>
      </w:r>
    </w:p>
    <w:p w14:paraId="04F03BEE" w14:textId="6493F7E6" w:rsidR="004B2A4B" w:rsidRDefault="00662EA3" w:rsidP="00662EA3">
      <w:pPr>
        <w:pStyle w:val="Casehead1"/>
      </w:pPr>
      <w:r>
        <w:lastRenderedPageBreak/>
        <w:t>Endnotes</w:t>
      </w:r>
    </w:p>
    <w:sectPr w:rsidR="004B2A4B" w:rsidSect="00662EA3">
      <w:headerReference w:type="default" r:id="rId20"/>
      <w:pgSz w:w="12240" w:h="15840" w:code="1"/>
      <w:pgMar w:top="1080" w:right="1440" w:bottom="1440" w:left="1440" w:header="10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DD727" w14:textId="77777777" w:rsidR="001564D1" w:rsidRDefault="001564D1" w:rsidP="00D75295">
      <w:r>
        <w:separator/>
      </w:r>
    </w:p>
  </w:endnote>
  <w:endnote w:type="continuationSeparator" w:id="0">
    <w:p w14:paraId="6B71D05B" w14:textId="77777777" w:rsidR="001564D1" w:rsidRDefault="001564D1" w:rsidP="00D75295">
      <w:r>
        <w:continuationSeparator/>
      </w:r>
    </w:p>
  </w:endnote>
  <w:endnote w:id="1">
    <w:p w14:paraId="53124C49" w14:textId="7F809B2F" w:rsidR="001564D1" w:rsidRDefault="001564D1" w:rsidP="00662EA3">
      <w:pPr>
        <w:pStyle w:val="FootnoteText1"/>
      </w:pPr>
      <w:r>
        <w:rPr>
          <w:rStyle w:val="EndnoteReference"/>
        </w:rPr>
        <w:endnoteRef/>
      </w:r>
      <w:r>
        <w:t xml:space="preserve"> This case has been written on the basis of published sources only. Consequently, the interpretation and perspectives presented in this case are not necessarily those of </w:t>
      </w:r>
      <w:proofErr w:type="spellStart"/>
      <w:r>
        <w:t>ChimpChange</w:t>
      </w:r>
      <w:proofErr w:type="spellEnd"/>
      <w:r>
        <w:t xml:space="preserve"> or any of its employees. </w:t>
      </w:r>
    </w:p>
  </w:endnote>
  <w:endnote w:id="2">
    <w:p w14:paraId="5D0EF778" w14:textId="77777777" w:rsidR="001564D1" w:rsidRPr="00DB14E1" w:rsidRDefault="001564D1" w:rsidP="00A000EC">
      <w:pPr>
        <w:pStyle w:val="FootnoteText1"/>
      </w:pPr>
      <w:r>
        <w:rPr>
          <w:rStyle w:val="EndnoteReference"/>
        </w:rPr>
        <w:endnoteRef/>
      </w:r>
      <w:r>
        <w:t xml:space="preserve"> </w:t>
      </w:r>
      <w:proofErr w:type="spellStart"/>
      <w:r w:rsidRPr="00DB14E1">
        <w:t>ChimpChange</w:t>
      </w:r>
      <w:proofErr w:type="spellEnd"/>
      <w:r w:rsidRPr="00DB14E1">
        <w:t xml:space="preserve"> </w:t>
      </w:r>
      <w:r>
        <w:t xml:space="preserve">Limited, </w:t>
      </w:r>
      <w:r w:rsidRPr="009656CB">
        <w:rPr>
          <w:i/>
        </w:rPr>
        <w:t xml:space="preserve">Prospectus: </w:t>
      </w:r>
      <w:proofErr w:type="spellStart"/>
      <w:r w:rsidRPr="009656CB">
        <w:rPr>
          <w:i/>
        </w:rPr>
        <w:t>ChimpChange</w:t>
      </w:r>
      <w:proofErr w:type="spellEnd"/>
      <w:r w:rsidRPr="009656CB">
        <w:rPr>
          <w:i/>
        </w:rPr>
        <w:t xml:space="preserve"> Limited—ABN 34 150 762 351</w:t>
      </w:r>
      <w:r w:rsidRPr="00DB14E1">
        <w:t xml:space="preserve">, </w:t>
      </w:r>
      <w:r>
        <w:t xml:space="preserve">2017, </w:t>
      </w:r>
      <w:r w:rsidRPr="00DB14E1">
        <w:t xml:space="preserve">accessed August </w:t>
      </w:r>
      <w:r>
        <w:t>31</w:t>
      </w:r>
      <w:r w:rsidRPr="00DB14E1">
        <w:t xml:space="preserve">, 2018, </w:t>
      </w:r>
      <w:r w:rsidRPr="00AD299B">
        <w:t>www.chimpchange.me/wp-content/uploads/2017/03/prospectus.pdf</w:t>
      </w:r>
      <w:r w:rsidRPr="00DB14E1">
        <w:t>.</w:t>
      </w:r>
    </w:p>
  </w:endnote>
  <w:endnote w:id="3">
    <w:p w14:paraId="2238B0E1" w14:textId="77777777" w:rsidR="001564D1" w:rsidRDefault="001564D1" w:rsidP="00A000EC">
      <w:pPr>
        <w:pStyle w:val="FootnoteText1"/>
      </w:pPr>
      <w:r>
        <w:rPr>
          <w:rStyle w:val="EndnoteReference"/>
        </w:rPr>
        <w:endnoteRef/>
      </w:r>
      <w:r>
        <w:t xml:space="preserve"> Start-ups raised capital in various stages. The first stages usually involved seed and angel funding, where founder(s) approached friends and family to acquire capital to build and develop a product. The founder(s) would likely also approach angel investors—outside investors who were interested in helping good ideas get off the ground. After</w:t>
      </w:r>
      <w:r w:rsidRPr="009656CB">
        <w:t xml:space="preserve"> proof of concept</w:t>
      </w:r>
      <w:r>
        <w:t xml:space="preserve"> was established</w:t>
      </w:r>
      <w:r w:rsidRPr="009656CB">
        <w:t xml:space="preserve">, it was easier to move to external funding. Series A funding was the first round of external funding. The suppliers of series A capital were usually venture capitalists who supplied capital after the product was ready to go to market; there </w:t>
      </w:r>
      <w:r>
        <w:t>was likely</w:t>
      </w:r>
      <w:r w:rsidRPr="009656CB">
        <w:t xml:space="preserve"> some cash inflows at this point. Series B funding w</w:t>
      </w:r>
      <w:r>
        <w:t>as the next round. This money was usually required to start increasing the scale of the product offering. At this point, the product would be competing with other products, and although revenues would have started to appear, the start-up would not necessarily be at the break-even point yet. Series C funding was acquired after the company had proven it could compete in the market and when it needed capital to increase market share and develop more products. This was often the last round before an initial public offering.</w:t>
      </w:r>
    </w:p>
  </w:endnote>
  <w:endnote w:id="4">
    <w:p w14:paraId="73E66BFF" w14:textId="77777777" w:rsidR="001564D1" w:rsidRDefault="001564D1" w:rsidP="00A000EC">
      <w:pPr>
        <w:pStyle w:val="FootnoteText1"/>
      </w:pPr>
      <w:r>
        <w:rPr>
          <w:rStyle w:val="EndnoteReference"/>
        </w:rPr>
        <w:endnoteRef/>
      </w:r>
      <w:r>
        <w:t xml:space="preserve"> Bryan Rich, “The Real Cause of the Financial Crisis,” </w:t>
      </w:r>
      <w:r w:rsidRPr="00831925">
        <w:rPr>
          <w:i/>
        </w:rPr>
        <w:t>Forbes</w:t>
      </w:r>
      <w:r>
        <w:t xml:space="preserve">, May 10, 2017, accessed August 31, 2018, </w:t>
      </w:r>
      <w:r w:rsidRPr="00831925">
        <w:t>www.forbes.com/sites/bryanrich/2017/05/10/the-real-cause-of-the-financial-crisis/#4327e2f21765</w:t>
      </w:r>
      <w:r>
        <w:t xml:space="preserve">. </w:t>
      </w:r>
    </w:p>
  </w:endnote>
  <w:endnote w:id="5">
    <w:p w14:paraId="69CA01AE" w14:textId="48006DCF" w:rsidR="001564D1" w:rsidRDefault="001564D1" w:rsidP="00A000EC">
      <w:pPr>
        <w:pStyle w:val="FootnoteText1"/>
      </w:pPr>
      <w:r>
        <w:rPr>
          <w:rStyle w:val="EndnoteReference"/>
        </w:rPr>
        <w:endnoteRef/>
      </w:r>
      <w:r>
        <w:t xml:space="preserve"> </w:t>
      </w:r>
      <w:proofErr w:type="spellStart"/>
      <w:r w:rsidRPr="00DB14E1">
        <w:t>ChimpChange</w:t>
      </w:r>
      <w:proofErr w:type="spellEnd"/>
      <w:r w:rsidRPr="00DB14E1">
        <w:t xml:space="preserve"> </w:t>
      </w:r>
      <w:r>
        <w:t xml:space="preserve">Limited, </w:t>
      </w:r>
      <w:r w:rsidRPr="009656CB">
        <w:rPr>
          <w:i/>
        </w:rPr>
        <w:t xml:space="preserve">Prospectus: </w:t>
      </w:r>
      <w:proofErr w:type="spellStart"/>
      <w:r w:rsidRPr="009656CB">
        <w:rPr>
          <w:i/>
        </w:rPr>
        <w:t>ChimpChange</w:t>
      </w:r>
      <w:proofErr w:type="spellEnd"/>
      <w:r w:rsidRPr="009656CB">
        <w:rPr>
          <w:i/>
        </w:rPr>
        <w:t xml:space="preserve"> Limited—ABN 34 150 762 351</w:t>
      </w:r>
      <w:r w:rsidRPr="00DB14E1">
        <w:t xml:space="preserve">, </w:t>
      </w:r>
      <w:r>
        <w:t xml:space="preserve">2017, </w:t>
      </w:r>
      <w:r w:rsidRPr="00DB14E1">
        <w:t xml:space="preserve">accessed August </w:t>
      </w:r>
      <w:r>
        <w:t>31</w:t>
      </w:r>
      <w:r w:rsidRPr="00DB14E1">
        <w:t xml:space="preserve">, 2018, </w:t>
      </w:r>
      <w:r w:rsidRPr="00AD299B">
        <w:t>www.chimpchange.me/wp-content/uploads/2017/03/prospectus.pdf</w:t>
      </w:r>
      <w:r w:rsidRPr="00DB14E1">
        <w:t>.</w:t>
      </w:r>
    </w:p>
  </w:endnote>
  <w:endnote w:id="6">
    <w:p w14:paraId="05AF6D92" w14:textId="77777777" w:rsidR="001564D1" w:rsidRDefault="001564D1" w:rsidP="00A000EC">
      <w:pPr>
        <w:pStyle w:val="FootnoteText1"/>
      </w:pPr>
      <w:r>
        <w:rPr>
          <w:rStyle w:val="EndnoteReference"/>
        </w:rPr>
        <w:endnoteRef/>
      </w:r>
      <w:r>
        <w:t xml:space="preserve"> All currency amounts are in U.S. dollars unless otherwise specified.</w:t>
      </w:r>
    </w:p>
  </w:endnote>
  <w:endnote w:id="7">
    <w:p w14:paraId="360B2918" w14:textId="77777777" w:rsidR="001564D1" w:rsidRPr="009656CB" w:rsidRDefault="001564D1" w:rsidP="00A000EC">
      <w:pPr>
        <w:pStyle w:val="FootnoteText1"/>
        <w:rPr>
          <w:lang w:val="en-CA"/>
        </w:rPr>
      </w:pPr>
      <w:r>
        <w:rPr>
          <w:rStyle w:val="EndnoteReference"/>
        </w:rPr>
        <w:endnoteRef/>
      </w:r>
      <w:r>
        <w:t xml:space="preserve"> A </w:t>
      </w:r>
      <w:r w:rsidRPr="009656CB">
        <w:rPr>
          <w:i/>
        </w:rPr>
        <w:t>unicorn</w:t>
      </w:r>
      <w:r>
        <w:t xml:space="preserve"> was a privately held start-up company with a value of over US$1 billion.</w:t>
      </w:r>
    </w:p>
  </w:endnote>
  <w:endnote w:id="8">
    <w:p w14:paraId="65345A41" w14:textId="77777777" w:rsidR="001564D1" w:rsidRDefault="001564D1" w:rsidP="00A000EC">
      <w:pPr>
        <w:pStyle w:val="FootnoteText1"/>
      </w:pPr>
      <w:r>
        <w:rPr>
          <w:rStyle w:val="EndnoteReference"/>
        </w:rPr>
        <w:endnoteRef/>
      </w:r>
      <w:r>
        <w:t xml:space="preserve"> Lawrence </w:t>
      </w:r>
      <w:proofErr w:type="spellStart"/>
      <w:r>
        <w:t>Wintermeyer</w:t>
      </w:r>
      <w:proofErr w:type="spellEnd"/>
      <w:r>
        <w:t xml:space="preserve">, “Global FinTech VC Investment Soars in 2016,” </w:t>
      </w:r>
      <w:r w:rsidRPr="00831925">
        <w:rPr>
          <w:i/>
        </w:rPr>
        <w:t>Forbes</w:t>
      </w:r>
      <w:r>
        <w:t xml:space="preserve">, February 17, 2017, accessed August 31, 2018, </w:t>
      </w:r>
      <w:r w:rsidRPr="00C97191">
        <w:t>www.forbes.com/sites/lawrencewintermeyer/2017/02/17/global-fintech-vc-investment-soars-in-2016/#50f18c532630</w:t>
      </w:r>
      <w:r>
        <w:t>.</w:t>
      </w:r>
    </w:p>
  </w:endnote>
  <w:endnote w:id="9">
    <w:p w14:paraId="247755F8" w14:textId="77777777" w:rsidR="001564D1" w:rsidRDefault="001564D1" w:rsidP="00A000EC">
      <w:pPr>
        <w:pStyle w:val="FootnoteText1"/>
      </w:pPr>
      <w:r>
        <w:rPr>
          <w:rStyle w:val="EndnoteReference"/>
        </w:rPr>
        <w:endnoteRef/>
      </w:r>
      <w:r>
        <w:t xml:space="preserve"> </w:t>
      </w:r>
      <w:proofErr w:type="spellStart"/>
      <w:r>
        <w:t>ChimpChange</w:t>
      </w:r>
      <w:proofErr w:type="spellEnd"/>
      <w:r>
        <w:t xml:space="preserve"> Limited, </w:t>
      </w:r>
      <w:r w:rsidRPr="009656CB">
        <w:rPr>
          <w:i/>
        </w:rPr>
        <w:t xml:space="preserve">Prospectus: </w:t>
      </w:r>
      <w:proofErr w:type="spellStart"/>
      <w:r w:rsidRPr="009656CB">
        <w:rPr>
          <w:i/>
        </w:rPr>
        <w:t>ChimpChange</w:t>
      </w:r>
      <w:proofErr w:type="spellEnd"/>
      <w:r w:rsidRPr="009656CB">
        <w:rPr>
          <w:i/>
        </w:rPr>
        <w:t xml:space="preserve"> Limited—ABN 34 150 762 351</w:t>
      </w:r>
      <w:r w:rsidRPr="00DB14E1">
        <w:t>,</w:t>
      </w:r>
      <w:r>
        <w:t xml:space="preserve"> op. cit.</w:t>
      </w:r>
    </w:p>
  </w:endnote>
  <w:endnote w:id="10">
    <w:p w14:paraId="1129C338" w14:textId="77777777" w:rsidR="001564D1" w:rsidRDefault="001564D1" w:rsidP="00A000EC">
      <w:pPr>
        <w:pStyle w:val="FootnoteText1"/>
      </w:pPr>
      <w:r>
        <w:rPr>
          <w:rStyle w:val="EndnoteReference"/>
        </w:rPr>
        <w:endnoteRef/>
      </w:r>
      <w:r>
        <w:t xml:space="preserve"> </w:t>
      </w:r>
      <w:proofErr w:type="spellStart"/>
      <w:r w:rsidRPr="00CB3BFB">
        <w:rPr>
          <w:lang w:val="en-GB"/>
        </w:rPr>
        <w:t>ChimpChange</w:t>
      </w:r>
      <w:proofErr w:type="spellEnd"/>
      <w:r w:rsidRPr="00CB3BFB">
        <w:rPr>
          <w:lang w:val="en-GB"/>
        </w:rPr>
        <w:t xml:space="preserve"> Limited, </w:t>
      </w:r>
      <w:r w:rsidRPr="00CB3BFB">
        <w:rPr>
          <w:i/>
          <w:lang w:val="en-GB"/>
        </w:rPr>
        <w:t xml:space="preserve">Prospectus: </w:t>
      </w:r>
      <w:proofErr w:type="spellStart"/>
      <w:r w:rsidRPr="00CB3BFB">
        <w:rPr>
          <w:i/>
          <w:lang w:val="en-GB"/>
        </w:rPr>
        <w:t>ChimpChange</w:t>
      </w:r>
      <w:proofErr w:type="spellEnd"/>
      <w:r w:rsidRPr="00CB3BFB">
        <w:rPr>
          <w:i/>
          <w:lang w:val="en-GB"/>
        </w:rPr>
        <w:t xml:space="preserve"> Limited—ABN 34 150 762 351</w:t>
      </w:r>
      <w:r w:rsidRPr="00CB3BFB">
        <w:rPr>
          <w:lang w:val="en-GB"/>
        </w:rPr>
        <w:t>, 2017, 28, accessed August 31, 2018, www.chimpchange.me/wp-content/uploads/2017/03/prospectus.pdf.</w:t>
      </w:r>
    </w:p>
  </w:endnote>
  <w:endnote w:id="11">
    <w:p w14:paraId="0A32F0B2" w14:textId="77777777" w:rsidR="001564D1" w:rsidRDefault="001564D1" w:rsidP="00A000EC">
      <w:pPr>
        <w:pStyle w:val="FootnoteText1"/>
      </w:pPr>
      <w:r>
        <w:rPr>
          <w:rStyle w:val="EndnoteReference"/>
        </w:rPr>
        <w:endnoteRef/>
      </w:r>
      <w:r>
        <w:t xml:space="preserve"> “The Millennial Disruption Index,” BBVA, accessed August 31, 2018, </w:t>
      </w:r>
      <w:r w:rsidRPr="001136D1">
        <w:t>www.bbva.com/wp-content/uploads/2015/08/millenials.pdf</w:t>
      </w:r>
      <w:r>
        <w:t>.</w:t>
      </w:r>
    </w:p>
  </w:endnote>
  <w:endnote w:id="12">
    <w:p w14:paraId="5F489CBA" w14:textId="77777777" w:rsidR="001564D1" w:rsidRPr="00DB14E1" w:rsidRDefault="001564D1" w:rsidP="00A000EC">
      <w:pPr>
        <w:pStyle w:val="FootnoteText1"/>
      </w:pPr>
      <w:r>
        <w:rPr>
          <w:rStyle w:val="EndnoteReference"/>
        </w:rPr>
        <w:endnoteRef/>
      </w:r>
      <w:r w:rsidRPr="00136967">
        <w:rPr>
          <w:lang w:val="en-GB"/>
        </w:rPr>
        <w:t xml:space="preserve"> </w:t>
      </w:r>
      <w:proofErr w:type="spellStart"/>
      <w:r>
        <w:t>ChimpChange</w:t>
      </w:r>
      <w:proofErr w:type="spellEnd"/>
      <w:r>
        <w:t xml:space="preserve"> Limited, </w:t>
      </w:r>
      <w:r w:rsidRPr="009656CB">
        <w:rPr>
          <w:i/>
        </w:rPr>
        <w:t xml:space="preserve">Prospectus: </w:t>
      </w:r>
      <w:proofErr w:type="spellStart"/>
      <w:r w:rsidRPr="009656CB">
        <w:rPr>
          <w:i/>
        </w:rPr>
        <w:t>ChimpChange</w:t>
      </w:r>
      <w:proofErr w:type="spellEnd"/>
      <w:r w:rsidRPr="009656CB">
        <w:rPr>
          <w:i/>
        </w:rPr>
        <w:t xml:space="preserve"> Limited—ABN 34 150 762 351</w:t>
      </w:r>
      <w:r w:rsidRPr="00DB14E1">
        <w:t>,</w:t>
      </w:r>
      <w:r>
        <w:t xml:space="preserve"> op. cit., 30. </w:t>
      </w:r>
    </w:p>
  </w:endnote>
  <w:endnote w:id="13">
    <w:p w14:paraId="7FB17105" w14:textId="77777777" w:rsidR="001564D1" w:rsidRPr="009656CB" w:rsidRDefault="001564D1" w:rsidP="00A000EC">
      <w:pPr>
        <w:pStyle w:val="Footnote"/>
        <w:rPr>
          <w:lang w:val="en-CA"/>
        </w:rPr>
      </w:pPr>
      <w:r w:rsidRPr="00776378">
        <w:rPr>
          <w:rStyle w:val="EndnoteReference"/>
        </w:rPr>
        <w:endnoteRef/>
      </w:r>
      <w:r w:rsidRPr="00776378">
        <w:t xml:space="preserve"> </w:t>
      </w:r>
      <w:r w:rsidRPr="00ED280A">
        <w:rPr>
          <w:lang w:val="en-CA"/>
        </w:rPr>
        <w:t>AU$ = Australian dollar; US$1.00 = AU$1.3788</w:t>
      </w:r>
      <w:r w:rsidRPr="00DA2309">
        <w:rPr>
          <w:lang w:val="en-CA"/>
        </w:rPr>
        <w:t xml:space="preserve"> in May 2016.</w:t>
      </w:r>
    </w:p>
  </w:endnote>
  <w:endnote w:id="14">
    <w:p w14:paraId="5549CAC5" w14:textId="77777777" w:rsidR="001564D1" w:rsidRDefault="001564D1" w:rsidP="00A000EC">
      <w:pPr>
        <w:pStyle w:val="FootnoteText1"/>
      </w:pPr>
      <w:r>
        <w:rPr>
          <w:rStyle w:val="EndnoteReference"/>
        </w:rPr>
        <w:endnoteRef/>
      </w:r>
      <w:r>
        <w:t xml:space="preserve"> Scott Thompson, “</w:t>
      </w:r>
      <w:r w:rsidRPr="00DB14E1">
        <w:t xml:space="preserve">Company Profile: </w:t>
      </w:r>
      <w:proofErr w:type="spellStart"/>
      <w:r w:rsidRPr="00DB14E1">
        <w:t>ChimpChange</w:t>
      </w:r>
      <w:proofErr w:type="spellEnd"/>
      <w:r w:rsidRPr="00DB14E1">
        <w:t>,</w:t>
      </w:r>
      <w:r>
        <w:t>”</w:t>
      </w:r>
      <w:r w:rsidRPr="00DB14E1">
        <w:t xml:space="preserve"> IBS Intelligence, September 22, 2016, accessed August 8 2018, https://ibsintelligence.com/ibs-journal/ibs-news/company-profile-chimpchange/</w:t>
      </w:r>
      <w:r>
        <w:t>.</w:t>
      </w:r>
    </w:p>
  </w:endnote>
  <w:endnote w:id="15">
    <w:p w14:paraId="0AF4CE72" w14:textId="77777777" w:rsidR="001564D1" w:rsidRDefault="001564D1" w:rsidP="00A000EC">
      <w:pPr>
        <w:pStyle w:val="FootnoteText1"/>
      </w:pPr>
      <w:r>
        <w:rPr>
          <w:rStyle w:val="EndnoteReference"/>
        </w:rPr>
        <w:endnoteRef/>
      </w:r>
      <w:r>
        <w:t xml:space="preserve"> Ibid.</w:t>
      </w:r>
    </w:p>
  </w:endnote>
  <w:endnote w:id="16">
    <w:p w14:paraId="6CA0ADF3" w14:textId="77777777" w:rsidR="001564D1" w:rsidRPr="004D57F3" w:rsidRDefault="001564D1" w:rsidP="00A000EC">
      <w:pPr>
        <w:pStyle w:val="FootnoteText1"/>
      </w:pPr>
      <w:r>
        <w:rPr>
          <w:rStyle w:val="EndnoteReference"/>
        </w:rPr>
        <w:endnoteRef/>
      </w:r>
      <w:r w:rsidRPr="004D57F3">
        <w:t xml:space="preserve"> </w:t>
      </w:r>
      <w:r>
        <w:t>“</w:t>
      </w:r>
      <w:proofErr w:type="spellStart"/>
      <w:r>
        <w:t>ChimpChange</w:t>
      </w:r>
      <w:proofErr w:type="spellEnd"/>
      <w:r>
        <w:t xml:space="preserve">: 2016 AGM Presentation,” </w:t>
      </w:r>
      <w:r w:rsidRPr="00CA17E4">
        <w:t>Australian Securities Exchange</w:t>
      </w:r>
      <w:r>
        <w:t xml:space="preserve">, accessed August 31,2018, </w:t>
      </w:r>
      <w:r w:rsidRPr="004D57F3">
        <w:t>www.asx.com.au/asxpdf/20161128/pdf/43d87g2n9mpfbs.pdf</w:t>
      </w:r>
      <w:r>
        <w:t>.</w:t>
      </w:r>
    </w:p>
  </w:endnote>
  <w:endnote w:id="17">
    <w:p w14:paraId="6B3E2881" w14:textId="77777777" w:rsidR="001564D1" w:rsidRPr="009656CB" w:rsidRDefault="001564D1" w:rsidP="00A000EC">
      <w:pPr>
        <w:pStyle w:val="FootnoteText1"/>
        <w:rPr>
          <w:lang w:val="en-CA"/>
        </w:rPr>
      </w:pPr>
      <w:r w:rsidRPr="00776378">
        <w:rPr>
          <w:rStyle w:val="EndnoteReference"/>
        </w:rPr>
        <w:endnoteRef/>
      </w:r>
      <w:r w:rsidRPr="004D57F3">
        <w:rPr>
          <w:lang w:val="en-GB"/>
        </w:rPr>
        <w:t xml:space="preserve"> </w:t>
      </w:r>
      <w:r w:rsidRPr="00DA2309">
        <w:t>Scott Thompson,</w:t>
      </w:r>
      <w:r>
        <w:t xml:space="preserve"> op. cit.</w:t>
      </w:r>
    </w:p>
  </w:endnote>
  <w:endnote w:id="18">
    <w:p w14:paraId="4AA4C5FD" w14:textId="77777777" w:rsidR="001564D1" w:rsidRDefault="001564D1" w:rsidP="00A000EC">
      <w:pPr>
        <w:pStyle w:val="FootnoteText1"/>
      </w:pPr>
      <w:r>
        <w:rPr>
          <w:rStyle w:val="EndnoteReference"/>
        </w:rPr>
        <w:endnoteRef/>
      </w:r>
      <w:r>
        <w:t xml:space="preserve"> </w:t>
      </w:r>
      <w:proofErr w:type="spellStart"/>
      <w:r>
        <w:t>ChimpChange</w:t>
      </w:r>
      <w:proofErr w:type="spellEnd"/>
      <w:r>
        <w:t xml:space="preserve"> Limited, </w:t>
      </w:r>
      <w:r w:rsidRPr="009656CB">
        <w:rPr>
          <w:i/>
        </w:rPr>
        <w:t xml:space="preserve">Prospectus: </w:t>
      </w:r>
      <w:proofErr w:type="spellStart"/>
      <w:r w:rsidRPr="009656CB">
        <w:rPr>
          <w:i/>
        </w:rPr>
        <w:t>ChimpChange</w:t>
      </w:r>
      <w:proofErr w:type="spellEnd"/>
      <w:r w:rsidRPr="009656CB">
        <w:rPr>
          <w:i/>
        </w:rPr>
        <w:t xml:space="preserve"> Limited—ABN 34 150 762 351</w:t>
      </w:r>
      <w:r w:rsidRPr="00DB14E1">
        <w:t>,</w:t>
      </w:r>
      <w:r>
        <w:t xml:space="preserve"> op. cit., 8. </w:t>
      </w:r>
    </w:p>
  </w:endnote>
  <w:endnote w:id="19">
    <w:p w14:paraId="2E4C4EC2" w14:textId="77777777" w:rsidR="001564D1" w:rsidRPr="00DB14E1" w:rsidRDefault="001564D1" w:rsidP="00A000EC">
      <w:pPr>
        <w:pStyle w:val="FootnoteText1"/>
      </w:pPr>
      <w:r w:rsidRPr="00DB14E1">
        <w:rPr>
          <w:rStyle w:val="EndnoteReference"/>
        </w:rPr>
        <w:endnoteRef/>
      </w:r>
      <w:r w:rsidRPr="00DB14E1">
        <w:t xml:space="preserve"> </w:t>
      </w:r>
      <w:proofErr w:type="spellStart"/>
      <w:r>
        <w:t>ChimpChange</w:t>
      </w:r>
      <w:proofErr w:type="spellEnd"/>
      <w:r>
        <w:t xml:space="preserve"> Limited, </w:t>
      </w:r>
      <w:r w:rsidRPr="009656CB">
        <w:rPr>
          <w:i/>
        </w:rPr>
        <w:t>Annual Report for the Year Ended 30 June 2016</w:t>
      </w:r>
      <w:r>
        <w:t>,</w:t>
      </w:r>
      <w:r w:rsidRPr="00DB14E1">
        <w:t xml:space="preserve"> </w:t>
      </w:r>
      <w:r>
        <w:t xml:space="preserve">2016, </w:t>
      </w:r>
      <w:r w:rsidRPr="00DB14E1">
        <w:t>accessed August 8, 2018</w:t>
      </w:r>
      <w:r>
        <w:t xml:space="preserve">, </w:t>
      </w:r>
      <w:r w:rsidRPr="002D4699">
        <w:rPr>
          <w:rStyle w:val="Hyperlink"/>
          <w:color w:val="auto"/>
          <w:u w:val="none"/>
        </w:rPr>
        <w:t>https://hotcopper.com.au/documentdownload?id=uOMxKKzFkiWRTLKhOROKAxjvFDZpiwnYn1mrtuh6%2FN5NT7rIHY0RXRNiO1HhlFA%3D</w:t>
      </w:r>
      <w:r>
        <w:rPr>
          <w:rStyle w:val="Hyperlink"/>
          <w:color w:val="auto"/>
          <w:u w:val="none"/>
        </w:rPr>
        <w:t>.</w:t>
      </w:r>
      <w:r w:rsidRPr="00DB14E1">
        <w:t xml:space="preserve"> </w:t>
      </w:r>
    </w:p>
  </w:endnote>
  <w:endnote w:id="20">
    <w:p w14:paraId="407625C5" w14:textId="50F5608D" w:rsidR="001564D1" w:rsidRDefault="001564D1" w:rsidP="00A000EC">
      <w:pPr>
        <w:pStyle w:val="FootnoteText1"/>
      </w:pPr>
      <w:r>
        <w:rPr>
          <w:rStyle w:val="EndnoteReference"/>
        </w:rPr>
        <w:endnoteRef/>
      </w:r>
      <w:r>
        <w:t xml:space="preserve"> “</w:t>
      </w:r>
      <w:proofErr w:type="spellStart"/>
      <w:r>
        <w:t>ChimpChange</w:t>
      </w:r>
      <w:proofErr w:type="spellEnd"/>
      <w:r>
        <w:t xml:space="preserve"> Ltd. and Controlled Entity – Consolidated Financial Report for the Half-Year Ended 31 December 2015,” accessed August 31, 2018, </w:t>
      </w:r>
      <w:r w:rsidRPr="005D7760">
        <w:t>www.asx.com.au/asxpdf/20160630/pdf/4387kznmsptjwl.pdf</w:t>
      </w:r>
      <w:r>
        <w:rPr>
          <w:rStyle w:val="Hyperlink"/>
        </w:rPr>
        <w:t>.</w:t>
      </w:r>
    </w:p>
  </w:endnote>
  <w:endnote w:id="21">
    <w:p w14:paraId="0F93C060" w14:textId="77777777" w:rsidR="001564D1" w:rsidRPr="00DB14E1" w:rsidRDefault="001564D1" w:rsidP="00A000EC">
      <w:pPr>
        <w:pStyle w:val="FootnoteText1"/>
      </w:pPr>
      <w:r w:rsidRPr="00DB14E1">
        <w:rPr>
          <w:rStyle w:val="EndnoteReference"/>
        </w:rPr>
        <w:endnoteRef/>
      </w:r>
      <w:r w:rsidRPr="00DB14E1">
        <w:t xml:space="preserve"> </w:t>
      </w:r>
      <w:proofErr w:type="spellStart"/>
      <w:r>
        <w:t>Supratim</w:t>
      </w:r>
      <w:proofErr w:type="spellEnd"/>
      <w:r>
        <w:t xml:space="preserve"> Adhikari, “</w:t>
      </w:r>
      <w:r w:rsidRPr="00B67171">
        <w:t xml:space="preserve">Fintech </w:t>
      </w:r>
      <w:proofErr w:type="spellStart"/>
      <w:r w:rsidRPr="00B67171">
        <w:t>ChimpChange</w:t>
      </w:r>
      <w:proofErr w:type="spellEnd"/>
      <w:r w:rsidRPr="00B67171">
        <w:t xml:space="preserve"> has $15m IPO</w:t>
      </w:r>
      <w:r>
        <w:t xml:space="preserve">,” </w:t>
      </w:r>
      <w:r w:rsidRPr="009656CB">
        <w:rPr>
          <w:i/>
        </w:rPr>
        <w:t>Weekend Australian</w:t>
      </w:r>
      <w:r>
        <w:t xml:space="preserve">, May 31, 2016, </w:t>
      </w:r>
      <w:r w:rsidRPr="00BB00C4">
        <w:t>accessed August 8</w:t>
      </w:r>
      <w:r w:rsidRPr="00DB14E1">
        <w:t>, 2018</w:t>
      </w:r>
      <w:r>
        <w:t xml:space="preserve">, </w:t>
      </w:r>
      <w:r w:rsidRPr="009656CB">
        <w:t>www.theaustralian.com.au/business/technology/fintech-chimpchange-has-15m-ipo/news-story/b8c2d69a2b409553f5ba7cbcb1ef0caf</w:t>
      </w:r>
      <w:r>
        <w:t>.</w:t>
      </w:r>
    </w:p>
  </w:endnote>
  <w:endnote w:id="22">
    <w:p w14:paraId="3247D321" w14:textId="77777777" w:rsidR="001564D1" w:rsidRPr="00DB14E1" w:rsidRDefault="001564D1" w:rsidP="00A000EC">
      <w:pPr>
        <w:pStyle w:val="FootnoteText1"/>
      </w:pPr>
      <w:r w:rsidRPr="00DB14E1">
        <w:rPr>
          <w:rStyle w:val="EndnoteReference"/>
        </w:rPr>
        <w:endnoteRef/>
      </w:r>
      <w:r w:rsidRPr="00DB14E1">
        <w:t xml:space="preserve"> </w:t>
      </w:r>
      <w:proofErr w:type="spellStart"/>
      <w:r>
        <w:t>ChimpChange</w:t>
      </w:r>
      <w:proofErr w:type="spellEnd"/>
      <w:r>
        <w:t xml:space="preserve"> Limited, </w:t>
      </w:r>
      <w:r w:rsidRPr="009656CB">
        <w:rPr>
          <w:i/>
        </w:rPr>
        <w:t xml:space="preserve">Prospectus: </w:t>
      </w:r>
      <w:proofErr w:type="spellStart"/>
      <w:r w:rsidRPr="009656CB">
        <w:rPr>
          <w:i/>
        </w:rPr>
        <w:t>ChimpChange</w:t>
      </w:r>
      <w:proofErr w:type="spellEnd"/>
      <w:r w:rsidRPr="009656CB">
        <w:rPr>
          <w:i/>
        </w:rPr>
        <w:t xml:space="preserve"> Limited—ABN 34 150 762 351</w:t>
      </w:r>
      <w:r w:rsidRPr="00DB14E1">
        <w:t>,</w:t>
      </w:r>
      <w:r>
        <w:t xml:space="preserve"> op. cit.</w:t>
      </w:r>
    </w:p>
  </w:endnote>
  <w:endnote w:id="23">
    <w:p w14:paraId="087B71EF" w14:textId="77777777" w:rsidR="001564D1" w:rsidRDefault="001564D1" w:rsidP="00A000EC">
      <w:pPr>
        <w:pStyle w:val="FootnoteText1"/>
      </w:pPr>
      <w:r>
        <w:rPr>
          <w:rStyle w:val="EndnoteReference"/>
        </w:rPr>
        <w:endnoteRef/>
      </w:r>
      <w:r>
        <w:t xml:space="preserve"> Ibid., 8. </w:t>
      </w:r>
    </w:p>
  </w:endnote>
  <w:endnote w:id="24">
    <w:p w14:paraId="02CE823E" w14:textId="77777777" w:rsidR="001564D1" w:rsidRDefault="001564D1" w:rsidP="00A000EC">
      <w:pPr>
        <w:pStyle w:val="FootnoteText1"/>
      </w:pPr>
      <w:r>
        <w:rPr>
          <w:rStyle w:val="EndnoteReference"/>
        </w:rPr>
        <w:endnoteRef/>
      </w:r>
      <w:r>
        <w:t xml:space="preserve"> Case writer estimates based on “</w:t>
      </w:r>
      <w:proofErr w:type="spellStart"/>
      <w:r>
        <w:t>ChimpChange</w:t>
      </w:r>
      <w:proofErr w:type="spellEnd"/>
      <w:r>
        <w:t xml:space="preserve"> Ltd—Initiating Coverage,” Moelis &amp; Company, Australia Securities—Research Department, </w:t>
      </w:r>
      <w:proofErr w:type="spellStart"/>
      <w:r w:rsidRPr="005E31E9">
        <w:rPr>
          <w:i/>
        </w:rPr>
        <w:t>Chimpchange</w:t>
      </w:r>
      <w:proofErr w:type="spellEnd"/>
      <w:r w:rsidRPr="005E31E9">
        <w:rPr>
          <w:i/>
        </w:rPr>
        <w:t xml:space="preserve"> Ltd.: Digital Disruptor</w:t>
      </w:r>
      <w:r>
        <w:t>, July 20, 2016, 95</w:t>
      </w:r>
      <w:r w:rsidRPr="00432AA6">
        <w:t>, accessed August 8, 2018, www.scribd.com/document/319304412/CCA-2016-07-Moelis-Initiation</w:t>
      </w:r>
      <w:r>
        <w:t>.</w:t>
      </w:r>
    </w:p>
  </w:endnote>
  <w:endnote w:id="25">
    <w:p w14:paraId="476742A4" w14:textId="77777777" w:rsidR="001564D1" w:rsidRPr="00DB14E1" w:rsidRDefault="001564D1" w:rsidP="00A000EC">
      <w:pPr>
        <w:pStyle w:val="FootnoteText1"/>
      </w:pPr>
      <w:r w:rsidRPr="00DB14E1">
        <w:rPr>
          <w:rStyle w:val="EndnoteReference"/>
        </w:rPr>
        <w:endnoteRef/>
      </w:r>
      <w:r w:rsidRPr="00DB14E1">
        <w:t xml:space="preserve"> </w:t>
      </w:r>
      <w:proofErr w:type="spellStart"/>
      <w:r>
        <w:t>Tanaya</w:t>
      </w:r>
      <w:proofErr w:type="spellEnd"/>
      <w:r>
        <w:t xml:space="preserve"> </w:t>
      </w:r>
      <w:proofErr w:type="spellStart"/>
      <w:r>
        <w:t>Macheel</w:t>
      </w:r>
      <w:proofErr w:type="spellEnd"/>
      <w:r>
        <w:t>, “</w:t>
      </w:r>
      <w:r w:rsidRPr="00B67171">
        <w:t xml:space="preserve">Why Customer Acquisition </w:t>
      </w:r>
      <w:r>
        <w:t>Is</w:t>
      </w:r>
      <w:r w:rsidRPr="00B67171">
        <w:t xml:space="preserve"> So Difficult </w:t>
      </w:r>
      <w:r>
        <w:t>f</w:t>
      </w:r>
      <w:r w:rsidRPr="00B67171">
        <w:t>or Financial Startups</w:t>
      </w:r>
      <w:r>
        <w:t xml:space="preserve">,” </w:t>
      </w:r>
      <w:proofErr w:type="spellStart"/>
      <w:r>
        <w:t>Tearsheet</w:t>
      </w:r>
      <w:proofErr w:type="spellEnd"/>
      <w:r>
        <w:t>,</w:t>
      </w:r>
      <w:r w:rsidRPr="00B67171">
        <w:t xml:space="preserve"> </w:t>
      </w:r>
      <w:r>
        <w:t xml:space="preserve">November 7, 2017, </w:t>
      </w:r>
      <w:r w:rsidRPr="00D57616">
        <w:t>accessed August 8</w:t>
      </w:r>
      <w:r w:rsidRPr="00DB14E1">
        <w:t>, 2018</w:t>
      </w:r>
      <w:r>
        <w:t xml:space="preserve">, </w:t>
      </w:r>
      <w:r w:rsidRPr="009656CB">
        <w:t>www.tearsheet.co/data/why-customer-acquisition-is-so-difficult-for-financial-startups</w:t>
      </w:r>
      <w:r>
        <w:t>.</w:t>
      </w:r>
      <w:r w:rsidRPr="009656CB">
        <w:t xml:space="preserve"> </w:t>
      </w:r>
    </w:p>
  </w:endnote>
  <w:endnote w:id="26">
    <w:p w14:paraId="5F74574F" w14:textId="77777777" w:rsidR="001564D1" w:rsidRDefault="001564D1" w:rsidP="00A000EC">
      <w:pPr>
        <w:pStyle w:val="FootnoteText1"/>
      </w:pPr>
      <w:r>
        <w:rPr>
          <w:rStyle w:val="EndnoteReference"/>
        </w:rPr>
        <w:endnoteRef/>
      </w:r>
      <w:r>
        <w:t xml:space="preserve"> Case writer estimates based on “</w:t>
      </w:r>
      <w:proofErr w:type="spellStart"/>
      <w:r>
        <w:t>ChimpChange</w:t>
      </w:r>
      <w:proofErr w:type="spellEnd"/>
      <w:r>
        <w:t xml:space="preserve"> Ltd—Initiating Coverage,” op. cit.</w:t>
      </w:r>
    </w:p>
  </w:endnote>
  <w:endnote w:id="27">
    <w:p w14:paraId="0D46585B" w14:textId="77777777" w:rsidR="001564D1" w:rsidRPr="00DB14E1" w:rsidRDefault="001564D1" w:rsidP="00A000EC">
      <w:pPr>
        <w:pStyle w:val="FootnoteText1"/>
      </w:pPr>
      <w:r>
        <w:rPr>
          <w:rStyle w:val="EndnoteReference"/>
        </w:rPr>
        <w:endnoteRef/>
      </w:r>
      <w:r>
        <w:t xml:space="preserve"> </w:t>
      </w:r>
      <w:proofErr w:type="spellStart"/>
      <w:r>
        <w:t>ChimpChange</w:t>
      </w:r>
      <w:proofErr w:type="spellEnd"/>
      <w:r>
        <w:t xml:space="preserve"> Limited, </w:t>
      </w:r>
      <w:r w:rsidRPr="009656CB">
        <w:rPr>
          <w:i/>
        </w:rPr>
        <w:t xml:space="preserve">Prospectus: </w:t>
      </w:r>
      <w:proofErr w:type="spellStart"/>
      <w:r w:rsidRPr="009656CB">
        <w:rPr>
          <w:i/>
        </w:rPr>
        <w:t>ChimpChange</w:t>
      </w:r>
      <w:proofErr w:type="spellEnd"/>
      <w:r w:rsidRPr="009656CB">
        <w:rPr>
          <w:i/>
        </w:rPr>
        <w:t xml:space="preserve"> Limited—ABN 34 150 762 351</w:t>
      </w:r>
      <w:r w:rsidRPr="00DB14E1">
        <w:t>,</w:t>
      </w:r>
      <w:r>
        <w:t xml:space="preserve"> op. cit.</w:t>
      </w:r>
    </w:p>
  </w:endnote>
  <w:endnote w:id="28">
    <w:p w14:paraId="5EB848B0" w14:textId="77777777" w:rsidR="001564D1" w:rsidRPr="00DB14E1" w:rsidRDefault="001564D1" w:rsidP="00A000EC">
      <w:pPr>
        <w:pStyle w:val="FootnoteText1"/>
      </w:pPr>
      <w:r>
        <w:rPr>
          <w:rStyle w:val="EndnoteReference"/>
        </w:rPr>
        <w:endnoteRef/>
      </w:r>
      <w:r>
        <w:t xml:space="preserve"> </w:t>
      </w:r>
      <w:proofErr w:type="spellStart"/>
      <w:r>
        <w:t>Supratim</w:t>
      </w:r>
      <w:proofErr w:type="spellEnd"/>
      <w:r>
        <w:t xml:space="preserve"> Adhikari, “Fintech </w:t>
      </w:r>
      <w:proofErr w:type="spellStart"/>
      <w:r>
        <w:t>ChimpChange</w:t>
      </w:r>
      <w:proofErr w:type="spellEnd"/>
      <w:r>
        <w:t xml:space="preserve"> Has $15m IPO,” </w:t>
      </w:r>
      <w:r w:rsidRPr="005E31E9">
        <w:rPr>
          <w:i/>
        </w:rPr>
        <w:t>The Australian Business Review</w:t>
      </w:r>
      <w:r>
        <w:t xml:space="preserve">, May 31, 2016, </w:t>
      </w:r>
      <w:r w:rsidRPr="00E15DDE">
        <w:t>accessed August 8, 2018, www.theaustralian.com.au/business/technology/fintech-chimpchange-has-15m-ipo/news-story/b8c2d69a2b409553f5ba7cbcb1ef0caf.</w:t>
      </w:r>
    </w:p>
  </w:endnote>
  <w:endnote w:id="29">
    <w:p w14:paraId="5EC97987" w14:textId="77777777" w:rsidR="001564D1" w:rsidRPr="00DB14E1" w:rsidRDefault="001564D1" w:rsidP="00A000EC">
      <w:pPr>
        <w:pStyle w:val="FootnoteText1"/>
      </w:pPr>
      <w:r>
        <w:rPr>
          <w:rStyle w:val="EndnoteReference"/>
        </w:rPr>
        <w:endnoteRef/>
      </w:r>
      <w:r>
        <w:t xml:space="preserve"> </w:t>
      </w:r>
      <w:proofErr w:type="spellStart"/>
      <w:r>
        <w:t>ChimpChange</w:t>
      </w:r>
      <w:proofErr w:type="spellEnd"/>
      <w:r>
        <w:t xml:space="preserve"> Limited, </w:t>
      </w:r>
      <w:r w:rsidRPr="009656CB">
        <w:rPr>
          <w:i/>
        </w:rPr>
        <w:t xml:space="preserve">Prospectus: </w:t>
      </w:r>
      <w:proofErr w:type="spellStart"/>
      <w:r w:rsidRPr="009656CB">
        <w:rPr>
          <w:i/>
        </w:rPr>
        <w:t>ChimpChange</w:t>
      </w:r>
      <w:proofErr w:type="spellEnd"/>
      <w:r w:rsidRPr="009656CB">
        <w:rPr>
          <w:i/>
        </w:rPr>
        <w:t xml:space="preserve"> Limited—ABN 34 150 762 351</w:t>
      </w:r>
      <w:r w:rsidRPr="00DB14E1">
        <w:t>,</w:t>
      </w:r>
      <w:r>
        <w:t xml:space="preserve"> op. cit., 28.</w:t>
      </w:r>
    </w:p>
  </w:endnote>
  <w:endnote w:id="30">
    <w:p w14:paraId="724817F7" w14:textId="77777777" w:rsidR="001564D1" w:rsidRDefault="001564D1" w:rsidP="00A000EC">
      <w:pPr>
        <w:pStyle w:val="FootnoteText1"/>
      </w:pPr>
      <w:r>
        <w:rPr>
          <w:rStyle w:val="EndnoteReference"/>
        </w:rPr>
        <w:endnoteRef/>
      </w:r>
      <w:r>
        <w:t xml:space="preserve"> Case writer estimates based on data from Chris </w:t>
      </w:r>
      <w:proofErr w:type="spellStart"/>
      <w:r>
        <w:t>Gayomali</w:t>
      </w:r>
      <w:proofErr w:type="spellEnd"/>
      <w:r>
        <w:t xml:space="preserve">, “How Many People are Banking </w:t>
      </w:r>
      <w:proofErr w:type="gramStart"/>
      <w:r>
        <w:t>With</w:t>
      </w:r>
      <w:proofErr w:type="gramEnd"/>
      <w:r>
        <w:t xml:space="preserve"> Simple? A Leaked Email Reveals Active User Figures,” </w:t>
      </w:r>
      <w:proofErr w:type="spellStart"/>
      <w:r>
        <w:t>Fastcompany</w:t>
      </w:r>
      <w:proofErr w:type="spellEnd"/>
      <w:r>
        <w:t xml:space="preserve">, May 29, 2014, accessed August 31, 2018, </w:t>
      </w:r>
      <w:r w:rsidRPr="007E47BB">
        <w:t>www.fastcompany.com/3031220/how-many-people-are-banking-with-simple-a-leaked-email-reveals-active-user-figures</w:t>
      </w:r>
      <w:r>
        <w:t>.</w:t>
      </w:r>
    </w:p>
  </w:endnote>
  <w:endnote w:id="31">
    <w:p w14:paraId="52CC5C76" w14:textId="77777777" w:rsidR="001564D1" w:rsidRDefault="001564D1" w:rsidP="00A000EC">
      <w:pPr>
        <w:pStyle w:val="FootnoteText1"/>
      </w:pPr>
      <w:r>
        <w:rPr>
          <w:rStyle w:val="EndnoteReference"/>
        </w:rPr>
        <w:endnoteRef/>
      </w:r>
      <w:r>
        <w:t xml:space="preserve"> For some background information see Michael R. King, “Preparing Canada for the Fintech Tsunami,” </w:t>
      </w:r>
      <w:r w:rsidRPr="00071FA0">
        <w:rPr>
          <w:i/>
        </w:rPr>
        <w:t>Ivey Business Journal</w:t>
      </w:r>
      <w:r>
        <w:t xml:space="preserve">, January/February 2018, accessed August 31, 2018, </w:t>
      </w:r>
      <w:r w:rsidRPr="00DF158D">
        <w:t>https://iveybusinessjournal.com/preparing-canada-for-the-fintech-tsunami/</w:t>
      </w:r>
      <w:r>
        <w:t xml:space="preserve">; and Australian Government, </w:t>
      </w:r>
      <w:r w:rsidRPr="00071FA0">
        <w:rPr>
          <w:i/>
        </w:rPr>
        <w:t>Backing Australian FinTech</w:t>
      </w:r>
      <w:r>
        <w:t xml:space="preserve">, 2016, accessed August 31, 2018, </w:t>
      </w:r>
      <w:r w:rsidRPr="00DF158D">
        <w:t>http://fintech.treasury.gov.au/files/2016/03/Fintech-March-2016-v3.pdf</w:t>
      </w:r>
      <w:r>
        <w:t xml:space="preserve">. </w:t>
      </w:r>
    </w:p>
  </w:endnote>
  <w:endnote w:id="32">
    <w:p w14:paraId="0503ECC5" w14:textId="77777777" w:rsidR="001564D1" w:rsidRDefault="001564D1" w:rsidP="00A000EC">
      <w:pPr>
        <w:pStyle w:val="FootnoteText1"/>
      </w:pPr>
      <w:r>
        <w:rPr>
          <w:rStyle w:val="EndnoteReference"/>
        </w:rPr>
        <w:endnoteRef/>
      </w:r>
      <w:r>
        <w:t xml:space="preserve"> Jamie Smyth and Emma Dunkley, “Australia Seeks Crown as ‘Nasdaq of Asia Pacific’,” </w:t>
      </w:r>
      <w:r w:rsidRPr="00071FA0">
        <w:rPr>
          <w:i/>
        </w:rPr>
        <w:t>Financial Times</w:t>
      </w:r>
      <w:r>
        <w:t xml:space="preserve">, February 4, 2018, accessed August 8, 2018, </w:t>
      </w:r>
      <w:r w:rsidRPr="00DB14E1">
        <w:t>www.ft.com/content/97e28ade-0712-11e8-9650-9c0ad2d7c5b5</w:t>
      </w:r>
      <w:r>
        <w:t>.</w:t>
      </w:r>
    </w:p>
  </w:endnote>
  <w:endnote w:id="33">
    <w:p w14:paraId="029EE323" w14:textId="77777777" w:rsidR="001564D1" w:rsidRDefault="001564D1" w:rsidP="00A000EC">
      <w:pPr>
        <w:pStyle w:val="FootnoteText1"/>
      </w:pPr>
      <w:r>
        <w:rPr>
          <w:rStyle w:val="EndnoteReference"/>
        </w:rPr>
        <w:endnoteRef/>
      </w:r>
      <w:r>
        <w:t xml:space="preserve"> James </w:t>
      </w:r>
      <w:proofErr w:type="spellStart"/>
      <w:r>
        <w:t>Posnett</w:t>
      </w:r>
      <w:proofErr w:type="spellEnd"/>
      <w:r>
        <w:t xml:space="preserve">, “Behind the Growth in ASX Tech Listings,” ASX, February 2017, access August 31, 2018, </w:t>
      </w:r>
      <w:r w:rsidRPr="007E47BB">
        <w:t>www.asx.com.au/education/investor-update-newsletter/201702-behind-the-growth-in-asx-tech-listings.htm</w:t>
      </w:r>
      <w:r>
        <w:t>.</w:t>
      </w:r>
    </w:p>
  </w:endnote>
  <w:endnote w:id="34">
    <w:p w14:paraId="247C7794" w14:textId="77777777" w:rsidR="001564D1" w:rsidRPr="00DB14E1" w:rsidRDefault="001564D1" w:rsidP="00A000EC">
      <w:pPr>
        <w:pStyle w:val="FootnoteText1"/>
      </w:pPr>
      <w:r>
        <w:rPr>
          <w:rStyle w:val="EndnoteReference"/>
        </w:rPr>
        <w:endnoteRef/>
      </w:r>
      <w:r>
        <w:t xml:space="preserve"> </w:t>
      </w:r>
      <w:proofErr w:type="spellStart"/>
      <w:r>
        <w:t>ChimpChange</w:t>
      </w:r>
      <w:proofErr w:type="spellEnd"/>
      <w:r>
        <w:t xml:space="preserve"> Limited, </w:t>
      </w:r>
      <w:r w:rsidRPr="009656CB">
        <w:rPr>
          <w:i/>
        </w:rPr>
        <w:t xml:space="preserve">Prospectus: </w:t>
      </w:r>
      <w:proofErr w:type="spellStart"/>
      <w:r w:rsidRPr="009656CB">
        <w:rPr>
          <w:i/>
        </w:rPr>
        <w:t>ChimpChange</w:t>
      </w:r>
      <w:proofErr w:type="spellEnd"/>
      <w:r w:rsidRPr="009656CB">
        <w:rPr>
          <w:i/>
        </w:rPr>
        <w:t xml:space="preserve"> Limited—ABN 34 150 762 351</w:t>
      </w:r>
      <w:r w:rsidRPr="00DB14E1">
        <w:t>,</w:t>
      </w:r>
      <w:r>
        <w:t xml:space="preserve"> op. cit.</w:t>
      </w:r>
    </w:p>
  </w:endnote>
  <w:endnote w:id="35">
    <w:p w14:paraId="560435A5" w14:textId="77777777" w:rsidR="001564D1" w:rsidRPr="00BF4D5C" w:rsidRDefault="001564D1" w:rsidP="00A000EC">
      <w:pPr>
        <w:pStyle w:val="Footnote"/>
        <w:rPr>
          <w:lang w:val="en-CA"/>
        </w:rPr>
      </w:pPr>
      <w:r>
        <w:rPr>
          <w:rStyle w:val="EndnoteReference"/>
        </w:rPr>
        <w:endnoteRef/>
      </w:r>
      <w:r>
        <w:t xml:space="preserve"> This figure was estimated by the c</w:t>
      </w:r>
      <w:r w:rsidRPr="00A01FAD">
        <w:t xml:space="preserve">ase writer </w:t>
      </w:r>
      <w:r>
        <w:t>based on the company</w:t>
      </w:r>
      <w:r w:rsidRPr="00A01FAD">
        <w:t xml:space="preserve"> prospectus and analyst report</w:t>
      </w:r>
      <w:r>
        <w:t xml:space="preserve">: </w:t>
      </w:r>
      <w:proofErr w:type="spellStart"/>
      <w:r>
        <w:t>ChimpChange</w:t>
      </w:r>
      <w:proofErr w:type="spellEnd"/>
      <w:r>
        <w:t xml:space="preserve"> Limited, </w:t>
      </w:r>
      <w:r w:rsidRPr="009656CB">
        <w:rPr>
          <w:i/>
        </w:rPr>
        <w:t xml:space="preserve">Prospectus: </w:t>
      </w:r>
      <w:proofErr w:type="spellStart"/>
      <w:r w:rsidRPr="009656CB">
        <w:rPr>
          <w:i/>
        </w:rPr>
        <w:t>ChimpChange</w:t>
      </w:r>
      <w:proofErr w:type="spellEnd"/>
      <w:r w:rsidRPr="009656CB">
        <w:rPr>
          <w:i/>
        </w:rPr>
        <w:t xml:space="preserve"> Limited—ABN 34 150 762 351</w:t>
      </w:r>
      <w:r w:rsidRPr="00DB14E1">
        <w:t>,</w:t>
      </w:r>
      <w:r>
        <w:t xml:space="preserve"> op. cit. </w:t>
      </w:r>
    </w:p>
  </w:endnote>
  <w:endnote w:id="36">
    <w:p w14:paraId="7A8AD35B" w14:textId="6B6DC874" w:rsidR="001564D1" w:rsidRDefault="001564D1" w:rsidP="00A000EC">
      <w:pPr>
        <w:pStyle w:val="FootnoteText1"/>
      </w:pPr>
      <w:r>
        <w:rPr>
          <w:rStyle w:val="EndnoteReference"/>
        </w:rPr>
        <w:endnoteRef/>
      </w:r>
      <w:r w:rsidR="003639BC">
        <w:t xml:space="preserve"> Case writer </w:t>
      </w:r>
      <w:r>
        <w:t>estimates.</w:t>
      </w:r>
    </w:p>
  </w:endnote>
  <w:endnote w:id="37">
    <w:p w14:paraId="3ADB30C9" w14:textId="77777777" w:rsidR="001564D1" w:rsidRDefault="001564D1" w:rsidP="00A000EC">
      <w:pPr>
        <w:pStyle w:val="FootnoteText1"/>
      </w:pPr>
      <w:r>
        <w:rPr>
          <w:rStyle w:val="EndnoteReference"/>
        </w:rPr>
        <w:endnoteRef/>
      </w:r>
      <w:r>
        <w:t xml:space="preserve"> Case writer estimates based on data from “</w:t>
      </w:r>
      <w:proofErr w:type="spellStart"/>
      <w:r>
        <w:t>ChimpChange</w:t>
      </w:r>
      <w:proofErr w:type="spellEnd"/>
      <w:r>
        <w:t xml:space="preserve"> Ltd—Initiating Coverage,” op. cit.</w:t>
      </w:r>
    </w:p>
  </w:endnote>
  <w:endnote w:id="38">
    <w:p w14:paraId="05EB6A10" w14:textId="77777777" w:rsidR="001564D1" w:rsidRDefault="001564D1" w:rsidP="00A000EC">
      <w:pPr>
        <w:pStyle w:val="FootnoteText1"/>
      </w:pPr>
      <w:r>
        <w:rPr>
          <w:rStyle w:val="EndnoteReference"/>
        </w:rPr>
        <w:endnoteRef/>
      </w:r>
      <w:r>
        <w:t xml:space="preserve"> Case writer estimates based on “</w:t>
      </w:r>
      <w:proofErr w:type="spellStart"/>
      <w:r>
        <w:t>ChimpChange</w:t>
      </w:r>
      <w:proofErr w:type="spellEnd"/>
      <w:r>
        <w:t xml:space="preserve"> and Comparable Companies,” Bloomberg L.P., accessed August 31, 2019.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7C4EE" w14:textId="77777777" w:rsidR="001564D1" w:rsidRDefault="001564D1" w:rsidP="00D75295">
      <w:r>
        <w:separator/>
      </w:r>
    </w:p>
  </w:footnote>
  <w:footnote w:type="continuationSeparator" w:id="0">
    <w:p w14:paraId="31BC9002" w14:textId="77777777" w:rsidR="001564D1" w:rsidRDefault="001564D1"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05834A64" w:rsidR="001564D1" w:rsidRPr="00C92CC4" w:rsidRDefault="001564D1"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3639BC">
      <w:rPr>
        <w:rFonts w:ascii="Arial" w:hAnsi="Arial"/>
        <w:b/>
        <w:noProof/>
      </w:rPr>
      <w:t>7</w:t>
    </w:r>
    <w:r>
      <w:rPr>
        <w:rFonts w:ascii="Arial" w:hAnsi="Arial"/>
        <w:b/>
      </w:rPr>
      <w:fldChar w:fldCharType="end"/>
    </w:r>
    <w:r>
      <w:rPr>
        <w:rFonts w:ascii="Arial" w:hAnsi="Arial"/>
        <w:b/>
      </w:rPr>
      <w:tab/>
      <w:t>9B19N009</w:t>
    </w:r>
  </w:p>
  <w:p w14:paraId="2B53C0A0" w14:textId="77777777" w:rsidR="001564D1" w:rsidRDefault="001564D1" w:rsidP="00D13667">
    <w:pPr>
      <w:pStyle w:val="Header"/>
      <w:tabs>
        <w:tab w:val="clear" w:pos="4680"/>
      </w:tabs>
      <w:rPr>
        <w:sz w:val="18"/>
        <w:szCs w:val="18"/>
      </w:rPr>
    </w:pPr>
  </w:p>
  <w:p w14:paraId="47119730" w14:textId="77777777" w:rsidR="001564D1" w:rsidRPr="00C92CC4" w:rsidRDefault="001564D1" w:rsidP="00D13667">
    <w:pPr>
      <w:pStyle w:val="Header"/>
      <w:tabs>
        <w:tab w:val="clear" w:pos="4680"/>
      </w:tabs>
      <w:rPr>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48E2F" w14:textId="77777777" w:rsidR="001564D1" w:rsidRPr="00C92CC4" w:rsidRDefault="001564D1" w:rsidP="004B2A4B">
    <w:pPr>
      <w:pBdr>
        <w:bottom w:val="single" w:sz="18" w:space="1" w:color="auto"/>
      </w:pBdr>
      <w:tabs>
        <w:tab w:val="right" w:pos="129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3639BC">
      <w:rPr>
        <w:rFonts w:ascii="Arial" w:hAnsi="Arial"/>
        <w:b/>
        <w:noProof/>
      </w:rPr>
      <w:t>8</w:t>
    </w:r>
    <w:r>
      <w:rPr>
        <w:rFonts w:ascii="Arial" w:hAnsi="Arial"/>
        <w:b/>
      </w:rPr>
      <w:fldChar w:fldCharType="end"/>
    </w:r>
    <w:r>
      <w:rPr>
        <w:rFonts w:ascii="Arial" w:hAnsi="Arial"/>
        <w:b/>
      </w:rPr>
      <w:tab/>
      <w:t>9B19N009</w:t>
    </w:r>
  </w:p>
  <w:p w14:paraId="540F6B67" w14:textId="77777777" w:rsidR="001564D1" w:rsidRDefault="001564D1" w:rsidP="004B2A4B">
    <w:pPr>
      <w:pStyle w:val="Header"/>
      <w:tabs>
        <w:tab w:val="clear" w:pos="4680"/>
        <w:tab w:val="clear" w:pos="9360"/>
        <w:tab w:val="right" w:pos="12960"/>
      </w:tabs>
      <w:rPr>
        <w:sz w:val="18"/>
        <w:szCs w:val="18"/>
      </w:rPr>
    </w:pPr>
  </w:p>
  <w:p w14:paraId="6E982F73" w14:textId="77777777" w:rsidR="001564D1" w:rsidRPr="00C92CC4" w:rsidRDefault="001564D1" w:rsidP="004B2A4B">
    <w:pPr>
      <w:pStyle w:val="Header"/>
      <w:tabs>
        <w:tab w:val="clear" w:pos="4680"/>
        <w:tab w:val="clear" w:pos="9360"/>
        <w:tab w:val="right" w:pos="12960"/>
      </w:tabs>
      <w:rPr>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A53041" w14:textId="77777777" w:rsidR="001564D1" w:rsidRPr="00C92CC4" w:rsidRDefault="001564D1" w:rsidP="004B2A4B">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915165">
      <w:rPr>
        <w:rFonts w:ascii="Arial" w:hAnsi="Arial"/>
        <w:b/>
        <w:noProof/>
      </w:rPr>
      <w:t>12</w:t>
    </w:r>
    <w:r>
      <w:rPr>
        <w:rFonts w:ascii="Arial" w:hAnsi="Arial"/>
        <w:b/>
      </w:rPr>
      <w:fldChar w:fldCharType="end"/>
    </w:r>
    <w:r>
      <w:rPr>
        <w:rFonts w:ascii="Arial" w:hAnsi="Arial"/>
        <w:b/>
      </w:rPr>
      <w:tab/>
      <w:t>9B19N009</w:t>
    </w:r>
  </w:p>
  <w:p w14:paraId="0838F373" w14:textId="77777777" w:rsidR="001564D1" w:rsidRDefault="001564D1" w:rsidP="004B2A4B">
    <w:pPr>
      <w:pStyle w:val="Header"/>
      <w:tabs>
        <w:tab w:val="clear" w:pos="4680"/>
      </w:tabs>
      <w:rPr>
        <w:sz w:val="18"/>
        <w:szCs w:val="18"/>
      </w:rPr>
    </w:pPr>
  </w:p>
  <w:p w14:paraId="0BE04159" w14:textId="77777777" w:rsidR="001564D1" w:rsidRPr="00C92CC4" w:rsidRDefault="001564D1" w:rsidP="004B2A4B">
    <w:pPr>
      <w:pStyle w:val="Header"/>
      <w:tabs>
        <w:tab w:val="clear" w:pos="4680"/>
      </w:tabs>
      <w:rPr>
        <w:sz w:val="18"/>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299407" w14:textId="77777777" w:rsidR="001564D1" w:rsidRPr="00C92CC4" w:rsidRDefault="001564D1" w:rsidP="004B2A4B">
    <w:pPr>
      <w:pBdr>
        <w:bottom w:val="single" w:sz="18" w:space="1" w:color="auto"/>
      </w:pBdr>
      <w:tabs>
        <w:tab w:val="left" w:pos="-1440"/>
        <w:tab w:val="left" w:pos="-720"/>
        <w:tab w:val="right" w:pos="129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915165">
      <w:rPr>
        <w:rFonts w:ascii="Arial" w:hAnsi="Arial"/>
        <w:b/>
        <w:noProof/>
      </w:rPr>
      <w:t>13</w:t>
    </w:r>
    <w:r>
      <w:rPr>
        <w:rFonts w:ascii="Arial" w:hAnsi="Arial"/>
        <w:b/>
      </w:rPr>
      <w:fldChar w:fldCharType="end"/>
    </w:r>
    <w:r>
      <w:rPr>
        <w:rFonts w:ascii="Arial" w:hAnsi="Arial"/>
        <w:b/>
      </w:rPr>
      <w:tab/>
      <w:t>9B19N009</w:t>
    </w:r>
  </w:p>
  <w:p w14:paraId="0820A3F1" w14:textId="77777777" w:rsidR="001564D1" w:rsidRDefault="001564D1" w:rsidP="004B2A4B">
    <w:pPr>
      <w:pStyle w:val="Header"/>
      <w:tabs>
        <w:tab w:val="clear" w:pos="4680"/>
        <w:tab w:val="clear" w:pos="9360"/>
        <w:tab w:val="right" w:pos="12960"/>
      </w:tabs>
      <w:rPr>
        <w:sz w:val="18"/>
        <w:szCs w:val="18"/>
      </w:rPr>
    </w:pPr>
  </w:p>
  <w:p w14:paraId="673E0E65" w14:textId="77777777" w:rsidR="001564D1" w:rsidRPr="00C92CC4" w:rsidRDefault="001564D1" w:rsidP="004B2A4B">
    <w:pPr>
      <w:pStyle w:val="Header"/>
      <w:tabs>
        <w:tab w:val="clear" w:pos="4680"/>
        <w:tab w:val="clear" w:pos="9360"/>
        <w:tab w:val="right" w:pos="12960"/>
      </w:tabs>
      <w:rPr>
        <w:sz w:val="18"/>
        <w:szCs w:val="1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CF0B72" w14:textId="77777777" w:rsidR="001564D1" w:rsidRPr="00C92CC4" w:rsidRDefault="001564D1" w:rsidP="004B2A4B">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915165">
      <w:rPr>
        <w:rFonts w:ascii="Arial" w:hAnsi="Arial"/>
        <w:b/>
        <w:noProof/>
      </w:rPr>
      <w:t>14</w:t>
    </w:r>
    <w:r>
      <w:rPr>
        <w:rFonts w:ascii="Arial" w:hAnsi="Arial"/>
        <w:b/>
      </w:rPr>
      <w:fldChar w:fldCharType="end"/>
    </w:r>
    <w:r>
      <w:rPr>
        <w:rFonts w:ascii="Arial" w:hAnsi="Arial"/>
        <w:b/>
      </w:rPr>
      <w:tab/>
      <w:t>9B19N009</w:t>
    </w:r>
  </w:p>
  <w:p w14:paraId="51F71524" w14:textId="77777777" w:rsidR="001564D1" w:rsidRDefault="001564D1" w:rsidP="004B2A4B">
    <w:pPr>
      <w:pStyle w:val="Header"/>
      <w:tabs>
        <w:tab w:val="clear" w:pos="4680"/>
      </w:tabs>
      <w:rPr>
        <w:sz w:val="18"/>
        <w:szCs w:val="18"/>
      </w:rPr>
    </w:pPr>
  </w:p>
  <w:p w14:paraId="0EF2E22B" w14:textId="77777777" w:rsidR="001564D1" w:rsidRPr="00C92CC4" w:rsidRDefault="001564D1" w:rsidP="004B2A4B">
    <w:pPr>
      <w:pStyle w:val="Header"/>
      <w:tabs>
        <w:tab w:val="clear" w:pos="4680"/>
      </w:tabs>
      <w:rPr>
        <w:sz w:val="18"/>
        <w:szCs w:val="1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1E133" w14:textId="77777777" w:rsidR="001564D1" w:rsidRPr="00C92CC4" w:rsidRDefault="001564D1" w:rsidP="004B2A4B">
    <w:pPr>
      <w:pBdr>
        <w:bottom w:val="single" w:sz="18" w:space="1" w:color="auto"/>
      </w:pBdr>
      <w:tabs>
        <w:tab w:val="left" w:pos="-1440"/>
        <w:tab w:val="left" w:pos="-720"/>
        <w:tab w:val="right" w:pos="129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3639BC">
      <w:rPr>
        <w:rFonts w:ascii="Arial" w:hAnsi="Arial"/>
        <w:b/>
        <w:noProof/>
      </w:rPr>
      <w:t>15</w:t>
    </w:r>
    <w:r>
      <w:rPr>
        <w:rFonts w:ascii="Arial" w:hAnsi="Arial"/>
        <w:b/>
      </w:rPr>
      <w:fldChar w:fldCharType="end"/>
    </w:r>
    <w:r>
      <w:rPr>
        <w:rFonts w:ascii="Arial" w:hAnsi="Arial"/>
        <w:b/>
      </w:rPr>
      <w:tab/>
      <w:t>9B19N009</w:t>
    </w:r>
  </w:p>
  <w:p w14:paraId="6349337F" w14:textId="77777777" w:rsidR="001564D1" w:rsidRDefault="001564D1" w:rsidP="004B2A4B">
    <w:pPr>
      <w:pStyle w:val="Header"/>
      <w:tabs>
        <w:tab w:val="clear" w:pos="4680"/>
        <w:tab w:val="clear" w:pos="9360"/>
        <w:tab w:val="right" w:pos="12960"/>
      </w:tabs>
      <w:rPr>
        <w:sz w:val="18"/>
        <w:szCs w:val="18"/>
      </w:rPr>
    </w:pPr>
  </w:p>
  <w:p w14:paraId="0A498467" w14:textId="77777777" w:rsidR="001564D1" w:rsidRPr="00C92CC4" w:rsidRDefault="001564D1" w:rsidP="004B2A4B">
    <w:pPr>
      <w:pStyle w:val="Header"/>
      <w:tabs>
        <w:tab w:val="clear" w:pos="4680"/>
        <w:tab w:val="clear" w:pos="9360"/>
        <w:tab w:val="right" w:pos="12960"/>
      </w:tabs>
      <w:rPr>
        <w:sz w:val="18"/>
        <w:szCs w:val="18"/>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A4155" w14:textId="77777777" w:rsidR="001564D1" w:rsidRPr="00C92CC4" w:rsidRDefault="001564D1" w:rsidP="00662EA3">
    <w:pPr>
      <w:pBdr>
        <w:bottom w:val="single" w:sz="18" w:space="1" w:color="auto"/>
      </w:pBdr>
      <w:tabs>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3639BC">
      <w:rPr>
        <w:rFonts w:ascii="Arial" w:hAnsi="Arial"/>
        <w:b/>
        <w:noProof/>
      </w:rPr>
      <w:t>16</w:t>
    </w:r>
    <w:r>
      <w:rPr>
        <w:rFonts w:ascii="Arial" w:hAnsi="Arial"/>
        <w:b/>
      </w:rPr>
      <w:fldChar w:fldCharType="end"/>
    </w:r>
    <w:r>
      <w:rPr>
        <w:rFonts w:ascii="Arial" w:hAnsi="Arial"/>
        <w:b/>
      </w:rPr>
      <w:tab/>
      <w:t>9B19N009</w:t>
    </w:r>
  </w:p>
  <w:p w14:paraId="58491CCA" w14:textId="77777777" w:rsidR="001564D1" w:rsidRDefault="001564D1" w:rsidP="00662EA3">
    <w:pPr>
      <w:pStyle w:val="Header"/>
      <w:tabs>
        <w:tab w:val="clear" w:pos="4680"/>
      </w:tabs>
      <w:rPr>
        <w:sz w:val="18"/>
        <w:szCs w:val="18"/>
      </w:rPr>
    </w:pPr>
  </w:p>
  <w:p w14:paraId="07E25318" w14:textId="77777777" w:rsidR="001564D1" w:rsidRPr="00C92CC4" w:rsidRDefault="001564D1" w:rsidP="00662EA3">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B8201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53E141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6FA1BF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0EC7DB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D84A88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0DA054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3062FA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9032C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41E218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562923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3E2413"/>
    <w:multiLevelType w:val="hybridMultilevel"/>
    <w:tmpl w:val="533CB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2A2920"/>
    <w:multiLevelType w:val="hybridMultilevel"/>
    <w:tmpl w:val="E7ECFD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50F1355"/>
    <w:multiLevelType w:val="hybridMultilevel"/>
    <w:tmpl w:val="9E2A40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0" w15:restartNumberingAfterBreak="0">
    <w:nsid w:val="4B3735F4"/>
    <w:multiLevelType w:val="hybridMultilevel"/>
    <w:tmpl w:val="3D6017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3"/>
  </w:num>
  <w:num w:numId="3">
    <w:abstractNumId w:val="15"/>
  </w:num>
  <w:num w:numId="4">
    <w:abstractNumId w:val="28"/>
  </w:num>
  <w:num w:numId="5">
    <w:abstractNumId w:val="17"/>
  </w:num>
  <w:num w:numId="6">
    <w:abstractNumId w:val="26"/>
  </w:num>
  <w:num w:numId="7">
    <w:abstractNumId w:val="11"/>
  </w:num>
  <w:num w:numId="8">
    <w:abstractNumId w:val="30"/>
  </w:num>
  <w:num w:numId="9">
    <w:abstractNumId w:val="27"/>
  </w:num>
  <w:num w:numId="10">
    <w:abstractNumId w:val="14"/>
  </w:num>
  <w:num w:numId="11">
    <w:abstractNumId w:val="24"/>
  </w:num>
  <w:num w:numId="12">
    <w:abstractNumId w:val="25"/>
  </w:num>
  <w:num w:numId="13">
    <w:abstractNumId w:val="16"/>
  </w:num>
  <w:num w:numId="14">
    <w:abstractNumId w:val="22"/>
  </w:num>
  <w:num w:numId="15">
    <w:abstractNumId w:val="21"/>
  </w:num>
  <w:num w:numId="16">
    <w:abstractNumId w:val="12"/>
  </w:num>
  <w:num w:numId="17">
    <w:abstractNumId w:val="19"/>
  </w:num>
  <w:num w:numId="18">
    <w:abstractNumId w:val="10"/>
  </w:num>
  <w:num w:numId="19">
    <w:abstractNumId w:val="13"/>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18"/>
  </w:num>
  <w:num w:numId="31">
    <w:abstractNumId w:val="2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trackRevisions/>
  <w:defaultTabStop w:val="720"/>
  <w:characterSpacingControl w:val="doNotCompress"/>
  <w:hdrShapeDefaults>
    <o:shapedefaults v:ext="edit" spidmax="21505"/>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615D1"/>
    <w:rsid w:val="0008102D"/>
    <w:rsid w:val="00086B26"/>
    <w:rsid w:val="00094C0E"/>
    <w:rsid w:val="000A146D"/>
    <w:rsid w:val="000D2A2F"/>
    <w:rsid w:val="000D7091"/>
    <w:rsid w:val="000F0C22"/>
    <w:rsid w:val="000F25FD"/>
    <w:rsid w:val="000F6B09"/>
    <w:rsid w:val="000F6FDC"/>
    <w:rsid w:val="00104567"/>
    <w:rsid w:val="00104916"/>
    <w:rsid w:val="00104AA7"/>
    <w:rsid w:val="0012732D"/>
    <w:rsid w:val="00143F25"/>
    <w:rsid w:val="00152682"/>
    <w:rsid w:val="00154FC9"/>
    <w:rsid w:val="001564D1"/>
    <w:rsid w:val="001901C0"/>
    <w:rsid w:val="0019241A"/>
    <w:rsid w:val="00192A18"/>
    <w:rsid w:val="001A22D1"/>
    <w:rsid w:val="001A752D"/>
    <w:rsid w:val="001A757E"/>
    <w:rsid w:val="001B5032"/>
    <w:rsid w:val="001C7777"/>
    <w:rsid w:val="001D344B"/>
    <w:rsid w:val="001E364F"/>
    <w:rsid w:val="001F4222"/>
    <w:rsid w:val="00203AA1"/>
    <w:rsid w:val="00213E98"/>
    <w:rsid w:val="00230150"/>
    <w:rsid w:val="0023081A"/>
    <w:rsid w:val="00233111"/>
    <w:rsid w:val="00265FA8"/>
    <w:rsid w:val="002905A7"/>
    <w:rsid w:val="002B40FF"/>
    <w:rsid w:val="002C0F92"/>
    <w:rsid w:val="002C4E29"/>
    <w:rsid w:val="002F460C"/>
    <w:rsid w:val="002F48D6"/>
    <w:rsid w:val="00317391"/>
    <w:rsid w:val="00326216"/>
    <w:rsid w:val="00336580"/>
    <w:rsid w:val="00354899"/>
    <w:rsid w:val="00355FD6"/>
    <w:rsid w:val="003639BC"/>
    <w:rsid w:val="00364A5C"/>
    <w:rsid w:val="00373FB1"/>
    <w:rsid w:val="00396C76"/>
    <w:rsid w:val="003B30D8"/>
    <w:rsid w:val="003B7EF2"/>
    <w:rsid w:val="003C1FA9"/>
    <w:rsid w:val="003C3FA4"/>
    <w:rsid w:val="003D0BA1"/>
    <w:rsid w:val="003F2B0C"/>
    <w:rsid w:val="004105B2"/>
    <w:rsid w:val="0041145A"/>
    <w:rsid w:val="00412900"/>
    <w:rsid w:val="004221E4"/>
    <w:rsid w:val="004273F8"/>
    <w:rsid w:val="004355A3"/>
    <w:rsid w:val="00446546"/>
    <w:rsid w:val="00452769"/>
    <w:rsid w:val="00454FA7"/>
    <w:rsid w:val="00465348"/>
    <w:rsid w:val="004979A5"/>
    <w:rsid w:val="004A25E0"/>
    <w:rsid w:val="004B1CCB"/>
    <w:rsid w:val="004B2A4B"/>
    <w:rsid w:val="004B632F"/>
    <w:rsid w:val="004D3FB1"/>
    <w:rsid w:val="004D6F21"/>
    <w:rsid w:val="004D73A5"/>
    <w:rsid w:val="005160F1"/>
    <w:rsid w:val="00524F2F"/>
    <w:rsid w:val="00527E5C"/>
    <w:rsid w:val="00532CF5"/>
    <w:rsid w:val="005528CB"/>
    <w:rsid w:val="00566771"/>
    <w:rsid w:val="00581E2E"/>
    <w:rsid w:val="00584F15"/>
    <w:rsid w:val="00587328"/>
    <w:rsid w:val="0059514B"/>
    <w:rsid w:val="005A1B0F"/>
    <w:rsid w:val="005B4CE6"/>
    <w:rsid w:val="005B5EFE"/>
    <w:rsid w:val="006163F7"/>
    <w:rsid w:val="00627C63"/>
    <w:rsid w:val="0063350B"/>
    <w:rsid w:val="00652606"/>
    <w:rsid w:val="00654EE6"/>
    <w:rsid w:val="00662EA3"/>
    <w:rsid w:val="006946EE"/>
    <w:rsid w:val="006A58A9"/>
    <w:rsid w:val="006A606D"/>
    <w:rsid w:val="006C0371"/>
    <w:rsid w:val="006C08B6"/>
    <w:rsid w:val="006C0B1A"/>
    <w:rsid w:val="006C6065"/>
    <w:rsid w:val="006C7F9F"/>
    <w:rsid w:val="006E2F6D"/>
    <w:rsid w:val="006E58F6"/>
    <w:rsid w:val="006E77E1"/>
    <w:rsid w:val="006F131D"/>
    <w:rsid w:val="00711642"/>
    <w:rsid w:val="0073621D"/>
    <w:rsid w:val="007507C6"/>
    <w:rsid w:val="00751E0B"/>
    <w:rsid w:val="00752BCD"/>
    <w:rsid w:val="00766DA1"/>
    <w:rsid w:val="00780D94"/>
    <w:rsid w:val="007866A6"/>
    <w:rsid w:val="007A130D"/>
    <w:rsid w:val="007D1A2D"/>
    <w:rsid w:val="007D32E6"/>
    <w:rsid w:val="007D4102"/>
    <w:rsid w:val="007E54A7"/>
    <w:rsid w:val="007F43B7"/>
    <w:rsid w:val="00821FFC"/>
    <w:rsid w:val="008271CA"/>
    <w:rsid w:val="008467D5"/>
    <w:rsid w:val="008A4DC4"/>
    <w:rsid w:val="008B438C"/>
    <w:rsid w:val="008D06CA"/>
    <w:rsid w:val="008D3A46"/>
    <w:rsid w:val="008F2385"/>
    <w:rsid w:val="009067A4"/>
    <w:rsid w:val="00915165"/>
    <w:rsid w:val="00930885"/>
    <w:rsid w:val="00933D68"/>
    <w:rsid w:val="009340DB"/>
    <w:rsid w:val="00940B5C"/>
    <w:rsid w:val="0094618C"/>
    <w:rsid w:val="0095684B"/>
    <w:rsid w:val="00972498"/>
    <w:rsid w:val="0097481F"/>
    <w:rsid w:val="00974CC6"/>
    <w:rsid w:val="00976AD4"/>
    <w:rsid w:val="00991A8E"/>
    <w:rsid w:val="00995547"/>
    <w:rsid w:val="009A312F"/>
    <w:rsid w:val="009A5348"/>
    <w:rsid w:val="009B0AB7"/>
    <w:rsid w:val="009B55B6"/>
    <w:rsid w:val="009C76D5"/>
    <w:rsid w:val="009F7AA4"/>
    <w:rsid w:val="00A000EC"/>
    <w:rsid w:val="00A10AD7"/>
    <w:rsid w:val="00A323B0"/>
    <w:rsid w:val="00A456AE"/>
    <w:rsid w:val="00A559DB"/>
    <w:rsid w:val="00A569EA"/>
    <w:rsid w:val="00A676A0"/>
    <w:rsid w:val="00AF1FA9"/>
    <w:rsid w:val="00AF35FC"/>
    <w:rsid w:val="00AF5556"/>
    <w:rsid w:val="00B03639"/>
    <w:rsid w:val="00B0652A"/>
    <w:rsid w:val="00B40937"/>
    <w:rsid w:val="00B423EF"/>
    <w:rsid w:val="00B453DE"/>
    <w:rsid w:val="00B62497"/>
    <w:rsid w:val="00B72597"/>
    <w:rsid w:val="00B87DC0"/>
    <w:rsid w:val="00B901F9"/>
    <w:rsid w:val="00BC4D98"/>
    <w:rsid w:val="00BD6EFB"/>
    <w:rsid w:val="00BE3DF5"/>
    <w:rsid w:val="00BF5EAB"/>
    <w:rsid w:val="00C02410"/>
    <w:rsid w:val="00C1584D"/>
    <w:rsid w:val="00C15BE2"/>
    <w:rsid w:val="00C3447F"/>
    <w:rsid w:val="00C44714"/>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A6B33"/>
    <w:rsid w:val="00DB42E7"/>
    <w:rsid w:val="00DC09D8"/>
    <w:rsid w:val="00DE01A6"/>
    <w:rsid w:val="00DE7A98"/>
    <w:rsid w:val="00DF32C2"/>
    <w:rsid w:val="00E46997"/>
    <w:rsid w:val="00E471A7"/>
    <w:rsid w:val="00E53AEB"/>
    <w:rsid w:val="00E635CF"/>
    <w:rsid w:val="00EB1E3B"/>
    <w:rsid w:val="00EC6E0A"/>
    <w:rsid w:val="00ED4E18"/>
    <w:rsid w:val="00ED7922"/>
    <w:rsid w:val="00EE02C4"/>
    <w:rsid w:val="00EE1F37"/>
    <w:rsid w:val="00F0159C"/>
    <w:rsid w:val="00F105B7"/>
    <w:rsid w:val="00F13220"/>
    <w:rsid w:val="00F17A21"/>
    <w:rsid w:val="00F36FC2"/>
    <w:rsid w:val="00F37B27"/>
    <w:rsid w:val="00F46556"/>
    <w:rsid w:val="00F50E91"/>
    <w:rsid w:val="00F56799"/>
    <w:rsid w:val="00F57D29"/>
    <w:rsid w:val="00F60786"/>
    <w:rsid w:val="00F91BC7"/>
    <w:rsid w:val="00F96201"/>
    <w:rsid w:val="00FA1BB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5"/>
    <o:shapelayout v:ext="edit">
      <o:idmap v:ext="edit" data="1"/>
    </o:shapelayout>
  </w:shapeDefaults>
  <w:decimalSymbol w:val="."/>
  <w:listSeparator w:val=","/>
  <w14:docId w14:val="779AA937"/>
  <w15:docId w15:val="{2D3321A7-E496-4AF9-8E10-8E7951FD9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1"/>
    <w:qFormat/>
    <w:rsid w:val="00CA3976"/>
    <w:pPr>
      <w:ind w:left="720"/>
      <w:contextualSpacing/>
      <w:jc w:val="both"/>
    </w:pPr>
    <w:rPr>
      <w:rFonts w:eastAsia="Calibri"/>
      <w:sz w:val="22"/>
      <w:szCs w:val="22"/>
    </w:rPr>
  </w:style>
  <w:style w:type="character" w:styleId="CommentReference">
    <w:name w:val="annotation reference"/>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9A5348"/>
    <w:rPr>
      <w:b/>
      <w:bCs/>
    </w:rPr>
  </w:style>
  <w:style w:type="character" w:customStyle="1" w:styleId="CommentSubjectChar">
    <w:name w:val="Comment Subject Char"/>
    <w:basedOn w:val="CommentTextChar"/>
    <w:link w:val="CommentSubject"/>
    <w:uiPriority w:val="99"/>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uiPriority w:val="99"/>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table" w:customStyle="1" w:styleId="GridTable4-Accent11">
    <w:name w:val="Grid Table 4 - Accent 11"/>
    <w:basedOn w:val="TableNormal"/>
    <w:uiPriority w:val="49"/>
    <w:rsid w:val="00A000E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3-Accent11">
    <w:name w:val="List Table 3 - Accent 11"/>
    <w:basedOn w:val="TableNormal"/>
    <w:uiPriority w:val="48"/>
    <w:rsid w:val="00A000EC"/>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TableGridLight1">
    <w:name w:val="Table Grid Light1"/>
    <w:basedOn w:val="TableNormal"/>
    <w:uiPriority w:val="40"/>
    <w:rsid w:val="00A000E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ListTable2-Accent51">
    <w:name w:val="List Table 2 - Accent 51"/>
    <w:basedOn w:val="TableNormal"/>
    <w:uiPriority w:val="47"/>
    <w:rsid w:val="00A000EC"/>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span6">
    <w:name w:val="span6"/>
    <w:basedOn w:val="DefaultParagraphFont"/>
    <w:rsid w:val="00A000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QuickStyle" Target="diagrams/quickStyle1.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B82701B-2834-4A72-939D-69B01F1EA452}" type="doc">
      <dgm:prSet loTypeId="urn:microsoft.com/office/officeart/2005/8/layout/radial6" loCatId="cycle" qsTypeId="urn:microsoft.com/office/officeart/2005/8/quickstyle/simple1" qsCatId="simple" csTypeId="urn:microsoft.com/office/officeart/2005/8/colors/accent0_1" csCatId="mainScheme" phldr="1"/>
      <dgm:spPr/>
      <dgm:t>
        <a:bodyPr/>
        <a:lstStyle/>
        <a:p>
          <a:endParaRPr lang="en-US"/>
        </a:p>
      </dgm:t>
    </dgm:pt>
    <dgm:pt modelId="{88AA0013-E2E1-4C6B-B415-C0167F08AE20}">
      <dgm:prSet phldrT="[Text]" custT="1"/>
      <dgm:spPr>
        <a:xfrm>
          <a:off x="2072644" y="1503996"/>
          <a:ext cx="1243955" cy="1016636"/>
        </a:xfrm>
        <a:prstGeom prst="ellipse">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en-U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Potential Future Scenarios</a:t>
          </a:r>
        </a:p>
      </dgm:t>
    </dgm:pt>
    <dgm:pt modelId="{0D01C580-89A8-4AD0-914B-3EB456E2A4D2}" type="parTrans" cxnId="{49D456A2-015C-4AB3-8FC7-8920DDC66B47}">
      <dgm:prSet/>
      <dgm:spPr/>
      <dgm:t>
        <a:bodyPr/>
        <a:lstStyle/>
        <a:p>
          <a:endParaRPr lang="en-US" sz="800">
            <a:latin typeface="Arial" panose="020B0604020202020204" pitchFamily="34" charset="0"/>
            <a:cs typeface="Arial" panose="020B0604020202020204" pitchFamily="34" charset="0"/>
          </a:endParaRPr>
        </a:p>
      </dgm:t>
    </dgm:pt>
    <dgm:pt modelId="{765E1EBE-142B-4D20-B3A1-A2B9862B8091}" type="sibTrans" cxnId="{49D456A2-015C-4AB3-8FC7-8920DDC66B47}">
      <dgm:prSet/>
      <dgm:spPr/>
      <dgm:t>
        <a:bodyPr/>
        <a:lstStyle/>
        <a:p>
          <a:endParaRPr lang="en-US" sz="800">
            <a:latin typeface="Arial" panose="020B0604020202020204" pitchFamily="34" charset="0"/>
            <a:cs typeface="Arial" panose="020B0604020202020204" pitchFamily="34" charset="0"/>
          </a:endParaRPr>
        </a:p>
      </dgm:t>
    </dgm:pt>
    <dgm:pt modelId="{1F951650-8AF3-49BD-AA15-413FB4822CBA}">
      <dgm:prSet phldrT="[Text]" custT="1"/>
      <dgm:spPr>
        <a:xfrm>
          <a:off x="2300598" y="-113359"/>
          <a:ext cx="788048" cy="788048"/>
        </a:xfrm>
        <a:prstGeom prst="ellipse">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en-U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Service without Branches</a:t>
          </a:r>
        </a:p>
      </dgm:t>
    </dgm:pt>
    <dgm:pt modelId="{2FCCE5D6-8391-4093-80CD-15726FE4CF59}" type="parTrans" cxnId="{AC5F5490-A4B8-467A-B49A-69EA1B335A2F}">
      <dgm:prSet/>
      <dgm:spPr/>
      <dgm:t>
        <a:bodyPr/>
        <a:lstStyle/>
        <a:p>
          <a:endParaRPr lang="en-US" sz="800">
            <a:latin typeface="Arial" panose="020B0604020202020204" pitchFamily="34" charset="0"/>
            <a:cs typeface="Arial" panose="020B0604020202020204" pitchFamily="34" charset="0"/>
          </a:endParaRPr>
        </a:p>
      </dgm:t>
    </dgm:pt>
    <dgm:pt modelId="{482B3A53-C376-4638-AAA6-F4DD600B1AAB}" type="sibTrans" cxnId="{AC5F5490-A4B8-467A-B49A-69EA1B335A2F}">
      <dgm:prSet/>
      <dgm:spPr>
        <a:xfrm>
          <a:off x="942813" y="260506"/>
          <a:ext cx="3503617" cy="3503617"/>
        </a:xfrm>
        <a:prstGeom prst="blockArc">
          <a:avLst>
            <a:gd name="adj1" fmla="val 16200000"/>
            <a:gd name="adj2" fmla="val 18000000"/>
            <a:gd name="adj3" fmla="val 2302"/>
          </a:avLst>
        </a:prstGeom>
        <a:solidFill>
          <a:sysClr val="windowText" lastClr="000000">
            <a:tint val="60000"/>
            <a:hueOff val="0"/>
            <a:satOff val="0"/>
            <a:lumOff val="0"/>
            <a:alphaOff val="0"/>
          </a:sysClr>
        </a:solidFill>
        <a:ln>
          <a:noFill/>
        </a:ln>
        <a:effectLst/>
      </dgm:spPr>
      <dgm:t>
        <a:bodyPr/>
        <a:lstStyle/>
        <a:p>
          <a:endParaRPr lang="en-US" sz="800">
            <a:latin typeface="Arial" panose="020B0604020202020204" pitchFamily="34" charset="0"/>
            <a:cs typeface="Arial" panose="020B0604020202020204" pitchFamily="34" charset="0"/>
          </a:endParaRPr>
        </a:p>
      </dgm:t>
    </dgm:pt>
    <dgm:pt modelId="{783C8A65-7723-4920-8F1E-097D7325AC1D}">
      <dgm:prSet phldrT="[Text]" custT="1"/>
      <dgm:spPr>
        <a:xfrm>
          <a:off x="3166422" y="118637"/>
          <a:ext cx="788048" cy="788048"/>
        </a:xfrm>
        <a:prstGeom prst="ellipse">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en-U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Service without Bankers</a:t>
          </a:r>
        </a:p>
      </dgm:t>
    </dgm:pt>
    <dgm:pt modelId="{5F79B68F-9D90-4793-A042-2BAFB19331F8}" type="parTrans" cxnId="{BA1BA917-2F85-4455-979A-536C594CE0BD}">
      <dgm:prSet/>
      <dgm:spPr/>
      <dgm:t>
        <a:bodyPr/>
        <a:lstStyle/>
        <a:p>
          <a:endParaRPr lang="en-US" sz="800">
            <a:latin typeface="Arial" panose="020B0604020202020204" pitchFamily="34" charset="0"/>
            <a:cs typeface="Arial" panose="020B0604020202020204" pitchFamily="34" charset="0"/>
          </a:endParaRPr>
        </a:p>
      </dgm:t>
    </dgm:pt>
    <dgm:pt modelId="{3748A8B5-F9E2-44A6-B06E-FE654A9088DA}" type="sibTrans" cxnId="{BA1BA917-2F85-4455-979A-536C594CE0BD}">
      <dgm:prSet/>
      <dgm:spPr>
        <a:xfrm>
          <a:off x="942813" y="260506"/>
          <a:ext cx="3503617" cy="3503617"/>
        </a:xfrm>
        <a:prstGeom prst="blockArc">
          <a:avLst>
            <a:gd name="adj1" fmla="val 18000000"/>
            <a:gd name="adj2" fmla="val 19800000"/>
            <a:gd name="adj3" fmla="val 2302"/>
          </a:avLst>
        </a:prstGeom>
        <a:solidFill>
          <a:sysClr val="windowText" lastClr="000000">
            <a:tint val="60000"/>
            <a:hueOff val="0"/>
            <a:satOff val="0"/>
            <a:lumOff val="0"/>
            <a:alphaOff val="0"/>
          </a:sysClr>
        </a:solidFill>
        <a:ln>
          <a:noFill/>
        </a:ln>
        <a:effectLst/>
      </dgm:spPr>
      <dgm:t>
        <a:bodyPr/>
        <a:lstStyle/>
        <a:p>
          <a:endParaRPr lang="en-US" sz="800">
            <a:latin typeface="Arial" panose="020B0604020202020204" pitchFamily="34" charset="0"/>
            <a:cs typeface="Arial" panose="020B0604020202020204" pitchFamily="34" charset="0"/>
          </a:endParaRPr>
        </a:p>
      </dgm:t>
    </dgm:pt>
    <dgm:pt modelId="{D89D9AF8-31F6-4A00-ABFE-D88768E1F0AB}">
      <dgm:prSet phldrT="[Text]" custT="1"/>
      <dgm:spPr>
        <a:xfrm>
          <a:off x="3765548" y="752465"/>
          <a:ext cx="857452" cy="788048"/>
        </a:xfrm>
        <a:prstGeom prst="ellipse">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lIns="0" rIns="0"/>
        <a:lstStyle/>
        <a:p>
          <a:r>
            <a:rPr lang="en-U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Operations without</a:t>
          </a:r>
          <a:br>
            <a:rPr lang="en-U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br>
          <a:r>
            <a:rPr lang="en-U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Infrastructure</a:t>
          </a:r>
        </a:p>
      </dgm:t>
    </dgm:pt>
    <dgm:pt modelId="{3FC0BE0F-A24F-48E6-AC31-3672BF11C8E0}" type="parTrans" cxnId="{FD22974D-092C-400F-8391-6C22193AD3EE}">
      <dgm:prSet/>
      <dgm:spPr/>
      <dgm:t>
        <a:bodyPr/>
        <a:lstStyle/>
        <a:p>
          <a:endParaRPr lang="en-US" sz="800">
            <a:latin typeface="Arial" panose="020B0604020202020204" pitchFamily="34" charset="0"/>
            <a:cs typeface="Arial" panose="020B0604020202020204" pitchFamily="34" charset="0"/>
          </a:endParaRPr>
        </a:p>
      </dgm:t>
    </dgm:pt>
    <dgm:pt modelId="{75CC2712-226F-482F-A624-4E74E12C8BC9}" type="sibTrans" cxnId="{FD22974D-092C-400F-8391-6C22193AD3EE}">
      <dgm:prSet/>
      <dgm:spPr>
        <a:xfrm>
          <a:off x="942813" y="260506"/>
          <a:ext cx="3503617" cy="3503617"/>
        </a:xfrm>
        <a:prstGeom prst="blockArc">
          <a:avLst>
            <a:gd name="adj1" fmla="val 19800000"/>
            <a:gd name="adj2" fmla="val 0"/>
            <a:gd name="adj3" fmla="val 2302"/>
          </a:avLst>
        </a:prstGeom>
        <a:solidFill>
          <a:sysClr val="windowText" lastClr="000000">
            <a:tint val="60000"/>
            <a:hueOff val="0"/>
            <a:satOff val="0"/>
            <a:lumOff val="0"/>
            <a:alphaOff val="0"/>
          </a:sysClr>
        </a:solidFill>
        <a:ln>
          <a:noFill/>
        </a:ln>
        <a:effectLst/>
      </dgm:spPr>
      <dgm:t>
        <a:bodyPr/>
        <a:lstStyle/>
        <a:p>
          <a:endParaRPr lang="en-US" sz="800">
            <a:latin typeface="Arial" panose="020B0604020202020204" pitchFamily="34" charset="0"/>
            <a:cs typeface="Arial" panose="020B0604020202020204" pitchFamily="34" charset="0"/>
          </a:endParaRPr>
        </a:p>
      </dgm:t>
    </dgm:pt>
    <dgm:pt modelId="{329E8A8A-BDB2-4E25-B48F-63D51987F1A5}">
      <dgm:prSet phldrT="[Text]" custT="1"/>
      <dgm:spPr>
        <a:xfrm>
          <a:off x="4032247" y="1618290"/>
          <a:ext cx="788048" cy="788048"/>
        </a:xfrm>
        <a:prstGeom prst="ellipse">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en-U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Payments without Middlemen</a:t>
          </a:r>
        </a:p>
      </dgm:t>
    </dgm:pt>
    <dgm:pt modelId="{54EF3827-BB26-4C83-A903-8F70FD4CE28B}" type="parTrans" cxnId="{D926116F-0CA8-4170-A74C-9ED34309338F}">
      <dgm:prSet/>
      <dgm:spPr/>
      <dgm:t>
        <a:bodyPr/>
        <a:lstStyle/>
        <a:p>
          <a:endParaRPr lang="en-US" sz="800">
            <a:latin typeface="Arial" panose="020B0604020202020204" pitchFamily="34" charset="0"/>
            <a:cs typeface="Arial" panose="020B0604020202020204" pitchFamily="34" charset="0"/>
          </a:endParaRPr>
        </a:p>
      </dgm:t>
    </dgm:pt>
    <dgm:pt modelId="{1C2BB90C-E721-413A-88AD-F323375B109F}" type="sibTrans" cxnId="{D926116F-0CA8-4170-A74C-9ED34309338F}">
      <dgm:prSet/>
      <dgm:spPr>
        <a:xfrm>
          <a:off x="942813" y="260506"/>
          <a:ext cx="3503617" cy="3503617"/>
        </a:xfrm>
        <a:prstGeom prst="blockArc">
          <a:avLst>
            <a:gd name="adj1" fmla="val 0"/>
            <a:gd name="adj2" fmla="val 1800000"/>
            <a:gd name="adj3" fmla="val 2302"/>
          </a:avLst>
        </a:prstGeom>
        <a:solidFill>
          <a:sysClr val="windowText" lastClr="000000">
            <a:tint val="60000"/>
            <a:hueOff val="0"/>
            <a:satOff val="0"/>
            <a:lumOff val="0"/>
            <a:alphaOff val="0"/>
          </a:sysClr>
        </a:solidFill>
        <a:ln>
          <a:noFill/>
        </a:ln>
        <a:effectLst/>
      </dgm:spPr>
      <dgm:t>
        <a:bodyPr/>
        <a:lstStyle/>
        <a:p>
          <a:endParaRPr lang="en-US" sz="800">
            <a:latin typeface="Arial" panose="020B0604020202020204" pitchFamily="34" charset="0"/>
            <a:cs typeface="Arial" panose="020B0604020202020204" pitchFamily="34" charset="0"/>
          </a:endParaRPr>
        </a:p>
      </dgm:t>
    </dgm:pt>
    <dgm:pt modelId="{32FFE77C-5A61-46EF-95D4-6BDDA46E1DD0}">
      <dgm:prSet phldrT="[Text]" custT="1"/>
      <dgm:spPr>
        <a:xfrm>
          <a:off x="3800250" y="2484115"/>
          <a:ext cx="788048" cy="788048"/>
        </a:xfrm>
        <a:prstGeom prst="ellipse">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en-U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Choice without Brands</a:t>
          </a:r>
        </a:p>
      </dgm:t>
    </dgm:pt>
    <dgm:pt modelId="{38B570BA-558C-4AF7-8BCE-907072F0A90B}" type="parTrans" cxnId="{1668E9DA-8643-4F96-95CC-7276C3548791}">
      <dgm:prSet/>
      <dgm:spPr/>
      <dgm:t>
        <a:bodyPr/>
        <a:lstStyle/>
        <a:p>
          <a:endParaRPr lang="en-US" sz="800">
            <a:latin typeface="Arial" panose="020B0604020202020204" pitchFamily="34" charset="0"/>
            <a:cs typeface="Arial" panose="020B0604020202020204" pitchFamily="34" charset="0"/>
          </a:endParaRPr>
        </a:p>
      </dgm:t>
    </dgm:pt>
    <dgm:pt modelId="{024C8AC5-DC3C-4DD6-9892-60023D718FE6}" type="sibTrans" cxnId="{1668E9DA-8643-4F96-95CC-7276C3548791}">
      <dgm:prSet/>
      <dgm:spPr>
        <a:xfrm>
          <a:off x="942813" y="260506"/>
          <a:ext cx="3503617" cy="3503617"/>
        </a:xfrm>
        <a:prstGeom prst="blockArc">
          <a:avLst>
            <a:gd name="adj1" fmla="val 1800000"/>
            <a:gd name="adj2" fmla="val 3600000"/>
            <a:gd name="adj3" fmla="val 2302"/>
          </a:avLst>
        </a:prstGeom>
        <a:solidFill>
          <a:sysClr val="windowText" lastClr="000000">
            <a:tint val="60000"/>
            <a:hueOff val="0"/>
            <a:satOff val="0"/>
            <a:lumOff val="0"/>
            <a:alphaOff val="0"/>
          </a:sysClr>
        </a:solidFill>
        <a:ln>
          <a:noFill/>
        </a:ln>
        <a:effectLst/>
      </dgm:spPr>
      <dgm:t>
        <a:bodyPr/>
        <a:lstStyle/>
        <a:p>
          <a:endParaRPr lang="en-US" sz="800">
            <a:latin typeface="Arial" panose="020B0604020202020204" pitchFamily="34" charset="0"/>
            <a:cs typeface="Arial" panose="020B0604020202020204" pitchFamily="34" charset="0"/>
          </a:endParaRPr>
        </a:p>
      </dgm:t>
    </dgm:pt>
    <dgm:pt modelId="{0262A2E5-1447-486B-B858-0E666DC9D660}">
      <dgm:prSet phldrT="[Text]" custT="1"/>
      <dgm:spPr>
        <a:xfrm>
          <a:off x="800945" y="2484115"/>
          <a:ext cx="788048" cy="788048"/>
        </a:xfrm>
        <a:prstGeom prst="ellipse">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en-U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Investing without Managers</a:t>
          </a:r>
        </a:p>
      </dgm:t>
    </dgm:pt>
    <dgm:pt modelId="{0EC12637-E98C-44B0-A9D6-32213076D9D7}" type="parTrans" cxnId="{A838350C-CD11-4B16-B8C1-55AAD5E97223}">
      <dgm:prSet/>
      <dgm:spPr/>
      <dgm:t>
        <a:bodyPr/>
        <a:lstStyle/>
        <a:p>
          <a:endParaRPr lang="en-US" sz="800">
            <a:latin typeface="Arial" panose="020B0604020202020204" pitchFamily="34" charset="0"/>
            <a:cs typeface="Arial" panose="020B0604020202020204" pitchFamily="34" charset="0"/>
          </a:endParaRPr>
        </a:p>
      </dgm:t>
    </dgm:pt>
    <dgm:pt modelId="{0FAD98B7-2F58-4AD1-9C35-C90D6564288F}" type="sibTrans" cxnId="{A838350C-CD11-4B16-B8C1-55AAD5E97223}">
      <dgm:prSet/>
      <dgm:spPr>
        <a:xfrm>
          <a:off x="942813" y="260506"/>
          <a:ext cx="3503617" cy="3503617"/>
        </a:xfrm>
        <a:prstGeom prst="blockArc">
          <a:avLst>
            <a:gd name="adj1" fmla="val 9000000"/>
            <a:gd name="adj2" fmla="val 10800000"/>
            <a:gd name="adj3" fmla="val 2302"/>
          </a:avLst>
        </a:prstGeom>
        <a:solidFill>
          <a:sysClr val="windowText" lastClr="000000">
            <a:tint val="60000"/>
            <a:hueOff val="0"/>
            <a:satOff val="0"/>
            <a:lumOff val="0"/>
            <a:alphaOff val="0"/>
          </a:sysClr>
        </a:solidFill>
        <a:ln>
          <a:noFill/>
        </a:ln>
        <a:effectLst/>
      </dgm:spPr>
      <dgm:t>
        <a:bodyPr/>
        <a:lstStyle/>
        <a:p>
          <a:endParaRPr lang="en-US" sz="800">
            <a:latin typeface="Arial" panose="020B0604020202020204" pitchFamily="34" charset="0"/>
            <a:cs typeface="Arial" panose="020B0604020202020204" pitchFamily="34" charset="0"/>
          </a:endParaRPr>
        </a:p>
      </dgm:t>
    </dgm:pt>
    <dgm:pt modelId="{D3DB9C26-91E5-44BE-9D34-DF66CE28DF63}">
      <dgm:prSet phldrT="[Text]" custT="1"/>
      <dgm:spPr>
        <a:xfrm>
          <a:off x="3166422" y="3117943"/>
          <a:ext cx="788048" cy="788048"/>
        </a:xfrm>
        <a:prstGeom prst="ellipse">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en-U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Experience without Boredom</a:t>
          </a:r>
        </a:p>
      </dgm:t>
    </dgm:pt>
    <dgm:pt modelId="{37621073-B45E-464E-B750-28F94727CDD5}" type="parTrans" cxnId="{C3F4C559-ECAF-4684-8475-D706D2796E49}">
      <dgm:prSet/>
      <dgm:spPr/>
      <dgm:t>
        <a:bodyPr/>
        <a:lstStyle/>
        <a:p>
          <a:endParaRPr lang="en-US" sz="800">
            <a:latin typeface="Arial" panose="020B0604020202020204" pitchFamily="34" charset="0"/>
            <a:cs typeface="Arial" panose="020B0604020202020204" pitchFamily="34" charset="0"/>
          </a:endParaRPr>
        </a:p>
      </dgm:t>
    </dgm:pt>
    <dgm:pt modelId="{18A4FF64-C405-454B-BC5E-63869707D806}" type="sibTrans" cxnId="{C3F4C559-ECAF-4684-8475-D706D2796E49}">
      <dgm:prSet/>
      <dgm:spPr>
        <a:xfrm>
          <a:off x="942813" y="260506"/>
          <a:ext cx="3503617" cy="3503617"/>
        </a:xfrm>
        <a:prstGeom prst="blockArc">
          <a:avLst>
            <a:gd name="adj1" fmla="val 3600000"/>
            <a:gd name="adj2" fmla="val 5400000"/>
            <a:gd name="adj3" fmla="val 2302"/>
          </a:avLst>
        </a:prstGeom>
        <a:solidFill>
          <a:sysClr val="windowText" lastClr="000000">
            <a:tint val="60000"/>
            <a:hueOff val="0"/>
            <a:satOff val="0"/>
            <a:lumOff val="0"/>
            <a:alphaOff val="0"/>
          </a:sysClr>
        </a:solidFill>
        <a:ln>
          <a:noFill/>
        </a:ln>
        <a:effectLst/>
      </dgm:spPr>
      <dgm:t>
        <a:bodyPr/>
        <a:lstStyle/>
        <a:p>
          <a:endParaRPr lang="en-US" sz="800">
            <a:latin typeface="Arial" panose="020B0604020202020204" pitchFamily="34" charset="0"/>
            <a:cs typeface="Arial" panose="020B0604020202020204" pitchFamily="34" charset="0"/>
          </a:endParaRPr>
        </a:p>
      </dgm:t>
    </dgm:pt>
    <dgm:pt modelId="{2F3A3614-4D4F-4699-9300-BACE0F6F0015}">
      <dgm:prSet phldrT="[Text]" custT="1"/>
      <dgm:spPr>
        <a:xfrm>
          <a:off x="2300598" y="3349940"/>
          <a:ext cx="788048" cy="788048"/>
        </a:xfrm>
        <a:prstGeom prst="ellipse">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en-U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Security without Privacy</a:t>
          </a:r>
        </a:p>
      </dgm:t>
    </dgm:pt>
    <dgm:pt modelId="{DA8B9A00-FE24-4F90-8466-533B9E51C896}" type="parTrans" cxnId="{DB769EE0-AF5D-4902-A855-16AD1C4D95D6}">
      <dgm:prSet/>
      <dgm:spPr/>
      <dgm:t>
        <a:bodyPr/>
        <a:lstStyle/>
        <a:p>
          <a:endParaRPr lang="en-US" sz="800">
            <a:latin typeface="Arial" panose="020B0604020202020204" pitchFamily="34" charset="0"/>
            <a:cs typeface="Arial" panose="020B0604020202020204" pitchFamily="34" charset="0"/>
          </a:endParaRPr>
        </a:p>
      </dgm:t>
    </dgm:pt>
    <dgm:pt modelId="{4B22183D-B122-4BD7-B339-055560022384}" type="sibTrans" cxnId="{DB769EE0-AF5D-4902-A855-16AD1C4D95D6}">
      <dgm:prSet/>
      <dgm:spPr>
        <a:xfrm>
          <a:off x="942813" y="260506"/>
          <a:ext cx="3503617" cy="3503617"/>
        </a:xfrm>
        <a:prstGeom prst="blockArc">
          <a:avLst>
            <a:gd name="adj1" fmla="val 5400000"/>
            <a:gd name="adj2" fmla="val 7200000"/>
            <a:gd name="adj3" fmla="val 2302"/>
          </a:avLst>
        </a:prstGeom>
        <a:solidFill>
          <a:sysClr val="windowText" lastClr="000000">
            <a:tint val="60000"/>
            <a:hueOff val="0"/>
            <a:satOff val="0"/>
            <a:lumOff val="0"/>
            <a:alphaOff val="0"/>
          </a:sysClr>
        </a:solidFill>
        <a:ln>
          <a:noFill/>
        </a:ln>
        <a:effectLst/>
      </dgm:spPr>
      <dgm:t>
        <a:bodyPr/>
        <a:lstStyle/>
        <a:p>
          <a:endParaRPr lang="en-US" sz="800">
            <a:latin typeface="Arial" panose="020B0604020202020204" pitchFamily="34" charset="0"/>
            <a:cs typeface="Arial" panose="020B0604020202020204" pitchFamily="34" charset="0"/>
          </a:endParaRPr>
        </a:p>
      </dgm:t>
    </dgm:pt>
    <dgm:pt modelId="{C1C5C709-8B5E-47AD-AA46-3BA2D02536CD}">
      <dgm:prSet phldrT="[Text]" custT="1"/>
      <dgm:spPr>
        <a:xfrm>
          <a:off x="1434773" y="3117943"/>
          <a:ext cx="788048" cy="788048"/>
        </a:xfrm>
        <a:prstGeom prst="ellipse">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lIns="0"/>
        <a:lstStyle/>
        <a:p>
          <a:r>
            <a:rPr lang="en-U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Mergers and Acquisitions without Advisors</a:t>
          </a:r>
        </a:p>
      </dgm:t>
    </dgm:pt>
    <dgm:pt modelId="{7C9077A9-797B-41D4-917A-8B9EBD63EE49}" type="parTrans" cxnId="{D836F3CC-810B-41A7-9006-955CFBB137B8}">
      <dgm:prSet/>
      <dgm:spPr/>
      <dgm:t>
        <a:bodyPr/>
        <a:lstStyle/>
        <a:p>
          <a:endParaRPr lang="en-US" sz="800">
            <a:latin typeface="Arial" panose="020B0604020202020204" pitchFamily="34" charset="0"/>
            <a:cs typeface="Arial" panose="020B0604020202020204" pitchFamily="34" charset="0"/>
          </a:endParaRPr>
        </a:p>
      </dgm:t>
    </dgm:pt>
    <dgm:pt modelId="{A9E536A6-CD1F-4DD9-90D1-050720C8F5D4}" type="sibTrans" cxnId="{D836F3CC-810B-41A7-9006-955CFBB137B8}">
      <dgm:prSet/>
      <dgm:spPr>
        <a:xfrm>
          <a:off x="942813" y="260506"/>
          <a:ext cx="3503617" cy="3503617"/>
        </a:xfrm>
        <a:prstGeom prst="blockArc">
          <a:avLst>
            <a:gd name="adj1" fmla="val 7200000"/>
            <a:gd name="adj2" fmla="val 9000000"/>
            <a:gd name="adj3" fmla="val 2302"/>
          </a:avLst>
        </a:prstGeom>
        <a:solidFill>
          <a:sysClr val="windowText" lastClr="000000">
            <a:tint val="60000"/>
            <a:hueOff val="0"/>
            <a:satOff val="0"/>
            <a:lumOff val="0"/>
            <a:alphaOff val="0"/>
          </a:sysClr>
        </a:solidFill>
        <a:ln>
          <a:noFill/>
        </a:ln>
        <a:effectLst/>
      </dgm:spPr>
      <dgm:t>
        <a:bodyPr/>
        <a:lstStyle/>
        <a:p>
          <a:endParaRPr lang="en-US" sz="800">
            <a:latin typeface="Arial" panose="020B0604020202020204" pitchFamily="34" charset="0"/>
            <a:cs typeface="Arial" panose="020B0604020202020204" pitchFamily="34" charset="0"/>
          </a:endParaRPr>
        </a:p>
      </dgm:t>
    </dgm:pt>
    <dgm:pt modelId="{A93386A4-6767-4F38-9B6C-08C5A2D1AAF2}">
      <dgm:prSet custT="1"/>
      <dgm:spPr>
        <a:xfrm>
          <a:off x="568948" y="1618290"/>
          <a:ext cx="788048" cy="788048"/>
        </a:xfrm>
        <a:prstGeom prst="ellipse">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en-U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Trading without Traders </a:t>
          </a:r>
        </a:p>
      </dgm:t>
    </dgm:pt>
    <dgm:pt modelId="{0D4EC395-099D-43FD-9405-FB361097E6E0}" type="parTrans" cxnId="{B0F97DAF-1B2C-442F-A519-105BA4F40C51}">
      <dgm:prSet/>
      <dgm:spPr/>
      <dgm:t>
        <a:bodyPr/>
        <a:lstStyle/>
        <a:p>
          <a:endParaRPr lang="en-US" sz="800">
            <a:latin typeface="Arial" panose="020B0604020202020204" pitchFamily="34" charset="0"/>
            <a:cs typeface="Arial" panose="020B0604020202020204" pitchFamily="34" charset="0"/>
          </a:endParaRPr>
        </a:p>
      </dgm:t>
    </dgm:pt>
    <dgm:pt modelId="{7BBBB182-5F4C-4FE3-A9A3-F4485D9C8F3E}" type="sibTrans" cxnId="{B0F97DAF-1B2C-442F-A519-105BA4F40C51}">
      <dgm:prSet/>
      <dgm:spPr>
        <a:xfrm>
          <a:off x="942813" y="260506"/>
          <a:ext cx="3503617" cy="3503617"/>
        </a:xfrm>
        <a:prstGeom prst="blockArc">
          <a:avLst>
            <a:gd name="adj1" fmla="val 10800000"/>
            <a:gd name="adj2" fmla="val 12600000"/>
            <a:gd name="adj3" fmla="val 2302"/>
          </a:avLst>
        </a:prstGeom>
        <a:solidFill>
          <a:sysClr val="windowText" lastClr="000000">
            <a:tint val="60000"/>
            <a:hueOff val="0"/>
            <a:satOff val="0"/>
            <a:lumOff val="0"/>
            <a:alphaOff val="0"/>
          </a:sysClr>
        </a:solidFill>
        <a:ln>
          <a:noFill/>
        </a:ln>
        <a:effectLst/>
      </dgm:spPr>
      <dgm:t>
        <a:bodyPr/>
        <a:lstStyle/>
        <a:p>
          <a:endParaRPr lang="en-US" sz="800">
            <a:latin typeface="Arial" panose="020B0604020202020204" pitchFamily="34" charset="0"/>
            <a:cs typeface="Arial" panose="020B0604020202020204" pitchFamily="34" charset="0"/>
          </a:endParaRPr>
        </a:p>
      </dgm:t>
    </dgm:pt>
    <dgm:pt modelId="{88B70304-0F07-4780-8D07-9BE8EB5090A6}">
      <dgm:prSet custT="1"/>
      <dgm:spPr>
        <a:xfrm>
          <a:off x="800945" y="752465"/>
          <a:ext cx="788048" cy="788048"/>
        </a:xfrm>
        <a:prstGeom prst="ellipse">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en-U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Lending without Deposits</a:t>
          </a:r>
        </a:p>
      </dgm:t>
    </dgm:pt>
    <dgm:pt modelId="{2A33056B-E171-4ABE-A9F1-776300EB6626}" type="parTrans" cxnId="{4C93749F-A8FB-4CC7-9C2F-98AFB274BFD3}">
      <dgm:prSet/>
      <dgm:spPr/>
      <dgm:t>
        <a:bodyPr/>
        <a:lstStyle/>
        <a:p>
          <a:endParaRPr lang="en-US" sz="800">
            <a:latin typeface="Arial" panose="020B0604020202020204" pitchFamily="34" charset="0"/>
            <a:cs typeface="Arial" panose="020B0604020202020204" pitchFamily="34" charset="0"/>
          </a:endParaRPr>
        </a:p>
      </dgm:t>
    </dgm:pt>
    <dgm:pt modelId="{A8F321B8-A15A-4F65-BDD3-43AD0725710F}" type="sibTrans" cxnId="{4C93749F-A8FB-4CC7-9C2F-98AFB274BFD3}">
      <dgm:prSet/>
      <dgm:spPr>
        <a:xfrm>
          <a:off x="942813" y="260506"/>
          <a:ext cx="3503617" cy="3503617"/>
        </a:xfrm>
        <a:prstGeom prst="blockArc">
          <a:avLst>
            <a:gd name="adj1" fmla="val 12600000"/>
            <a:gd name="adj2" fmla="val 14400000"/>
            <a:gd name="adj3" fmla="val 2302"/>
          </a:avLst>
        </a:prstGeom>
        <a:solidFill>
          <a:sysClr val="windowText" lastClr="000000">
            <a:tint val="60000"/>
            <a:hueOff val="0"/>
            <a:satOff val="0"/>
            <a:lumOff val="0"/>
            <a:alphaOff val="0"/>
          </a:sysClr>
        </a:solidFill>
        <a:ln>
          <a:noFill/>
        </a:ln>
        <a:effectLst/>
      </dgm:spPr>
      <dgm:t>
        <a:bodyPr/>
        <a:lstStyle/>
        <a:p>
          <a:endParaRPr lang="en-US" sz="800">
            <a:latin typeface="Arial" panose="020B0604020202020204" pitchFamily="34" charset="0"/>
            <a:cs typeface="Arial" panose="020B0604020202020204" pitchFamily="34" charset="0"/>
          </a:endParaRPr>
        </a:p>
      </dgm:t>
    </dgm:pt>
    <dgm:pt modelId="{58D53EAC-3914-4C3B-A91E-3DFA8C5FDBC3}">
      <dgm:prSet custT="1"/>
      <dgm:spPr>
        <a:xfrm>
          <a:off x="1399682" y="118637"/>
          <a:ext cx="858230" cy="788048"/>
        </a:xfrm>
        <a:prstGeom prst="ellipse">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en-U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Intermediation without Balance Sheets </a:t>
          </a:r>
        </a:p>
      </dgm:t>
    </dgm:pt>
    <dgm:pt modelId="{1437A702-12BF-4CC4-AC6A-66C5F42E4D57}" type="parTrans" cxnId="{A3EC605C-34BD-481C-A5B1-98019FFDC92D}">
      <dgm:prSet/>
      <dgm:spPr/>
      <dgm:t>
        <a:bodyPr/>
        <a:lstStyle/>
        <a:p>
          <a:endParaRPr lang="en-US" sz="800">
            <a:latin typeface="Arial" panose="020B0604020202020204" pitchFamily="34" charset="0"/>
            <a:cs typeface="Arial" panose="020B0604020202020204" pitchFamily="34" charset="0"/>
          </a:endParaRPr>
        </a:p>
      </dgm:t>
    </dgm:pt>
    <dgm:pt modelId="{38E8C0F2-E029-4AFC-AEFA-59840D98F135}" type="sibTrans" cxnId="{A3EC605C-34BD-481C-A5B1-98019FFDC92D}">
      <dgm:prSet/>
      <dgm:spPr>
        <a:xfrm>
          <a:off x="942813" y="260506"/>
          <a:ext cx="3503617" cy="3503617"/>
        </a:xfrm>
        <a:prstGeom prst="blockArc">
          <a:avLst>
            <a:gd name="adj1" fmla="val 14400000"/>
            <a:gd name="adj2" fmla="val 16200000"/>
            <a:gd name="adj3" fmla="val 2302"/>
          </a:avLst>
        </a:prstGeom>
        <a:solidFill>
          <a:sysClr val="windowText" lastClr="000000">
            <a:tint val="60000"/>
            <a:hueOff val="0"/>
            <a:satOff val="0"/>
            <a:lumOff val="0"/>
            <a:alphaOff val="0"/>
          </a:sysClr>
        </a:solidFill>
        <a:ln>
          <a:noFill/>
        </a:ln>
        <a:effectLst/>
      </dgm:spPr>
      <dgm:t>
        <a:bodyPr/>
        <a:lstStyle/>
        <a:p>
          <a:endParaRPr lang="en-US" sz="800">
            <a:latin typeface="Arial" panose="020B0604020202020204" pitchFamily="34" charset="0"/>
            <a:cs typeface="Arial" panose="020B0604020202020204" pitchFamily="34" charset="0"/>
          </a:endParaRPr>
        </a:p>
      </dgm:t>
    </dgm:pt>
    <dgm:pt modelId="{525883EE-8345-4D66-AD61-E94B0A6DFAEF}" type="pres">
      <dgm:prSet presAssocID="{0B82701B-2834-4A72-939D-69B01F1EA452}" presName="Name0" presStyleCnt="0">
        <dgm:presLayoutVars>
          <dgm:chMax val="1"/>
          <dgm:dir/>
          <dgm:animLvl val="ctr"/>
          <dgm:resizeHandles val="exact"/>
        </dgm:presLayoutVars>
      </dgm:prSet>
      <dgm:spPr/>
    </dgm:pt>
    <dgm:pt modelId="{7CE1075E-0576-4842-91AA-BC021F05956A}" type="pres">
      <dgm:prSet presAssocID="{88AA0013-E2E1-4C6B-B415-C0167F08AE20}" presName="centerShape" presStyleLbl="node0" presStyleIdx="0" presStyleCnt="1" custScaleX="155501" custScaleY="127085"/>
      <dgm:spPr/>
    </dgm:pt>
    <dgm:pt modelId="{DCCDD8F0-4B3F-4DF4-8A0B-6F8C96E8378D}" type="pres">
      <dgm:prSet presAssocID="{1F951650-8AF3-49BD-AA15-413FB4822CBA}" presName="node" presStyleLbl="node1" presStyleIdx="0" presStyleCnt="12" custScaleX="140729" custScaleY="140729">
        <dgm:presLayoutVars>
          <dgm:bulletEnabled val="1"/>
        </dgm:presLayoutVars>
      </dgm:prSet>
      <dgm:spPr/>
    </dgm:pt>
    <dgm:pt modelId="{453FB6CF-B27C-4CE7-B95C-51926CA8F824}" type="pres">
      <dgm:prSet presAssocID="{1F951650-8AF3-49BD-AA15-413FB4822CBA}" presName="dummy" presStyleCnt="0"/>
      <dgm:spPr/>
    </dgm:pt>
    <dgm:pt modelId="{67817412-FCA9-42E1-90E0-0EDEB6AD608C}" type="pres">
      <dgm:prSet presAssocID="{482B3A53-C376-4638-AAA6-F4DD600B1AAB}" presName="sibTrans" presStyleLbl="sibTrans2D1" presStyleIdx="0" presStyleCnt="12"/>
      <dgm:spPr/>
    </dgm:pt>
    <dgm:pt modelId="{DA8F4D9D-EECA-402F-985B-9761AADFC946}" type="pres">
      <dgm:prSet presAssocID="{783C8A65-7723-4920-8F1E-097D7325AC1D}" presName="node" presStyleLbl="node1" presStyleIdx="1" presStyleCnt="12" custScaleX="140729" custScaleY="140729">
        <dgm:presLayoutVars>
          <dgm:bulletEnabled val="1"/>
        </dgm:presLayoutVars>
      </dgm:prSet>
      <dgm:spPr/>
    </dgm:pt>
    <dgm:pt modelId="{A377C44A-0A54-4F86-B920-99792FD9BD6C}" type="pres">
      <dgm:prSet presAssocID="{783C8A65-7723-4920-8F1E-097D7325AC1D}" presName="dummy" presStyleCnt="0"/>
      <dgm:spPr/>
    </dgm:pt>
    <dgm:pt modelId="{16419D8C-FC58-4DA0-B064-165C8B950395}" type="pres">
      <dgm:prSet presAssocID="{3748A8B5-F9E2-44A6-B06E-FE654A9088DA}" presName="sibTrans" presStyleLbl="sibTrans2D1" presStyleIdx="1" presStyleCnt="12"/>
      <dgm:spPr/>
    </dgm:pt>
    <dgm:pt modelId="{0B2F49AB-2862-4D39-97C1-B7E284252DBE}" type="pres">
      <dgm:prSet presAssocID="{D89D9AF8-31F6-4A00-ABFE-D88768E1F0AB}" presName="node" presStyleLbl="node1" presStyleIdx="2" presStyleCnt="12" custScaleX="153123" custScaleY="140729">
        <dgm:presLayoutVars>
          <dgm:bulletEnabled val="1"/>
        </dgm:presLayoutVars>
      </dgm:prSet>
      <dgm:spPr/>
    </dgm:pt>
    <dgm:pt modelId="{04295FA8-E20A-4421-9A44-D1E209B48A9F}" type="pres">
      <dgm:prSet presAssocID="{D89D9AF8-31F6-4A00-ABFE-D88768E1F0AB}" presName="dummy" presStyleCnt="0"/>
      <dgm:spPr/>
    </dgm:pt>
    <dgm:pt modelId="{444833A7-1968-45D8-A3C8-0074932BB6FA}" type="pres">
      <dgm:prSet presAssocID="{75CC2712-226F-482F-A624-4E74E12C8BC9}" presName="sibTrans" presStyleLbl="sibTrans2D1" presStyleIdx="2" presStyleCnt="12"/>
      <dgm:spPr/>
    </dgm:pt>
    <dgm:pt modelId="{7659D825-ED07-4686-AA01-6C7F1027A385}" type="pres">
      <dgm:prSet presAssocID="{329E8A8A-BDB2-4E25-B48F-63D51987F1A5}" presName="node" presStyleLbl="node1" presStyleIdx="3" presStyleCnt="12" custScaleX="140729" custScaleY="140729">
        <dgm:presLayoutVars>
          <dgm:bulletEnabled val="1"/>
        </dgm:presLayoutVars>
      </dgm:prSet>
      <dgm:spPr/>
    </dgm:pt>
    <dgm:pt modelId="{CAD53FC3-1400-4D31-9D2E-586565119ECC}" type="pres">
      <dgm:prSet presAssocID="{329E8A8A-BDB2-4E25-B48F-63D51987F1A5}" presName="dummy" presStyleCnt="0"/>
      <dgm:spPr/>
    </dgm:pt>
    <dgm:pt modelId="{3A332CD5-A4C4-4B52-A735-CFE2A83EACA6}" type="pres">
      <dgm:prSet presAssocID="{1C2BB90C-E721-413A-88AD-F323375B109F}" presName="sibTrans" presStyleLbl="sibTrans2D1" presStyleIdx="3" presStyleCnt="12"/>
      <dgm:spPr/>
    </dgm:pt>
    <dgm:pt modelId="{42851E24-DCF4-4D66-A947-0C602E1D3E69}" type="pres">
      <dgm:prSet presAssocID="{32FFE77C-5A61-46EF-95D4-6BDDA46E1DD0}" presName="node" presStyleLbl="node1" presStyleIdx="4" presStyleCnt="12" custScaleX="140729" custScaleY="140729">
        <dgm:presLayoutVars>
          <dgm:bulletEnabled val="1"/>
        </dgm:presLayoutVars>
      </dgm:prSet>
      <dgm:spPr/>
    </dgm:pt>
    <dgm:pt modelId="{79CD9425-297F-4BA3-83C5-1F53089BADD3}" type="pres">
      <dgm:prSet presAssocID="{32FFE77C-5A61-46EF-95D4-6BDDA46E1DD0}" presName="dummy" presStyleCnt="0"/>
      <dgm:spPr/>
    </dgm:pt>
    <dgm:pt modelId="{D76816CB-7458-45F3-84B1-E2798AD6F0C1}" type="pres">
      <dgm:prSet presAssocID="{024C8AC5-DC3C-4DD6-9892-60023D718FE6}" presName="sibTrans" presStyleLbl="sibTrans2D1" presStyleIdx="4" presStyleCnt="12"/>
      <dgm:spPr/>
    </dgm:pt>
    <dgm:pt modelId="{CA6AF5B0-80F2-4212-A0FD-2250F708A40B}" type="pres">
      <dgm:prSet presAssocID="{D3DB9C26-91E5-44BE-9D34-DF66CE28DF63}" presName="node" presStyleLbl="node1" presStyleIdx="5" presStyleCnt="12" custScaleX="140729" custScaleY="140729">
        <dgm:presLayoutVars>
          <dgm:bulletEnabled val="1"/>
        </dgm:presLayoutVars>
      </dgm:prSet>
      <dgm:spPr/>
    </dgm:pt>
    <dgm:pt modelId="{9F286E63-08C7-42F2-B9A4-DC92F9D491D7}" type="pres">
      <dgm:prSet presAssocID="{D3DB9C26-91E5-44BE-9D34-DF66CE28DF63}" presName="dummy" presStyleCnt="0"/>
      <dgm:spPr/>
    </dgm:pt>
    <dgm:pt modelId="{BD443015-6B7A-44F8-8957-20F091F45300}" type="pres">
      <dgm:prSet presAssocID="{18A4FF64-C405-454B-BC5E-63869707D806}" presName="sibTrans" presStyleLbl="sibTrans2D1" presStyleIdx="5" presStyleCnt="12"/>
      <dgm:spPr/>
    </dgm:pt>
    <dgm:pt modelId="{B9C25488-E016-4C4E-A5AB-5BA5352C3646}" type="pres">
      <dgm:prSet presAssocID="{2F3A3614-4D4F-4699-9300-BACE0F6F0015}" presName="node" presStyleLbl="node1" presStyleIdx="6" presStyleCnt="12" custScaleX="140729" custScaleY="140729">
        <dgm:presLayoutVars>
          <dgm:bulletEnabled val="1"/>
        </dgm:presLayoutVars>
      </dgm:prSet>
      <dgm:spPr/>
    </dgm:pt>
    <dgm:pt modelId="{9EB83D2D-0365-4417-BCF6-2BA32CB8AA9B}" type="pres">
      <dgm:prSet presAssocID="{2F3A3614-4D4F-4699-9300-BACE0F6F0015}" presName="dummy" presStyleCnt="0"/>
      <dgm:spPr/>
    </dgm:pt>
    <dgm:pt modelId="{7AA38735-680B-4138-BD9D-8737974BF8E9}" type="pres">
      <dgm:prSet presAssocID="{4B22183D-B122-4BD7-B339-055560022384}" presName="sibTrans" presStyleLbl="sibTrans2D1" presStyleIdx="6" presStyleCnt="12"/>
      <dgm:spPr/>
    </dgm:pt>
    <dgm:pt modelId="{81635823-B612-4D04-8A30-8A601EF8A35B}" type="pres">
      <dgm:prSet presAssocID="{C1C5C709-8B5E-47AD-AA46-3BA2D02536CD}" presName="node" presStyleLbl="node1" presStyleIdx="7" presStyleCnt="12" custScaleX="140729" custScaleY="140729">
        <dgm:presLayoutVars>
          <dgm:bulletEnabled val="1"/>
        </dgm:presLayoutVars>
      </dgm:prSet>
      <dgm:spPr/>
    </dgm:pt>
    <dgm:pt modelId="{0932F370-CBE6-475C-8433-E6141DFEC036}" type="pres">
      <dgm:prSet presAssocID="{C1C5C709-8B5E-47AD-AA46-3BA2D02536CD}" presName="dummy" presStyleCnt="0"/>
      <dgm:spPr/>
    </dgm:pt>
    <dgm:pt modelId="{B682B3B6-5923-4BAF-AF61-3BBE6A6EAE0B}" type="pres">
      <dgm:prSet presAssocID="{A9E536A6-CD1F-4DD9-90D1-050720C8F5D4}" presName="sibTrans" presStyleLbl="sibTrans2D1" presStyleIdx="7" presStyleCnt="12"/>
      <dgm:spPr/>
    </dgm:pt>
    <dgm:pt modelId="{9D2C27DE-ED86-470B-A4D1-BFD2B581AD40}" type="pres">
      <dgm:prSet presAssocID="{0262A2E5-1447-486B-B858-0E666DC9D660}" presName="node" presStyleLbl="node1" presStyleIdx="8" presStyleCnt="12" custScaleX="140729" custScaleY="140729">
        <dgm:presLayoutVars>
          <dgm:bulletEnabled val="1"/>
        </dgm:presLayoutVars>
      </dgm:prSet>
      <dgm:spPr/>
    </dgm:pt>
    <dgm:pt modelId="{881A0771-7EB2-4081-A873-4C4039A061EA}" type="pres">
      <dgm:prSet presAssocID="{0262A2E5-1447-486B-B858-0E666DC9D660}" presName="dummy" presStyleCnt="0"/>
      <dgm:spPr/>
    </dgm:pt>
    <dgm:pt modelId="{FBADBFF8-CFF2-4AF5-9D26-EEAF420A3203}" type="pres">
      <dgm:prSet presAssocID="{0FAD98B7-2F58-4AD1-9C35-C90D6564288F}" presName="sibTrans" presStyleLbl="sibTrans2D1" presStyleIdx="8" presStyleCnt="12"/>
      <dgm:spPr/>
    </dgm:pt>
    <dgm:pt modelId="{9B84C39F-DFB8-4042-A67B-D67A35BB1D78}" type="pres">
      <dgm:prSet presAssocID="{A93386A4-6767-4F38-9B6C-08C5A2D1AAF2}" presName="node" presStyleLbl="node1" presStyleIdx="9" presStyleCnt="12" custScaleX="140729" custScaleY="140729">
        <dgm:presLayoutVars>
          <dgm:bulletEnabled val="1"/>
        </dgm:presLayoutVars>
      </dgm:prSet>
      <dgm:spPr/>
    </dgm:pt>
    <dgm:pt modelId="{C4F0B9F0-B28E-4F0F-BA2B-5596FCF2546D}" type="pres">
      <dgm:prSet presAssocID="{A93386A4-6767-4F38-9B6C-08C5A2D1AAF2}" presName="dummy" presStyleCnt="0"/>
      <dgm:spPr/>
    </dgm:pt>
    <dgm:pt modelId="{05C90918-3BC4-4326-A29D-BB4CBFEAAA75}" type="pres">
      <dgm:prSet presAssocID="{7BBBB182-5F4C-4FE3-A9A3-F4485D9C8F3E}" presName="sibTrans" presStyleLbl="sibTrans2D1" presStyleIdx="9" presStyleCnt="12"/>
      <dgm:spPr/>
    </dgm:pt>
    <dgm:pt modelId="{0014F334-7A1E-4653-A5D0-AE861C71B462}" type="pres">
      <dgm:prSet presAssocID="{88B70304-0F07-4780-8D07-9BE8EB5090A6}" presName="node" presStyleLbl="node1" presStyleIdx="10" presStyleCnt="12" custScaleX="140729" custScaleY="140729">
        <dgm:presLayoutVars>
          <dgm:bulletEnabled val="1"/>
        </dgm:presLayoutVars>
      </dgm:prSet>
      <dgm:spPr/>
    </dgm:pt>
    <dgm:pt modelId="{3BAC8C93-134D-437F-805D-1B870118D264}" type="pres">
      <dgm:prSet presAssocID="{88B70304-0F07-4780-8D07-9BE8EB5090A6}" presName="dummy" presStyleCnt="0"/>
      <dgm:spPr/>
    </dgm:pt>
    <dgm:pt modelId="{0162EF23-A196-49D1-A52C-13C1D784DF74}" type="pres">
      <dgm:prSet presAssocID="{A8F321B8-A15A-4F65-BDD3-43AD0725710F}" presName="sibTrans" presStyleLbl="sibTrans2D1" presStyleIdx="10" presStyleCnt="12"/>
      <dgm:spPr/>
    </dgm:pt>
    <dgm:pt modelId="{B052B27B-053D-4ECA-970A-86EAC28188B6}" type="pres">
      <dgm:prSet presAssocID="{58D53EAC-3914-4C3B-A91E-3DFA8C5FDBC3}" presName="node" presStyleLbl="node1" presStyleIdx="11" presStyleCnt="12" custScaleX="153262" custScaleY="140729">
        <dgm:presLayoutVars>
          <dgm:bulletEnabled val="1"/>
        </dgm:presLayoutVars>
      </dgm:prSet>
      <dgm:spPr/>
    </dgm:pt>
    <dgm:pt modelId="{355EF3EF-318D-4BEB-95AE-2BDFBA4D9C61}" type="pres">
      <dgm:prSet presAssocID="{58D53EAC-3914-4C3B-A91E-3DFA8C5FDBC3}" presName="dummy" presStyleCnt="0"/>
      <dgm:spPr/>
    </dgm:pt>
    <dgm:pt modelId="{50786997-FDFB-4CAD-9BAF-612054E62B4C}" type="pres">
      <dgm:prSet presAssocID="{38E8C0F2-E029-4AFC-AEFA-59840D98F135}" presName="sibTrans" presStyleLbl="sibTrans2D1" presStyleIdx="11" presStyleCnt="12"/>
      <dgm:spPr/>
    </dgm:pt>
  </dgm:ptLst>
  <dgm:cxnLst>
    <dgm:cxn modelId="{2CE38006-728E-4817-86A7-0D58FD93C2FF}" type="presOf" srcId="{2F3A3614-4D4F-4699-9300-BACE0F6F0015}" destId="{B9C25488-E016-4C4E-A5AB-5BA5352C3646}" srcOrd="0" destOrd="0" presId="urn:microsoft.com/office/officeart/2005/8/layout/radial6"/>
    <dgm:cxn modelId="{A838350C-CD11-4B16-B8C1-55AAD5E97223}" srcId="{88AA0013-E2E1-4C6B-B415-C0167F08AE20}" destId="{0262A2E5-1447-486B-B858-0E666DC9D660}" srcOrd="8" destOrd="0" parTransId="{0EC12637-E98C-44B0-A9D6-32213076D9D7}" sibTransId="{0FAD98B7-2F58-4AD1-9C35-C90D6564288F}"/>
    <dgm:cxn modelId="{2F8F040F-C901-4C98-8EFA-F0C6D5384C1E}" type="presOf" srcId="{A9E536A6-CD1F-4DD9-90D1-050720C8F5D4}" destId="{B682B3B6-5923-4BAF-AF61-3BBE6A6EAE0B}" srcOrd="0" destOrd="0" presId="urn:microsoft.com/office/officeart/2005/8/layout/radial6"/>
    <dgm:cxn modelId="{BA1BA917-2F85-4455-979A-536C594CE0BD}" srcId="{88AA0013-E2E1-4C6B-B415-C0167F08AE20}" destId="{783C8A65-7723-4920-8F1E-097D7325AC1D}" srcOrd="1" destOrd="0" parTransId="{5F79B68F-9D90-4793-A042-2BAFB19331F8}" sibTransId="{3748A8B5-F9E2-44A6-B06E-FE654A9088DA}"/>
    <dgm:cxn modelId="{D0758A24-DED7-4ABE-B1D8-A3C9B4D4E681}" type="presOf" srcId="{D3DB9C26-91E5-44BE-9D34-DF66CE28DF63}" destId="{CA6AF5B0-80F2-4212-A0FD-2250F708A40B}" srcOrd="0" destOrd="0" presId="urn:microsoft.com/office/officeart/2005/8/layout/radial6"/>
    <dgm:cxn modelId="{55ED3F27-81A2-4B91-BCDC-453E4A61EEBC}" type="presOf" srcId="{1F951650-8AF3-49BD-AA15-413FB4822CBA}" destId="{DCCDD8F0-4B3F-4DF4-8A0B-6F8C96E8378D}" srcOrd="0" destOrd="0" presId="urn:microsoft.com/office/officeart/2005/8/layout/radial6"/>
    <dgm:cxn modelId="{3BA3F22C-61B0-4D72-95D8-223ED2C00F57}" type="presOf" srcId="{32FFE77C-5A61-46EF-95D4-6BDDA46E1DD0}" destId="{42851E24-DCF4-4D66-A947-0C602E1D3E69}" srcOrd="0" destOrd="0" presId="urn:microsoft.com/office/officeart/2005/8/layout/radial6"/>
    <dgm:cxn modelId="{43BF3A30-FE54-41D1-858C-DDAAADC1D5AB}" type="presOf" srcId="{A8F321B8-A15A-4F65-BDD3-43AD0725710F}" destId="{0162EF23-A196-49D1-A52C-13C1D784DF74}" srcOrd="0" destOrd="0" presId="urn:microsoft.com/office/officeart/2005/8/layout/radial6"/>
    <dgm:cxn modelId="{B7E2703A-DF07-4F01-A385-2C9CF289132D}" type="presOf" srcId="{024C8AC5-DC3C-4DD6-9892-60023D718FE6}" destId="{D76816CB-7458-45F3-84B1-E2798AD6F0C1}" srcOrd="0" destOrd="0" presId="urn:microsoft.com/office/officeart/2005/8/layout/radial6"/>
    <dgm:cxn modelId="{9923943C-61E2-40BA-A2ED-D4F46A572571}" type="presOf" srcId="{4B22183D-B122-4BD7-B339-055560022384}" destId="{7AA38735-680B-4138-BD9D-8737974BF8E9}" srcOrd="0" destOrd="0" presId="urn:microsoft.com/office/officeart/2005/8/layout/radial6"/>
    <dgm:cxn modelId="{A3EC605C-34BD-481C-A5B1-98019FFDC92D}" srcId="{88AA0013-E2E1-4C6B-B415-C0167F08AE20}" destId="{58D53EAC-3914-4C3B-A91E-3DFA8C5FDBC3}" srcOrd="11" destOrd="0" parTransId="{1437A702-12BF-4CC4-AC6A-66C5F42E4D57}" sibTransId="{38E8C0F2-E029-4AFC-AEFA-59840D98F135}"/>
    <dgm:cxn modelId="{3EF75364-178E-4F1E-8319-4B5A78774CDF}" type="presOf" srcId="{0B82701B-2834-4A72-939D-69B01F1EA452}" destId="{525883EE-8345-4D66-AD61-E94B0A6DFAEF}" srcOrd="0" destOrd="0" presId="urn:microsoft.com/office/officeart/2005/8/layout/radial6"/>
    <dgm:cxn modelId="{43386A4C-BC8E-4724-8339-74FDFC175B7E}" type="presOf" srcId="{18A4FF64-C405-454B-BC5E-63869707D806}" destId="{BD443015-6B7A-44F8-8957-20F091F45300}" srcOrd="0" destOrd="0" presId="urn:microsoft.com/office/officeart/2005/8/layout/radial6"/>
    <dgm:cxn modelId="{FD22974D-092C-400F-8391-6C22193AD3EE}" srcId="{88AA0013-E2E1-4C6B-B415-C0167F08AE20}" destId="{D89D9AF8-31F6-4A00-ABFE-D88768E1F0AB}" srcOrd="2" destOrd="0" parTransId="{3FC0BE0F-A24F-48E6-AC31-3672BF11C8E0}" sibTransId="{75CC2712-226F-482F-A624-4E74E12C8BC9}"/>
    <dgm:cxn modelId="{D926116F-0CA8-4170-A74C-9ED34309338F}" srcId="{88AA0013-E2E1-4C6B-B415-C0167F08AE20}" destId="{329E8A8A-BDB2-4E25-B48F-63D51987F1A5}" srcOrd="3" destOrd="0" parTransId="{54EF3827-BB26-4C83-A903-8F70FD4CE28B}" sibTransId="{1C2BB90C-E721-413A-88AD-F323375B109F}"/>
    <dgm:cxn modelId="{DCC83F52-2CBF-46E1-A296-64AC45DF1429}" type="presOf" srcId="{D89D9AF8-31F6-4A00-ABFE-D88768E1F0AB}" destId="{0B2F49AB-2862-4D39-97C1-B7E284252DBE}" srcOrd="0" destOrd="0" presId="urn:microsoft.com/office/officeart/2005/8/layout/radial6"/>
    <dgm:cxn modelId="{C3F4C559-ECAF-4684-8475-D706D2796E49}" srcId="{88AA0013-E2E1-4C6B-B415-C0167F08AE20}" destId="{D3DB9C26-91E5-44BE-9D34-DF66CE28DF63}" srcOrd="5" destOrd="0" parTransId="{37621073-B45E-464E-B750-28F94727CDD5}" sibTransId="{18A4FF64-C405-454B-BC5E-63869707D806}"/>
    <dgm:cxn modelId="{5763898D-391D-4070-8EB8-7E6F838ECD95}" type="presOf" srcId="{482B3A53-C376-4638-AAA6-F4DD600B1AAB}" destId="{67817412-FCA9-42E1-90E0-0EDEB6AD608C}" srcOrd="0" destOrd="0" presId="urn:microsoft.com/office/officeart/2005/8/layout/radial6"/>
    <dgm:cxn modelId="{FE8D6A90-3E1E-4781-AF8D-FE6B8FCC4B8F}" type="presOf" srcId="{783C8A65-7723-4920-8F1E-097D7325AC1D}" destId="{DA8F4D9D-EECA-402F-985B-9761AADFC946}" srcOrd="0" destOrd="0" presId="urn:microsoft.com/office/officeart/2005/8/layout/radial6"/>
    <dgm:cxn modelId="{AC5F5490-A4B8-467A-B49A-69EA1B335A2F}" srcId="{88AA0013-E2E1-4C6B-B415-C0167F08AE20}" destId="{1F951650-8AF3-49BD-AA15-413FB4822CBA}" srcOrd="0" destOrd="0" parTransId="{2FCCE5D6-8391-4093-80CD-15726FE4CF59}" sibTransId="{482B3A53-C376-4638-AAA6-F4DD600B1AAB}"/>
    <dgm:cxn modelId="{9B0F7199-A183-4A39-BB8B-B59292E5A1D0}" type="presOf" srcId="{0FAD98B7-2F58-4AD1-9C35-C90D6564288F}" destId="{FBADBFF8-CFF2-4AF5-9D26-EEAF420A3203}" srcOrd="0" destOrd="0" presId="urn:microsoft.com/office/officeart/2005/8/layout/radial6"/>
    <dgm:cxn modelId="{4C93749F-A8FB-4CC7-9C2F-98AFB274BFD3}" srcId="{88AA0013-E2E1-4C6B-B415-C0167F08AE20}" destId="{88B70304-0F07-4780-8D07-9BE8EB5090A6}" srcOrd="10" destOrd="0" parTransId="{2A33056B-E171-4ABE-A9F1-776300EB6626}" sibTransId="{A8F321B8-A15A-4F65-BDD3-43AD0725710F}"/>
    <dgm:cxn modelId="{49D456A2-015C-4AB3-8FC7-8920DDC66B47}" srcId="{0B82701B-2834-4A72-939D-69B01F1EA452}" destId="{88AA0013-E2E1-4C6B-B415-C0167F08AE20}" srcOrd="0" destOrd="0" parTransId="{0D01C580-89A8-4AD0-914B-3EB456E2A4D2}" sibTransId="{765E1EBE-142B-4D20-B3A1-A2B9862B8091}"/>
    <dgm:cxn modelId="{6092E7AA-A859-49B6-B569-A1ADD10A7575}" type="presOf" srcId="{1C2BB90C-E721-413A-88AD-F323375B109F}" destId="{3A332CD5-A4C4-4B52-A735-CFE2A83EACA6}" srcOrd="0" destOrd="0" presId="urn:microsoft.com/office/officeart/2005/8/layout/radial6"/>
    <dgm:cxn modelId="{B0F97DAF-1B2C-442F-A519-105BA4F40C51}" srcId="{88AA0013-E2E1-4C6B-B415-C0167F08AE20}" destId="{A93386A4-6767-4F38-9B6C-08C5A2D1AAF2}" srcOrd="9" destOrd="0" parTransId="{0D4EC395-099D-43FD-9405-FB361097E6E0}" sibTransId="{7BBBB182-5F4C-4FE3-A9A3-F4485D9C8F3E}"/>
    <dgm:cxn modelId="{953F5DB9-5CCC-4296-9CE2-69E184EB1260}" type="presOf" srcId="{88B70304-0F07-4780-8D07-9BE8EB5090A6}" destId="{0014F334-7A1E-4653-A5D0-AE861C71B462}" srcOrd="0" destOrd="0" presId="urn:microsoft.com/office/officeart/2005/8/layout/radial6"/>
    <dgm:cxn modelId="{8607C2C0-4CD6-46BA-8527-54BD7922CB61}" type="presOf" srcId="{88AA0013-E2E1-4C6B-B415-C0167F08AE20}" destId="{7CE1075E-0576-4842-91AA-BC021F05956A}" srcOrd="0" destOrd="0" presId="urn:microsoft.com/office/officeart/2005/8/layout/radial6"/>
    <dgm:cxn modelId="{D836F3CC-810B-41A7-9006-955CFBB137B8}" srcId="{88AA0013-E2E1-4C6B-B415-C0167F08AE20}" destId="{C1C5C709-8B5E-47AD-AA46-3BA2D02536CD}" srcOrd="7" destOrd="0" parTransId="{7C9077A9-797B-41D4-917A-8B9EBD63EE49}" sibTransId="{A9E536A6-CD1F-4DD9-90D1-050720C8F5D4}"/>
    <dgm:cxn modelId="{0A8F6DD3-9AF5-45FA-941D-97AC431BB14F}" type="presOf" srcId="{38E8C0F2-E029-4AFC-AEFA-59840D98F135}" destId="{50786997-FDFB-4CAD-9BAF-612054E62B4C}" srcOrd="0" destOrd="0" presId="urn:microsoft.com/office/officeart/2005/8/layout/radial6"/>
    <dgm:cxn modelId="{5972A0D5-B1A5-4F7A-BB47-0A76C4471B91}" type="presOf" srcId="{3748A8B5-F9E2-44A6-B06E-FE654A9088DA}" destId="{16419D8C-FC58-4DA0-B064-165C8B950395}" srcOrd="0" destOrd="0" presId="urn:microsoft.com/office/officeart/2005/8/layout/radial6"/>
    <dgm:cxn modelId="{169FF8D6-6FEA-4F5B-8765-C82D240359B8}" type="presOf" srcId="{0262A2E5-1447-486B-B858-0E666DC9D660}" destId="{9D2C27DE-ED86-470B-A4D1-BFD2B581AD40}" srcOrd="0" destOrd="0" presId="urn:microsoft.com/office/officeart/2005/8/layout/radial6"/>
    <dgm:cxn modelId="{1668E9DA-8643-4F96-95CC-7276C3548791}" srcId="{88AA0013-E2E1-4C6B-B415-C0167F08AE20}" destId="{32FFE77C-5A61-46EF-95D4-6BDDA46E1DD0}" srcOrd="4" destOrd="0" parTransId="{38B570BA-558C-4AF7-8BCE-907072F0A90B}" sibTransId="{024C8AC5-DC3C-4DD6-9892-60023D718FE6}"/>
    <dgm:cxn modelId="{DB769EE0-AF5D-4902-A855-16AD1C4D95D6}" srcId="{88AA0013-E2E1-4C6B-B415-C0167F08AE20}" destId="{2F3A3614-4D4F-4699-9300-BACE0F6F0015}" srcOrd="6" destOrd="0" parTransId="{DA8B9A00-FE24-4F90-8466-533B9E51C896}" sibTransId="{4B22183D-B122-4BD7-B339-055560022384}"/>
    <dgm:cxn modelId="{746605E6-580D-42AB-8554-C4863F2526B0}" type="presOf" srcId="{58D53EAC-3914-4C3B-A91E-3DFA8C5FDBC3}" destId="{B052B27B-053D-4ECA-970A-86EAC28188B6}" srcOrd="0" destOrd="0" presId="urn:microsoft.com/office/officeart/2005/8/layout/radial6"/>
    <dgm:cxn modelId="{1F3E44E8-9431-4CA9-A355-C7692BDA01D0}" type="presOf" srcId="{75CC2712-226F-482F-A624-4E74E12C8BC9}" destId="{444833A7-1968-45D8-A3C8-0074932BB6FA}" srcOrd="0" destOrd="0" presId="urn:microsoft.com/office/officeart/2005/8/layout/radial6"/>
    <dgm:cxn modelId="{32A733F0-A105-414F-BD7B-CC0540772E82}" type="presOf" srcId="{329E8A8A-BDB2-4E25-B48F-63D51987F1A5}" destId="{7659D825-ED07-4686-AA01-6C7F1027A385}" srcOrd="0" destOrd="0" presId="urn:microsoft.com/office/officeart/2005/8/layout/radial6"/>
    <dgm:cxn modelId="{7853ECF0-2643-49FA-BD88-183C1254592F}" type="presOf" srcId="{A93386A4-6767-4F38-9B6C-08C5A2D1AAF2}" destId="{9B84C39F-DFB8-4042-A67B-D67A35BB1D78}" srcOrd="0" destOrd="0" presId="urn:microsoft.com/office/officeart/2005/8/layout/radial6"/>
    <dgm:cxn modelId="{4D3552F1-1301-4597-97E3-5218307EA6A0}" type="presOf" srcId="{C1C5C709-8B5E-47AD-AA46-3BA2D02536CD}" destId="{81635823-B612-4D04-8A30-8A601EF8A35B}" srcOrd="0" destOrd="0" presId="urn:microsoft.com/office/officeart/2005/8/layout/radial6"/>
    <dgm:cxn modelId="{2B3598F2-1982-440F-BE90-8F7B6DA7B4A4}" type="presOf" srcId="{7BBBB182-5F4C-4FE3-A9A3-F4485D9C8F3E}" destId="{05C90918-3BC4-4326-A29D-BB4CBFEAAA75}" srcOrd="0" destOrd="0" presId="urn:microsoft.com/office/officeart/2005/8/layout/radial6"/>
    <dgm:cxn modelId="{D5B91D2C-1E21-4580-A38A-0ABFE4243137}" type="presParOf" srcId="{525883EE-8345-4D66-AD61-E94B0A6DFAEF}" destId="{7CE1075E-0576-4842-91AA-BC021F05956A}" srcOrd="0" destOrd="0" presId="urn:microsoft.com/office/officeart/2005/8/layout/radial6"/>
    <dgm:cxn modelId="{0E1A5588-0C9E-44E8-BA85-72E525DB657C}" type="presParOf" srcId="{525883EE-8345-4D66-AD61-E94B0A6DFAEF}" destId="{DCCDD8F0-4B3F-4DF4-8A0B-6F8C96E8378D}" srcOrd="1" destOrd="0" presId="urn:microsoft.com/office/officeart/2005/8/layout/radial6"/>
    <dgm:cxn modelId="{C24C1AB4-98AB-4196-B64D-177F86942A1D}" type="presParOf" srcId="{525883EE-8345-4D66-AD61-E94B0A6DFAEF}" destId="{453FB6CF-B27C-4CE7-B95C-51926CA8F824}" srcOrd="2" destOrd="0" presId="urn:microsoft.com/office/officeart/2005/8/layout/radial6"/>
    <dgm:cxn modelId="{889E4BA9-15BF-45B3-B3E9-7A20634E60FA}" type="presParOf" srcId="{525883EE-8345-4D66-AD61-E94B0A6DFAEF}" destId="{67817412-FCA9-42E1-90E0-0EDEB6AD608C}" srcOrd="3" destOrd="0" presId="urn:microsoft.com/office/officeart/2005/8/layout/radial6"/>
    <dgm:cxn modelId="{6EF56909-D2A3-46EF-B8CF-3806E3015C6F}" type="presParOf" srcId="{525883EE-8345-4D66-AD61-E94B0A6DFAEF}" destId="{DA8F4D9D-EECA-402F-985B-9761AADFC946}" srcOrd="4" destOrd="0" presId="urn:microsoft.com/office/officeart/2005/8/layout/radial6"/>
    <dgm:cxn modelId="{D0D9F628-3CDD-41D4-9879-44AAD3B6D0F2}" type="presParOf" srcId="{525883EE-8345-4D66-AD61-E94B0A6DFAEF}" destId="{A377C44A-0A54-4F86-B920-99792FD9BD6C}" srcOrd="5" destOrd="0" presId="urn:microsoft.com/office/officeart/2005/8/layout/radial6"/>
    <dgm:cxn modelId="{1D5243D6-18E2-4AC3-995B-041FD5820834}" type="presParOf" srcId="{525883EE-8345-4D66-AD61-E94B0A6DFAEF}" destId="{16419D8C-FC58-4DA0-B064-165C8B950395}" srcOrd="6" destOrd="0" presId="urn:microsoft.com/office/officeart/2005/8/layout/radial6"/>
    <dgm:cxn modelId="{EBFBC1FF-168E-418B-9AC5-07775EFEF3E4}" type="presParOf" srcId="{525883EE-8345-4D66-AD61-E94B0A6DFAEF}" destId="{0B2F49AB-2862-4D39-97C1-B7E284252DBE}" srcOrd="7" destOrd="0" presId="urn:microsoft.com/office/officeart/2005/8/layout/radial6"/>
    <dgm:cxn modelId="{D63B5ED9-B771-4584-AE1C-46A40642C659}" type="presParOf" srcId="{525883EE-8345-4D66-AD61-E94B0A6DFAEF}" destId="{04295FA8-E20A-4421-9A44-D1E209B48A9F}" srcOrd="8" destOrd="0" presId="urn:microsoft.com/office/officeart/2005/8/layout/radial6"/>
    <dgm:cxn modelId="{5AC88770-3236-453D-BCDF-BF9D19BF830A}" type="presParOf" srcId="{525883EE-8345-4D66-AD61-E94B0A6DFAEF}" destId="{444833A7-1968-45D8-A3C8-0074932BB6FA}" srcOrd="9" destOrd="0" presId="urn:microsoft.com/office/officeart/2005/8/layout/radial6"/>
    <dgm:cxn modelId="{3822B25E-2AD8-494F-A0BE-AE77C11502E1}" type="presParOf" srcId="{525883EE-8345-4D66-AD61-E94B0A6DFAEF}" destId="{7659D825-ED07-4686-AA01-6C7F1027A385}" srcOrd="10" destOrd="0" presId="urn:microsoft.com/office/officeart/2005/8/layout/radial6"/>
    <dgm:cxn modelId="{F9F47430-13AB-4947-AEA5-D0E25157989D}" type="presParOf" srcId="{525883EE-8345-4D66-AD61-E94B0A6DFAEF}" destId="{CAD53FC3-1400-4D31-9D2E-586565119ECC}" srcOrd="11" destOrd="0" presId="urn:microsoft.com/office/officeart/2005/8/layout/radial6"/>
    <dgm:cxn modelId="{5F018F1D-00AC-4B75-990D-2DB76727DA11}" type="presParOf" srcId="{525883EE-8345-4D66-AD61-E94B0A6DFAEF}" destId="{3A332CD5-A4C4-4B52-A735-CFE2A83EACA6}" srcOrd="12" destOrd="0" presId="urn:microsoft.com/office/officeart/2005/8/layout/radial6"/>
    <dgm:cxn modelId="{91D4D401-3880-49C1-A955-98893CDCDF3F}" type="presParOf" srcId="{525883EE-8345-4D66-AD61-E94B0A6DFAEF}" destId="{42851E24-DCF4-4D66-A947-0C602E1D3E69}" srcOrd="13" destOrd="0" presId="urn:microsoft.com/office/officeart/2005/8/layout/radial6"/>
    <dgm:cxn modelId="{06B597BC-78A3-4397-B039-7ADFDDC2C1D2}" type="presParOf" srcId="{525883EE-8345-4D66-AD61-E94B0A6DFAEF}" destId="{79CD9425-297F-4BA3-83C5-1F53089BADD3}" srcOrd="14" destOrd="0" presId="urn:microsoft.com/office/officeart/2005/8/layout/radial6"/>
    <dgm:cxn modelId="{E3D53AFE-1433-4F93-9375-23262FA1CAFC}" type="presParOf" srcId="{525883EE-8345-4D66-AD61-E94B0A6DFAEF}" destId="{D76816CB-7458-45F3-84B1-E2798AD6F0C1}" srcOrd="15" destOrd="0" presId="urn:microsoft.com/office/officeart/2005/8/layout/radial6"/>
    <dgm:cxn modelId="{07F992E6-063D-43E0-8B7D-61AE9F25CF2A}" type="presParOf" srcId="{525883EE-8345-4D66-AD61-E94B0A6DFAEF}" destId="{CA6AF5B0-80F2-4212-A0FD-2250F708A40B}" srcOrd="16" destOrd="0" presId="urn:microsoft.com/office/officeart/2005/8/layout/radial6"/>
    <dgm:cxn modelId="{381FA2AD-FB8B-43BD-9F02-FB09A66501E7}" type="presParOf" srcId="{525883EE-8345-4D66-AD61-E94B0A6DFAEF}" destId="{9F286E63-08C7-42F2-B9A4-DC92F9D491D7}" srcOrd="17" destOrd="0" presId="urn:microsoft.com/office/officeart/2005/8/layout/radial6"/>
    <dgm:cxn modelId="{20B0C363-89A6-41FF-B671-0CB8288D75BB}" type="presParOf" srcId="{525883EE-8345-4D66-AD61-E94B0A6DFAEF}" destId="{BD443015-6B7A-44F8-8957-20F091F45300}" srcOrd="18" destOrd="0" presId="urn:microsoft.com/office/officeart/2005/8/layout/radial6"/>
    <dgm:cxn modelId="{71B3F967-0D74-4484-9FBC-DD97D4DDA07B}" type="presParOf" srcId="{525883EE-8345-4D66-AD61-E94B0A6DFAEF}" destId="{B9C25488-E016-4C4E-A5AB-5BA5352C3646}" srcOrd="19" destOrd="0" presId="urn:microsoft.com/office/officeart/2005/8/layout/radial6"/>
    <dgm:cxn modelId="{D38D343D-A21F-477A-8B20-E568566328F8}" type="presParOf" srcId="{525883EE-8345-4D66-AD61-E94B0A6DFAEF}" destId="{9EB83D2D-0365-4417-BCF6-2BA32CB8AA9B}" srcOrd="20" destOrd="0" presId="urn:microsoft.com/office/officeart/2005/8/layout/radial6"/>
    <dgm:cxn modelId="{6F15050E-B178-4B39-A3B4-024A2D93C199}" type="presParOf" srcId="{525883EE-8345-4D66-AD61-E94B0A6DFAEF}" destId="{7AA38735-680B-4138-BD9D-8737974BF8E9}" srcOrd="21" destOrd="0" presId="urn:microsoft.com/office/officeart/2005/8/layout/radial6"/>
    <dgm:cxn modelId="{76BFE012-D2CC-4413-8D5A-99135A70DB97}" type="presParOf" srcId="{525883EE-8345-4D66-AD61-E94B0A6DFAEF}" destId="{81635823-B612-4D04-8A30-8A601EF8A35B}" srcOrd="22" destOrd="0" presId="urn:microsoft.com/office/officeart/2005/8/layout/radial6"/>
    <dgm:cxn modelId="{CE55EF2A-2819-4AA2-9A73-ED33B6EC2514}" type="presParOf" srcId="{525883EE-8345-4D66-AD61-E94B0A6DFAEF}" destId="{0932F370-CBE6-475C-8433-E6141DFEC036}" srcOrd="23" destOrd="0" presId="urn:microsoft.com/office/officeart/2005/8/layout/radial6"/>
    <dgm:cxn modelId="{FC0492E0-3612-42E5-8C9B-C0BB33564061}" type="presParOf" srcId="{525883EE-8345-4D66-AD61-E94B0A6DFAEF}" destId="{B682B3B6-5923-4BAF-AF61-3BBE6A6EAE0B}" srcOrd="24" destOrd="0" presId="urn:microsoft.com/office/officeart/2005/8/layout/radial6"/>
    <dgm:cxn modelId="{EE5172C6-CCF6-4B8E-B7A1-AEDF22F8F2D7}" type="presParOf" srcId="{525883EE-8345-4D66-AD61-E94B0A6DFAEF}" destId="{9D2C27DE-ED86-470B-A4D1-BFD2B581AD40}" srcOrd="25" destOrd="0" presId="urn:microsoft.com/office/officeart/2005/8/layout/radial6"/>
    <dgm:cxn modelId="{729E6EBA-08B6-4101-AD76-760A3719B4B7}" type="presParOf" srcId="{525883EE-8345-4D66-AD61-E94B0A6DFAEF}" destId="{881A0771-7EB2-4081-A873-4C4039A061EA}" srcOrd="26" destOrd="0" presId="urn:microsoft.com/office/officeart/2005/8/layout/radial6"/>
    <dgm:cxn modelId="{2F2A82EE-719A-47C2-B413-10FD546FADFB}" type="presParOf" srcId="{525883EE-8345-4D66-AD61-E94B0A6DFAEF}" destId="{FBADBFF8-CFF2-4AF5-9D26-EEAF420A3203}" srcOrd="27" destOrd="0" presId="urn:microsoft.com/office/officeart/2005/8/layout/radial6"/>
    <dgm:cxn modelId="{843B52A1-12B6-48E0-97D0-FFB21B904096}" type="presParOf" srcId="{525883EE-8345-4D66-AD61-E94B0A6DFAEF}" destId="{9B84C39F-DFB8-4042-A67B-D67A35BB1D78}" srcOrd="28" destOrd="0" presId="urn:microsoft.com/office/officeart/2005/8/layout/radial6"/>
    <dgm:cxn modelId="{05C51B59-29D2-4D95-BCE1-12101A44A4E9}" type="presParOf" srcId="{525883EE-8345-4D66-AD61-E94B0A6DFAEF}" destId="{C4F0B9F0-B28E-4F0F-BA2B-5596FCF2546D}" srcOrd="29" destOrd="0" presId="urn:microsoft.com/office/officeart/2005/8/layout/radial6"/>
    <dgm:cxn modelId="{C166081B-EBFE-4C47-9C16-FC541D5837F6}" type="presParOf" srcId="{525883EE-8345-4D66-AD61-E94B0A6DFAEF}" destId="{05C90918-3BC4-4326-A29D-BB4CBFEAAA75}" srcOrd="30" destOrd="0" presId="urn:microsoft.com/office/officeart/2005/8/layout/radial6"/>
    <dgm:cxn modelId="{9034DC19-5E9B-4EF7-B848-A893171CD656}" type="presParOf" srcId="{525883EE-8345-4D66-AD61-E94B0A6DFAEF}" destId="{0014F334-7A1E-4653-A5D0-AE861C71B462}" srcOrd="31" destOrd="0" presId="urn:microsoft.com/office/officeart/2005/8/layout/radial6"/>
    <dgm:cxn modelId="{41D7B556-7857-452E-A6D4-C7878C4D10B7}" type="presParOf" srcId="{525883EE-8345-4D66-AD61-E94B0A6DFAEF}" destId="{3BAC8C93-134D-437F-805D-1B870118D264}" srcOrd="32" destOrd="0" presId="urn:microsoft.com/office/officeart/2005/8/layout/radial6"/>
    <dgm:cxn modelId="{F316BF42-0717-4959-8188-6920B2AC7ACF}" type="presParOf" srcId="{525883EE-8345-4D66-AD61-E94B0A6DFAEF}" destId="{0162EF23-A196-49D1-A52C-13C1D784DF74}" srcOrd="33" destOrd="0" presId="urn:microsoft.com/office/officeart/2005/8/layout/radial6"/>
    <dgm:cxn modelId="{F916DD4B-787E-45CA-9C56-4D79E5B1F791}" type="presParOf" srcId="{525883EE-8345-4D66-AD61-E94B0A6DFAEF}" destId="{B052B27B-053D-4ECA-970A-86EAC28188B6}" srcOrd="34" destOrd="0" presId="urn:microsoft.com/office/officeart/2005/8/layout/radial6"/>
    <dgm:cxn modelId="{FE1306BA-8BAB-4ED3-8A31-54EB775E2936}" type="presParOf" srcId="{525883EE-8345-4D66-AD61-E94B0A6DFAEF}" destId="{355EF3EF-318D-4BEB-95AE-2BDFBA4D9C61}" srcOrd="35" destOrd="0" presId="urn:microsoft.com/office/officeart/2005/8/layout/radial6"/>
    <dgm:cxn modelId="{3004FE0E-0537-4AE1-9D1A-D71803A187E9}" type="presParOf" srcId="{525883EE-8345-4D66-AD61-E94B0A6DFAEF}" destId="{50786997-FDFB-4CAD-9BAF-612054E62B4C}" srcOrd="36" destOrd="0" presId="urn:microsoft.com/office/officeart/2005/8/layout/radial6"/>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786997-FDFB-4CAD-9BAF-612054E62B4C}">
      <dsp:nvSpPr>
        <dsp:cNvPr id="0" name=""/>
        <dsp:cNvSpPr/>
      </dsp:nvSpPr>
      <dsp:spPr>
        <a:xfrm>
          <a:off x="942813" y="260506"/>
          <a:ext cx="3503617" cy="3503617"/>
        </a:xfrm>
        <a:prstGeom prst="blockArc">
          <a:avLst>
            <a:gd name="adj1" fmla="val 14400000"/>
            <a:gd name="adj2" fmla="val 16200000"/>
            <a:gd name="adj3" fmla="val 2302"/>
          </a:avLst>
        </a:prstGeom>
        <a:solidFill>
          <a:sysClr val="windowText" lastClr="000000">
            <a:tint val="60000"/>
            <a:hueOff val="0"/>
            <a:satOff val="0"/>
            <a:lumOff val="0"/>
            <a:alphaOff val="0"/>
          </a:sysClr>
        </a:solidFill>
        <a:ln>
          <a:noFill/>
        </a:ln>
        <a:effectLst/>
      </dsp:spPr>
      <dsp:style>
        <a:lnRef idx="0">
          <a:scrgbClr r="0" g="0" b="0"/>
        </a:lnRef>
        <a:fillRef idx="1">
          <a:scrgbClr r="0" g="0" b="0"/>
        </a:fillRef>
        <a:effectRef idx="0">
          <a:scrgbClr r="0" g="0" b="0"/>
        </a:effectRef>
        <a:fontRef idx="minor">
          <a:schemeClr val="lt1"/>
        </a:fontRef>
      </dsp:style>
    </dsp:sp>
    <dsp:sp modelId="{0162EF23-A196-49D1-A52C-13C1D784DF74}">
      <dsp:nvSpPr>
        <dsp:cNvPr id="0" name=""/>
        <dsp:cNvSpPr/>
      </dsp:nvSpPr>
      <dsp:spPr>
        <a:xfrm>
          <a:off x="942813" y="260506"/>
          <a:ext cx="3503617" cy="3503617"/>
        </a:xfrm>
        <a:prstGeom prst="blockArc">
          <a:avLst>
            <a:gd name="adj1" fmla="val 12600000"/>
            <a:gd name="adj2" fmla="val 14400000"/>
            <a:gd name="adj3" fmla="val 2302"/>
          </a:avLst>
        </a:prstGeom>
        <a:solidFill>
          <a:sysClr val="windowText" lastClr="000000">
            <a:tint val="60000"/>
            <a:hueOff val="0"/>
            <a:satOff val="0"/>
            <a:lumOff val="0"/>
            <a:alphaOff val="0"/>
          </a:sysClr>
        </a:solidFill>
        <a:ln>
          <a:noFill/>
        </a:ln>
        <a:effectLst/>
      </dsp:spPr>
      <dsp:style>
        <a:lnRef idx="0">
          <a:scrgbClr r="0" g="0" b="0"/>
        </a:lnRef>
        <a:fillRef idx="1">
          <a:scrgbClr r="0" g="0" b="0"/>
        </a:fillRef>
        <a:effectRef idx="0">
          <a:scrgbClr r="0" g="0" b="0"/>
        </a:effectRef>
        <a:fontRef idx="minor">
          <a:schemeClr val="lt1"/>
        </a:fontRef>
      </dsp:style>
    </dsp:sp>
    <dsp:sp modelId="{05C90918-3BC4-4326-A29D-BB4CBFEAAA75}">
      <dsp:nvSpPr>
        <dsp:cNvPr id="0" name=""/>
        <dsp:cNvSpPr/>
      </dsp:nvSpPr>
      <dsp:spPr>
        <a:xfrm>
          <a:off x="942813" y="260506"/>
          <a:ext cx="3503617" cy="3503617"/>
        </a:xfrm>
        <a:prstGeom prst="blockArc">
          <a:avLst>
            <a:gd name="adj1" fmla="val 10800000"/>
            <a:gd name="adj2" fmla="val 12600000"/>
            <a:gd name="adj3" fmla="val 2302"/>
          </a:avLst>
        </a:prstGeom>
        <a:solidFill>
          <a:sysClr val="windowText" lastClr="000000">
            <a:tint val="60000"/>
            <a:hueOff val="0"/>
            <a:satOff val="0"/>
            <a:lumOff val="0"/>
            <a:alphaOff val="0"/>
          </a:sysClr>
        </a:solidFill>
        <a:ln>
          <a:noFill/>
        </a:ln>
        <a:effectLst/>
      </dsp:spPr>
      <dsp:style>
        <a:lnRef idx="0">
          <a:scrgbClr r="0" g="0" b="0"/>
        </a:lnRef>
        <a:fillRef idx="1">
          <a:scrgbClr r="0" g="0" b="0"/>
        </a:fillRef>
        <a:effectRef idx="0">
          <a:scrgbClr r="0" g="0" b="0"/>
        </a:effectRef>
        <a:fontRef idx="minor">
          <a:schemeClr val="lt1"/>
        </a:fontRef>
      </dsp:style>
    </dsp:sp>
    <dsp:sp modelId="{FBADBFF8-CFF2-4AF5-9D26-EEAF420A3203}">
      <dsp:nvSpPr>
        <dsp:cNvPr id="0" name=""/>
        <dsp:cNvSpPr/>
      </dsp:nvSpPr>
      <dsp:spPr>
        <a:xfrm>
          <a:off x="942813" y="260506"/>
          <a:ext cx="3503617" cy="3503617"/>
        </a:xfrm>
        <a:prstGeom prst="blockArc">
          <a:avLst>
            <a:gd name="adj1" fmla="val 9000000"/>
            <a:gd name="adj2" fmla="val 10800000"/>
            <a:gd name="adj3" fmla="val 2302"/>
          </a:avLst>
        </a:prstGeom>
        <a:solidFill>
          <a:sysClr val="windowText" lastClr="000000">
            <a:tint val="60000"/>
            <a:hueOff val="0"/>
            <a:satOff val="0"/>
            <a:lumOff val="0"/>
            <a:alphaOff val="0"/>
          </a:sysClr>
        </a:solidFill>
        <a:ln>
          <a:noFill/>
        </a:ln>
        <a:effectLst/>
      </dsp:spPr>
      <dsp:style>
        <a:lnRef idx="0">
          <a:scrgbClr r="0" g="0" b="0"/>
        </a:lnRef>
        <a:fillRef idx="1">
          <a:scrgbClr r="0" g="0" b="0"/>
        </a:fillRef>
        <a:effectRef idx="0">
          <a:scrgbClr r="0" g="0" b="0"/>
        </a:effectRef>
        <a:fontRef idx="minor">
          <a:schemeClr val="lt1"/>
        </a:fontRef>
      </dsp:style>
    </dsp:sp>
    <dsp:sp modelId="{B682B3B6-5923-4BAF-AF61-3BBE6A6EAE0B}">
      <dsp:nvSpPr>
        <dsp:cNvPr id="0" name=""/>
        <dsp:cNvSpPr/>
      </dsp:nvSpPr>
      <dsp:spPr>
        <a:xfrm>
          <a:off x="942813" y="260506"/>
          <a:ext cx="3503617" cy="3503617"/>
        </a:xfrm>
        <a:prstGeom prst="blockArc">
          <a:avLst>
            <a:gd name="adj1" fmla="val 7200000"/>
            <a:gd name="adj2" fmla="val 9000000"/>
            <a:gd name="adj3" fmla="val 2302"/>
          </a:avLst>
        </a:prstGeom>
        <a:solidFill>
          <a:sysClr val="windowText" lastClr="000000">
            <a:tint val="60000"/>
            <a:hueOff val="0"/>
            <a:satOff val="0"/>
            <a:lumOff val="0"/>
            <a:alphaOff val="0"/>
          </a:sysClr>
        </a:solidFill>
        <a:ln>
          <a:noFill/>
        </a:ln>
        <a:effectLst/>
      </dsp:spPr>
      <dsp:style>
        <a:lnRef idx="0">
          <a:scrgbClr r="0" g="0" b="0"/>
        </a:lnRef>
        <a:fillRef idx="1">
          <a:scrgbClr r="0" g="0" b="0"/>
        </a:fillRef>
        <a:effectRef idx="0">
          <a:scrgbClr r="0" g="0" b="0"/>
        </a:effectRef>
        <a:fontRef idx="minor">
          <a:schemeClr val="lt1"/>
        </a:fontRef>
      </dsp:style>
    </dsp:sp>
    <dsp:sp modelId="{7AA38735-680B-4138-BD9D-8737974BF8E9}">
      <dsp:nvSpPr>
        <dsp:cNvPr id="0" name=""/>
        <dsp:cNvSpPr/>
      </dsp:nvSpPr>
      <dsp:spPr>
        <a:xfrm>
          <a:off x="942813" y="260506"/>
          <a:ext cx="3503617" cy="3503617"/>
        </a:xfrm>
        <a:prstGeom prst="blockArc">
          <a:avLst>
            <a:gd name="adj1" fmla="val 5400000"/>
            <a:gd name="adj2" fmla="val 7200000"/>
            <a:gd name="adj3" fmla="val 2302"/>
          </a:avLst>
        </a:prstGeom>
        <a:solidFill>
          <a:sysClr val="windowText" lastClr="000000">
            <a:tint val="60000"/>
            <a:hueOff val="0"/>
            <a:satOff val="0"/>
            <a:lumOff val="0"/>
            <a:alphaOff val="0"/>
          </a:sysClr>
        </a:solidFill>
        <a:ln>
          <a:noFill/>
        </a:ln>
        <a:effectLst/>
      </dsp:spPr>
      <dsp:style>
        <a:lnRef idx="0">
          <a:scrgbClr r="0" g="0" b="0"/>
        </a:lnRef>
        <a:fillRef idx="1">
          <a:scrgbClr r="0" g="0" b="0"/>
        </a:fillRef>
        <a:effectRef idx="0">
          <a:scrgbClr r="0" g="0" b="0"/>
        </a:effectRef>
        <a:fontRef idx="minor">
          <a:schemeClr val="lt1"/>
        </a:fontRef>
      </dsp:style>
    </dsp:sp>
    <dsp:sp modelId="{BD443015-6B7A-44F8-8957-20F091F45300}">
      <dsp:nvSpPr>
        <dsp:cNvPr id="0" name=""/>
        <dsp:cNvSpPr/>
      </dsp:nvSpPr>
      <dsp:spPr>
        <a:xfrm>
          <a:off x="942813" y="260506"/>
          <a:ext cx="3503617" cy="3503617"/>
        </a:xfrm>
        <a:prstGeom prst="blockArc">
          <a:avLst>
            <a:gd name="adj1" fmla="val 3600000"/>
            <a:gd name="adj2" fmla="val 5400000"/>
            <a:gd name="adj3" fmla="val 2302"/>
          </a:avLst>
        </a:prstGeom>
        <a:solidFill>
          <a:sysClr val="windowText" lastClr="000000">
            <a:tint val="60000"/>
            <a:hueOff val="0"/>
            <a:satOff val="0"/>
            <a:lumOff val="0"/>
            <a:alphaOff val="0"/>
          </a:sysClr>
        </a:solidFill>
        <a:ln>
          <a:noFill/>
        </a:ln>
        <a:effectLst/>
      </dsp:spPr>
      <dsp:style>
        <a:lnRef idx="0">
          <a:scrgbClr r="0" g="0" b="0"/>
        </a:lnRef>
        <a:fillRef idx="1">
          <a:scrgbClr r="0" g="0" b="0"/>
        </a:fillRef>
        <a:effectRef idx="0">
          <a:scrgbClr r="0" g="0" b="0"/>
        </a:effectRef>
        <a:fontRef idx="minor">
          <a:schemeClr val="lt1"/>
        </a:fontRef>
      </dsp:style>
    </dsp:sp>
    <dsp:sp modelId="{D76816CB-7458-45F3-84B1-E2798AD6F0C1}">
      <dsp:nvSpPr>
        <dsp:cNvPr id="0" name=""/>
        <dsp:cNvSpPr/>
      </dsp:nvSpPr>
      <dsp:spPr>
        <a:xfrm>
          <a:off x="942813" y="260506"/>
          <a:ext cx="3503617" cy="3503617"/>
        </a:xfrm>
        <a:prstGeom prst="blockArc">
          <a:avLst>
            <a:gd name="adj1" fmla="val 1800000"/>
            <a:gd name="adj2" fmla="val 3600000"/>
            <a:gd name="adj3" fmla="val 2302"/>
          </a:avLst>
        </a:prstGeom>
        <a:solidFill>
          <a:sysClr val="windowText" lastClr="000000">
            <a:tint val="60000"/>
            <a:hueOff val="0"/>
            <a:satOff val="0"/>
            <a:lumOff val="0"/>
            <a:alphaOff val="0"/>
          </a:sysClr>
        </a:solidFill>
        <a:ln>
          <a:noFill/>
        </a:ln>
        <a:effectLst/>
      </dsp:spPr>
      <dsp:style>
        <a:lnRef idx="0">
          <a:scrgbClr r="0" g="0" b="0"/>
        </a:lnRef>
        <a:fillRef idx="1">
          <a:scrgbClr r="0" g="0" b="0"/>
        </a:fillRef>
        <a:effectRef idx="0">
          <a:scrgbClr r="0" g="0" b="0"/>
        </a:effectRef>
        <a:fontRef idx="minor">
          <a:schemeClr val="lt1"/>
        </a:fontRef>
      </dsp:style>
    </dsp:sp>
    <dsp:sp modelId="{3A332CD5-A4C4-4B52-A735-CFE2A83EACA6}">
      <dsp:nvSpPr>
        <dsp:cNvPr id="0" name=""/>
        <dsp:cNvSpPr/>
      </dsp:nvSpPr>
      <dsp:spPr>
        <a:xfrm>
          <a:off x="942813" y="260506"/>
          <a:ext cx="3503617" cy="3503617"/>
        </a:xfrm>
        <a:prstGeom prst="blockArc">
          <a:avLst>
            <a:gd name="adj1" fmla="val 0"/>
            <a:gd name="adj2" fmla="val 1800000"/>
            <a:gd name="adj3" fmla="val 2302"/>
          </a:avLst>
        </a:prstGeom>
        <a:solidFill>
          <a:sysClr val="windowText" lastClr="000000">
            <a:tint val="60000"/>
            <a:hueOff val="0"/>
            <a:satOff val="0"/>
            <a:lumOff val="0"/>
            <a:alphaOff val="0"/>
          </a:sysClr>
        </a:solidFill>
        <a:ln>
          <a:noFill/>
        </a:ln>
        <a:effectLst/>
      </dsp:spPr>
      <dsp:style>
        <a:lnRef idx="0">
          <a:scrgbClr r="0" g="0" b="0"/>
        </a:lnRef>
        <a:fillRef idx="1">
          <a:scrgbClr r="0" g="0" b="0"/>
        </a:fillRef>
        <a:effectRef idx="0">
          <a:scrgbClr r="0" g="0" b="0"/>
        </a:effectRef>
        <a:fontRef idx="minor">
          <a:schemeClr val="lt1"/>
        </a:fontRef>
      </dsp:style>
    </dsp:sp>
    <dsp:sp modelId="{444833A7-1968-45D8-A3C8-0074932BB6FA}">
      <dsp:nvSpPr>
        <dsp:cNvPr id="0" name=""/>
        <dsp:cNvSpPr/>
      </dsp:nvSpPr>
      <dsp:spPr>
        <a:xfrm>
          <a:off x="942813" y="260506"/>
          <a:ext cx="3503617" cy="3503617"/>
        </a:xfrm>
        <a:prstGeom prst="blockArc">
          <a:avLst>
            <a:gd name="adj1" fmla="val 19800000"/>
            <a:gd name="adj2" fmla="val 0"/>
            <a:gd name="adj3" fmla="val 2302"/>
          </a:avLst>
        </a:prstGeom>
        <a:solidFill>
          <a:sysClr val="windowText" lastClr="000000">
            <a:tint val="60000"/>
            <a:hueOff val="0"/>
            <a:satOff val="0"/>
            <a:lumOff val="0"/>
            <a:alphaOff val="0"/>
          </a:sysClr>
        </a:solidFill>
        <a:ln>
          <a:noFill/>
        </a:ln>
        <a:effectLst/>
      </dsp:spPr>
      <dsp:style>
        <a:lnRef idx="0">
          <a:scrgbClr r="0" g="0" b="0"/>
        </a:lnRef>
        <a:fillRef idx="1">
          <a:scrgbClr r="0" g="0" b="0"/>
        </a:fillRef>
        <a:effectRef idx="0">
          <a:scrgbClr r="0" g="0" b="0"/>
        </a:effectRef>
        <a:fontRef idx="minor">
          <a:schemeClr val="lt1"/>
        </a:fontRef>
      </dsp:style>
    </dsp:sp>
    <dsp:sp modelId="{16419D8C-FC58-4DA0-B064-165C8B950395}">
      <dsp:nvSpPr>
        <dsp:cNvPr id="0" name=""/>
        <dsp:cNvSpPr/>
      </dsp:nvSpPr>
      <dsp:spPr>
        <a:xfrm>
          <a:off x="942813" y="260506"/>
          <a:ext cx="3503617" cy="3503617"/>
        </a:xfrm>
        <a:prstGeom prst="blockArc">
          <a:avLst>
            <a:gd name="adj1" fmla="val 18000000"/>
            <a:gd name="adj2" fmla="val 19800000"/>
            <a:gd name="adj3" fmla="val 2302"/>
          </a:avLst>
        </a:prstGeom>
        <a:solidFill>
          <a:sysClr val="windowText" lastClr="000000">
            <a:tint val="60000"/>
            <a:hueOff val="0"/>
            <a:satOff val="0"/>
            <a:lumOff val="0"/>
            <a:alphaOff val="0"/>
          </a:sysClr>
        </a:solidFill>
        <a:ln>
          <a:noFill/>
        </a:ln>
        <a:effectLst/>
      </dsp:spPr>
      <dsp:style>
        <a:lnRef idx="0">
          <a:scrgbClr r="0" g="0" b="0"/>
        </a:lnRef>
        <a:fillRef idx="1">
          <a:scrgbClr r="0" g="0" b="0"/>
        </a:fillRef>
        <a:effectRef idx="0">
          <a:scrgbClr r="0" g="0" b="0"/>
        </a:effectRef>
        <a:fontRef idx="minor">
          <a:schemeClr val="lt1"/>
        </a:fontRef>
      </dsp:style>
    </dsp:sp>
    <dsp:sp modelId="{67817412-FCA9-42E1-90E0-0EDEB6AD608C}">
      <dsp:nvSpPr>
        <dsp:cNvPr id="0" name=""/>
        <dsp:cNvSpPr/>
      </dsp:nvSpPr>
      <dsp:spPr>
        <a:xfrm>
          <a:off x="942813" y="260506"/>
          <a:ext cx="3503617" cy="3503617"/>
        </a:xfrm>
        <a:prstGeom prst="blockArc">
          <a:avLst>
            <a:gd name="adj1" fmla="val 16200000"/>
            <a:gd name="adj2" fmla="val 18000000"/>
            <a:gd name="adj3" fmla="val 2302"/>
          </a:avLst>
        </a:prstGeom>
        <a:solidFill>
          <a:sysClr val="windowText" lastClr="000000">
            <a:tint val="60000"/>
            <a:hueOff val="0"/>
            <a:satOff val="0"/>
            <a:lumOff val="0"/>
            <a:alphaOff val="0"/>
          </a:sysClr>
        </a:solidFill>
        <a:ln>
          <a:noFill/>
        </a:ln>
        <a:effectLst/>
      </dsp:spPr>
      <dsp:style>
        <a:lnRef idx="0">
          <a:scrgbClr r="0" g="0" b="0"/>
        </a:lnRef>
        <a:fillRef idx="1">
          <a:scrgbClr r="0" g="0" b="0"/>
        </a:fillRef>
        <a:effectRef idx="0">
          <a:scrgbClr r="0" g="0" b="0"/>
        </a:effectRef>
        <a:fontRef idx="minor">
          <a:schemeClr val="lt1"/>
        </a:fontRef>
      </dsp:style>
    </dsp:sp>
    <dsp:sp modelId="{7CE1075E-0576-4842-91AA-BC021F05956A}">
      <dsp:nvSpPr>
        <dsp:cNvPr id="0" name=""/>
        <dsp:cNvSpPr/>
      </dsp:nvSpPr>
      <dsp:spPr>
        <a:xfrm>
          <a:off x="2072644" y="1503996"/>
          <a:ext cx="1243955" cy="1016636"/>
        </a:xfrm>
        <a:prstGeom prst="ellipse">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Potential Future Scenarios</a:t>
          </a:r>
        </a:p>
      </dsp:txBody>
      <dsp:txXfrm>
        <a:off x="2254817" y="1652879"/>
        <a:ext cx="879609" cy="718870"/>
      </dsp:txXfrm>
    </dsp:sp>
    <dsp:sp modelId="{DCCDD8F0-4B3F-4DF4-8A0B-6F8C96E8378D}">
      <dsp:nvSpPr>
        <dsp:cNvPr id="0" name=""/>
        <dsp:cNvSpPr/>
      </dsp:nvSpPr>
      <dsp:spPr>
        <a:xfrm>
          <a:off x="2300598" y="-113359"/>
          <a:ext cx="788048" cy="788048"/>
        </a:xfrm>
        <a:prstGeom prst="ellipse">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Service without Branches</a:t>
          </a:r>
        </a:p>
      </dsp:txBody>
      <dsp:txXfrm>
        <a:off x="2416005" y="2048"/>
        <a:ext cx="557234" cy="557234"/>
      </dsp:txXfrm>
    </dsp:sp>
    <dsp:sp modelId="{DA8F4D9D-EECA-402F-985B-9761AADFC946}">
      <dsp:nvSpPr>
        <dsp:cNvPr id="0" name=""/>
        <dsp:cNvSpPr/>
      </dsp:nvSpPr>
      <dsp:spPr>
        <a:xfrm>
          <a:off x="3166422" y="118637"/>
          <a:ext cx="788048" cy="788048"/>
        </a:xfrm>
        <a:prstGeom prst="ellipse">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Service without Bankers</a:t>
          </a:r>
        </a:p>
      </dsp:txBody>
      <dsp:txXfrm>
        <a:off x="3281829" y="234044"/>
        <a:ext cx="557234" cy="557234"/>
      </dsp:txXfrm>
    </dsp:sp>
    <dsp:sp modelId="{0B2F49AB-2862-4D39-97C1-B7E284252DBE}">
      <dsp:nvSpPr>
        <dsp:cNvPr id="0" name=""/>
        <dsp:cNvSpPr/>
      </dsp:nvSpPr>
      <dsp:spPr>
        <a:xfrm>
          <a:off x="3765548" y="752465"/>
          <a:ext cx="857452" cy="788048"/>
        </a:xfrm>
        <a:prstGeom prst="ellipse">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10160" rIns="0" bIns="1016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Operations without</a:t>
          </a:r>
          <a:br>
            <a:rPr lang="en-U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br>
          <a:r>
            <a:rPr lang="en-U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Infrastructure</a:t>
          </a:r>
        </a:p>
      </dsp:txBody>
      <dsp:txXfrm>
        <a:off x="3891119" y="867872"/>
        <a:ext cx="606310" cy="557234"/>
      </dsp:txXfrm>
    </dsp:sp>
    <dsp:sp modelId="{7659D825-ED07-4686-AA01-6C7F1027A385}">
      <dsp:nvSpPr>
        <dsp:cNvPr id="0" name=""/>
        <dsp:cNvSpPr/>
      </dsp:nvSpPr>
      <dsp:spPr>
        <a:xfrm>
          <a:off x="4032247" y="1618290"/>
          <a:ext cx="788048" cy="788048"/>
        </a:xfrm>
        <a:prstGeom prst="ellipse">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Payments without Middlemen</a:t>
          </a:r>
        </a:p>
      </dsp:txBody>
      <dsp:txXfrm>
        <a:off x="4147654" y="1733697"/>
        <a:ext cx="557234" cy="557234"/>
      </dsp:txXfrm>
    </dsp:sp>
    <dsp:sp modelId="{42851E24-DCF4-4D66-A947-0C602E1D3E69}">
      <dsp:nvSpPr>
        <dsp:cNvPr id="0" name=""/>
        <dsp:cNvSpPr/>
      </dsp:nvSpPr>
      <dsp:spPr>
        <a:xfrm>
          <a:off x="3800250" y="2484115"/>
          <a:ext cx="788048" cy="788048"/>
        </a:xfrm>
        <a:prstGeom prst="ellipse">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Choice without Brands</a:t>
          </a:r>
        </a:p>
      </dsp:txBody>
      <dsp:txXfrm>
        <a:off x="3915657" y="2599522"/>
        <a:ext cx="557234" cy="557234"/>
      </dsp:txXfrm>
    </dsp:sp>
    <dsp:sp modelId="{CA6AF5B0-80F2-4212-A0FD-2250F708A40B}">
      <dsp:nvSpPr>
        <dsp:cNvPr id="0" name=""/>
        <dsp:cNvSpPr/>
      </dsp:nvSpPr>
      <dsp:spPr>
        <a:xfrm>
          <a:off x="3166422" y="3117943"/>
          <a:ext cx="788048" cy="788048"/>
        </a:xfrm>
        <a:prstGeom prst="ellipse">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Experience without Boredom</a:t>
          </a:r>
        </a:p>
      </dsp:txBody>
      <dsp:txXfrm>
        <a:off x="3281829" y="3233350"/>
        <a:ext cx="557234" cy="557234"/>
      </dsp:txXfrm>
    </dsp:sp>
    <dsp:sp modelId="{B9C25488-E016-4C4E-A5AB-5BA5352C3646}">
      <dsp:nvSpPr>
        <dsp:cNvPr id="0" name=""/>
        <dsp:cNvSpPr/>
      </dsp:nvSpPr>
      <dsp:spPr>
        <a:xfrm>
          <a:off x="2300598" y="3349940"/>
          <a:ext cx="788048" cy="788048"/>
        </a:xfrm>
        <a:prstGeom prst="ellipse">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Security without Privacy</a:t>
          </a:r>
        </a:p>
      </dsp:txBody>
      <dsp:txXfrm>
        <a:off x="2416005" y="3465347"/>
        <a:ext cx="557234" cy="557234"/>
      </dsp:txXfrm>
    </dsp:sp>
    <dsp:sp modelId="{81635823-B612-4D04-8A30-8A601EF8A35B}">
      <dsp:nvSpPr>
        <dsp:cNvPr id="0" name=""/>
        <dsp:cNvSpPr/>
      </dsp:nvSpPr>
      <dsp:spPr>
        <a:xfrm>
          <a:off x="1434773" y="3117943"/>
          <a:ext cx="788048" cy="788048"/>
        </a:xfrm>
        <a:prstGeom prst="ellipse">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Mergers and Acquisitions without Advisors</a:t>
          </a:r>
        </a:p>
      </dsp:txBody>
      <dsp:txXfrm>
        <a:off x="1550180" y="3233350"/>
        <a:ext cx="557234" cy="557234"/>
      </dsp:txXfrm>
    </dsp:sp>
    <dsp:sp modelId="{9D2C27DE-ED86-470B-A4D1-BFD2B581AD40}">
      <dsp:nvSpPr>
        <dsp:cNvPr id="0" name=""/>
        <dsp:cNvSpPr/>
      </dsp:nvSpPr>
      <dsp:spPr>
        <a:xfrm>
          <a:off x="800945" y="2484115"/>
          <a:ext cx="788048" cy="788048"/>
        </a:xfrm>
        <a:prstGeom prst="ellipse">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Investing without Managers</a:t>
          </a:r>
        </a:p>
      </dsp:txBody>
      <dsp:txXfrm>
        <a:off x="916352" y="2599522"/>
        <a:ext cx="557234" cy="557234"/>
      </dsp:txXfrm>
    </dsp:sp>
    <dsp:sp modelId="{9B84C39F-DFB8-4042-A67B-D67A35BB1D78}">
      <dsp:nvSpPr>
        <dsp:cNvPr id="0" name=""/>
        <dsp:cNvSpPr/>
      </dsp:nvSpPr>
      <dsp:spPr>
        <a:xfrm>
          <a:off x="568948" y="1618290"/>
          <a:ext cx="788048" cy="788048"/>
        </a:xfrm>
        <a:prstGeom prst="ellipse">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Trading without Traders </a:t>
          </a:r>
        </a:p>
      </dsp:txBody>
      <dsp:txXfrm>
        <a:off x="684355" y="1733697"/>
        <a:ext cx="557234" cy="557234"/>
      </dsp:txXfrm>
    </dsp:sp>
    <dsp:sp modelId="{0014F334-7A1E-4653-A5D0-AE861C71B462}">
      <dsp:nvSpPr>
        <dsp:cNvPr id="0" name=""/>
        <dsp:cNvSpPr/>
      </dsp:nvSpPr>
      <dsp:spPr>
        <a:xfrm>
          <a:off x="800945" y="752465"/>
          <a:ext cx="788048" cy="788048"/>
        </a:xfrm>
        <a:prstGeom prst="ellipse">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Lending without Deposits</a:t>
          </a:r>
        </a:p>
      </dsp:txBody>
      <dsp:txXfrm>
        <a:off x="916352" y="867872"/>
        <a:ext cx="557234" cy="557234"/>
      </dsp:txXfrm>
    </dsp:sp>
    <dsp:sp modelId="{B052B27B-053D-4ECA-970A-86EAC28188B6}">
      <dsp:nvSpPr>
        <dsp:cNvPr id="0" name=""/>
        <dsp:cNvSpPr/>
      </dsp:nvSpPr>
      <dsp:spPr>
        <a:xfrm>
          <a:off x="1399682" y="118637"/>
          <a:ext cx="858230" cy="788048"/>
        </a:xfrm>
        <a:prstGeom prst="ellipse">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Intermediation without Balance Sheets </a:t>
          </a:r>
        </a:p>
      </dsp:txBody>
      <dsp:txXfrm>
        <a:off x="1525367" y="234044"/>
        <a:ext cx="606860" cy="557234"/>
      </dsp:txXfrm>
    </dsp:sp>
  </dsp:spTree>
</dsp:drawing>
</file>

<file path=word/diagrams/layout1.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D8B3C0-4C0D-454A-BC90-DFDB358A2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17</Pages>
  <Words>6134</Words>
  <Characters>34966</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41018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Alex Bojmelgrin</cp:lastModifiedBy>
  <cp:revision>18</cp:revision>
  <cp:lastPrinted>2015-03-04T20:34:00Z</cp:lastPrinted>
  <dcterms:created xsi:type="dcterms:W3CDTF">2019-04-23T17:06:00Z</dcterms:created>
  <dcterms:modified xsi:type="dcterms:W3CDTF">2022-06-21T13:14:00Z</dcterms:modified>
</cp:coreProperties>
</file>