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605"/>
      </w:tblGrid>
      <w:tr w:rsidR="009A28D6" w:rsidRPr="009A28D6" w14:paraId="018B6399" w14:textId="77777777" w:rsidTr="009A28D6">
        <w:tc>
          <w:tcPr>
            <w:tcW w:w="4788" w:type="dxa"/>
          </w:tcPr>
          <w:p w14:paraId="711C036C" w14:textId="77777777" w:rsidR="009A28D6" w:rsidRPr="009A28D6" w:rsidRDefault="009A28D6" w:rsidP="009A28D6">
            <w:pPr>
              <w:tabs>
                <w:tab w:val="left" w:pos="-1440"/>
                <w:tab w:val="left" w:pos="-720"/>
                <w:tab w:val="left" w:pos="1"/>
              </w:tabs>
              <w:jc w:val="both"/>
              <w:rPr>
                <w:rFonts w:ascii="Arial" w:hAnsi="Arial"/>
                <w:sz w:val="24"/>
                <w:lang w:val="en-US"/>
              </w:rPr>
            </w:pPr>
            <w:r w:rsidRPr="009A28D6">
              <w:rPr>
                <w:rFonts w:ascii="Arial" w:hAnsi="Arial"/>
                <w:noProof/>
                <w:sz w:val="24"/>
                <w:lang w:val="en-US"/>
              </w:rPr>
              <w:drawing>
                <wp:inline distT="0" distB="0" distL="0" distR="0" wp14:anchorId="0DBC9051" wp14:editId="15F92BED">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5ABC36B3" w14:textId="77777777" w:rsidR="009A28D6" w:rsidRPr="009A28D6" w:rsidRDefault="009A28D6" w:rsidP="009A28D6">
            <w:pPr>
              <w:tabs>
                <w:tab w:val="left" w:pos="-1440"/>
                <w:tab w:val="left" w:pos="-720"/>
                <w:tab w:val="left" w:pos="1"/>
              </w:tabs>
              <w:jc w:val="both"/>
              <w:rPr>
                <w:rFonts w:ascii="Arial" w:hAnsi="Arial"/>
                <w:sz w:val="24"/>
                <w:lang w:val="en-US"/>
              </w:rPr>
            </w:pPr>
            <w:r w:rsidRPr="009A28D6">
              <w:rPr>
                <w:rFonts w:ascii="Arial" w:hAnsi="Arial"/>
                <w:noProof/>
                <w:sz w:val="24"/>
                <w:lang w:val="en-US"/>
              </w:rPr>
              <w:drawing>
                <wp:anchor distT="0" distB="0" distL="114300" distR="114300" simplePos="0" relativeHeight="251659264" behindDoc="1" locked="0" layoutInCell="1" allowOverlap="1" wp14:anchorId="1316D4EE" wp14:editId="6DF359EB">
                  <wp:simplePos x="0" y="0"/>
                  <wp:positionH relativeFrom="column">
                    <wp:posOffset>1651635</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3" name="Picture 3" descr="logo_gre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B788DA4" w14:textId="77777777" w:rsidR="009A28D6" w:rsidRPr="009A28D6" w:rsidRDefault="009A28D6" w:rsidP="009A28D6">
      <w:pPr>
        <w:pBdr>
          <w:bottom w:val="single" w:sz="18" w:space="1" w:color="auto"/>
        </w:pBdr>
        <w:tabs>
          <w:tab w:val="left" w:pos="-1440"/>
          <w:tab w:val="left" w:pos="-720"/>
          <w:tab w:val="left" w:pos="1"/>
        </w:tabs>
        <w:jc w:val="both"/>
        <w:rPr>
          <w:rFonts w:ascii="Arial" w:hAnsi="Arial"/>
          <w:b/>
          <w:sz w:val="2"/>
          <w:szCs w:val="2"/>
          <w:lang w:val="en-CA"/>
        </w:rPr>
      </w:pPr>
    </w:p>
    <w:p w14:paraId="040DCCF4" w14:textId="3EBE8B56" w:rsidR="00EF5BC1" w:rsidRPr="009A28D6" w:rsidRDefault="00AE7BA3" w:rsidP="009A28D6">
      <w:pPr>
        <w:jc w:val="right"/>
        <w:rPr>
          <w:rFonts w:ascii="Arial" w:hAnsi="Arial" w:cs="Arial"/>
          <w:b/>
          <w:sz w:val="24"/>
          <w:szCs w:val="24"/>
        </w:rPr>
      </w:pPr>
      <w:r>
        <w:rPr>
          <w:rFonts w:ascii="Arial" w:hAnsi="Arial" w:cs="Arial"/>
          <w:b/>
          <w:sz w:val="24"/>
          <w:szCs w:val="24"/>
          <w:lang w:val="en-CA"/>
        </w:rPr>
        <w:t>9B19N012</w:t>
      </w:r>
    </w:p>
    <w:p w14:paraId="207C5D45" w14:textId="77777777" w:rsidR="00EF5BC1" w:rsidRDefault="00EF5BC1" w:rsidP="00EF5BC1">
      <w:pPr>
        <w:jc w:val="right"/>
        <w:rPr>
          <w:rFonts w:ascii="Arial" w:hAnsi="Arial"/>
          <w:b/>
          <w:sz w:val="28"/>
          <w:szCs w:val="28"/>
        </w:rPr>
      </w:pPr>
    </w:p>
    <w:p w14:paraId="445AEAC3" w14:textId="77777777" w:rsidR="00290012" w:rsidRPr="003D0BA1" w:rsidRDefault="00290012" w:rsidP="00EF5BC1">
      <w:pPr>
        <w:jc w:val="right"/>
        <w:rPr>
          <w:rFonts w:ascii="Arial" w:hAnsi="Arial"/>
          <w:b/>
          <w:sz w:val="28"/>
          <w:szCs w:val="28"/>
        </w:rPr>
      </w:pPr>
    </w:p>
    <w:p w14:paraId="0D152E0A" w14:textId="16029A7B" w:rsidR="00D54BC7" w:rsidRDefault="00EF5BC1" w:rsidP="00013360">
      <w:pPr>
        <w:pStyle w:val="CaseTitle"/>
        <w:spacing w:after="0" w:line="240" w:lineRule="auto"/>
        <w:rPr>
          <w:rFonts w:eastAsia="Arial"/>
          <w:lang w:val="en-CA"/>
        </w:rPr>
      </w:pPr>
      <w:r>
        <w:rPr>
          <w:rFonts w:eastAsia="Arial"/>
          <w:lang w:val="en-CA"/>
        </w:rPr>
        <w:t>c</w:t>
      </w:r>
      <w:r w:rsidRPr="00EF5BC1">
        <w:rPr>
          <w:rFonts w:eastAsia="Arial"/>
          <w:lang w:val="en-CA"/>
        </w:rPr>
        <w:t>APIT</w:t>
      </w:r>
      <w:r w:rsidRPr="00BD644A">
        <w:rPr>
          <w:rFonts w:eastAsia="Arial"/>
          <w:spacing w:val="40"/>
          <w:lang w:val="en-CA"/>
        </w:rPr>
        <w:t>A</w:t>
      </w:r>
      <w:r w:rsidRPr="00EF5BC1">
        <w:rPr>
          <w:rFonts w:eastAsia="Arial"/>
          <w:lang w:val="en-CA"/>
        </w:rPr>
        <w:t>MALLS ASIA: A BUYOUT OFFER FROM CAPIT</w:t>
      </w:r>
      <w:r w:rsidRPr="00BD644A">
        <w:rPr>
          <w:rFonts w:eastAsia="Arial"/>
          <w:spacing w:val="40"/>
          <w:lang w:val="en-CA"/>
        </w:rPr>
        <w:t>A</w:t>
      </w:r>
      <w:r w:rsidRPr="00EF5BC1">
        <w:rPr>
          <w:rFonts w:eastAsia="Arial"/>
          <w:lang w:val="en-CA"/>
        </w:rPr>
        <w:t>LAND</w:t>
      </w:r>
      <w:r w:rsidR="00C67C4B">
        <w:rPr>
          <w:rStyle w:val="EndnoteReference"/>
          <w:rFonts w:eastAsia="Arial"/>
          <w:lang w:val="en-CA"/>
        </w:rPr>
        <w:endnoteReference w:id="1"/>
      </w:r>
    </w:p>
    <w:p w14:paraId="7BFE2F82" w14:textId="77777777" w:rsidR="00EF5BC1" w:rsidRPr="00EF5BC1" w:rsidRDefault="00EF5BC1" w:rsidP="00013360">
      <w:pPr>
        <w:pStyle w:val="CaseTitle"/>
        <w:spacing w:after="0" w:line="240" w:lineRule="auto"/>
        <w:rPr>
          <w:rFonts w:eastAsia="Arial"/>
          <w:sz w:val="20"/>
          <w:lang w:val="en-CA"/>
        </w:rPr>
      </w:pPr>
    </w:p>
    <w:p w14:paraId="61717CBE" w14:textId="77777777" w:rsidR="00EF5BC1" w:rsidRDefault="00EF5BC1" w:rsidP="00013360">
      <w:pPr>
        <w:pStyle w:val="CaseTitle"/>
        <w:spacing w:after="0" w:line="240" w:lineRule="auto"/>
        <w:rPr>
          <w:sz w:val="20"/>
          <w:szCs w:val="20"/>
        </w:rPr>
      </w:pPr>
    </w:p>
    <w:p w14:paraId="0093FA59" w14:textId="37DCFD8B" w:rsidR="008C0DAB" w:rsidRDefault="008752F7" w:rsidP="008752F7">
      <w:pPr>
        <w:pStyle w:val="StyleCopyrightStatementAfter0ptBottomSinglesolidline1"/>
      </w:pPr>
      <w:r>
        <w:t xml:space="preserve">Ruth S.K. Tan, Zsuzsa R. </w:t>
      </w:r>
      <w:r w:rsidRPr="00747DFB">
        <w:rPr>
          <w:rFonts w:cs="Arial"/>
          <w:lang w:val="en-CA"/>
        </w:rPr>
        <w:t>Huszár</w:t>
      </w:r>
      <w:r>
        <w:rPr>
          <w:rFonts w:cs="Arial"/>
          <w:lang w:val="en-CA"/>
        </w:rPr>
        <w:t xml:space="preserve">, Weina Zhang, and </w:t>
      </w:r>
      <w:r>
        <w:t>Shao</w:t>
      </w:r>
      <w:r w:rsidR="002A5D15">
        <w:t xml:space="preserve"> Y</w:t>
      </w:r>
      <w:r>
        <w:t xml:space="preserve">u </w:t>
      </w:r>
      <w:r w:rsidR="00780527">
        <w:t>Hong wro</w:t>
      </w:r>
      <w:r w:rsidR="004B632F" w:rsidRPr="00001B51">
        <w:t xml:space="preserve">te this </w:t>
      </w:r>
      <w:r w:rsidR="0067345D">
        <w:t>exercise</w:t>
      </w:r>
      <w:r w:rsidR="0067345D" w:rsidRPr="00001B51">
        <w:t xml:space="preserve"> </w:t>
      </w:r>
      <w:r w:rsidR="00152682" w:rsidRPr="00001B51">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47F7CB19" w14:textId="77777777" w:rsidR="00CA4B19" w:rsidRDefault="00CA4B19" w:rsidP="008752F7">
      <w:pPr>
        <w:pStyle w:val="StyleCopyrightStatementAfter0ptBottomSinglesolidline1"/>
      </w:pPr>
    </w:p>
    <w:p w14:paraId="5D2098A2" w14:textId="77777777" w:rsidR="009A28D6" w:rsidRDefault="009A28D6" w:rsidP="009A28D6">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468C61C2" w14:textId="77777777" w:rsidR="009A28D6" w:rsidRDefault="009A28D6" w:rsidP="009A28D6">
      <w:pPr>
        <w:pStyle w:val="StyleCopyrightStatementAfter0ptBottomSinglesolidline1"/>
        <w:pBdr>
          <w:top w:val="none" w:sz="0" w:space="0" w:color="auto"/>
        </w:pBdr>
      </w:pPr>
    </w:p>
    <w:p w14:paraId="7B380478" w14:textId="79C52FC3" w:rsidR="009375E5" w:rsidRPr="00001B51" w:rsidRDefault="009A28D6" w:rsidP="009A28D6">
      <w:pPr>
        <w:pStyle w:val="StyleStyleCopyrightStatementAfter0ptBottomSinglesolid"/>
        <w:outlineLvl w:val="0"/>
      </w:pPr>
      <w:r>
        <w:t>Copyright © 20</w:t>
      </w:r>
      <w:r w:rsidR="00D75129">
        <w:t>19</w:t>
      </w:r>
      <w:r>
        <w:t xml:space="preserve">, </w:t>
      </w:r>
      <w:r w:rsidRPr="004415A3">
        <w:rPr>
          <w:lang w:val="en-CA"/>
        </w:rPr>
        <w:t>National University of Singapore and Ivey School of Business Foundation</w:t>
      </w:r>
      <w:r w:rsidRPr="00007B22">
        <w:rPr>
          <w:lang w:val="en-CA"/>
        </w:rPr>
        <w:tab/>
        <w:t xml:space="preserve">Version: </w:t>
      </w:r>
      <w:r w:rsidR="00D75129">
        <w:rPr>
          <w:lang w:val="en-CA"/>
        </w:rPr>
        <w:t>2019-</w:t>
      </w:r>
      <w:r w:rsidR="00466A4B">
        <w:rPr>
          <w:lang w:val="en-CA"/>
        </w:rPr>
        <w:t>06-17</w:t>
      </w:r>
    </w:p>
    <w:p w14:paraId="2F107139" w14:textId="77777777" w:rsidR="009375E5" w:rsidRDefault="009375E5" w:rsidP="00751E0B">
      <w:pPr>
        <w:pStyle w:val="StyleCopyrightStatementAfter0ptBottomSinglesolidline1"/>
        <w:rPr>
          <w:rFonts w:ascii="Times New Roman" w:hAnsi="Times New Roman"/>
          <w:sz w:val="20"/>
        </w:rPr>
      </w:pPr>
    </w:p>
    <w:p w14:paraId="21330F24" w14:textId="77777777" w:rsidR="00DF7AD5" w:rsidRPr="00001B51" w:rsidRDefault="00DF7AD5" w:rsidP="00751E0B">
      <w:pPr>
        <w:pStyle w:val="StyleCopyrightStatementAfter0ptBottomSinglesolidline1"/>
        <w:rPr>
          <w:rFonts w:ascii="Times New Roman" w:hAnsi="Times New Roman"/>
          <w:sz w:val="20"/>
        </w:rPr>
      </w:pPr>
    </w:p>
    <w:p w14:paraId="24D4547A" w14:textId="390F3A1A" w:rsidR="00DF7AD5" w:rsidRDefault="002E255B" w:rsidP="00EF5BC1">
      <w:pPr>
        <w:pStyle w:val="BodyTextMain"/>
      </w:pPr>
      <w:r>
        <w:t>It was April 15, 2014</w:t>
      </w:r>
      <w:r w:rsidR="0067345D">
        <w:t>,</w:t>
      </w:r>
      <w:r>
        <w:t xml:space="preserve"> and trading had resumed for the shares of CapitaLand Limited (CapitaLand)</w:t>
      </w:r>
      <w:r w:rsidR="0067345D">
        <w:t>, a large, Singapore-based real estate company,</w:t>
      </w:r>
      <w:r>
        <w:t xml:space="preserve"> and </w:t>
      </w:r>
      <w:r w:rsidR="00957DD4">
        <w:t xml:space="preserve">for the shares of CapitaMalls Asia Limited (CMA), a </w:t>
      </w:r>
      <w:r w:rsidR="0067345D" w:rsidRPr="0067345D">
        <w:t xml:space="preserve">commercial property </w:t>
      </w:r>
      <w:r w:rsidR="0067345D">
        <w:t xml:space="preserve">development and </w:t>
      </w:r>
      <w:r w:rsidR="0067345D" w:rsidRPr="0067345D">
        <w:t>management</w:t>
      </w:r>
      <w:r w:rsidR="0067345D">
        <w:t xml:space="preserve"> company</w:t>
      </w:r>
      <w:r>
        <w:t xml:space="preserve">. The trading halt </w:t>
      </w:r>
      <w:r w:rsidR="0067345D">
        <w:t xml:space="preserve">had been </w:t>
      </w:r>
      <w:r w:rsidR="002E0422">
        <w:t xml:space="preserve">called the day before </w:t>
      </w:r>
      <w:r w:rsidR="0067345D">
        <w:t xml:space="preserve">so that </w:t>
      </w:r>
      <w:r w:rsidR="008752F7">
        <w:t xml:space="preserve">CapitaLand </w:t>
      </w:r>
      <w:r w:rsidR="0067345D">
        <w:t xml:space="preserve">could </w:t>
      </w:r>
      <w:r w:rsidR="002E0422">
        <w:t>announce its</w:t>
      </w:r>
      <w:r w:rsidR="008752F7">
        <w:t xml:space="preserve"> voluntary conditional cash offer of </w:t>
      </w:r>
      <w:r w:rsidR="00DF17FE">
        <w:t>SG</w:t>
      </w:r>
      <w:r w:rsidR="004F4C5A">
        <w:t>$</w:t>
      </w:r>
      <w:r w:rsidR="00DF17FE">
        <w:t>2.22</w:t>
      </w:r>
      <w:r w:rsidR="00DF7AD5" w:rsidRPr="00677CA2">
        <w:rPr>
          <w:rStyle w:val="EndnoteReference"/>
        </w:rPr>
        <w:endnoteReference w:id="2"/>
      </w:r>
      <w:r w:rsidR="00DF7AD5" w:rsidRPr="00381AF7">
        <w:t xml:space="preserve"> </w:t>
      </w:r>
      <w:r w:rsidR="00DF7AD5">
        <w:t>for each share</w:t>
      </w:r>
      <w:r w:rsidR="00DF7AD5" w:rsidRPr="00DF17FE">
        <w:t xml:space="preserve"> </w:t>
      </w:r>
      <w:r w:rsidR="00DF7AD5">
        <w:t>of CMA through its wholly owned subsidiary Sound Investment Holdings Pte Ltd.</w:t>
      </w:r>
      <w:r w:rsidR="00DF7AD5" w:rsidRPr="00677CA2">
        <w:rPr>
          <w:rStyle w:val="EndnoteReference"/>
        </w:rPr>
        <w:endnoteReference w:id="3"/>
      </w:r>
      <w:r w:rsidR="00DF7AD5" w:rsidRPr="00001B51">
        <w:t xml:space="preserve"> </w:t>
      </w:r>
      <w:r w:rsidR="00DF7AD5">
        <w:t>The intention was to delist CMA and integrate it into the CapitaLand Group.</w:t>
      </w:r>
      <w:r w:rsidR="00DF7AD5" w:rsidRPr="00677CA2">
        <w:rPr>
          <w:rStyle w:val="EndnoteReference"/>
        </w:rPr>
        <w:endnoteReference w:id="4"/>
      </w:r>
      <w:r w:rsidR="00DF7AD5" w:rsidRPr="00001B51">
        <w:t xml:space="preserve"> </w:t>
      </w:r>
      <w:r w:rsidR="00DF7AD5">
        <w:t>The offer was conditional on CapitaLand garnering more than 90</w:t>
      </w:r>
      <w:r w:rsidR="00957DD4">
        <w:t xml:space="preserve"> </w:t>
      </w:r>
      <w:r w:rsidR="00DF7AD5">
        <w:t>per cent of CMA.</w:t>
      </w:r>
      <w:r w:rsidR="00DF7AD5" w:rsidRPr="00677CA2">
        <w:rPr>
          <w:rStyle w:val="EndnoteReference"/>
        </w:rPr>
        <w:endnoteReference w:id="5"/>
      </w:r>
    </w:p>
    <w:p w14:paraId="00B98BB7" w14:textId="77777777" w:rsidR="00DF7AD5" w:rsidRPr="00001B51" w:rsidRDefault="00DF7AD5" w:rsidP="00BD644A">
      <w:pPr>
        <w:pStyle w:val="BodyTextMain"/>
      </w:pPr>
    </w:p>
    <w:p w14:paraId="372DF64A" w14:textId="208A43FF" w:rsidR="00DF7AD5" w:rsidRDefault="00DF7AD5" w:rsidP="00EF5BC1">
      <w:pPr>
        <w:pStyle w:val="BodyTextMain"/>
      </w:pPr>
      <w:r w:rsidRPr="00001B51">
        <w:t xml:space="preserve">At the time of the offer, </w:t>
      </w:r>
      <w:r>
        <w:t xml:space="preserve">CapitaLand </w:t>
      </w:r>
      <w:r w:rsidRPr="00001B51">
        <w:t xml:space="preserve">already owned </w:t>
      </w:r>
      <w:r>
        <w:t>65.3</w:t>
      </w:r>
      <w:r w:rsidRPr="00001B51">
        <w:t xml:space="preserve"> per cent of </w:t>
      </w:r>
      <w:r>
        <w:t>CMA</w:t>
      </w:r>
      <w:r w:rsidRPr="00001B51">
        <w:t>.</w:t>
      </w:r>
      <w:r w:rsidRPr="00677CA2">
        <w:rPr>
          <w:rStyle w:val="EndnoteReference"/>
        </w:rPr>
        <w:endnoteReference w:id="6"/>
      </w:r>
      <w:r w:rsidRPr="00001B51">
        <w:t xml:space="preserve"> The </w:t>
      </w:r>
      <w:r>
        <w:t>cash offer of $3.</w:t>
      </w:r>
      <w:r w:rsidRPr="00381AF7">
        <w:t>06</w:t>
      </w:r>
      <w:r w:rsidR="00957DD4">
        <w:t xml:space="preserve"> </w:t>
      </w:r>
      <w:r w:rsidRPr="00381AF7">
        <w:t>billion</w:t>
      </w:r>
      <w:r>
        <w:t xml:space="preserve"> for </w:t>
      </w:r>
      <w:r w:rsidR="000B7DC9">
        <w:t xml:space="preserve">the </w:t>
      </w:r>
      <w:r>
        <w:t xml:space="preserve">remaining shares was 27 </w:t>
      </w:r>
      <w:r w:rsidRPr="00001B51">
        <w:t xml:space="preserve">per cent above </w:t>
      </w:r>
      <w:r>
        <w:t>CMA’s one-month volume-weighted average price. The per-share price in the offer was also 20.7 per cent higher than CMA’s net asset value per share as at December 31, 2013,</w:t>
      </w:r>
      <w:r w:rsidRPr="00677CA2">
        <w:rPr>
          <w:rStyle w:val="EndnoteReference"/>
        </w:rPr>
        <w:endnoteReference w:id="7"/>
      </w:r>
      <w:r>
        <w:t xml:space="preserve"> and</w:t>
      </w:r>
      <w:r w:rsidRPr="008117A4">
        <w:t xml:space="preserve"> </w:t>
      </w:r>
      <w:r>
        <w:t>represented a premium of 22.3 per cent over the closing price of $1.815 on April 11, 2014.</w:t>
      </w:r>
      <w:r w:rsidRPr="00677CA2">
        <w:rPr>
          <w:rStyle w:val="EndnoteReference"/>
        </w:rPr>
        <w:endnoteReference w:id="8"/>
      </w:r>
      <w:r>
        <w:t xml:space="preserve"> The offer price would be reduced for any CMA dividends distributed on or after the announcement date, including a proposed final CMA dividend of $0.0175 per share for the financial year ending in 2013.</w:t>
      </w:r>
      <w:r w:rsidRPr="00677CA2">
        <w:rPr>
          <w:rStyle w:val="EndnoteReference"/>
        </w:rPr>
        <w:endnoteReference w:id="9"/>
      </w:r>
      <w:r>
        <w:t xml:space="preserve"> </w:t>
      </w:r>
      <w:r w:rsidRPr="00001B51">
        <w:t>If acceptance levels crossed the 9</w:t>
      </w:r>
      <w:r>
        <w:t>6</w:t>
      </w:r>
      <w:r w:rsidRPr="00001B51">
        <w:t>.5 per cent threshold</w:t>
      </w:r>
      <w:r>
        <w:t xml:space="preserve">, CapitaLand would be able to </w:t>
      </w:r>
      <w:r w:rsidRPr="00001B51">
        <w:t>comp</w:t>
      </w:r>
      <w:r>
        <w:t>el</w:t>
      </w:r>
      <w:r w:rsidRPr="00001B51">
        <w:t xml:space="preserve"> acqui</w:t>
      </w:r>
      <w:r>
        <w:t>sition of</w:t>
      </w:r>
      <w:r w:rsidRPr="00001B51">
        <w:t xml:space="preserve"> all </w:t>
      </w:r>
      <w:r>
        <w:t>of CMA’s</w:t>
      </w:r>
      <w:r w:rsidRPr="00001B51">
        <w:t xml:space="preserve"> shares</w:t>
      </w:r>
      <w:r>
        <w:t>.</w:t>
      </w:r>
      <w:r w:rsidRPr="00677CA2">
        <w:rPr>
          <w:rStyle w:val="EndnoteReference"/>
        </w:rPr>
        <w:endnoteReference w:id="10"/>
      </w:r>
      <w:r w:rsidR="00957DD4">
        <w:t xml:space="preserve"> </w:t>
      </w:r>
    </w:p>
    <w:p w14:paraId="794E4820" w14:textId="77777777" w:rsidR="00DF7AD5" w:rsidRPr="00001B51" w:rsidRDefault="00DF7AD5" w:rsidP="00BD644A">
      <w:pPr>
        <w:pStyle w:val="BodyTextMain"/>
      </w:pPr>
    </w:p>
    <w:p w14:paraId="4B31EC42" w14:textId="6A2DA840" w:rsidR="00DF7AD5" w:rsidRPr="00001B51" w:rsidRDefault="00DF7AD5" w:rsidP="00BD644A">
      <w:pPr>
        <w:pStyle w:val="BodyTextMain"/>
      </w:pPr>
      <w:r>
        <w:rPr>
          <w:color w:val="000000"/>
        </w:rPr>
        <w:t>As an investor</w:t>
      </w:r>
      <w:r w:rsidRPr="00001B51">
        <w:rPr>
          <w:color w:val="000000"/>
        </w:rPr>
        <w:t xml:space="preserve"> </w:t>
      </w:r>
      <w:r>
        <w:rPr>
          <w:color w:val="000000"/>
        </w:rPr>
        <w:t>in</w:t>
      </w:r>
      <w:r w:rsidRPr="00001B51">
        <w:rPr>
          <w:color w:val="000000"/>
        </w:rPr>
        <w:t xml:space="preserve"> </w:t>
      </w:r>
      <w:r>
        <w:rPr>
          <w:color w:val="000000"/>
        </w:rPr>
        <w:t>CMA, you were congratulating yourself on the unexpected windfall. However, the news also made you wonder about the intrinsic value of CMA. When trading resumed on April 15, you noted that CapitaLand’s share price had also risen. Thus, not only was there a premium for the target shareholders, there was also value created for the acquiring shareholders. In fact, you could calculate the estimated synergy arising from the acquisition from the premium and the net present value of the acquisition.</w:t>
      </w:r>
      <w:r w:rsidR="00957DD4">
        <w:rPr>
          <w:color w:val="000000"/>
        </w:rPr>
        <w:t xml:space="preserve"> </w:t>
      </w:r>
    </w:p>
    <w:p w14:paraId="55418AE6" w14:textId="77777777" w:rsidR="00DF7AD5" w:rsidRDefault="00DF7AD5" w:rsidP="00245772">
      <w:pPr>
        <w:pStyle w:val="BodyTextMain"/>
        <w:rPr>
          <w:sz w:val="18"/>
        </w:rPr>
      </w:pPr>
    </w:p>
    <w:p w14:paraId="4E7A7B1C" w14:textId="77777777" w:rsidR="00DF7AD5" w:rsidRPr="00001B51" w:rsidRDefault="00DF7AD5" w:rsidP="00245772">
      <w:pPr>
        <w:pStyle w:val="BodyTextMain"/>
        <w:rPr>
          <w:sz w:val="18"/>
        </w:rPr>
      </w:pPr>
    </w:p>
    <w:p w14:paraId="4BD1CE0B" w14:textId="77777777" w:rsidR="00DF7AD5" w:rsidRPr="00001B51" w:rsidRDefault="00DF7AD5" w:rsidP="00BD644A">
      <w:pPr>
        <w:pStyle w:val="Casehead1"/>
      </w:pPr>
      <w:r>
        <w:t>Capit</w:t>
      </w:r>
      <w:r w:rsidRPr="00BD644A">
        <w:rPr>
          <w:spacing w:val="20"/>
        </w:rPr>
        <w:t>a</w:t>
      </w:r>
      <w:r>
        <w:t>land</w:t>
      </w:r>
    </w:p>
    <w:p w14:paraId="4ADA52EA" w14:textId="77777777" w:rsidR="00DF7AD5" w:rsidRPr="00001B51" w:rsidRDefault="00DF7AD5" w:rsidP="0051309F">
      <w:pPr>
        <w:pStyle w:val="BodyTextMain"/>
        <w:rPr>
          <w:sz w:val="18"/>
        </w:rPr>
      </w:pPr>
    </w:p>
    <w:p w14:paraId="2641E0E0" w14:textId="29D2F5E1" w:rsidR="00DF7AD5" w:rsidRDefault="00DF7AD5" w:rsidP="00BD644A">
      <w:pPr>
        <w:pStyle w:val="BodyTextMain"/>
      </w:pPr>
      <w:r>
        <w:t>CapitaLand had its headquarters in Singapore and was listed on the Singapore Exchange Limited. Its businesses in real estate and real estate fund management were focused in Singapore and China.</w:t>
      </w:r>
      <w:r w:rsidRPr="00677CA2">
        <w:rPr>
          <w:rStyle w:val="EndnoteReference"/>
        </w:rPr>
        <w:endnoteReference w:id="11"/>
      </w:r>
      <w:r>
        <w:t xml:space="preserve"> As of December 31, 2013, the company had assets of $14.91 billion (45 per cent of the group’s assets) in China, </w:t>
      </w:r>
      <w:r w:rsidR="000B7DC9">
        <w:t xml:space="preserve">the company’s </w:t>
      </w:r>
      <w:r>
        <w:t>largest market, and assets worth $12.52 billion (38 per cent of the group’s assets) in</w:t>
      </w:r>
      <w:r w:rsidRPr="00C7589F">
        <w:t xml:space="preserve"> </w:t>
      </w:r>
      <w:r>
        <w:t xml:space="preserve">Singapore, which was </w:t>
      </w:r>
      <w:r w:rsidR="000B7DC9">
        <w:t xml:space="preserve">the company’s </w:t>
      </w:r>
      <w:r>
        <w:t>second-largest market.</w:t>
      </w:r>
      <w:r w:rsidRPr="00677CA2">
        <w:rPr>
          <w:rStyle w:val="EndnoteReference"/>
        </w:rPr>
        <w:endnoteReference w:id="12"/>
      </w:r>
      <w:r>
        <w:t xml:space="preserve"> </w:t>
      </w:r>
    </w:p>
    <w:p w14:paraId="485CAD05" w14:textId="77777777" w:rsidR="00DF7AD5" w:rsidRDefault="00DF7AD5" w:rsidP="00BD644A">
      <w:pPr>
        <w:pStyle w:val="BodyTextMain"/>
      </w:pPr>
    </w:p>
    <w:p w14:paraId="1FF2E9F6" w14:textId="2A1676A6" w:rsidR="00DF7AD5" w:rsidRPr="00BD644A" w:rsidRDefault="00DF7AD5" w:rsidP="00BD644A">
      <w:pPr>
        <w:pStyle w:val="BodyTextMain"/>
        <w:rPr>
          <w:spacing w:val="-2"/>
        </w:rPr>
      </w:pPr>
      <w:r w:rsidRPr="00BD644A">
        <w:rPr>
          <w:spacing w:val="-2"/>
        </w:rPr>
        <w:lastRenderedPageBreak/>
        <w:t xml:space="preserve">Following a strategic review in 2013, CapitaLand had been reorganized into four business units: CapitaLand Singapore, CapitaLand China, CMA, and </w:t>
      </w:r>
      <w:r w:rsidR="000B7DC9" w:rsidRPr="00BD644A">
        <w:rPr>
          <w:spacing w:val="-2"/>
        </w:rPr>
        <w:t>t</w:t>
      </w:r>
      <w:r w:rsidRPr="00BD644A">
        <w:rPr>
          <w:spacing w:val="-2"/>
        </w:rPr>
        <w:t>he Ascott Limited (Ascott). CapitaLand Singapore and CapitaLand China developed residential, office, and integrated or mixed-use properties. Despite challenging market conditions, CapitaLand Singapore had almost doubled the number of private residential units it sold in 2012 by “right-sizing” the units. CapitaLand China had refined its strategy to focus on mass market and first-time buyers and upgraders and had become the largest foreign real estate developer in China.</w:t>
      </w:r>
      <w:r w:rsidRPr="00BD644A">
        <w:rPr>
          <w:rStyle w:val="EndnoteReference"/>
          <w:spacing w:val="-2"/>
        </w:rPr>
        <w:endnoteReference w:id="13"/>
      </w:r>
    </w:p>
    <w:p w14:paraId="7D37A228" w14:textId="77777777" w:rsidR="00DF7AD5" w:rsidRDefault="00DF7AD5" w:rsidP="00BD644A">
      <w:pPr>
        <w:pStyle w:val="BodyTextMain"/>
      </w:pPr>
    </w:p>
    <w:p w14:paraId="1DE727A1" w14:textId="420F3955" w:rsidR="00DF7AD5" w:rsidRPr="00CC57EF" w:rsidRDefault="00DF7AD5" w:rsidP="00BD644A">
      <w:pPr>
        <w:pStyle w:val="BodyTextMain"/>
      </w:pPr>
      <w:r>
        <w:t xml:space="preserve">CMA </w:t>
      </w:r>
      <w:r w:rsidR="00FC02A0">
        <w:t xml:space="preserve">was in the business of shopping malls, </w:t>
      </w:r>
      <w:r>
        <w:t>and Ascott in serviced residences. CMA had achieved high shopper traffic and net property income, and in 2013, it announced a partnership to jointly develop the Jewel project at Changi Airport.</w:t>
      </w:r>
      <w:r w:rsidRPr="00677CA2">
        <w:rPr>
          <w:rStyle w:val="EndnoteReference"/>
        </w:rPr>
        <w:endnoteReference w:id="14"/>
      </w:r>
      <w:r>
        <w:t xml:space="preserve"> Ascott, which operated more than 33,000 apartment units across 82 cities in more than 20 countries,</w:t>
      </w:r>
      <w:r w:rsidRPr="00677CA2">
        <w:rPr>
          <w:rStyle w:val="EndnoteReference"/>
        </w:rPr>
        <w:endnoteReference w:id="15"/>
      </w:r>
      <w:r>
        <w:t xml:space="preserve"> had achieved modest revenue growth in 2013.</w:t>
      </w:r>
      <w:r w:rsidRPr="00677CA2">
        <w:rPr>
          <w:rStyle w:val="EndnoteReference"/>
        </w:rPr>
        <w:endnoteReference w:id="16"/>
      </w:r>
      <w:r>
        <w:t xml:space="preserve"> </w:t>
      </w:r>
    </w:p>
    <w:p w14:paraId="47E8125F" w14:textId="77777777" w:rsidR="00DF7AD5" w:rsidRDefault="00DF7AD5" w:rsidP="00BD644A">
      <w:pPr>
        <w:pStyle w:val="BodyTextMain"/>
      </w:pPr>
    </w:p>
    <w:p w14:paraId="2D1599E9" w14:textId="77777777" w:rsidR="00DF7AD5" w:rsidRDefault="00DF7AD5" w:rsidP="00BD644A">
      <w:pPr>
        <w:pStyle w:val="BodyTextMain"/>
      </w:pPr>
    </w:p>
    <w:p w14:paraId="30BE397E" w14:textId="7C7F7851" w:rsidR="00DF7AD5" w:rsidRPr="00001B51" w:rsidRDefault="00DF7AD5" w:rsidP="00BD644A">
      <w:pPr>
        <w:pStyle w:val="Casehead1"/>
      </w:pPr>
      <w:r w:rsidRPr="00096BA6">
        <w:t>Capit</w:t>
      </w:r>
      <w:r w:rsidRPr="00BD644A">
        <w:rPr>
          <w:spacing w:val="20"/>
        </w:rPr>
        <w:t>a</w:t>
      </w:r>
      <w:r w:rsidRPr="00096BA6">
        <w:t>Malls Asia Limited (</w:t>
      </w:r>
      <w:r>
        <w:t>CMA)</w:t>
      </w:r>
    </w:p>
    <w:p w14:paraId="0CB052F2" w14:textId="77777777" w:rsidR="00DF7AD5" w:rsidRPr="00001B51" w:rsidRDefault="00DF7AD5" w:rsidP="007157F3">
      <w:pPr>
        <w:pStyle w:val="BodyTextMain"/>
      </w:pPr>
    </w:p>
    <w:p w14:paraId="636ABBEB" w14:textId="069BDDD3" w:rsidR="00DF7AD5" w:rsidRPr="009A28D6" w:rsidRDefault="00DF7AD5" w:rsidP="00BD644A">
      <w:pPr>
        <w:pStyle w:val="BodyTextMain"/>
        <w:rPr>
          <w:spacing w:val="-2"/>
        </w:rPr>
      </w:pPr>
      <w:r w:rsidRPr="009A28D6">
        <w:rPr>
          <w:spacing w:val="-2"/>
        </w:rPr>
        <w:t>CMA, founded in 2004, went public in November 2009 at an initial offering price of $2.12 per share and raised $2.8 billion. After this initial public offering, CapitaLand’s shareholding interest in CMA was reduced from 100 per cent to 65.5 per cent.</w:t>
      </w:r>
      <w:r w:rsidRPr="009A28D6">
        <w:rPr>
          <w:rStyle w:val="EndnoteReference"/>
          <w:spacing w:val="-2"/>
        </w:rPr>
        <w:endnoteReference w:id="17"/>
      </w:r>
      <w:r w:rsidRPr="009A28D6">
        <w:rPr>
          <w:spacing w:val="-2"/>
        </w:rPr>
        <w:t xml:space="preserve"> When it was listed, CMA was one of the largest pure-play shopping mall owners, developers, and managers in Asia.</w:t>
      </w:r>
      <w:r w:rsidRPr="009A28D6">
        <w:rPr>
          <w:rStyle w:val="EndnoteReference"/>
          <w:spacing w:val="-2"/>
        </w:rPr>
        <w:endnoteReference w:id="18"/>
      </w:r>
      <w:r w:rsidRPr="009A28D6">
        <w:rPr>
          <w:spacing w:val="-2"/>
        </w:rPr>
        <w:t xml:space="preserve"> Its shares closed at $2.30 on the first day of trading.</w:t>
      </w:r>
    </w:p>
    <w:p w14:paraId="10B81472" w14:textId="77777777" w:rsidR="00DF7AD5" w:rsidRDefault="00DF7AD5" w:rsidP="00BD644A">
      <w:pPr>
        <w:pStyle w:val="BodyTextMain"/>
      </w:pPr>
    </w:p>
    <w:p w14:paraId="18EE0368" w14:textId="31F588C7" w:rsidR="00DF7AD5" w:rsidRPr="009A28D6" w:rsidRDefault="00DF7AD5" w:rsidP="00BD644A">
      <w:pPr>
        <w:pStyle w:val="BodyTextMain"/>
        <w:rPr>
          <w:spacing w:val="-2"/>
        </w:rPr>
      </w:pPr>
      <w:r w:rsidRPr="009A28D6">
        <w:rPr>
          <w:spacing w:val="-2"/>
        </w:rPr>
        <w:t>CMA used an integrated shopping mall business model, with interconnected buildings where shoppers could live, work, and play. Its primary business objective was to be a leading owner, developer, and manager of shopping malls in Asia.</w:t>
      </w:r>
      <w:r w:rsidRPr="009A28D6">
        <w:rPr>
          <w:rStyle w:val="EndnoteReference"/>
          <w:spacing w:val="-2"/>
        </w:rPr>
        <w:endnoteReference w:id="19"/>
      </w:r>
      <w:r w:rsidRPr="009A28D6">
        <w:rPr>
          <w:spacing w:val="-2"/>
        </w:rPr>
        <w:t xml:space="preserve"> As of December 2013, CMA had a pan-Asian portfolio of 105 shopping malls valued at $34.3 billion.</w:t>
      </w:r>
      <w:r w:rsidRPr="009A28D6">
        <w:rPr>
          <w:rStyle w:val="EndnoteReference"/>
          <w:spacing w:val="-2"/>
        </w:rPr>
        <w:endnoteReference w:id="20"/>
      </w:r>
      <w:r w:rsidRPr="009A28D6">
        <w:rPr>
          <w:spacing w:val="-2"/>
        </w:rPr>
        <w:t xml:space="preserve"> It had $1 billion in cash and a debt-to-asset ratio of 25 per cent (see Exhibit 1).</w:t>
      </w:r>
      <w:r w:rsidR="00957DD4" w:rsidRPr="009A28D6">
        <w:rPr>
          <w:spacing w:val="-2"/>
        </w:rPr>
        <w:t xml:space="preserve"> </w:t>
      </w:r>
    </w:p>
    <w:p w14:paraId="7E0565E0" w14:textId="77777777" w:rsidR="00DF7AD5" w:rsidRDefault="00DF7AD5" w:rsidP="00BD644A">
      <w:pPr>
        <w:pStyle w:val="BodyTextMain"/>
      </w:pPr>
    </w:p>
    <w:p w14:paraId="30222BF3" w14:textId="77777777" w:rsidR="00DF7AD5" w:rsidRDefault="00DF7AD5" w:rsidP="00BD644A">
      <w:pPr>
        <w:pStyle w:val="BodyTextMain"/>
      </w:pPr>
    </w:p>
    <w:p w14:paraId="29FCE092" w14:textId="77777777" w:rsidR="00DF7AD5" w:rsidRPr="00001B51" w:rsidRDefault="00DF7AD5" w:rsidP="0004533E">
      <w:pPr>
        <w:pStyle w:val="Casehead1"/>
        <w:outlineLvl w:val="0"/>
      </w:pPr>
      <w:r w:rsidRPr="00001B51">
        <w:t xml:space="preserve">motivation to </w:t>
      </w:r>
      <w:r>
        <w:t>delist cma</w:t>
      </w:r>
    </w:p>
    <w:p w14:paraId="65400BF7" w14:textId="77777777" w:rsidR="00DF7AD5" w:rsidRPr="00001B51" w:rsidRDefault="00DF7AD5" w:rsidP="00B964C8">
      <w:pPr>
        <w:pStyle w:val="BodyTextMain"/>
        <w:rPr>
          <w:sz w:val="18"/>
        </w:rPr>
      </w:pPr>
    </w:p>
    <w:p w14:paraId="6517F525" w14:textId="73B2A256" w:rsidR="00DF7AD5" w:rsidRDefault="00DF7AD5" w:rsidP="00BD644A">
      <w:pPr>
        <w:pStyle w:val="BodyTextMain"/>
      </w:pPr>
      <w:r>
        <w:t xml:space="preserve">CapitaLand had several reasons for delisting CMA. First, </w:t>
      </w:r>
      <w:r w:rsidR="00FF40B2">
        <w:t xml:space="preserve">because </w:t>
      </w:r>
      <w:r>
        <w:t>CMA’s integrated developments tended to enjoy high foot traffic from a captive base of offices and residences, the</w:t>
      </w:r>
      <w:r w:rsidR="00500E73">
        <w:t xml:space="preserve"> developments</w:t>
      </w:r>
      <w:r>
        <w:t xml:space="preserve"> were expected to enhance CapitaLand’s competitive strengths. Second, delisting CMA would simplify CapitaLand’s organizational structure. Third, the delisting would give CapitaLand more flexibility in allocating its capital and expanding its scale.</w:t>
      </w:r>
      <w:r w:rsidRPr="00677CA2">
        <w:rPr>
          <w:rStyle w:val="EndnoteReference"/>
        </w:rPr>
        <w:endnoteReference w:id="21"/>
      </w:r>
      <w:r>
        <w:t xml:space="preserve"> Fourth, it would unlock shareholder value and achieve synergies.</w:t>
      </w:r>
      <w:r w:rsidRPr="00677CA2">
        <w:rPr>
          <w:rStyle w:val="EndnoteReference"/>
        </w:rPr>
        <w:endnoteReference w:id="22"/>
      </w:r>
      <w:r>
        <w:t xml:space="preserve"> </w:t>
      </w:r>
      <w:r w:rsidR="00500E73">
        <w:t xml:space="preserve">CapitaLand </w:t>
      </w:r>
      <w:r>
        <w:t>claimed that the acquisition of CMA would immediately raise earnings per share by approximately 21.5 per cent and improve return on equity from 5.4 per cent to 6.7 per cent.</w:t>
      </w:r>
      <w:r w:rsidRPr="00677CA2">
        <w:rPr>
          <w:rStyle w:val="EndnoteReference"/>
        </w:rPr>
        <w:endnoteReference w:id="23"/>
      </w:r>
      <w:r>
        <w:t xml:space="preserve"> However, it was not clear whether increasing earnings per share was a good reason for the acquisition. </w:t>
      </w:r>
    </w:p>
    <w:p w14:paraId="6324744A" w14:textId="77777777" w:rsidR="00DF7AD5" w:rsidRDefault="00DF7AD5" w:rsidP="00BD644A">
      <w:pPr>
        <w:pStyle w:val="BodyTextMain"/>
      </w:pPr>
    </w:p>
    <w:p w14:paraId="088E31A6" w14:textId="2C4C1412" w:rsidR="00DF7AD5" w:rsidRDefault="00500E73" w:rsidP="00BD644A">
      <w:pPr>
        <w:pStyle w:val="BodyTextMain"/>
      </w:pPr>
      <w:r>
        <w:t xml:space="preserve">President of </w:t>
      </w:r>
      <w:r w:rsidR="00DF7AD5">
        <w:t>CapitaLand</w:t>
      </w:r>
      <w:r>
        <w:t>,</w:t>
      </w:r>
      <w:r w:rsidR="00DF7AD5">
        <w:t xml:space="preserve"> Lim Ming Yan</w:t>
      </w:r>
      <w:r>
        <w:t>,</w:t>
      </w:r>
      <w:r w:rsidR="00DF7AD5">
        <w:t xml:space="preserve"> said,</w:t>
      </w:r>
      <w:r w:rsidR="00DF7AD5" w:rsidRPr="00001B51">
        <w:t xml:space="preserve"> “</w:t>
      </w:r>
      <w:r w:rsidR="00DF7AD5">
        <w:t>The market has changed. Earlier companies were pure-play residential</w:t>
      </w:r>
      <w:r w:rsidR="00AF1BC4">
        <w:t>;</w:t>
      </w:r>
      <w:r w:rsidR="00DF7AD5">
        <w:t xml:space="preserve"> now companies are emerging that are doing mixed developments, which include homes, offices, and malls. This move will help us compete better.”</w:t>
      </w:r>
      <w:r w:rsidR="00DF7AD5" w:rsidRPr="00677CA2">
        <w:rPr>
          <w:rStyle w:val="EndnoteReference"/>
        </w:rPr>
        <w:endnoteReference w:id="24"/>
      </w:r>
    </w:p>
    <w:p w14:paraId="52135CF5" w14:textId="77777777" w:rsidR="00DF7AD5" w:rsidRDefault="00DF7AD5" w:rsidP="00BD644A">
      <w:pPr>
        <w:pStyle w:val="BodyTextMain"/>
      </w:pPr>
    </w:p>
    <w:p w14:paraId="4BE210EC" w14:textId="7DAAB9BF" w:rsidR="00DF7AD5" w:rsidRDefault="00DF7AD5" w:rsidP="00BD644A">
      <w:pPr>
        <w:pStyle w:val="BodyTextMain"/>
      </w:pPr>
      <w:r>
        <w:t xml:space="preserve">According to an analyst at Barclays Plc, “CapitaLand’s offer to take CapitaMalls private is a win-win for both </w:t>
      </w:r>
      <w:r w:rsidR="00400087">
        <w:t xml:space="preserve">CapitaMalls </w:t>
      </w:r>
      <w:r>
        <w:t>and CapitaLand. Regaining full control of CapitaMalls should allow CapitaLand more flexibility, including the ability to streamline its organizational structure.”</w:t>
      </w:r>
      <w:r w:rsidRPr="00677CA2">
        <w:rPr>
          <w:rStyle w:val="EndnoteReference"/>
        </w:rPr>
        <w:endnoteReference w:id="25"/>
      </w:r>
    </w:p>
    <w:p w14:paraId="3AB0197B" w14:textId="77777777" w:rsidR="00DF7AD5" w:rsidRDefault="00DF7AD5" w:rsidP="00BD644A">
      <w:pPr>
        <w:pStyle w:val="BodyTextMain"/>
      </w:pPr>
    </w:p>
    <w:p w14:paraId="40D7A561" w14:textId="22E44E4D" w:rsidR="00DF7AD5" w:rsidRDefault="00DF7AD5" w:rsidP="00BD644A">
      <w:pPr>
        <w:pStyle w:val="BodyTextMain"/>
      </w:pPr>
      <w:r>
        <w:t>However, according to Samsung Asset Management Co. Ltd. (Samsung Assets), the transaction showed that CapitaLand could not put the money to better use at a time when the property markets in Singapore and China were starting to weaken.</w:t>
      </w:r>
      <w:r w:rsidRPr="00677CA2">
        <w:rPr>
          <w:rStyle w:val="EndnoteReference"/>
        </w:rPr>
        <w:endnoteReference w:id="26"/>
      </w:r>
      <w:r>
        <w:t xml:space="preserve"> In a similar vein, an investment manager at Samsung Assets in Hong Kong commented, </w:t>
      </w:r>
    </w:p>
    <w:p w14:paraId="3BC0C041" w14:textId="77777777" w:rsidR="00D75129" w:rsidRDefault="00D75129" w:rsidP="00BD644A">
      <w:pPr>
        <w:pStyle w:val="BodyTextMain"/>
      </w:pPr>
    </w:p>
    <w:p w14:paraId="37F019EF" w14:textId="25AE977C" w:rsidR="00DF7AD5" w:rsidRDefault="00DF7AD5" w:rsidP="00BD644A">
      <w:pPr>
        <w:pStyle w:val="BodyTextMain"/>
        <w:ind w:left="720"/>
      </w:pPr>
      <w:r>
        <w:lastRenderedPageBreak/>
        <w:t>The company is effectively undertaking financial engineering to enhance returns. The problem is these returns are still unsatisfactory relative to the cost of equity and suggests a lack of investment opportunities in an adverse environment of declining property prices in Singapore and slowing growth opportunities in China.</w:t>
      </w:r>
      <w:r w:rsidRPr="00677CA2">
        <w:rPr>
          <w:rStyle w:val="EndnoteReference"/>
        </w:rPr>
        <w:endnoteReference w:id="27"/>
      </w:r>
    </w:p>
    <w:p w14:paraId="111FB3E7" w14:textId="77777777" w:rsidR="00DF7AD5" w:rsidRDefault="00DF7AD5" w:rsidP="007157F3">
      <w:pPr>
        <w:pStyle w:val="BodyTextMain"/>
      </w:pPr>
    </w:p>
    <w:p w14:paraId="640AF380" w14:textId="77777777" w:rsidR="00DF7AD5" w:rsidRDefault="00DF7AD5" w:rsidP="007157F3">
      <w:pPr>
        <w:pStyle w:val="BodyTextMain"/>
      </w:pPr>
    </w:p>
    <w:p w14:paraId="68E99A84" w14:textId="77777777" w:rsidR="00DF7AD5" w:rsidRPr="00425863" w:rsidRDefault="00DF7AD5" w:rsidP="00802DBF">
      <w:pPr>
        <w:pStyle w:val="Casehead1"/>
        <w:rPr>
          <w:lang w:val="en-CA"/>
        </w:rPr>
      </w:pPr>
      <w:r w:rsidRPr="00425863">
        <w:rPr>
          <w:lang w:val="en-CA"/>
        </w:rPr>
        <w:t>financial performance</w:t>
      </w:r>
      <w:r>
        <w:rPr>
          <w:lang w:val="en-CA"/>
        </w:rPr>
        <w:t xml:space="preserve"> and valuation</w:t>
      </w:r>
      <w:r w:rsidRPr="00425863">
        <w:rPr>
          <w:lang w:val="en-CA"/>
        </w:rPr>
        <w:t xml:space="preserve"> </w:t>
      </w:r>
    </w:p>
    <w:p w14:paraId="64D99A16" w14:textId="77777777" w:rsidR="00DF7AD5" w:rsidRPr="007157F3" w:rsidRDefault="00DF7AD5" w:rsidP="00055EBB">
      <w:pPr>
        <w:pStyle w:val="BodyTextMain"/>
      </w:pPr>
    </w:p>
    <w:p w14:paraId="0AF9198F" w14:textId="4C3EA111" w:rsidR="00DF7AD5" w:rsidRPr="0085053B" w:rsidRDefault="00DF7AD5" w:rsidP="007174F9">
      <w:pPr>
        <w:pStyle w:val="BodyTextMain"/>
        <w:rPr>
          <w:lang w:val="en-CA"/>
        </w:rPr>
      </w:pPr>
      <w:r>
        <w:rPr>
          <w:lang w:val="en-CA"/>
        </w:rPr>
        <w:t xml:space="preserve">To </w:t>
      </w:r>
      <w:r w:rsidRPr="00056A4A">
        <w:rPr>
          <w:lang w:val="en-CA"/>
        </w:rPr>
        <w:t xml:space="preserve">calculate the </w:t>
      </w:r>
      <w:r>
        <w:rPr>
          <w:lang w:val="en-CA"/>
        </w:rPr>
        <w:t>value of your investment</w:t>
      </w:r>
      <w:r w:rsidR="00B44D33">
        <w:rPr>
          <w:lang w:val="en-CA"/>
        </w:rPr>
        <w:t xml:space="preserve"> </w:t>
      </w:r>
      <w:r w:rsidR="008B758B">
        <w:rPr>
          <w:lang w:val="en-CA"/>
        </w:rPr>
        <w:t>in CMA</w:t>
      </w:r>
      <w:r>
        <w:rPr>
          <w:lang w:val="en-CA"/>
        </w:rPr>
        <w:t>, you could conduct valuations of CMA’s shares using</w:t>
      </w:r>
      <w:r w:rsidRPr="0085053B">
        <w:rPr>
          <w:lang w:val="en-CA"/>
        </w:rPr>
        <w:t xml:space="preserve"> </w:t>
      </w:r>
      <w:r>
        <w:t>the discounted cash flow (DCF), discounted dividend model (DDM), relative valuation (RV)</w:t>
      </w:r>
      <w:r w:rsidR="00BE11C2">
        <w:t>, and precedent transaction</w:t>
      </w:r>
      <w:r>
        <w:t xml:space="preserve"> methods.</w:t>
      </w:r>
      <w:r w:rsidRPr="0085053B">
        <w:rPr>
          <w:lang w:val="en-CA"/>
        </w:rPr>
        <w:t xml:space="preserve"> </w:t>
      </w:r>
    </w:p>
    <w:p w14:paraId="11563514" w14:textId="77777777" w:rsidR="00DF7AD5" w:rsidRPr="0085053B" w:rsidRDefault="00DF7AD5" w:rsidP="007174F9">
      <w:pPr>
        <w:pStyle w:val="BodyTextMain"/>
        <w:rPr>
          <w:lang w:val="en-CA"/>
        </w:rPr>
      </w:pPr>
    </w:p>
    <w:p w14:paraId="333F0799" w14:textId="7C899E2E" w:rsidR="00DF7AD5" w:rsidRDefault="00DF7AD5" w:rsidP="007174F9">
      <w:pPr>
        <w:pStyle w:val="BodyTextMain"/>
        <w:rPr>
          <w:lang w:val="en-CA"/>
        </w:rPr>
      </w:pPr>
      <w:r>
        <w:rPr>
          <w:lang w:val="en-CA"/>
        </w:rPr>
        <w:t>DCF</w:t>
      </w:r>
      <w:r w:rsidRPr="00563D37">
        <w:rPr>
          <w:lang w:val="en-CA"/>
        </w:rPr>
        <w:t xml:space="preserve"> </w:t>
      </w:r>
      <w:r w:rsidR="00ED4217">
        <w:rPr>
          <w:lang w:val="en-CA"/>
        </w:rPr>
        <w:t xml:space="preserve">valuation </w:t>
      </w:r>
      <w:r w:rsidR="001E6250">
        <w:rPr>
          <w:lang w:val="en-CA"/>
        </w:rPr>
        <w:t>is</w:t>
      </w:r>
      <w:r>
        <w:rPr>
          <w:lang w:val="en-CA"/>
        </w:rPr>
        <w:t xml:space="preserve"> based on the principle that the value of a business </w:t>
      </w:r>
      <w:r w:rsidR="001E6250">
        <w:rPr>
          <w:lang w:val="en-CA"/>
        </w:rPr>
        <w:t>is</w:t>
      </w:r>
      <w:r>
        <w:rPr>
          <w:lang w:val="en-CA"/>
        </w:rPr>
        <w:t xml:space="preserve"> determined by its ability to generate cash flows.</w:t>
      </w:r>
      <w:r w:rsidR="00957DD4">
        <w:rPr>
          <w:lang w:val="en-CA"/>
        </w:rPr>
        <w:t xml:space="preserve"> </w:t>
      </w:r>
      <w:r>
        <w:rPr>
          <w:lang w:val="en-CA"/>
        </w:rPr>
        <w:t>The relationship between the business’s revenue and cost drivers c</w:t>
      </w:r>
      <w:r w:rsidR="001E6250">
        <w:rPr>
          <w:lang w:val="en-CA"/>
        </w:rPr>
        <w:t>an</w:t>
      </w:r>
      <w:r>
        <w:rPr>
          <w:lang w:val="en-CA"/>
        </w:rPr>
        <w:t xml:space="preserve"> be gleaned from </w:t>
      </w:r>
      <w:r w:rsidR="00B44D33">
        <w:rPr>
          <w:lang w:val="en-CA"/>
        </w:rPr>
        <w:t xml:space="preserve">the company’s </w:t>
      </w:r>
      <w:r>
        <w:rPr>
          <w:lang w:val="en-CA"/>
        </w:rPr>
        <w:t xml:space="preserve">historical financial statements </w:t>
      </w:r>
      <w:r w:rsidRPr="00001B51">
        <w:t>(see Exhibit</w:t>
      </w:r>
      <w:r>
        <w:t xml:space="preserve">s 1–4 or refer to the student </w:t>
      </w:r>
      <w:r w:rsidR="00B44D33">
        <w:t xml:space="preserve">Excel </w:t>
      </w:r>
      <w:r>
        <w:t>worksheets “CMA Financial Statements</w:t>
      </w:r>
      <w:r w:rsidR="0014066C">
        <w:t>”</w:t>
      </w:r>
      <w:r>
        <w:t xml:space="preserve"> and “</w:t>
      </w:r>
      <w:r w:rsidR="00ED4217">
        <w:t>CapitaLand</w:t>
      </w:r>
      <w:r>
        <w:t xml:space="preserve"> Financial Statements” [Ivey Publishing product number </w:t>
      </w:r>
      <w:r w:rsidR="001F3DC1">
        <w:t>7B19N012</w:t>
      </w:r>
      <w:r>
        <w:t>]</w:t>
      </w:r>
      <w:r w:rsidRPr="00001B51">
        <w:t>)</w:t>
      </w:r>
      <w:r w:rsidR="00B44D33">
        <w:t>.</w:t>
      </w:r>
      <w:r>
        <w:t xml:space="preserve"> </w:t>
      </w:r>
      <w:r w:rsidR="00B44D33">
        <w:t>T</w:t>
      </w:r>
      <w:r>
        <w:t xml:space="preserve">hese </w:t>
      </w:r>
      <w:r w:rsidR="001E6250">
        <w:t>can</w:t>
      </w:r>
      <w:r>
        <w:t xml:space="preserve"> be used to </w:t>
      </w:r>
      <w:r>
        <w:rPr>
          <w:lang w:val="en-CA"/>
        </w:rPr>
        <w:t xml:space="preserve">project </w:t>
      </w:r>
      <w:r w:rsidR="00B44D33">
        <w:rPr>
          <w:lang w:val="en-CA"/>
        </w:rPr>
        <w:t xml:space="preserve">a company’s </w:t>
      </w:r>
      <w:r>
        <w:rPr>
          <w:lang w:val="en-CA"/>
        </w:rPr>
        <w:t xml:space="preserve">cash flows for the initial few years, after which a terminal growth rate </w:t>
      </w:r>
      <w:r w:rsidR="001E6250">
        <w:rPr>
          <w:lang w:val="en-CA"/>
        </w:rPr>
        <w:t>can</w:t>
      </w:r>
      <w:r>
        <w:rPr>
          <w:lang w:val="en-CA"/>
        </w:rPr>
        <w:t xml:space="preserve"> be applied in perpetuity (see Exhibit 5 or refer to </w:t>
      </w:r>
      <w:r w:rsidR="00B44D33">
        <w:rPr>
          <w:lang w:val="en-CA"/>
        </w:rPr>
        <w:t>the E</w:t>
      </w:r>
      <w:r>
        <w:rPr>
          <w:lang w:val="en-CA"/>
        </w:rPr>
        <w:t xml:space="preserve">xcel worksheet “Information about </w:t>
      </w:r>
      <w:r w:rsidR="00ED4217">
        <w:rPr>
          <w:lang w:val="en-CA"/>
        </w:rPr>
        <w:t>CapitaLand</w:t>
      </w:r>
      <w:r>
        <w:rPr>
          <w:lang w:val="en-CA"/>
        </w:rPr>
        <w:t xml:space="preserve">”). All projected cash flows </w:t>
      </w:r>
      <w:r w:rsidR="001E6250">
        <w:rPr>
          <w:lang w:val="en-CA"/>
        </w:rPr>
        <w:t>will</w:t>
      </w:r>
      <w:r>
        <w:rPr>
          <w:lang w:val="en-CA"/>
        </w:rPr>
        <w:t xml:space="preserve"> be discounted by the weighted average cost of capital. DCF models provide insights into the drivers of share value, but </w:t>
      </w:r>
      <w:r w:rsidR="00BE11C2">
        <w:rPr>
          <w:lang w:val="en-CA"/>
        </w:rPr>
        <w:t>s</w:t>
      </w:r>
      <w:r>
        <w:rPr>
          <w:lang w:val="en-CA"/>
        </w:rPr>
        <w:t xml:space="preserve">mall changes in inputs </w:t>
      </w:r>
      <w:r w:rsidR="001E6250">
        <w:rPr>
          <w:lang w:val="en-CA"/>
        </w:rPr>
        <w:t>can</w:t>
      </w:r>
      <w:r>
        <w:rPr>
          <w:lang w:val="en-CA"/>
        </w:rPr>
        <w:t xml:space="preserve"> result in large changes in intrinsic value.</w:t>
      </w:r>
      <w:r w:rsidR="00BD644A" w:rsidRPr="00BD644A">
        <w:rPr>
          <w:rStyle w:val="EndnoteReference"/>
        </w:rPr>
        <w:t xml:space="preserve"> </w:t>
      </w:r>
      <w:r w:rsidR="00BD644A" w:rsidRPr="00677CA2">
        <w:rPr>
          <w:rStyle w:val="EndnoteReference"/>
        </w:rPr>
        <w:endnoteReference w:id="28"/>
      </w:r>
    </w:p>
    <w:p w14:paraId="14134F6D" w14:textId="77777777" w:rsidR="00DF7AD5" w:rsidRDefault="00DF7AD5" w:rsidP="007174F9">
      <w:pPr>
        <w:pStyle w:val="BodyTextMain"/>
        <w:rPr>
          <w:lang w:val="en-CA"/>
        </w:rPr>
      </w:pPr>
    </w:p>
    <w:p w14:paraId="2ACED39C" w14:textId="6125CE47" w:rsidR="00DF7AD5" w:rsidRDefault="00DF7AD5" w:rsidP="00C545BE">
      <w:pPr>
        <w:pStyle w:val="BodyTextMain"/>
        <w:rPr>
          <w:lang w:val="en-CA"/>
        </w:rPr>
      </w:pPr>
      <w:r>
        <w:t>The DDM method assume</w:t>
      </w:r>
      <w:r w:rsidR="001E6250">
        <w:t>s</w:t>
      </w:r>
      <w:r>
        <w:t xml:space="preserve"> that a stock </w:t>
      </w:r>
      <w:r w:rsidR="001E6250">
        <w:t>is</w:t>
      </w:r>
      <w:r>
        <w:t xml:space="preserve"> worth the sum of its discounted future dividend payments. The discount rate used </w:t>
      </w:r>
      <w:r w:rsidR="001E6250">
        <w:t>is</w:t>
      </w:r>
      <w:r>
        <w:t xml:space="preserve"> the cost of equity capital. For stocks with a solid history of dividend growth, it </w:t>
      </w:r>
      <w:r w:rsidR="001E6250">
        <w:t>is</w:t>
      </w:r>
      <w:r>
        <w:t xml:space="preserve"> reasonable to assume that the historical growth rate w</w:t>
      </w:r>
      <w:r w:rsidR="001E6250">
        <w:t>ill</w:t>
      </w:r>
      <w:r>
        <w:t xml:space="preserve"> continue for some years, after which</w:t>
      </w:r>
      <w:r w:rsidRPr="002D21C2">
        <w:rPr>
          <w:lang w:val="en-CA"/>
        </w:rPr>
        <w:t xml:space="preserve"> a terminal growth rate </w:t>
      </w:r>
      <w:r w:rsidR="00BE11C2">
        <w:rPr>
          <w:lang w:val="en-CA"/>
        </w:rPr>
        <w:t>w</w:t>
      </w:r>
      <w:r w:rsidR="001E6250">
        <w:rPr>
          <w:lang w:val="en-CA"/>
        </w:rPr>
        <w:t>ill</w:t>
      </w:r>
      <w:r w:rsidR="00BE11C2">
        <w:rPr>
          <w:lang w:val="en-CA"/>
        </w:rPr>
        <w:t xml:space="preserve"> be</w:t>
      </w:r>
      <w:r>
        <w:rPr>
          <w:lang w:val="en-CA"/>
        </w:rPr>
        <w:t xml:space="preserve"> applied</w:t>
      </w:r>
      <w:r w:rsidRPr="002D21C2">
        <w:rPr>
          <w:lang w:val="en-CA"/>
        </w:rPr>
        <w:t xml:space="preserve"> (see Exhibit</w:t>
      </w:r>
      <w:r>
        <w:rPr>
          <w:lang w:val="en-CA"/>
        </w:rPr>
        <w:t>s 5 and</w:t>
      </w:r>
      <w:r w:rsidRPr="002D21C2">
        <w:rPr>
          <w:lang w:val="en-CA"/>
        </w:rPr>
        <w:t xml:space="preserve"> </w:t>
      </w:r>
      <w:r>
        <w:rPr>
          <w:lang w:val="en-CA"/>
        </w:rPr>
        <w:t>6</w:t>
      </w:r>
      <w:r w:rsidRPr="002D21C2">
        <w:rPr>
          <w:lang w:val="en-CA"/>
        </w:rPr>
        <w:t>).</w:t>
      </w:r>
      <w:r>
        <w:rPr>
          <w:lang w:val="en-CA"/>
        </w:rPr>
        <w:t xml:space="preserve"> The DDM </w:t>
      </w:r>
      <w:r w:rsidR="001E6250">
        <w:rPr>
          <w:lang w:val="en-CA"/>
        </w:rPr>
        <w:t>is</w:t>
      </w:r>
      <w:r>
        <w:rPr>
          <w:lang w:val="en-CA"/>
        </w:rPr>
        <w:t xml:space="preserve"> a simple and convenient way of valuing stocks, but it </w:t>
      </w:r>
      <w:r w:rsidR="001E6250">
        <w:rPr>
          <w:lang w:val="en-CA"/>
        </w:rPr>
        <w:t>can</w:t>
      </w:r>
      <w:r w:rsidR="00BE11C2">
        <w:rPr>
          <w:lang w:val="en-CA"/>
        </w:rPr>
        <w:t xml:space="preserve"> be</w:t>
      </w:r>
      <w:r>
        <w:rPr>
          <w:lang w:val="en-CA"/>
        </w:rPr>
        <w:t xml:space="preserve"> sensitive to the assumed growth rates.</w:t>
      </w:r>
      <w:r w:rsidR="00BD644A" w:rsidRPr="00677CA2">
        <w:rPr>
          <w:rStyle w:val="EndnoteReference"/>
        </w:rPr>
        <w:endnoteReference w:id="29"/>
      </w:r>
    </w:p>
    <w:p w14:paraId="77172B0F" w14:textId="77777777" w:rsidR="00DF7AD5" w:rsidRPr="009851BD" w:rsidRDefault="00DF7AD5" w:rsidP="00C545BE">
      <w:pPr>
        <w:pStyle w:val="BodyTextMain"/>
        <w:rPr>
          <w:lang w:val="en-CA"/>
        </w:rPr>
      </w:pPr>
    </w:p>
    <w:p w14:paraId="63668587" w14:textId="02675F40" w:rsidR="00B2789D" w:rsidRDefault="00DF7AD5" w:rsidP="00432025">
      <w:pPr>
        <w:pStyle w:val="BodyTextMain"/>
        <w:rPr>
          <w:spacing w:val="-2"/>
          <w:lang w:val="en-CA"/>
        </w:rPr>
      </w:pPr>
      <w:r w:rsidRPr="00ED4217">
        <w:rPr>
          <w:spacing w:val="-2"/>
          <w:lang w:val="en-CA"/>
        </w:rPr>
        <w:t>The RV method compare</w:t>
      </w:r>
      <w:r w:rsidR="001E6250">
        <w:rPr>
          <w:spacing w:val="-2"/>
          <w:lang w:val="en-CA"/>
        </w:rPr>
        <w:t>s</w:t>
      </w:r>
      <w:r w:rsidRPr="00ED4217">
        <w:rPr>
          <w:spacing w:val="-2"/>
          <w:lang w:val="en-CA"/>
        </w:rPr>
        <w:t xml:space="preserve"> the value of a business to those of its competitors, using common multiples or benchmarks such as price-to-earnings (P/E), price-to-book (P/B), and price-to-sales (P/S) ratios.</w:t>
      </w:r>
      <w:r w:rsidRPr="00677CA2">
        <w:rPr>
          <w:rStyle w:val="EndnoteReference"/>
        </w:rPr>
        <w:endnoteReference w:id="30"/>
      </w:r>
      <w:r w:rsidRPr="00ED4217">
        <w:rPr>
          <w:spacing w:val="-2"/>
          <w:lang w:val="en-CA"/>
        </w:rPr>
        <w:t xml:space="preserve"> </w:t>
      </w:r>
    </w:p>
    <w:p w14:paraId="598664DE" w14:textId="77777777" w:rsidR="00B2789D" w:rsidRDefault="00B2789D" w:rsidP="00432025">
      <w:pPr>
        <w:pStyle w:val="BodyTextMain"/>
        <w:rPr>
          <w:spacing w:val="-2"/>
          <w:lang w:val="en-CA"/>
        </w:rPr>
      </w:pPr>
    </w:p>
    <w:p w14:paraId="75EB8632" w14:textId="63CA6C3F" w:rsidR="00B2789D" w:rsidRDefault="00DF7AD5" w:rsidP="00432025">
      <w:pPr>
        <w:pStyle w:val="BodyTextMain"/>
        <w:rPr>
          <w:spacing w:val="-2"/>
          <w:lang w:val="en-CA"/>
        </w:rPr>
      </w:pPr>
      <w:r w:rsidRPr="00ED4217">
        <w:rPr>
          <w:spacing w:val="-2"/>
          <w:lang w:val="en-CA"/>
        </w:rPr>
        <w:t>The P/E ratio indicate</w:t>
      </w:r>
      <w:r w:rsidR="001E6250">
        <w:rPr>
          <w:spacing w:val="-2"/>
          <w:lang w:val="en-CA"/>
        </w:rPr>
        <w:t>s</w:t>
      </w:r>
      <w:r w:rsidRPr="00ED4217">
        <w:rPr>
          <w:spacing w:val="-2"/>
          <w:lang w:val="en-CA"/>
        </w:rPr>
        <w:t xml:space="preserve"> how much investors </w:t>
      </w:r>
      <w:r w:rsidR="001E6250">
        <w:rPr>
          <w:spacing w:val="-2"/>
          <w:lang w:val="en-CA"/>
        </w:rPr>
        <w:t>are</w:t>
      </w:r>
      <w:r w:rsidRPr="00ED4217">
        <w:rPr>
          <w:spacing w:val="-2"/>
          <w:lang w:val="en-CA"/>
        </w:rPr>
        <w:t xml:space="preserve"> willing to pay per dollar of earnings. It </w:t>
      </w:r>
      <w:r w:rsidR="002566B7">
        <w:rPr>
          <w:spacing w:val="-2"/>
          <w:lang w:val="en-CA"/>
        </w:rPr>
        <w:t>is</w:t>
      </w:r>
      <w:r w:rsidRPr="00ED4217">
        <w:rPr>
          <w:spacing w:val="-2"/>
          <w:lang w:val="en-CA"/>
        </w:rPr>
        <w:t xml:space="preserve"> a widely used peer multiple, but because the denominator </w:t>
      </w:r>
      <w:r w:rsidR="00DC4B58">
        <w:rPr>
          <w:spacing w:val="-2"/>
          <w:lang w:val="en-CA"/>
        </w:rPr>
        <w:t>is</w:t>
      </w:r>
      <w:r w:rsidRPr="00ED4217">
        <w:rPr>
          <w:spacing w:val="-2"/>
          <w:lang w:val="en-CA"/>
        </w:rPr>
        <w:t xml:space="preserve"> earnings, investors ha</w:t>
      </w:r>
      <w:r w:rsidR="00DC4B58">
        <w:rPr>
          <w:spacing w:val="-2"/>
          <w:lang w:val="en-CA"/>
        </w:rPr>
        <w:t>ve</w:t>
      </w:r>
      <w:r w:rsidRPr="00ED4217">
        <w:rPr>
          <w:spacing w:val="-2"/>
          <w:lang w:val="en-CA"/>
        </w:rPr>
        <w:t xml:space="preserve"> to be careful when comparing peers from countries that </w:t>
      </w:r>
      <w:r w:rsidR="00DC4B58">
        <w:rPr>
          <w:spacing w:val="-2"/>
          <w:lang w:val="en-CA"/>
        </w:rPr>
        <w:t>are</w:t>
      </w:r>
      <w:r w:rsidRPr="00ED4217">
        <w:rPr>
          <w:spacing w:val="-2"/>
          <w:lang w:val="en-CA"/>
        </w:rPr>
        <w:t xml:space="preserve"> subject to different accounting regulations. In addition, P/E c</w:t>
      </w:r>
      <w:r w:rsidR="00DC4B58">
        <w:rPr>
          <w:spacing w:val="-2"/>
          <w:lang w:val="en-CA"/>
        </w:rPr>
        <w:t>annot</w:t>
      </w:r>
      <w:r w:rsidRPr="00ED4217">
        <w:rPr>
          <w:spacing w:val="-2"/>
          <w:lang w:val="en-CA"/>
        </w:rPr>
        <w:t xml:space="preserve"> be applied if earnings </w:t>
      </w:r>
      <w:r w:rsidR="00DC4B58">
        <w:rPr>
          <w:spacing w:val="-2"/>
          <w:lang w:val="en-CA"/>
        </w:rPr>
        <w:t>are</w:t>
      </w:r>
      <w:r w:rsidRPr="00ED4217">
        <w:rPr>
          <w:spacing w:val="-2"/>
          <w:lang w:val="en-CA"/>
        </w:rPr>
        <w:t xml:space="preserve"> negative. </w:t>
      </w:r>
    </w:p>
    <w:p w14:paraId="6A8E8CC3" w14:textId="77777777" w:rsidR="00B2789D" w:rsidRDefault="00B2789D" w:rsidP="00432025">
      <w:pPr>
        <w:pStyle w:val="BodyTextMain"/>
        <w:rPr>
          <w:spacing w:val="-2"/>
          <w:lang w:val="en-CA"/>
        </w:rPr>
      </w:pPr>
    </w:p>
    <w:p w14:paraId="29512F69" w14:textId="38D833C8" w:rsidR="00B2789D" w:rsidRDefault="00DF7AD5" w:rsidP="00432025">
      <w:pPr>
        <w:pStyle w:val="BodyTextMain"/>
        <w:rPr>
          <w:spacing w:val="-2"/>
          <w:lang w:val="en-CA"/>
        </w:rPr>
      </w:pPr>
      <w:r w:rsidRPr="00ED4217">
        <w:rPr>
          <w:spacing w:val="-2"/>
          <w:lang w:val="en-CA"/>
        </w:rPr>
        <w:t>The P/B ratio compare</w:t>
      </w:r>
      <w:r w:rsidR="00DC4B58">
        <w:rPr>
          <w:spacing w:val="-2"/>
          <w:lang w:val="en-CA"/>
        </w:rPr>
        <w:t>s</w:t>
      </w:r>
      <w:r w:rsidRPr="00ED4217">
        <w:rPr>
          <w:spacing w:val="-2"/>
          <w:lang w:val="en-CA"/>
        </w:rPr>
        <w:t xml:space="preserve"> a stock’s market value to its book value. </w:t>
      </w:r>
      <w:r w:rsidR="00B2789D">
        <w:rPr>
          <w:spacing w:val="-2"/>
          <w:lang w:val="en-CA"/>
        </w:rPr>
        <w:t>The ratio</w:t>
      </w:r>
      <w:r w:rsidR="00B2789D" w:rsidRPr="00ED4217">
        <w:rPr>
          <w:spacing w:val="-2"/>
          <w:lang w:val="en-CA"/>
        </w:rPr>
        <w:t xml:space="preserve"> </w:t>
      </w:r>
      <w:r w:rsidR="00DC4B58">
        <w:rPr>
          <w:spacing w:val="-2"/>
          <w:lang w:val="en-CA"/>
        </w:rPr>
        <w:t>is</w:t>
      </w:r>
      <w:r w:rsidRPr="00ED4217">
        <w:rPr>
          <w:spacing w:val="-2"/>
          <w:lang w:val="en-CA"/>
        </w:rPr>
        <w:t xml:space="preserve"> calculated by dividing the price of the stock by the book equity per share. It g</w:t>
      </w:r>
      <w:r w:rsidR="00DC4B58">
        <w:rPr>
          <w:spacing w:val="-2"/>
          <w:lang w:val="en-CA"/>
        </w:rPr>
        <w:t>ives</w:t>
      </w:r>
      <w:r w:rsidRPr="00ED4217">
        <w:rPr>
          <w:spacing w:val="-2"/>
          <w:lang w:val="en-CA"/>
        </w:rPr>
        <w:t xml:space="preserve"> some idea of whether investors </w:t>
      </w:r>
      <w:r w:rsidR="00DC4B58">
        <w:rPr>
          <w:spacing w:val="-2"/>
          <w:lang w:val="en-CA"/>
        </w:rPr>
        <w:t>are</w:t>
      </w:r>
      <w:r w:rsidRPr="00ED4217">
        <w:rPr>
          <w:spacing w:val="-2"/>
          <w:lang w:val="en-CA"/>
        </w:rPr>
        <w:t xml:space="preserve"> paying a reasonable price for the equity that </w:t>
      </w:r>
      <w:r w:rsidR="00DC4B58">
        <w:rPr>
          <w:spacing w:val="-2"/>
          <w:lang w:val="en-CA"/>
        </w:rPr>
        <w:t>will</w:t>
      </w:r>
      <w:r w:rsidRPr="00ED4217">
        <w:rPr>
          <w:spacing w:val="-2"/>
          <w:lang w:val="en-CA"/>
        </w:rPr>
        <w:t xml:space="preserve"> be left if the company were to go bankrupt immediately. For example, a P/B ratio of less than one indicate</w:t>
      </w:r>
      <w:r w:rsidR="00DC4B58">
        <w:rPr>
          <w:spacing w:val="-2"/>
          <w:lang w:val="en-CA"/>
        </w:rPr>
        <w:t>s</w:t>
      </w:r>
      <w:r w:rsidRPr="00ED4217">
        <w:rPr>
          <w:spacing w:val="-2"/>
          <w:lang w:val="en-CA"/>
        </w:rPr>
        <w:t xml:space="preserve"> that investors c</w:t>
      </w:r>
      <w:r w:rsidR="00DC4B58">
        <w:rPr>
          <w:spacing w:val="-2"/>
          <w:lang w:val="en-CA"/>
        </w:rPr>
        <w:t>an</w:t>
      </w:r>
      <w:r w:rsidRPr="00ED4217">
        <w:rPr>
          <w:spacing w:val="-2"/>
          <w:lang w:val="en-CA"/>
        </w:rPr>
        <w:t xml:space="preserve"> theoretically buy up all the shares of the company, liquidate the assets, pay off the company’s liabilities, and still have money left. </w:t>
      </w:r>
    </w:p>
    <w:p w14:paraId="1F63B3ED" w14:textId="77777777" w:rsidR="00B2789D" w:rsidRDefault="00B2789D" w:rsidP="00432025">
      <w:pPr>
        <w:pStyle w:val="BodyTextMain"/>
        <w:rPr>
          <w:spacing w:val="-2"/>
          <w:lang w:val="en-CA"/>
        </w:rPr>
      </w:pPr>
    </w:p>
    <w:p w14:paraId="30EA4847" w14:textId="56319983" w:rsidR="00DF7AD5" w:rsidRDefault="00DF7AD5" w:rsidP="00432025">
      <w:pPr>
        <w:pStyle w:val="BodyTextMain"/>
        <w:rPr>
          <w:spacing w:val="-2"/>
          <w:lang w:val="en-CA"/>
        </w:rPr>
      </w:pPr>
      <w:r w:rsidRPr="00ED4217">
        <w:rPr>
          <w:spacing w:val="-2"/>
          <w:lang w:val="en-CA"/>
        </w:rPr>
        <w:t>The P/S ratio compare</w:t>
      </w:r>
      <w:r w:rsidR="00DC4B58">
        <w:rPr>
          <w:spacing w:val="-2"/>
          <w:lang w:val="en-CA"/>
        </w:rPr>
        <w:t>s</w:t>
      </w:r>
      <w:r w:rsidRPr="00ED4217">
        <w:rPr>
          <w:spacing w:val="-2"/>
          <w:lang w:val="en-CA"/>
        </w:rPr>
        <w:t xml:space="preserve"> how much investors </w:t>
      </w:r>
      <w:r w:rsidR="00DC4B58">
        <w:rPr>
          <w:spacing w:val="-2"/>
          <w:lang w:val="en-CA"/>
        </w:rPr>
        <w:t>are</w:t>
      </w:r>
      <w:r w:rsidRPr="00ED4217">
        <w:rPr>
          <w:spacing w:val="-2"/>
          <w:lang w:val="en-CA"/>
        </w:rPr>
        <w:t xml:space="preserve"> willing to pay per dollar of sales. Because sales </w:t>
      </w:r>
      <w:r w:rsidR="00DC4B58">
        <w:rPr>
          <w:spacing w:val="-2"/>
          <w:lang w:val="en-CA"/>
        </w:rPr>
        <w:t>is</w:t>
      </w:r>
      <w:r w:rsidRPr="00ED4217">
        <w:rPr>
          <w:spacing w:val="-2"/>
          <w:lang w:val="en-CA"/>
        </w:rPr>
        <w:t xml:space="preserve"> a top-line figure and </w:t>
      </w:r>
      <w:r w:rsidR="00DC4B58">
        <w:rPr>
          <w:spacing w:val="-2"/>
          <w:lang w:val="en-CA"/>
        </w:rPr>
        <w:t>is</w:t>
      </w:r>
      <w:r w:rsidRPr="00ED4217">
        <w:rPr>
          <w:spacing w:val="-2"/>
          <w:lang w:val="en-CA"/>
        </w:rPr>
        <w:t xml:space="preserve"> therefore less affected by accounting policies, this </w:t>
      </w:r>
      <w:r w:rsidR="00DC4B58">
        <w:rPr>
          <w:spacing w:val="-2"/>
          <w:lang w:val="en-CA"/>
        </w:rPr>
        <w:t>is</w:t>
      </w:r>
      <w:r w:rsidRPr="00ED4217">
        <w:rPr>
          <w:spacing w:val="-2"/>
          <w:lang w:val="en-CA"/>
        </w:rPr>
        <w:t xml:space="preserve"> a useful multiple for businesses that ha</w:t>
      </w:r>
      <w:r w:rsidR="00DC4B58">
        <w:rPr>
          <w:spacing w:val="-2"/>
          <w:lang w:val="en-CA"/>
        </w:rPr>
        <w:t>ve</w:t>
      </w:r>
      <w:r w:rsidRPr="00ED4217">
        <w:rPr>
          <w:spacing w:val="-2"/>
          <w:lang w:val="en-CA"/>
        </w:rPr>
        <w:t xml:space="preserve"> yet to generate positive earnings</w:t>
      </w:r>
      <w:r w:rsidR="00B2789D">
        <w:rPr>
          <w:spacing w:val="-2"/>
          <w:lang w:val="en-CA"/>
        </w:rPr>
        <w:t>,</w:t>
      </w:r>
      <w:r w:rsidRPr="00ED4217">
        <w:rPr>
          <w:spacing w:val="-2"/>
          <w:lang w:val="en-CA"/>
        </w:rPr>
        <w:t xml:space="preserve"> and </w:t>
      </w:r>
      <w:r w:rsidR="00B2789D">
        <w:rPr>
          <w:spacing w:val="-2"/>
          <w:lang w:val="en-CA"/>
        </w:rPr>
        <w:t xml:space="preserve">it </w:t>
      </w:r>
      <w:r w:rsidR="00DC4B58">
        <w:rPr>
          <w:spacing w:val="-2"/>
          <w:lang w:val="en-CA"/>
        </w:rPr>
        <w:t>is</w:t>
      </w:r>
      <w:r w:rsidR="00B2789D">
        <w:rPr>
          <w:spacing w:val="-2"/>
          <w:lang w:val="en-CA"/>
        </w:rPr>
        <w:t xml:space="preserve"> useful </w:t>
      </w:r>
      <w:r w:rsidRPr="00ED4217">
        <w:rPr>
          <w:spacing w:val="-2"/>
          <w:lang w:val="en-CA"/>
        </w:rPr>
        <w:t xml:space="preserve">for comparing businesses that </w:t>
      </w:r>
      <w:r w:rsidR="00DC4B58">
        <w:rPr>
          <w:spacing w:val="-2"/>
          <w:lang w:val="en-CA"/>
        </w:rPr>
        <w:t>are</w:t>
      </w:r>
      <w:r w:rsidRPr="00ED4217">
        <w:rPr>
          <w:spacing w:val="-2"/>
          <w:lang w:val="en-CA"/>
        </w:rPr>
        <w:t xml:space="preserve"> subject t</w:t>
      </w:r>
      <w:r w:rsidR="00BE11C2">
        <w:rPr>
          <w:spacing w:val="-2"/>
          <w:lang w:val="en-CA"/>
        </w:rPr>
        <w:t>o different accounting regimes.</w:t>
      </w:r>
    </w:p>
    <w:p w14:paraId="6476C626" w14:textId="77777777" w:rsidR="00BE11C2" w:rsidRPr="00ED4217" w:rsidRDefault="00BE11C2" w:rsidP="00432025">
      <w:pPr>
        <w:pStyle w:val="BodyTextMain"/>
        <w:rPr>
          <w:spacing w:val="-2"/>
          <w:lang w:val="en-CA"/>
        </w:rPr>
      </w:pPr>
    </w:p>
    <w:p w14:paraId="4E09AF99" w14:textId="3A8D09BD" w:rsidR="00DF7AD5" w:rsidRDefault="00DF7AD5" w:rsidP="00432025">
      <w:pPr>
        <w:pStyle w:val="BodyTextMain"/>
        <w:rPr>
          <w:lang w:val="en-CA"/>
        </w:rPr>
      </w:pPr>
      <w:r w:rsidRPr="005B412A">
        <w:rPr>
          <w:lang w:val="en-CA"/>
        </w:rPr>
        <w:t xml:space="preserve">Regardless of which multiple </w:t>
      </w:r>
      <w:r w:rsidR="00DC4B58">
        <w:rPr>
          <w:lang w:val="en-CA"/>
        </w:rPr>
        <w:t>is</w:t>
      </w:r>
      <w:r w:rsidRPr="005B412A">
        <w:rPr>
          <w:lang w:val="en-CA"/>
        </w:rPr>
        <w:t xml:space="preserve"> used, it </w:t>
      </w:r>
      <w:r w:rsidR="00DC4B58">
        <w:rPr>
          <w:lang w:val="en-CA"/>
        </w:rPr>
        <w:t>is</w:t>
      </w:r>
      <w:r w:rsidRPr="005B412A">
        <w:rPr>
          <w:lang w:val="en-CA"/>
        </w:rPr>
        <w:t xml:space="preserve"> important to develop accurate benchmarks</w:t>
      </w:r>
      <w:r>
        <w:rPr>
          <w:lang w:val="en-CA"/>
        </w:rPr>
        <w:t>, and i</w:t>
      </w:r>
      <w:r w:rsidRPr="005B412A">
        <w:rPr>
          <w:lang w:val="en-CA"/>
        </w:rPr>
        <w:t xml:space="preserve">t </w:t>
      </w:r>
      <w:r w:rsidR="00DC4B58">
        <w:rPr>
          <w:lang w:val="en-CA"/>
        </w:rPr>
        <w:t>is</w:t>
      </w:r>
      <w:r w:rsidRPr="005B412A">
        <w:rPr>
          <w:lang w:val="en-CA"/>
        </w:rPr>
        <w:t xml:space="preserve"> crucial to compare only businesses </w:t>
      </w:r>
      <w:r>
        <w:rPr>
          <w:lang w:val="en-CA"/>
        </w:rPr>
        <w:t>from</w:t>
      </w:r>
      <w:r w:rsidRPr="005B412A">
        <w:rPr>
          <w:lang w:val="en-CA"/>
        </w:rPr>
        <w:t xml:space="preserve"> the same industry </w:t>
      </w:r>
      <w:r>
        <w:rPr>
          <w:lang w:val="en-CA"/>
        </w:rPr>
        <w:t xml:space="preserve">and </w:t>
      </w:r>
      <w:r w:rsidRPr="005B412A">
        <w:rPr>
          <w:lang w:val="en-CA"/>
        </w:rPr>
        <w:t>with similar market capitalization. Thus</w:t>
      </w:r>
      <w:r>
        <w:rPr>
          <w:lang w:val="en-CA"/>
        </w:rPr>
        <w:t>,</w:t>
      </w:r>
      <w:r w:rsidRPr="005B412A">
        <w:rPr>
          <w:lang w:val="en-CA"/>
        </w:rPr>
        <w:t xml:space="preserve"> although information ha</w:t>
      </w:r>
      <w:r>
        <w:rPr>
          <w:lang w:val="en-CA"/>
        </w:rPr>
        <w:t>d</w:t>
      </w:r>
      <w:r w:rsidRPr="005B412A">
        <w:rPr>
          <w:lang w:val="en-CA"/>
        </w:rPr>
        <w:t xml:space="preserve"> been gathered on a number of </w:t>
      </w:r>
      <w:r w:rsidR="00B2789D">
        <w:rPr>
          <w:lang w:val="en-CA"/>
        </w:rPr>
        <w:t xml:space="preserve">CMA’s </w:t>
      </w:r>
      <w:r w:rsidRPr="005B412A">
        <w:rPr>
          <w:lang w:val="en-CA"/>
        </w:rPr>
        <w:t xml:space="preserve">potential peers (see </w:t>
      </w:r>
      <w:r w:rsidRPr="004C594E">
        <w:rPr>
          <w:lang w:val="en-CA"/>
        </w:rPr>
        <w:t xml:space="preserve">Exhibits </w:t>
      </w:r>
      <w:r>
        <w:rPr>
          <w:lang w:val="en-CA"/>
        </w:rPr>
        <w:t>7</w:t>
      </w:r>
      <w:r w:rsidRPr="004C594E">
        <w:rPr>
          <w:lang w:val="en-CA"/>
        </w:rPr>
        <w:t xml:space="preserve"> and </w:t>
      </w:r>
      <w:r>
        <w:rPr>
          <w:lang w:val="en-CA"/>
        </w:rPr>
        <w:t xml:space="preserve">8 or student </w:t>
      </w:r>
      <w:r w:rsidR="00B2789D">
        <w:rPr>
          <w:lang w:val="en-CA"/>
        </w:rPr>
        <w:t xml:space="preserve">Excel </w:t>
      </w:r>
      <w:r>
        <w:rPr>
          <w:lang w:val="en-CA"/>
        </w:rPr>
        <w:t>worksheet</w:t>
      </w:r>
      <w:r w:rsidR="00B2789D">
        <w:rPr>
          <w:lang w:val="en-CA"/>
        </w:rPr>
        <w:t>s</w:t>
      </w:r>
      <w:r>
        <w:rPr>
          <w:lang w:val="en-CA"/>
        </w:rPr>
        <w:t xml:space="preserve"> “Peer Financial Ratio” and “Other Key Peer Financial Data”</w:t>
      </w:r>
      <w:r w:rsidRPr="004C594E">
        <w:rPr>
          <w:lang w:val="en-CA"/>
        </w:rPr>
        <w:t xml:space="preserve">), further deliberation </w:t>
      </w:r>
      <w:r>
        <w:rPr>
          <w:lang w:val="en-CA"/>
        </w:rPr>
        <w:t>w</w:t>
      </w:r>
      <w:r w:rsidR="00DC4B58">
        <w:rPr>
          <w:lang w:val="en-CA"/>
        </w:rPr>
        <w:t>ould be</w:t>
      </w:r>
      <w:r w:rsidRPr="004C594E">
        <w:rPr>
          <w:lang w:val="en-CA"/>
        </w:rPr>
        <w:t xml:space="preserve"> required to identify a suitable comparison group. </w:t>
      </w:r>
    </w:p>
    <w:p w14:paraId="64A2661C" w14:textId="77777777" w:rsidR="00DF7AD5" w:rsidRDefault="00DF7AD5" w:rsidP="00432025">
      <w:pPr>
        <w:pStyle w:val="BodyTextMain"/>
        <w:rPr>
          <w:lang w:val="en-CA"/>
        </w:rPr>
      </w:pPr>
    </w:p>
    <w:p w14:paraId="6064A904" w14:textId="57CFB147" w:rsidR="00DF7AD5" w:rsidRPr="00857913" w:rsidRDefault="00DF7AD5" w:rsidP="005F0855">
      <w:pPr>
        <w:pStyle w:val="BodyTextMain"/>
        <w:rPr>
          <w:spacing w:val="-4"/>
        </w:rPr>
      </w:pPr>
      <w:r w:rsidRPr="00857913">
        <w:rPr>
          <w:spacing w:val="-4"/>
          <w:lang w:val="en-CA"/>
        </w:rPr>
        <w:t xml:space="preserve">In addition to relative valuation, precedent transactions </w:t>
      </w:r>
      <w:r w:rsidR="00B2789D" w:rsidRPr="00857913">
        <w:rPr>
          <w:spacing w:val="-4"/>
          <w:lang w:val="en-CA"/>
        </w:rPr>
        <w:t>c</w:t>
      </w:r>
      <w:r w:rsidRPr="00857913">
        <w:rPr>
          <w:spacing w:val="-4"/>
          <w:lang w:val="en-CA"/>
        </w:rPr>
        <w:t>ould also provide some useful information. Precedent transaction analysis use</w:t>
      </w:r>
      <w:r w:rsidR="00DC4B58" w:rsidRPr="00857913">
        <w:rPr>
          <w:spacing w:val="-4"/>
          <w:lang w:val="en-CA"/>
        </w:rPr>
        <w:t>s</w:t>
      </w:r>
      <w:r w:rsidRPr="00857913">
        <w:rPr>
          <w:spacing w:val="-4"/>
          <w:lang w:val="en-CA"/>
        </w:rPr>
        <w:t xml:space="preserve"> the prices paid for similar companies to estimate the worth of a target company. </w:t>
      </w:r>
      <w:r w:rsidRPr="00857913">
        <w:rPr>
          <w:spacing w:val="-4"/>
        </w:rPr>
        <w:t xml:space="preserve">Under normal market conditions, transaction comparables provide higher multiple ranges than peer comparables because acquirers </w:t>
      </w:r>
      <w:r w:rsidR="00DC4B58" w:rsidRPr="00857913">
        <w:rPr>
          <w:spacing w:val="-4"/>
        </w:rPr>
        <w:t>normally pay</w:t>
      </w:r>
      <w:r w:rsidRPr="00857913">
        <w:rPr>
          <w:spacing w:val="-4"/>
        </w:rPr>
        <w:t xml:space="preserve"> control premiums and strategic buyers often ha</w:t>
      </w:r>
      <w:r w:rsidR="00DC4B58" w:rsidRPr="00857913">
        <w:rPr>
          <w:spacing w:val="-4"/>
        </w:rPr>
        <w:t>ve</w:t>
      </w:r>
      <w:r w:rsidRPr="00857913">
        <w:rPr>
          <w:spacing w:val="-4"/>
        </w:rPr>
        <w:t xml:space="preserve"> the opportunity to realize synergies. </w:t>
      </w:r>
      <w:r w:rsidR="00B2789D" w:rsidRPr="00857913">
        <w:rPr>
          <w:spacing w:val="-4"/>
        </w:rPr>
        <w:t>To assess the value of CMA</w:t>
      </w:r>
      <w:r w:rsidRPr="00857913">
        <w:rPr>
          <w:spacing w:val="-4"/>
        </w:rPr>
        <w:t xml:space="preserve">, information on 12 precedent transactions had been retrieved for consideration (see Exhibit 9, </w:t>
      </w:r>
      <w:r w:rsidR="0014066C" w:rsidRPr="00857913">
        <w:rPr>
          <w:spacing w:val="-4"/>
        </w:rPr>
        <w:t xml:space="preserve">or student </w:t>
      </w:r>
      <w:r w:rsidR="00B2789D" w:rsidRPr="00857913">
        <w:rPr>
          <w:spacing w:val="-4"/>
        </w:rPr>
        <w:t xml:space="preserve">Excel </w:t>
      </w:r>
      <w:r w:rsidRPr="00857913">
        <w:rPr>
          <w:spacing w:val="-4"/>
        </w:rPr>
        <w:t xml:space="preserve">worksheet “Precedent Transactions”). </w:t>
      </w:r>
    </w:p>
    <w:p w14:paraId="7DF2A303" w14:textId="77777777" w:rsidR="00DF7AD5" w:rsidRDefault="00DF7AD5" w:rsidP="00432025">
      <w:pPr>
        <w:pStyle w:val="BodyTextMain"/>
        <w:rPr>
          <w:lang w:val="en-CA"/>
        </w:rPr>
      </w:pPr>
    </w:p>
    <w:p w14:paraId="05372788" w14:textId="77777777" w:rsidR="00DF7AD5" w:rsidRPr="004C594E" w:rsidRDefault="00DF7AD5" w:rsidP="00432025">
      <w:pPr>
        <w:pStyle w:val="BodyTextMain"/>
        <w:rPr>
          <w:lang w:val="en-CA"/>
        </w:rPr>
      </w:pPr>
    </w:p>
    <w:p w14:paraId="7B8BCE9C" w14:textId="74D563A5" w:rsidR="00DF7AD5" w:rsidRPr="00425863" w:rsidRDefault="00DF7AD5" w:rsidP="00343C85">
      <w:pPr>
        <w:pStyle w:val="Casehead1"/>
        <w:rPr>
          <w:lang w:val="en-CA"/>
        </w:rPr>
      </w:pPr>
      <w:r>
        <w:rPr>
          <w:lang w:val="en-CA"/>
        </w:rPr>
        <w:t>PREMIUM, NET PRESENT VALUE, and SYNERGY</w:t>
      </w:r>
      <w:r w:rsidRPr="00425863">
        <w:rPr>
          <w:lang w:val="en-CA"/>
        </w:rPr>
        <w:t xml:space="preserve"> </w:t>
      </w:r>
    </w:p>
    <w:p w14:paraId="3D823F57" w14:textId="77777777" w:rsidR="00DF7AD5" w:rsidRDefault="00DF7AD5" w:rsidP="00BD644A">
      <w:pPr>
        <w:pStyle w:val="BodyTextMain"/>
      </w:pPr>
    </w:p>
    <w:p w14:paraId="48C4D26F" w14:textId="3DF3CCAA" w:rsidR="0064458A" w:rsidRDefault="00DF7AD5" w:rsidP="00BD644A">
      <w:pPr>
        <w:pStyle w:val="BodyTextMain"/>
      </w:pPr>
      <w:r>
        <w:t>By the close of trading on April 15, 2014,</w:t>
      </w:r>
      <w:r w:rsidRPr="00001B51">
        <w:t xml:space="preserve"> </w:t>
      </w:r>
      <w:r>
        <w:t xml:space="preserve">CapitaLand’s shares had </w:t>
      </w:r>
      <w:r w:rsidR="001A1A66">
        <w:t xml:space="preserve">increased </w:t>
      </w:r>
      <w:r>
        <w:t xml:space="preserve">6.5 per cent </w:t>
      </w:r>
      <w:r w:rsidR="001A1A66">
        <w:t xml:space="preserve">to </w:t>
      </w:r>
      <w:r>
        <w:t>$3.11</w:t>
      </w:r>
      <w:r w:rsidR="001A1A66">
        <w:t>.</w:t>
      </w:r>
      <w:r>
        <w:t xml:space="preserve"> CMA’s shares had surged 21 per cent, from the closing price of $1.815 on April 11, 2014, to $2.19 (see Exhibit 10)—the company’s biggest gain since going public in 2009.</w:t>
      </w:r>
      <w:r w:rsidRPr="00677CA2">
        <w:rPr>
          <w:rStyle w:val="EndnoteReference"/>
        </w:rPr>
        <w:endnoteReference w:id="31"/>
      </w:r>
      <w:r>
        <w:t xml:space="preserve"> </w:t>
      </w:r>
    </w:p>
    <w:p w14:paraId="41C9C065" w14:textId="77777777" w:rsidR="0064458A" w:rsidRDefault="0064458A" w:rsidP="00BD644A">
      <w:pPr>
        <w:pStyle w:val="BodyTextMain"/>
      </w:pPr>
    </w:p>
    <w:p w14:paraId="72106B19" w14:textId="77777777" w:rsidR="008261BF" w:rsidRDefault="00A07A69" w:rsidP="008261BF">
      <w:pPr>
        <w:pStyle w:val="BodyTextMain"/>
      </w:pPr>
      <w:r>
        <w:t xml:space="preserve">Based on </w:t>
      </w:r>
      <w:r w:rsidR="000C4D88">
        <w:t>the</w:t>
      </w:r>
      <w:r w:rsidR="00564BD6">
        <w:t xml:space="preserve"> </w:t>
      </w:r>
      <w:r w:rsidR="0064458A">
        <w:t>market</w:t>
      </w:r>
      <w:r w:rsidR="00564BD6">
        <w:t xml:space="preserve"> response, </w:t>
      </w:r>
      <w:r>
        <w:t xml:space="preserve">it appeared that </w:t>
      </w:r>
      <w:r w:rsidR="009642F3">
        <w:t xml:space="preserve">the shareholders of CMA and CapitaLand </w:t>
      </w:r>
      <w:r w:rsidR="00A40D82">
        <w:t>clearly approved of the transaction</w:t>
      </w:r>
      <w:r w:rsidR="00E60DAD">
        <w:t>. In fact</w:t>
      </w:r>
      <w:r w:rsidR="00C5713F">
        <w:t>,</w:t>
      </w:r>
      <w:r w:rsidR="00E60DAD">
        <w:t xml:space="preserve"> the </w:t>
      </w:r>
      <w:r w:rsidR="009642F3">
        <w:t>net p</w:t>
      </w:r>
      <w:r w:rsidR="0064458A">
        <w:t xml:space="preserve">resent </w:t>
      </w:r>
      <w:r w:rsidR="009642F3">
        <w:t>v</w:t>
      </w:r>
      <w:r w:rsidR="0064458A">
        <w:t xml:space="preserve">alue </w:t>
      </w:r>
      <w:r w:rsidR="00E60DAD">
        <w:t xml:space="preserve">of the acquirer could be </w:t>
      </w:r>
      <w:r w:rsidR="00C5713F">
        <w:t>estimated</w:t>
      </w:r>
      <w:r w:rsidR="00E60DAD">
        <w:t xml:space="preserve"> directly from the </w:t>
      </w:r>
      <w:r w:rsidR="00C5713F">
        <w:t xml:space="preserve">response of CapitaLand’s </w:t>
      </w:r>
      <w:r w:rsidR="00E60DAD">
        <w:t>share price</w:t>
      </w:r>
      <w:r w:rsidR="00C5713F">
        <w:t xml:space="preserve"> on April 15</w:t>
      </w:r>
      <w:r w:rsidR="001A1A66">
        <w:t>th</w:t>
      </w:r>
      <w:r w:rsidR="00E60DAD">
        <w:t>. T</w:t>
      </w:r>
      <w:r w:rsidR="00C5713F">
        <w:t>his, together with the premium for the target,</w:t>
      </w:r>
      <w:r w:rsidR="009642F3">
        <w:t xml:space="preserve"> </w:t>
      </w:r>
      <w:r w:rsidR="00A40D82">
        <w:t xml:space="preserve">would </w:t>
      </w:r>
      <w:r w:rsidR="00C5713F">
        <w:t xml:space="preserve">provide an estimation of the </w:t>
      </w:r>
      <w:r w:rsidR="009642F3">
        <w:t xml:space="preserve">synergy </w:t>
      </w:r>
      <w:r w:rsidR="00C5713F">
        <w:t>created</w:t>
      </w:r>
      <w:r w:rsidR="009642F3">
        <w:t>.</w:t>
      </w:r>
    </w:p>
    <w:p w14:paraId="1098CAD0" w14:textId="129826AD" w:rsidR="0019515A" w:rsidRPr="00001B51" w:rsidRDefault="0019515A" w:rsidP="00BD644A">
      <w:pPr>
        <w:pStyle w:val="BodyTextMain"/>
      </w:pPr>
      <w:r w:rsidRPr="00001B51">
        <w:br w:type="page"/>
      </w:r>
    </w:p>
    <w:p w14:paraId="3953B2BB" w14:textId="09210FD1" w:rsidR="002F4415" w:rsidRDefault="002F4415" w:rsidP="002F4415">
      <w:pPr>
        <w:pStyle w:val="ExhibitHeading"/>
        <w:rPr>
          <w:lang w:val="en-CA"/>
        </w:rPr>
      </w:pPr>
      <w:r>
        <w:rPr>
          <w:lang w:val="en-CA"/>
        </w:rPr>
        <w:t>Exhibit 1</w:t>
      </w:r>
      <w:r w:rsidRPr="0085053B">
        <w:rPr>
          <w:lang w:val="en-CA"/>
        </w:rPr>
        <w:t xml:space="preserve">: </w:t>
      </w:r>
      <w:r>
        <w:rPr>
          <w:lang w:val="en-CA"/>
        </w:rPr>
        <w:t>capit</w:t>
      </w:r>
      <w:r w:rsidRPr="00BD644A">
        <w:rPr>
          <w:spacing w:val="20"/>
          <w:lang w:val="en-CA"/>
        </w:rPr>
        <w:t>a</w:t>
      </w:r>
      <w:r>
        <w:rPr>
          <w:lang w:val="en-CA"/>
        </w:rPr>
        <w:t>mall asia’</w:t>
      </w:r>
      <w:r w:rsidRPr="0085053B">
        <w:rPr>
          <w:lang w:val="en-CA"/>
        </w:rPr>
        <w:t>s</w:t>
      </w:r>
      <w:r>
        <w:rPr>
          <w:lang w:val="en-CA"/>
        </w:rPr>
        <w:t xml:space="preserve"> BALANCE SHEETS (IN </w:t>
      </w:r>
      <w:r w:rsidR="003B1D58">
        <w:rPr>
          <w:lang w:val="en-CA"/>
        </w:rPr>
        <w:t xml:space="preserve">SG$ </w:t>
      </w:r>
      <w:r>
        <w:rPr>
          <w:lang w:val="en-CA"/>
        </w:rPr>
        <w:t>THOUSAND</w:t>
      </w:r>
      <w:r w:rsidR="003B1D58">
        <w:rPr>
          <w:lang w:val="en-CA"/>
        </w:rPr>
        <w:t>s</w:t>
      </w:r>
      <w:r>
        <w:rPr>
          <w:lang w:val="en-CA"/>
        </w:rPr>
        <w:t>)</w:t>
      </w:r>
    </w:p>
    <w:p w14:paraId="5AFC820E" w14:textId="77777777" w:rsidR="002F4415" w:rsidRPr="007D6686" w:rsidRDefault="002F4415" w:rsidP="00BD644A">
      <w:pPr>
        <w:pStyle w:val="ExhibitText"/>
      </w:pPr>
    </w:p>
    <w:tbl>
      <w:tblPr>
        <w:tblW w:w="5000" w:type="pct"/>
        <w:tblLook w:val="04A0" w:firstRow="1" w:lastRow="0" w:firstColumn="1" w:lastColumn="0" w:noHBand="0" w:noVBand="1"/>
      </w:tblPr>
      <w:tblGrid>
        <w:gridCol w:w="3237"/>
        <w:gridCol w:w="255"/>
        <w:gridCol w:w="1151"/>
        <w:gridCol w:w="1151"/>
        <w:gridCol w:w="1151"/>
        <w:gridCol w:w="1151"/>
        <w:gridCol w:w="1264"/>
      </w:tblGrid>
      <w:tr w:rsidR="002F4415" w:rsidRPr="00060311" w14:paraId="2DEB37F2" w14:textId="77777777" w:rsidTr="007D6686">
        <w:trPr>
          <w:trHeight w:val="285"/>
        </w:trPr>
        <w:tc>
          <w:tcPr>
            <w:tcW w:w="1729" w:type="pct"/>
            <w:tcBorders>
              <w:top w:val="double" w:sz="4" w:space="0" w:color="auto"/>
              <w:left w:val="nil"/>
              <w:bottom w:val="nil"/>
              <w:right w:val="nil"/>
            </w:tcBorders>
            <w:vAlign w:val="center"/>
          </w:tcPr>
          <w:p w14:paraId="241646ED" w14:textId="77777777" w:rsidR="002F4415" w:rsidRPr="00060311" w:rsidRDefault="002F4415" w:rsidP="00C1248F">
            <w:pPr>
              <w:rPr>
                <w:rFonts w:ascii="Arial" w:hAnsi="Arial" w:cs="Arial"/>
                <w:b/>
                <w:sz w:val="18"/>
                <w:szCs w:val="18"/>
              </w:rPr>
            </w:pPr>
          </w:p>
        </w:tc>
        <w:tc>
          <w:tcPr>
            <w:tcW w:w="136" w:type="pct"/>
            <w:tcBorders>
              <w:top w:val="double" w:sz="4" w:space="0" w:color="auto"/>
              <w:left w:val="nil"/>
              <w:bottom w:val="nil"/>
              <w:right w:val="nil"/>
            </w:tcBorders>
            <w:vAlign w:val="center"/>
          </w:tcPr>
          <w:p w14:paraId="05ABC4E6" w14:textId="77777777" w:rsidR="002F4415" w:rsidRPr="00060311" w:rsidRDefault="002F4415">
            <w:pPr>
              <w:rPr>
                <w:rFonts w:ascii="Arial" w:hAnsi="Arial" w:cs="Arial"/>
                <w:b/>
                <w:color w:val="000000"/>
                <w:sz w:val="18"/>
                <w:szCs w:val="18"/>
                <w:lang w:eastAsia="en-SG"/>
              </w:rPr>
            </w:pPr>
          </w:p>
        </w:tc>
        <w:tc>
          <w:tcPr>
            <w:tcW w:w="615" w:type="pct"/>
            <w:tcBorders>
              <w:top w:val="double" w:sz="4" w:space="0" w:color="auto"/>
              <w:left w:val="nil"/>
              <w:bottom w:val="single" w:sz="2" w:space="0" w:color="auto"/>
              <w:right w:val="nil"/>
            </w:tcBorders>
            <w:shd w:val="clear" w:color="auto" w:fill="auto"/>
            <w:noWrap/>
            <w:vAlign w:val="bottom"/>
          </w:tcPr>
          <w:p w14:paraId="29AD5405" w14:textId="77777777" w:rsidR="002F4415" w:rsidRPr="00060311" w:rsidRDefault="002F4415" w:rsidP="007D6686">
            <w:pPr>
              <w:jc w:val="center"/>
              <w:rPr>
                <w:rFonts w:ascii="Arial" w:hAnsi="Arial" w:cs="Arial"/>
                <w:b/>
                <w:color w:val="000000"/>
                <w:sz w:val="18"/>
                <w:szCs w:val="18"/>
                <w:lang w:eastAsia="en-SG"/>
              </w:rPr>
            </w:pPr>
            <w:r w:rsidRPr="00060311">
              <w:rPr>
                <w:rFonts w:ascii="Arial" w:hAnsi="Arial" w:cs="Arial"/>
                <w:b/>
                <w:color w:val="000000"/>
                <w:sz w:val="18"/>
                <w:szCs w:val="18"/>
                <w:lang w:eastAsia="en-SG"/>
              </w:rPr>
              <w:t>2009</w:t>
            </w:r>
          </w:p>
        </w:tc>
        <w:tc>
          <w:tcPr>
            <w:tcW w:w="615" w:type="pct"/>
            <w:tcBorders>
              <w:top w:val="double" w:sz="4" w:space="0" w:color="auto"/>
              <w:left w:val="nil"/>
              <w:bottom w:val="single" w:sz="2" w:space="0" w:color="auto"/>
              <w:right w:val="nil"/>
            </w:tcBorders>
            <w:shd w:val="clear" w:color="auto" w:fill="auto"/>
            <w:noWrap/>
            <w:vAlign w:val="bottom"/>
          </w:tcPr>
          <w:p w14:paraId="797CFA96" w14:textId="77777777" w:rsidR="002F4415" w:rsidRPr="00060311" w:rsidRDefault="002F4415" w:rsidP="007D6686">
            <w:pPr>
              <w:jc w:val="center"/>
              <w:rPr>
                <w:rFonts w:ascii="Arial" w:hAnsi="Arial" w:cs="Arial"/>
                <w:b/>
                <w:color w:val="000000"/>
                <w:sz w:val="18"/>
                <w:szCs w:val="18"/>
                <w:lang w:eastAsia="en-SG"/>
              </w:rPr>
            </w:pPr>
            <w:r w:rsidRPr="00060311">
              <w:rPr>
                <w:rFonts w:ascii="Arial" w:hAnsi="Arial" w:cs="Arial"/>
                <w:b/>
                <w:color w:val="000000"/>
                <w:sz w:val="18"/>
                <w:szCs w:val="18"/>
                <w:lang w:eastAsia="en-SG"/>
              </w:rPr>
              <w:t>2010</w:t>
            </w:r>
          </w:p>
        </w:tc>
        <w:tc>
          <w:tcPr>
            <w:tcW w:w="615" w:type="pct"/>
            <w:tcBorders>
              <w:top w:val="double" w:sz="4" w:space="0" w:color="auto"/>
              <w:left w:val="nil"/>
              <w:bottom w:val="single" w:sz="2" w:space="0" w:color="auto"/>
              <w:right w:val="nil"/>
            </w:tcBorders>
            <w:shd w:val="clear" w:color="auto" w:fill="auto"/>
            <w:noWrap/>
            <w:vAlign w:val="bottom"/>
          </w:tcPr>
          <w:p w14:paraId="4AA6443A" w14:textId="77777777" w:rsidR="002F4415" w:rsidRPr="00060311" w:rsidRDefault="002F4415" w:rsidP="007D6686">
            <w:pPr>
              <w:jc w:val="center"/>
              <w:rPr>
                <w:rFonts w:ascii="Arial" w:hAnsi="Arial" w:cs="Arial"/>
                <w:b/>
                <w:color w:val="000000"/>
                <w:sz w:val="18"/>
                <w:szCs w:val="18"/>
                <w:lang w:eastAsia="en-SG"/>
              </w:rPr>
            </w:pPr>
            <w:r w:rsidRPr="00060311">
              <w:rPr>
                <w:rFonts w:ascii="Arial" w:hAnsi="Arial" w:cs="Arial"/>
                <w:b/>
                <w:color w:val="000000"/>
                <w:sz w:val="18"/>
                <w:szCs w:val="18"/>
                <w:lang w:eastAsia="en-SG"/>
              </w:rPr>
              <w:t>2011</w:t>
            </w:r>
          </w:p>
        </w:tc>
        <w:tc>
          <w:tcPr>
            <w:tcW w:w="615" w:type="pct"/>
            <w:tcBorders>
              <w:top w:val="double" w:sz="4" w:space="0" w:color="auto"/>
              <w:left w:val="nil"/>
              <w:bottom w:val="single" w:sz="2" w:space="0" w:color="auto"/>
              <w:right w:val="nil"/>
            </w:tcBorders>
            <w:shd w:val="clear" w:color="auto" w:fill="auto"/>
            <w:noWrap/>
            <w:vAlign w:val="bottom"/>
          </w:tcPr>
          <w:p w14:paraId="67944919" w14:textId="77777777" w:rsidR="002F4415" w:rsidRPr="00060311" w:rsidRDefault="002F4415" w:rsidP="007D6686">
            <w:pPr>
              <w:jc w:val="center"/>
              <w:rPr>
                <w:rFonts w:ascii="Arial" w:hAnsi="Arial" w:cs="Arial"/>
                <w:b/>
                <w:color w:val="000000"/>
                <w:sz w:val="18"/>
                <w:szCs w:val="18"/>
                <w:lang w:eastAsia="en-SG"/>
              </w:rPr>
            </w:pPr>
            <w:r w:rsidRPr="00060311">
              <w:rPr>
                <w:rFonts w:ascii="Arial" w:hAnsi="Arial" w:cs="Arial"/>
                <w:b/>
                <w:color w:val="000000"/>
                <w:sz w:val="18"/>
                <w:szCs w:val="18"/>
                <w:lang w:eastAsia="en-SG"/>
              </w:rPr>
              <w:t>2012</w:t>
            </w:r>
          </w:p>
        </w:tc>
        <w:tc>
          <w:tcPr>
            <w:tcW w:w="675" w:type="pct"/>
            <w:tcBorders>
              <w:top w:val="double" w:sz="4" w:space="0" w:color="auto"/>
              <w:left w:val="nil"/>
              <w:bottom w:val="single" w:sz="2" w:space="0" w:color="auto"/>
              <w:right w:val="nil"/>
            </w:tcBorders>
            <w:shd w:val="clear" w:color="auto" w:fill="auto"/>
            <w:noWrap/>
            <w:vAlign w:val="bottom"/>
          </w:tcPr>
          <w:p w14:paraId="3EC530BA" w14:textId="77777777" w:rsidR="002F4415" w:rsidRPr="00060311" w:rsidRDefault="002F4415" w:rsidP="007D6686">
            <w:pPr>
              <w:jc w:val="center"/>
              <w:rPr>
                <w:rFonts w:ascii="Arial" w:hAnsi="Arial" w:cs="Arial"/>
                <w:b/>
                <w:color w:val="000000"/>
                <w:sz w:val="18"/>
                <w:szCs w:val="18"/>
                <w:lang w:eastAsia="en-SG"/>
              </w:rPr>
            </w:pPr>
            <w:r w:rsidRPr="00060311">
              <w:rPr>
                <w:rFonts w:ascii="Arial" w:hAnsi="Arial" w:cs="Arial"/>
                <w:b/>
                <w:color w:val="000000"/>
                <w:sz w:val="18"/>
                <w:szCs w:val="18"/>
                <w:lang w:eastAsia="en-SG"/>
              </w:rPr>
              <w:t>2013</w:t>
            </w:r>
          </w:p>
        </w:tc>
      </w:tr>
      <w:tr w:rsidR="002F4415" w:rsidRPr="00060311" w14:paraId="0E483C25" w14:textId="77777777" w:rsidTr="007D6686">
        <w:trPr>
          <w:trHeight w:val="285"/>
        </w:trPr>
        <w:tc>
          <w:tcPr>
            <w:tcW w:w="1729" w:type="pct"/>
            <w:tcBorders>
              <w:top w:val="nil"/>
              <w:left w:val="nil"/>
              <w:bottom w:val="nil"/>
              <w:right w:val="nil"/>
            </w:tcBorders>
            <w:shd w:val="clear" w:color="auto" w:fill="auto"/>
            <w:vAlign w:val="center"/>
          </w:tcPr>
          <w:p w14:paraId="1A441867" w14:textId="3ED8AA20" w:rsidR="002F4415" w:rsidRPr="00060311" w:rsidRDefault="002F4415" w:rsidP="00C1248F">
            <w:pPr>
              <w:rPr>
                <w:rFonts w:ascii="Arial" w:hAnsi="Arial" w:cs="Arial"/>
                <w:sz w:val="18"/>
                <w:szCs w:val="18"/>
              </w:rPr>
            </w:pPr>
            <w:r w:rsidRPr="00060311">
              <w:rPr>
                <w:rFonts w:ascii="Arial" w:hAnsi="Arial" w:cs="Arial"/>
                <w:sz w:val="18"/>
                <w:szCs w:val="18"/>
              </w:rPr>
              <w:t>Development Properties for Sale</w:t>
            </w:r>
          </w:p>
        </w:tc>
        <w:tc>
          <w:tcPr>
            <w:tcW w:w="136" w:type="pct"/>
            <w:tcBorders>
              <w:top w:val="nil"/>
              <w:left w:val="nil"/>
              <w:bottom w:val="nil"/>
              <w:right w:val="nil"/>
            </w:tcBorders>
            <w:shd w:val="clear" w:color="auto" w:fill="auto"/>
            <w:vAlign w:val="center"/>
          </w:tcPr>
          <w:p w14:paraId="4168F3EC" w14:textId="77777777" w:rsidR="002F4415" w:rsidRPr="00060311" w:rsidRDefault="002F4415">
            <w:pPr>
              <w:rPr>
                <w:rFonts w:ascii="Arial" w:hAnsi="Arial" w:cs="Arial"/>
                <w:color w:val="000000"/>
                <w:sz w:val="18"/>
                <w:szCs w:val="18"/>
                <w:lang w:eastAsia="en-SG"/>
              </w:rPr>
            </w:pPr>
          </w:p>
        </w:tc>
        <w:tc>
          <w:tcPr>
            <w:tcW w:w="615" w:type="pct"/>
            <w:tcBorders>
              <w:top w:val="nil"/>
              <w:left w:val="nil"/>
              <w:bottom w:val="nil"/>
              <w:right w:val="nil"/>
            </w:tcBorders>
            <w:shd w:val="clear" w:color="auto" w:fill="auto"/>
            <w:noWrap/>
            <w:vAlign w:val="center"/>
            <w:hideMark/>
          </w:tcPr>
          <w:p w14:paraId="726269AA"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0 </w:t>
            </w:r>
          </w:p>
        </w:tc>
        <w:tc>
          <w:tcPr>
            <w:tcW w:w="615" w:type="pct"/>
            <w:tcBorders>
              <w:top w:val="nil"/>
              <w:left w:val="nil"/>
              <w:bottom w:val="nil"/>
              <w:right w:val="nil"/>
            </w:tcBorders>
            <w:shd w:val="clear" w:color="auto" w:fill="auto"/>
            <w:noWrap/>
            <w:vAlign w:val="center"/>
            <w:hideMark/>
          </w:tcPr>
          <w:p w14:paraId="447CA328"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0 </w:t>
            </w:r>
          </w:p>
        </w:tc>
        <w:tc>
          <w:tcPr>
            <w:tcW w:w="615" w:type="pct"/>
            <w:tcBorders>
              <w:top w:val="nil"/>
              <w:left w:val="nil"/>
              <w:bottom w:val="nil"/>
              <w:right w:val="nil"/>
            </w:tcBorders>
            <w:shd w:val="clear" w:color="auto" w:fill="auto"/>
            <w:noWrap/>
            <w:vAlign w:val="center"/>
            <w:hideMark/>
          </w:tcPr>
          <w:p w14:paraId="7C8C0DDE"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8,827 </w:t>
            </w:r>
          </w:p>
        </w:tc>
        <w:tc>
          <w:tcPr>
            <w:tcW w:w="615" w:type="pct"/>
            <w:tcBorders>
              <w:top w:val="nil"/>
              <w:left w:val="nil"/>
              <w:bottom w:val="nil"/>
              <w:right w:val="nil"/>
            </w:tcBorders>
            <w:shd w:val="clear" w:color="auto" w:fill="auto"/>
            <w:noWrap/>
            <w:vAlign w:val="center"/>
            <w:hideMark/>
          </w:tcPr>
          <w:p w14:paraId="23FD03C6"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0 </w:t>
            </w:r>
          </w:p>
        </w:tc>
        <w:tc>
          <w:tcPr>
            <w:tcW w:w="675" w:type="pct"/>
            <w:tcBorders>
              <w:top w:val="nil"/>
              <w:left w:val="nil"/>
              <w:bottom w:val="nil"/>
              <w:right w:val="nil"/>
            </w:tcBorders>
            <w:shd w:val="clear" w:color="auto" w:fill="auto"/>
            <w:noWrap/>
            <w:vAlign w:val="center"/>
            <w:hideMark/>
          </w:tcPr>
          <w:p w14:paraId="3C867BCD"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0 </w:t>
            </w:r>
          </w:p>
        </w:tc>
      </w:tr>
      <w:tr w:rsidR="002F4415" w:rsidRPr="00060311" w14:paraId="3AFE3F0E" w14:textId="77777777" w:rsidTr="007D6686">
        <w:trPr>
          <w:trHeight w:val="285"/>
        </w:trPr>
        <w:tc>
          <w:tcPr>
            <w:tcW w:w="1729" w:type="pct"/>
            <w:tcBorders>
              <w:top w:val="nil"/>
              <w:left w:val="nil"/>
              <w:bottom w:val="nil"/>
              <w:right w:val="nil"/>
            </w:tcBorders>
            <w:shd w:val="clear" w:color="auto" w:fill="auto"/>
            <w:vAlign w:val="center"/>
          </w:tcPr>
          <w:p w14:paraId="043814A9" w14:textId="415FFE39" w:rsidR="002F4415" w:rsidRPr="00060311" w:rsidRDefault="002F4415" w:rsidP="00C1248F">
            <w:pPr>
              <w:rPr>
                <w:rFonts w:ascii="Arial" w:hAnsi="Arial" w:cs="Arial"/>
                <w:sz w:val="18"/>
                <w:szCs w:val="18"/>
              </w:rPr>
            </w:pPr>
            <w:r w:rsidRPr="00060311">
              <w:rPr>
                <w:rFonts w:ascii="Arial" w:hAnsi="Arial" w:cs="Arial"/>
                <w:sz w:val="18"/>
                <w:szCs w:val="18"/>
              </w:rPr>
              <w:t>Trade and Other Receivable</w:t>
            </w:r>
            <w:r w:rsidR="003B1D58">
              <w:rPr>
                <w:rFonts w:ascii="Arial" w:hAnsi="Arial" w:cs="Arial"/>
                <w:sz w:val="18"/>
                <w:szCs w:val="18"/>
              </w:rPr>
              <w:t>s</w:t>
            </w:r>
          </w:p>
        </w:tc>
        <w:tc>
          <w:tcPr>
            <w:tcW w:w="136" w:type="pct"/>
            <w:tcBorders>
              <w:top w:val="nil"/>
              <w:left w:val="nil"/>
              <w:bottom w:val="nil"/>
              <w:right w:val="nil"/>
            </w:tcBorders>
            <w:shd w:val="clear" w:color="auto" w:fill="auto"/>
            <w:vAlign w:val="center"/>
          </w:tcPr>
          <w:p w14:paraId="767D5A3A" w14:textId="77777777" w:rsidR="002F4415" w:rsidRPr="00060311" w:rsidRDefault="002F4415">
            <w:pPr>
              <w:rPr>
                <w:rFonts w:ascii="Arial" w:hAnsi="Arial" w:cs="Arial"/>
                <w:color w:val="000000"/>
                <w:sz w:val="18"/>
                <w:szCs w:val="18"/>
                <w:lang w:eastAsia="en-SG"/>
              </w:rPr>
            </w:pPr>
          </w:p>
        </w:tc>
        <w:tc>
          <w:tcPr>
            <w:tcW w:w="615" w:type="pct"/>
            <w:tcBorders>
              <w:top w:val="nil"/>
              <w:left w:val="nil"/>
              <w:bottom w:val="nil"/>
              <w:right w:val="nil"/>
            </w:tcBorders>
            <w:shd w:val="clear" w:color="auto" w:fill="auto"/>
            <w:noWrap/>
            <w:vAlign w:val="center"/>
            <w:hideMark/>
          </w:tcPr>
          <w:p w14:paraId="41FB642C"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436,013 </w:t>
            </w:r>
          </w:p>
        </w:tc>
        <w:tc>
          <w:tcPr>
            <w:tcW w:w="615" w:type="pct"/>
            <w:tcBorders>
              <w:top w:val="nil"/>
              <w:left w:val="nil"/>
              <w:bottom w:val="nil"/>
              <w:right w:val="nil"/>
            </w:tcBorders>
            <w:shd w:val="clear" w:color="auto" w:fill="auto"/>
            <w:noWrap/>
            <w:vAlign w:val="center"/>
            <w:hideMark/>
          </w:tcPr>
          <w:p w14:paraId="643EC49F"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498,281 </w:t>
            </w:r>
          </w:p>
        </w:tc>
        <w:tc>
          <w:tcPr>
            <w:tcW w:w="615" w:type="pct"/>
            <w:tcBorders>
              <w:top w:val="nil"/>
              <w:left w:val="nil"/>
              <w:bottom w:val="nil"/>
              <w:right w:val="nil"/>
            </w:tcBorders>
            <w:shd w:val="clear" w:color="auto" w:fill="auto"/>
            <w:noWrap/>
            <w:vAlign w:val="center"/>
            <w:hideMark/>
          </w:tcPr>
          <w:p w14:paraId="570A0364"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217,862 </w:t>
            </w:r>
          </w:p>
        </w:tc>
        <w:tc>
          <w:tcPr>
            <w:tcW w:w="615" w:type="pct"/>
            <w:tcBorders>
              <w:top w:val="nil"/>
              <w:left w:val="nil"/>
              <w:bottom w:val="nil"/>
              <w:right w:val="nil"/>
            </w:tcBorders>
            <w:shd w:val="clear" w:color="auto" w:fill="auto"/>
            <w:noWrap/>
            <w:vAlign w:val="center"/>
            <w:hideMark/>
          </w:tcPr>
          <w:p w14:paraId="3631084B"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533,047 </w:t>
            </w:r>
          </w:p>
        </w:tc>
        <w:tc>
          <w:tcPr>
            <w:tcW w:w="675" w:type="pct"/>
            <w:tcBorders>
              <w:top w:val="nil"/>
              <w:left w:val="nil"/>
              <w:bottom w:val="nil"/>
              <w:right w:val="nil"/>
            </w:tcBorders>
            <w:shd w:val="clear" w:color="auto" w:fill="auto"/>
            <w:noWrap/>
            <w:vAlign w:val="center"/>
            <w:hideMark/>
          </w:tcPr>
          <w:p w14:paraId="1217ED7B"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301,773 </w:t>
            </w:r>
          </w:p>
        </w:tc>
      </w:tr>
      <w:tr w:rsidR="002F4415" w:rsidRPr="00060311" w14:paraId="0844A5E8" w14:textId="77777777" w:rsidTr="007D6686">
        <w:trPr>
          <w:trHeight w:val="285"/>
        </w:trPr>
        <w:tc>
          <w:tcPr>
            <w:tcW w:w="1729" w:type="pct"/>
            <w:tcBorders>
              <w:top w:val="nil"/>
              <w:left w:val="nil"/>
              <w:bottom w:val="nil"/>
              <w:right w:val="nil"/>
            </w:tcBorders>
            <w:shd w:val="clear" w:color="auto" w:fill="auto"/>
            <w:vAlign w:val="center"/>
          </w:tcPr>
          <w:p w14:paraId="46C5DED7" w14:textId="12F612DB" w:rsidR="002F4415" w:rsidRPr="00060311" w:rsidRDefault="002F4415" w:rsidP="00C1248F">
            <w:pPr>
              <w:rPr>
                <w:rFonts w:ascii="Arial" w:hAnsi="Arial" w:cs="Arial"/>
                <w:sz w:val="18"/>
                <w:szCs w:val="18"/>
              </w:rPr>
            </w:pPr>
            <w:r w:rsidRPr="00060311">
              <w:rPr>
                <w:rFonts w:ascii="Arial" w:hAnsi="Arial" w:cs="Arial"/>
                <w:sz w:val="18"/>
                <w:szCs w:val="18"/>
              </w:rPr>
              <w:t xml:space="preserve">Cash and </w:t>
            </w:r>
            <w:r w:rsidR="003B1D58" w:rsidRPr="00060311">
              <w:rPr>
                <w:rFonts w:ascii="Arial" w:hAnsi="Arial" w:cs="Arial"/>
                <w:sz w:val="18"/>
                <w:szCs w:val="18"/>
              </w:rPr>
              <w:t>Cash Equivalent</w:t>
            </w:r>
            <w:r w:rsidR="003B1D58">
              <w:rPr>
                <w:rFonts w:ascii="Arial" w:hAnsi="Arial" w:cs="Arial"/>
                <w:sz w:val="18"/>
                <w:szCs w:val="18"/>
              </w:rPr>
              <w:t>s</w:t>
            </w:r>
          </w:p>
        </w:tc>
        <w:tc>
          <w:tcPr>
            <w:tcW w:w="136" w:type="pct"/>
            <w:tcBorders>
              <w:top w:val="nil"/>
              <w:left w:val="nil"/>
              <w:bottom w:val="nil"/>
              <w:right w:val="nil"/>
            </w:tcBorders>
            <w:shd w:val="clear" w:color="auto" w:fill="auto"/>
            <w:vAlign w:val="center"/>
          </w:tcPr>
          <w:p w14:paraId="3002C762" w14:textId="77777777" w:rsidR="002F4415" w:rsidRPr="00060311" w:rsidRDefault="002F4415">
            <w:pPr>
              <w:rPr>
                <w:rFonts w:ascii="Arial" w:hAnsi="Arial" w:cs="Arial"/>
                <w:color w:val="000000"/>
                <w:sz w:val="18"/>
                <w:szCs w:val="18"/>
                <w:lang w:eastAsia="en-SG"/>
              </w:rPr>
            </w:pPr>
          </w:p>
        </w:tc>
        <w:tc>
          <w:tcPr>
            <w:tcW w:w="615" w:type="pct"/>
            <w:tcBorders>
              <w:top w:val="nil"/>
              <w:left w:val="nil"/>
              <w:bottom w:val="nil"/>
              <w:right w:val="nil"/>
            </w:tcBorders>
            <w:shd w:val="clear" w:color="auto" w:fill="auto"/>
            <w:noWrap/>
            <w:vAlign w:val="center"/>
            <w:hideMark/>
          </w:tcPr>
          <w:p w14:paraId="75A7B5F1"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544,306 </w:t>
            </w:r>
          </w:p>
        </w:tc>
        <w:tc>
          <w:tcPr>
            <w:tcW w:w="615" w:type="pct"/>
            <w:tcBorders>
              <w:top w:val="nil"/>
              <w:left w:val="nil"/>
              <w:bottom w:val="nil"/>
              <w:right w:val="nil"/>
            </w:tcBorders>
            <w:shd w:val="clear" w:color="auto" w:fill="auto"/>
            <w:noWrap/>
            <w:vAlign w:val="center"/>
            <w:hideMark/>
          </w:tcPr>
          <w:p w14:paraId="3DFBD95C"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1,318,312 </w:t>
            </w:r>
          </w:p>
        </w:tc>
        <w:tc>
          <w:tcPr>
            <w:tcW w:w="615" w:type="pct"/>
            <w:tcBorders>
              <w:top w:val="nil"/>
              <w:left w:val="nil"/>
              <w:bottom w:val="nil"/>
              <w:right w:val="nil"/>
            </w:tcBorders>
            <w:shd w:val="clear" w:color="auto" w:fill="auto"/>
            <w:noWrap/>
            <w:vAlign w:val="center"/>
            <w:hideMark/>
          </w:tcPr>
          <w:p w14:paraId="01CE6D2D"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975,479 </w:t>
            </w:r>
          </w:p>
        </w:tc>
        <w:tc>
          <w:tcPr>
            <w:tcW w:w="615" w:type="pct"/>
            <w:tcBorders>
              <w:top w:val="nil"/>
              <w:left w:val="nil"/>
              <w:bottom w:val="nil"/>
              <w:right w:val="nil"/>
            </w:tcBorders>
            <w:shd w:val="clear" w:color="auto" w:fill="auto"/>
            <w:noWrap/>
            <w:vAlign w:val="center"/>
            <w:hideMark/>
          </w:tcPr>
          <w:p w14:paraId="673F0726"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675,351 </w:t>
            </w:r>
          </w:p>
        </w:tc>
        <w:tc>
          <w:tcPr>
            <w:tcW w:w="675" w:type="pct"/>
            <w:tcBorders>
              <w:top w:val="nil"/>
              <w:left w:val="nil"/>
              <w:bottom w:val="nil"/>
              <w:right w:val="nil"/>
            </w:tcBorders>
            <w:shd w:val="clear" w:color="auto" w:fill="auto"/>
            <w:noWrap/>
            <w:vAlign w:val="center"/>
            <w:hideMark/>
          </w:tcPr>
          <w:p w14:paraId="780238A9"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1,004,312 </w:t>
            </w:r>
          </w:p>
        </w:tc>
      </w:tr>
      <w:tr w:rsidR="002F4415" w:rsidRPr="00060311" w14:paraId="50B5FBAD" w14:textId="77777777" w:rsidTr="007D6686">
        <w:trPr>
          <w:trHeight w:val="285"/>
        </w:trPr>
        <w:tc>
          <w:tcPr>
            <w:tcW w:w="1729" w:type="pct"/>
            <w:tcBorders>
              <w:top w:val="single" w:sz="4" w:space="0" w:color="auto"/>
              <w:left w:val="nil"/>
              <w:bottom w:val="single" w:sz="4" w:space="0" w:color="auto"/>
              <w:right w:val="nil"/>
            </w:tcBorders>
            <w:shd w:val="clear" w:color="auto" w:fill="auto"/>
            <w:vAlign w:val="center"/>
          </w:tcPr>
          <w:p w14:paraId="4C9D6828" w14:textId="77777777" w:rsidR="002F4415" w:rsidRPr="00060311" w:rsidRDefault="002F4415" w:rsidP="00C1248F">
            <w:pPr>
              <w:rPr>
                <w:rFonts w:ascii="Arial" w:hAnsi="Arial" w:cs="Arial"/>
                <w:b/>
                <w:sz w:val="18"/>
                <w:szCs w:val="18"/>
              </w:rPr>
            </w:pPr>
            <w:r w:rsidRPr="00060311">
              <w:rPr>
                <w:rFonts w:ascii="Arial" w:hAnsi="Arial" w:cs="Arial"/>
                <w:b/>
                <w:sz w:val="18"/>
                <w:szCs w:val="18"/>
              </w:rPr>
              <w:t>Total Current Assets</w:t>
            </w:r>
          </w:p>
        </w:tc>
        <w:tc>
          <w:tcPr>
            <w:tcW w:w="136" w:type="pct"/>
            <w:tcBorders>
              <w:top w:val="single" w:sz="4" w:space="0" w:color="auto"/>
              <w:left w:val="nil"/>
              <w:bottom w:val="single" w:sz="4" w:space="0" w:color="auto"/>
              <w:right w:val="nil"/>
            </w:tcBorders>
            <w:shd w:val="clear" w:color="auto" w:fill="auto"/>
            <w:vAlign w:val="center"/>
          </w:tcPr>
          <w:p w14:paraId="4DB1AD2F" w14:textId="77777777" w:rsidR="002F4415" w:rsidRPr="00060311" w:rsidRDefault="002F4415">
            <w:pPr>
              <w:rPr>
                <w:rFonts w:ascii="Arial" w:hAnsi="Arial" w:cs="Arial"/>
                <w:b/>
                <w:bCs/>
                <w:color w:val="000000"/>
                <w:sz w:val="18"/>
                <w:szCs w:val="18"/>
                <w:lang w:eastAsia="en-SG"/>
              </w:rPr>
            </w:pPr>
          </w:p>
        </w:tc>
        <w:tc>
          <w:tcPr>
            <w:tcW w:w="615" w:type="pct"/>
            <w:tcBorders>
              <w:top w:val="single" w:sz="4" w:space="0" w:color="auto"/>
              <w:left w:val="nil"/>
              <w:bottom w:val="single" w:sz="4" w:space="0" w:color="auto"/>
              <w:right w:val="nil"/>
            </w:tcBorders>
            <w:shd w:val="clear" w:color="auto" w:fill="auto"/>
            <w:noWrap/>
            <w:vAlign w:val="center"/>
            <w:hideMark/>
          </w:tcPr>
          <w:p w14:paraId="344DB812"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980,319 </w:t>
            </w:r>
          </w:p>
        </w:tc>
        <w:tc>
          <w:tcPr>
            <w:tcW w:w="615" w:type="pct"/>
            <w:tcBorders>
              <w:top w:val="single" w:sz="4" w:space="0" w:color="auto"/>
              <w:left w:val="nil"/>
              <w:bottom w:val="single" w:sz="4" w:space="0" w:color="auto"/>
              <w:right w:val="nil"/>
            </w:tcBorders>
            <w:shd w:val="clear" w:color="auto" w:fill="auto"/>
            <w:noWrap/>
            <w:vAlign w:val="center"/>
            <w:hideMark/>
          </w:tcPr>
          <w:p w14:paraId="249B55C5"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1,816,593 </w:t>
            </w:r>
          </w:p>
        </w:tc>
        <w:tc>
          <w:tcPr>
            <w:tcW w:w="615" w:type="pct"/>
            <w:tcBorders>
              <w:top w:val="single" w:sz="4" w:space="0" w:color="auto"/>
              <w:left w:val="nil"/>
              <w:bottom w:val="single" w:sz="4" w:space="0" w:color="auto"/>
              <w:right w:val="nil"/>
            </w:tcBorders>
            <w:shd w:val="clear" w:color="auto" w:fill="auto"/>
            <w:noWrap/>
            <w:vAlign w:val="center"/>
            <w:hideMark/>
          </w:tcPr>
          <w:p w14:paraId="76362820"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1,202,168 </w:t>
            </w:r>
          </w:p>
        </w:tc>
        <w:tc>
          <w:tcPr>
            <w:tcW w:w="615" w:type="pct"/>
            <w:tcBorders>
              <w:top w:val="single" w:sz="4" w:space="0" w:color="auto"/>
              <w:left w:val="nil"/>
              <w:bottom w:val="single" w:sz="4" w:space="0" w:color="auto"/>
              <w:right w:val="nil"/>
            </w:tcBorders>
            <w:shd w:val="clear" w:color="auto" w:fill="auto"/>
            <w:noWrap/>
            <w:vAlign w:val="center"/>
            <w:hideMark/>
          </w:tcPr>
          <w:p w14:paraId="16AE515C"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1,208,398 </w:t>
            </w:r>
          </w:p>
        </w:tc>
        <w:tc>
          <w:tcPr>
            <w:tcW w:w="675" w:type="pct"/>
            <w:tcBorders>
              <w:top w:val="single" w:sz="4" w:space="0" w:color="auto"/>
              <w:left w:val="nil"/>
              <w:bottom w:val="single" w:sz="4" w:space="0" w:color="auto"/>
              <w:right w:val="nil"/>
            </w:tcBorders>
            <w:shd w:val="clear" w:color="auto" w:fill="auto"/>
            <w:noWrap/>
            <w:vAlign w:val="center"/>
            <w:hideMark/>
          </w:tcPr>
          <w:p w14:paraId="3873E21B"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1,306,085 </w:t>
            </w:r>
          </w:p>
        </w:tc>
      </w:tr>
      <w:tr w:rsidR="002F4415" w:rsidRPr="00060311" w14:paraId="2FAF088A" w14:textId="77777777" w:rsidTr="007D6686">
        <w:trPr>
          <w:trHeight w:val="285"/>
        </w:trPr>
        <w:tc>
          <w:tcPr>
            <w:tcW w:w="1729" w:type="pct"/>
            <w:tcBorders>
              <w:top w:val="nil"/>
              <w:left w:val="nil"/>
              <w:bottom w:val="nil"/>
              <w:right w:val="nil"/>
            </w:tcBorders>
            <w:shd w:val="clear" w:color="auto" w:fill="auto"/>
            <w:vAlign w:val="center"/>
          </w:tcPr>
          <w:p w14:paraId="7084FBD4" w14:textId="77777777" w:rsidR="002F4415" w:rsidRPr="00060311" w:rsidRDefault="002F4415" w:rsidP="00C1248F">
            <w:pPr>
              <w:rPr>
                <w:rFonts w:ascii="Arial" w:hAnsi="Arial" w:cs="Arial"/>
                <w:sz w:val="18"/>
                <w:szCs w:val="18"/>
              </w:rPr>
            </w:pPr>
            <w:r w:rsidRPr="00060311">
              <w:rPr>
                <w:rFonts w:ascii="Arial" w:hAnsi="Arial" w:cs="Arial"/>
                <w:sz w:val="18"/>
                <w:szCs w:val="18"/>
              </w:rPr>
              <w:t>Plant and Equipment</w:t>
            </w:r>
          </w:p>
        </w:tc>
        <w:tc>
          <w:tcPr>
            <w:tcW w:w="136" w:type="pct"/>
            <w:tcBorders>
              <w:top w:val="nil"/>
              <w:left w:val="nil"/>
              <w:bottom w:val="nil"/>
              <w:right w:val="nil"/>
            </w:tcBorders>
            <w:shd w:val="clear" w:color="auto" w:fill="auto"/>
            <w:vAlign w:val="center"/>
          </w:tcPr>
          <w:p w14:paraId="38BDE801" w14:textId="77777777" w:rsidR="002F4415" w:rsidRPr="00060311" w:rsidRDefault="002F4415">
            <w:pPr>
              <w:rPr>
                <w:rFonts w:ascii="Arial" w:hAnsi="Arial" w:cs="Arial"/>
                <w:color w:val="000000"/>
                <w:sz w:val="18"/>
                <w:szCs w:val="18"/>
                <w:lang w:eastAsia="en-SG"/>
              </w:rPr>
            </w:pPr>
          </w:p>
        </w:tc>
        <w:tc>
          <w:tcPr>
            <w:tcW w:w="615" w:type="pct"/>
            <w:tcBorders>
              <w:top w:val="nil"/>
              <w:left w:val="nil"/>
              <w:bottom w:val="nil"/>
              <w:right w:val="nil"/>
            </w:tcBorders>
            <w:shd w:val="clear" w:color="auto" w:fill="auto"/>
            <w:noWrap/>
            <w:vAlign w:val="center"/>
            <w:hideMark/>
          </w:tcPr>
          <w:p w14:paraId="687A4F18"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14,686 </w:t>
            </w:r>
          </w:p>
        </w:tc>
        <w:tc>
          <w:tcPr>
            <w:tcW w:w="615" w:type="pct"/>
            <w:tcBorders>
              <w:top w:val="nil"/>
              <w:left w:val="nil"/>
              <w:bottom w:val="nil"/>
              <w:right w:val="nil"/>
            </w:tcBorders>
            <w:shd w:val="clear" w:color="auto" w:fill="auto"/>
            <w:noWrap/>
            <w:vAlign w:val="center"/>
            <w:hideMark/>
          </w:tcPr>
          <w:p w14:paraId="373938AA"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13,197 </w:t>
            </w:r>
          </w:p>
        </w:tc>
        <w:tc>
          <w:tcPr>
            <w:tcW w:w="615" w:type="pct"/>
            <w:tcBorders>
              <w:top w:val="nil"/>
              <w:left w:val="nil"/>
              <w:bottom w:val="nil"/>
              <w:right w:val="nil"/>
            </w:tcBorders>
            <w:shd w:val="clear" w:color="auto" w:fill="auto"/>
            <w:noWrap/>
            <w:vAlign w:val="center"/>
            <w:hideMark/>
          </w:tcPr>
          <w:p w14:paraId="293FAFA5"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16,196 </w:t>
            </w:r>
          </w:p>
        </w:tc>
        <w:tc>
          <w:tcPr>
            <w:tcW w:w="615" w:type="pct"/>
            <w:tcBorders>
              <w:top w:val="nil"/>
              <w:left w:val="nil"/>
              <w:bottom w:val="nil"/>
              <w:right w:val="nil"/>
            </w:tcBorders>
            <w:shd w:val="clear" w:color="auto" w:fill="auto"/>
            <w:noWrap/>
            <w:vAlign w:val="center"/>
            <w:hideMark/>
          </w:tcPr>
          <w:p w14:paraId="0B421746"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17,019 </w:t>
            </w:r>
          </w:p>
        </w:tc>
        <w:tc>
          <w:tcPr>
            <w:tcW w:w="675" w:type="pct"/>
            <w:tcBorders>
              <w:top w:val="nil"/>
              <w:left w:val="nil"/>
              <w:bottom w:val="nil"/>
              <w:right w:val="nil"/>
            </w:tcBorders>
            <w:shd w:val="clear" w:color="auto" w:fill="auto"/>
            <w:noWrap/>
            <w:vAlign w:val="center"/>
            <w:hideMark/>
          </w:tcPr>
          <w:p w14:paraId="0183931A"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19,304 </w:t>
            </w:r>
          </w:p>
        </w:tc>
      </w:tr>
      <w:tr w:rsidR="002F4415" w:rsidRPr="00060311" w14:paraId="3DDA790E" w14:textId="77777777" w:rsidTr="007D6686">
        <w:trPr>
          <w:trHeight w:val="285"/>
        </w:trPr>
        <w:tc>
          <w:tcPr>
            <w:tcW w:w="1729" w:type="pct"/>
            <w:tcBorders>
              <w:top w:val="nil"/>
              <w:left w:val="nil"/>
              <w:bottom w:val="nil"/>
              <w:right w:val="nil"/>
            </w:tcBorders>
            <w:shd w:val="clear" w:color="auto" w:fill="auto"/>
            <w:vAlign w:val="center"/>
          </w:tcPr>
          <w:p w14:paraId="68E76388" w14:textId="77777777" w:rsidR="002F4415" w:rsidRPr="00060311" w:rsidRDefault="002F4415" w:rsidP="00C1248F">
            <w:pPr>
              <w:rPr>
                <w:rFonts w:ascii="Arial" w:hAnsi="Arial" w:cs="Arial"/>
                <w:sz w:val="18"/>
                <w:szCs w:val="18"/>
              </w:rPr>
            </w:pPr>
            <w:r w:rsidRPr="00060311">
              <w:rPr>
                <w:rFonts w:ascii="Arial" w:hAnsi="Arial" w:cs="Arial"/>
                <w:sz w:val="18"/>
                <w:szCs w:val="18"/>
              </w:rPr>
              <w:t>Investment Properties</w:t>
            </w:r>
          </w:p>
        </w:tc>
        <w:tc>
          <w:tcPr>
            <w:tcW w:w="136" w:type="pct"/>
            <w:tcBorders>
              <w:top w:val="nil"/>
              <w:left w:val="nil"/>
              <w:bottom w:val="nil"/>
              <w:right w:val="nil"/>
            </w:tcBorders>
            <w:shd w:val="clear" w:color="auto" w:fill="auto"/>
            <w:vAlign w:val="center"/>
          </w:tcPr>
          <w:p w14:paraId="0FE2561A" w14:textId="77777777" w:rsidR="002F4415" w:rsidRPr="00060311" w:rsidRDefault="002F4415">
            <w:pPr>
              <w:rPr>
                <w:rFonts w:ascii="Arial" w:hAnsi="Arial" w:cs="Arial"/>
                <w:color w:val="000000"/>
                <w:sz w:val="18"/>
                <w:szCs w:val="18"/>
                <w:lang w:eastAsia="en-SG"/>
              </w:rPr>
            </w:pPr>
          </w:p>
        </w:tc>
        <w:tc>
          <w:tcPr>
            <w:tcW w:w="615" w:type="pct"/>
            <w:tcBorders>
              <w:top w:val="nil"/>
              <w:left w:val="nil"/>
              <w:bottom w:val="nil"/>
              <w:right w:val="nil"/>
            </w:tcBorders>
            <w:shd w:val="clear" w:color="auto" w:fill="auto"/>
            <w:noWrap/>
            <w:vAlign w:val="center"/>
            <w:hideMark/>
          </w:tcPr>
          <w:p w14:paraId="790DDEA3"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1,378,567 </w:t>
            </w:r>
          </w:p>
        </w:tc>
        <w:tc>
          <w:tcPr>
            <w:tcW w:w="615" w:type="pct"/>
            <w:tcBorders>
              <w:top w:val="nil"/>
              <w:left w:val="nil"/>
              <w:bottom w:val="nil"/>
              <w:right w:val="nil"/>
            </w:tcBorders>
            <w:shd w:val="clear" w:color="auto" w:fill="auto"/>
            <w:noWrap/>
            <w:vAlign w:val="center"/>
            <w:hideMark/>
          </w:tcPr>
          <w:p w14:paraId="24230016"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304,429 </w:t>
            </w:r>
          </w:p>
        </w:tc>
        <w:tc>
          <w:tcPr>
            <w:tcW w:w="615" w:type="pct"/>
            <w:tcBorders>
              <w:top w:val="nil"/>
              <w:left w:val="nil"/>
              <w:bottom w:val="nil"/>
              <w:right w:val="nil"/>
            </w:tcBorders>
            <w:shd w:val="clear" w:color="auto" w:fill="auto"/>
            <w:noWrap/>
            <w:vAlign w:val="center"/>
            <w:hideMark/>
          </w:tcPr>
          <w:p w14:paraId="6DC722FB"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618,988 </w:t>
            </w:r>
          </w:p>
        </w:tc>
        <w:tc>
          <w:tcPr>
            <w:tcW w:w="615" w:type="pct"/>
            <w:tcBorders>
              <w:top w:val="nil"/>
              <w:left w:val="nil"/>
              <w:bottom w:val="nil"/>
              <w:right w:val="nil"/>
            </w:tcBorders>
            <w:shd w:val="clear" w:color="auto" w:fill="auto"/>
            <w:noWrap/>
            <w:vAlign w:val="center"/>
            <w:hideMark/>
          </w:tcPr>
          <w:p w14:paraId="0B95F2F8"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1,565,789 </w:t>
            </w:r>
          </w:p>
        </w:tc>
        <w:tc>
          <w:tcPr>
            <w:tcW w:w="675" w:type="pct"/>
            <w:tcBorders>
              <w:top w:val="nil"/>
              <w:left w:val="nil"/>
              <w:bottom w:val="nil"/>
              <w:right w:val="nil"/>
            </w:tcBorders>
            <w:shd w:val="clear" w:color="auto" w:fill="auto"/>
            <w:noWrap/>
            <w:vAlign w:val="center"/>
            <w:hideMark/>
          </w:tcPr>
          <w:p w14:paraId="1296CA45"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1,546,594 </w:t>
            </w:r>
          </w:p>
        </w:tc>
      </w:tr>
      <w:tr w:rsidR="002F4415" w:rsidRPr="00060311" w14:paraId="0C0BEF8A" w14:textId="77777777" w:rsidTr="007D6686">
        <w:trPr>
          <w:trHeight w:val="285"/>
        </w:trPr>
        <w:tc>
          <w:tcPr>
            <w:tcW w:w="1729" w:type="pct"/>
            <w:tcBorders>
              <w:top w:val="nil"/>
              <w:left w:val="nil"/>
              <w:bottom w:val="nil"/>
              <w:right w:val="nil"/>
            </w:tcBorders>
            <w:shd w:val="clear" w:color="auto" w:fill="auto"/>
            <w:vAlign w:val="center"/>
          </w:tcPr>
          <w:p w14:paraId="0162EC93" w14:textId="77777777" w:rsidR="002F4415" w:rsidRPr="00060311" w:rsidRDefault="002F4415" w:rsidP="00C1248F">
            <w:pPr>
              <w:rPr>
                <w:rFonts w:ascii="Arial" w:hAnsi="Arial" w:cs="Arial"/>
                <w:sz w:val="18"/>
                <w:szCs w:val="18"/>
              </w:rPr>
            </w:pPr>
            <w:r w:rsidRPr="00060311">
              <w:rPr>
                <w:rFonts w:ascii="Arial" w:hAnsi="Arial" w:cs="Arial"/>
                <w:sz w:val="18"/>
                <w:szCs w:val="18"/>
              </w:rPr>
              <w:t>Property under Development</w:t>
            </w:r>
          </w:p>
        </w:tc>
        <w:tc>
          <w:tcPr>
            <w:tcW w:w="136" w:type="pct"/>
            <w:tcBorders>
              <w:top w:val="nil"/>
              <w:left w:val="nil"/>
              <w:bottom w:val="nil"/>
              <w:right w:val="nil"/>
            </w:tcBorders>
            <w:shd w:val="clear" w:color="auto" w:fill="auto"/>
            <w:vAlign w:val="center"/>
          </w:tcPr>
          <w:p w14:paraId="4B1A78C0" w14:textId="77777777" w:rsidR="002F4415" w:rsidRPr="00060311" w:rsidRDefault="002F4415">
            <w:pPr>
              <w:rPr>
                <w:rFonts w:ascii="Arial" w:hAnsi="Arial" w:cs="Arial"/>
                <w:color w:val="000000"/>
                <w:sz w:val="18"/>
                <w:szCs w:val="18"/>
                <w:lang w:eastAsia="en-SG"/>
              </w:rPr>
            </w:pPr>
          </w:p>
        </w:tc>
        <w:tc>
          <w:tcPr>
            <w:tcW w:w="615" w:type="pct"/>
            <w:tcBorders>
              <w:top w:val="nil"/>
              <w:left w:val="nil"/>
              <w:bottom w:val="nil"/>
              <w:right w:val="nil"/>
            </w:tcBorders>
            <w:shd w:val="clear" w:color="auto" w:fill="auto"/>
            <w:noWrap/>
            <w:vAlign w:val="center"/>
            <w:hideMark/>
          </w:tcPr>
          <w:p w14:paraId="5197442D"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127,666 </w:t>
            </w:r>
          </w:p>
        </w:tc>
        <w:tc>
          <w:tcPr>
            <w:tcW w:w="615" w:type="pct"/>
            <w:tcBorders>
              <w:top w:val="nil"/>
              <w:left w:val="nil"/>
              <w:bottom w:val="nil"/>
              <w:right w:val="nil"/>
            </w:tcBorders>
            <w:shd w:val="clear" w:color="auto" w:fill="auto"/>
            <w:noWrap/>
            <w:vAlign w:val="center"/>
            <w:hideMark/>
          </w:tcPr>
          <w:p w14:paraId="331F6344"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288,848 </w:t>
            </w:r>
          </w:p>
        </w:tc>
        <w:tc>
          <w:tcPr>
            <w:tcW w:w="615" w:type="pct"/>
            <w:tcBorders>
              <w:top w:val="nil"/>
              <w:left w:val="nil"/>
              <w:bottom w:val="nil"/>
              <w:right w:val="nil"/>
            </w:tcBorders>
            <w:shd w:val="clear" w:color="auto" w:fill="auto"/>
            <w:noWrap/>
            <w:vAlign w:val="center"/>
            <w:hideMark/>
          </w:tcPr>
          <w:p w14:paraId="562FF747"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1,060,102 </w:t>
            </w:r>
          </w:p>
        </w:tc>
        <w:tc>
          <w:tcPr>
            <w:tcW w:w="615" w:type="pct"/>
            <w:tcBorders>
              <w:top w:val="nil"/>
              <w:left w:val="nil"/>
              <w:bottom w:val="nil"/>
              <w:right w:val="nil"/>
            </w:tcBorders>
            <w:shd w:val="clear" w:color="auto" w:fill="auto"/>
            <w:noWrap/>
            <w:vAlign w:val="center"/>
            <w:hideMark/>
          </w:tcPr>
          <w:p w14:paraId="092E34E4"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548,141 </w:t>
            </w:r>
          </w:p>
        </w:tc>
        <w:tc>
          <w:tcPr>
            <w:tcW w:w="675" w:type="pct"/>
            <w:tcBorders>
              <w:top w:val="nil"/>
              <w:left w:val="nil"/>
              <w:bottom w:val="nil"/>
              <w:right w:val="nil"/>
            </w:tcBorders>
            <w:shd w:val="clear" w:color="auto" w:fill="auto"/>
            <w:noWrap/>
            <w:vAlign w:val="center"/>
            <w:hideMark/>
          </w:tcPr>
          <w:p w14:paraId="4CAFB6FD"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146,934 </w:t>
            </w:r>
          </w:p>
        </w:tc>
      </w:tr>
      <w:tr w:rsidR="002F4415" w:rsidRPr="00060311" w14:paraId="3B07173A" w14:textId="77777777" w:rsidTr="007D6686">
        <w:trPr>
          <w:trHeight w:val="285"/>
        </w:trPr>
        <w:tc>
          <w:tcPr>
            <w:tcW w:w="1729" w:type="pct"/>
            <w:tcBorders>
              <w:top w:val="nil"/>
              <w:left w:val="nil"/>
              <w:bottom w:val="nil"/>
              <w:right w:val="nil"/>
            </w:tcBorders>
            <w:shd w:val="clear" w:color="auto" w:fill="auto"/>
            <w:vAlign w:val="center"/>
          </w:tcPr>
          <w:p w14:paraId="40F13CA0" w14:textId="77777777" w:rsidR="002F4415" w:rsidRPr="00060311" w:rsidRDefault="002F4415" w:rsidP="00C1248F">
            <w:pPr>
              <w:rPr>
                <w:rFonts w:ascii="Arial" w:hAnsi="Arial" w:cs="Arial"/>
                <w:sz w:val="18"/>
                <w:szCs w:val="18"/>
              </w:rPr>
            </w:pPr>
            <w:r w:rsidRPr="00060311">
              <w:rPr>
                <w:rFonts w:ascii="Arial" w:hAnsi="Arial" w:cs="Arial"/>
                <w:sz w:val="18"/>
                <w:szCs w:val="18"/>
              </w:rPr>
              <w:t>Subsidiaries</w:t>
            </w:r>
          </w:p>
        </w:tc>
        <w:tc>
          <w:tcPr>
            <w:tcW w:w="136" w:type="pct"/>
            <w:tcBorders>
              <w:top w:val="nil"/>
              <w:left w:val="nil"/>
              <w:bottom w:val="nil"/>
              <w:right w:val="nil"/>
            </w:tcBorders>
            <w:shd w:val="clear" w:color="auto" w:fill="auto"/>
            <w:vAlign w:val="center"/>
          </w:tcPr>
          <w:p w14:paraId="01AFA883" w14:textId="77777777" w:rsidR="002F4415" w:rsidRPr="00060311" w:rsidRDefault="002F4415">
            <w:pPr>
              <w:rPr>
                <w:rFonts w:ascii="Arial" w:hAnsi="Arial" w:cs="Arial"/>
                <w:color w:val="000000"/>
                <w:sz w:val="18"/>
                <w:szCs w:val="18"/>
                <w:lang w:eastAsia="en-SG"/>
              </w:rPr>
            </w:pPr>
          </w:p>
        </w:tc>
        <w:tc>
          <w:tcPr>
            <w:tcW w:w="615" w:type="pct"/>
            <w:tcBorders>
              <w:top w:val="nil"/>
              <w:left w:val="nil"/>
              <w:bottom w:val="nil"/>
              <w:right w:val="nil"/>
            </w:tcBorders>
            <w:shd w:val="clear" w:color="auto" w:fill="auto"/>
            <w:noWrap/>
            <w:vAlign w:val="center"/>
            <w:hideMark/>
          </w:tcPr>
          <w:p w14:paraId="4AE049A9"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0 </w:t>
            </w:r>
          </w:p>
        </w:tc>
        <w:tc>
          <w:tcPr>
            <w:tcW w:w="615" w:type="pct"/>
            <w:tcBorders>
              <w:top w:val="nil"/>
              <w:left w:val="nil"/>
              <w:bottom w:val="nil"/>
              <w:right w:val="nil"/>
            </w:tcBorders>
            <w:shd w:val="clear" w:color="auto" w:fill="auto"/>
            <w:noWrap/>
            <w:vAlign w:val="center"/>
            <w:hideMark/>
          </w:tcPr>
          <w:p w14:paraId="1976A859"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0 </w:t>
            </w:r>
          </w:p>
        </w:tc>
        <w:tc>
          <w:tcPr>
            <w:tcW w:w="615" w:type="pct"/>
            <w:tcBorders>
              <w:top w:val="nil"/>
              <w:left w:val="nil"/>
              <w:bottom w:val="nil"/>
              <w:right w:val="nil"/>
            </w:tcBorders>
            <w:shd w:val="clear" w:color="auto" w:fill="auto"/>
            <w:noWrap/>
            <w:vAlign w:val="center"/>
            <w:hideMark/>
          </w:tcPr>
          <w:p w14:paraId="7825218A"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0 </w:t>
            </w:r>
          </w:p>
        </w:tc>
        <w:tc>
          <w:tcPr>
            <w:tcW w:w="615" w:type="pct"/>
            <w:tcBorders>
              <w:top w:val="nil"/>
              <w:left w:val="nil"/>
              <w:bottom w:val="nil"/>
              <w:right w:val="nil"/>
            </w:tcBorders>
            <w:shd w:val="clear" w:color="auto" w:fill="auto"/>
            <w:noWrap/>
            <w:vAlign w:val="center"/>
            <w:hideMark/>
          </w:tcPr>
          <w:p w14:paraId="4384A8B6"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0 </w:t>
            </w:r>
          </w:p>
        </w:tc>
        <w:tc>
          <w:tcPr>
            <w:tcW w:w="675" w:type="pct"/>
            <w:tcBorders>
              <w:top w:val="nil"/>
              <w:left w:val="nil"/>
              <w:bottom w:val="nil"/>
              <w:right w:val="nil"/>
            </w:tcBorders>
            <w:shd w:val="clear" w:color="auto" w:fill="auto"/>
            <w:noWrap/>
            <w:vAlign w:val="center"/>
            <w:hideMark/>
          </w:tcPr>
          <w:p w14:paraId="53493871"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0 </w:t>
            </w:r>
          </w:p>
        </w:tc>
      </w:tr>
      <w:tr w:rsidR="002F4415" w:rsidRPr="00060311" w14:paraId="55BB1EE6" w14:textId="77777777" w:rsidTr="007D6686">
        <w:trPr>
          <w:trHeight w:val="285"/>
        </w:trPr>
        <w:tc>
          <w:tcPr>
            <w:tcW w:w="1729" w:type="pct"/>
            <w:tcBorders>
              <w:top w:val="nil"/>
              <w:left w:val="nil"/>
              <w:bottom w:val="nil"/>
              <w:right w:val="nil"/>
            </w:tcBorders>
            <w:shd w:val="clear" w:color="auto" w:fill="auto"/>
            <w:vAlign w:val="center"/>
          </w:tcPr>
          <w:p w14:paraId="1A12CD30" w14:textId="77777777" w:rsidR="002F4415" w:rsidRPr="00060311" w:rsidRDefault="002F4415" w:rsidP="00C1248F">
            <w:pPr>
              <w:rPr>
                <w:rFonts w:ascii="Arial" w:hAnsi="Arial" w:cs="Arial"/>
                <w:sz w:val="18"/>
                <w:szCs w:val="18"/>
              </w:rPr>
            </w:pPr>
            <w:r w:rsidRPr="00060311">
              <w:rPr>
                <w:rFonts w:ascii="Arial" w:hAnsi="Arial" w:cs="Arial"/>
                <w:sz w:val="18"/>
                <w:szCs w:val="18"/>
              </w:rPr>
              <w:t>Associates</w:t>
            </w:r>
          </w:p>
        </w:tc>
        <w:tc>
          <w:tcPr>
            <w:tcW w:w="136" w:type="pct"/>
            <w:tcBorders>
              <w:top w:val="nil"/>
              <w:left w:val="nil"/>
              <w:bottom w:val="nil"/>
              <w:right w:val="nil"/>
            </w:tcBorders>
            <w:shd w:val="clear" w:color="auto" w:fill="auto"/>
            <w:vAlign w:val="center"/>
          </w:tcPr>
          <w:p w14:paraId="5E5657FE" w14:textId="77777777" w:rsidR="002F4415" w:rsidRPr="00060311" w:rsidRDefault="002F4415">
            <w:pPr>
              <w:rPr>
                <w:rFonts w:ascii="Arial" w:hAnsi="Arial" w:cs="Arial"/>
                <w:color w:val="000000"/>
                <w:sz w:val="18"/>
                <w:szCs w:val="18"/>
                <w:lang w:eastAsia="en-SG"/>
              </w:rPr>
            </w:pPr>
          </w:p>
        </w:tc>
        <w:tc>
          <w:tcPr>
            <w:tcW w:w="615" w:type="pct"/>
            <w:tcBorders>
              <w:top w:val="nil"/>
              <w:left w:val="nil"/>
              <w:bottom w:val="nil"/>
              <w:right w:val="nil"/>
            </w:tcBorders>
            <w:shd w:val="clear" w:color="auto" w:fill="auto"/>
            <w:noWrap/>
            <w:vAlign w:val="center"/>
            <w:hideMark/>
          </w:tcPr>
          <w:p w14:paraId="317A95E6"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2,999,393 </w:t>
            </w:r>
          </w:p>
        </w:tc>
        <w:tc>
          <w:tcPr>
            <w:tcW w:w="615" w:type="pct"/>
            <w:tcBorders>
              <w:top w:val="nil"/>
              <w:left w:val="nil"/>
              <w:bottom w:val="nil"/>
              <w:right w:val="nil"/>
            </w:tcBorders>
            <w:shd w:val="clear" w:color="auto" w:fill="auto"/>
            <w:noWrap/>
            <w:vAlign w:val="center"/>
            <w:hideMark/>
          </w:tcPr>
          <w:p w14:paraId="46D55E3D"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3,119,729 </w:t>
            </w:r>
          </w:p>
        </w:tc>
        <w:tc>
          <w:tcPr>
            <w:tcW w:w="615" w:type="pct"/>
            <w:tcBorders>
              <w:top w:val="nil"/>
              <w:left w:val="nil"/>
              <w:bottom w:val="nil"/>
              <w:right w:val="nil"/>
            </w:tcBorders>
            <w:shd w:val="clear" w:color="auto" w:fill="auto"/>
            <w:noWrap/>
            <w:vAlign w:val="center"/>
            <w:hideMark/>
          </w:tcPr>
          <w:p w14:paraId="028D2128"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3,521,066 </w:t>
            </w:r>
          </w:p>
        </w:tc>
        <w:tc>
          <w:tcPr>
            <w:tcW w:w="615" w:type="pct"/>
            <w:tcBorders>
              <w:top w:val="nil"/>
              <w:left w:val="nil"/>
              <w:bottom w:val="nil"/>
              <w:right w:val="nil"/>
            </w:tcBorders>
            <w:shd w:val="clear" w:color="auto" w:fill="auto"/>
            <w:noWrap/>
            <w:vAlign w:val="center"/>
            <w:hideMark/>
          </w:tcPr>
          <w:p w14:paraId="7B3DAA95"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3,671,971 </w:t>
            </w:r>
          </w:p>
        </w:tc>
        <w:tc>
          <w:tcPr>
            <w:tcW w:w="675" w:type="pct"/>
            <w:tcBorders>
              <w:top w:val="nil"/>
              <w:left w:val="nil"/>
              <w:bottom w:val="nil"/>
              <w:right w:val="nil"/>
            </w:tcBorders>
            <w:shd w:val="clear" w:color="auto" w:fill="auto"/>
            <w:noWrap/>
            <w:vAlign w:val="center"/>
            <w:hideMark/>
          </w:tcPr>
          <w:p w14:paraId="07C61909"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4,195,179 </w:t>
            </w:r>
          </w:p>
        </w:tc>
      </w:tr>
      <w:tr w:rsidR="002F4415" w:rsidRPr="00060311" w14:paraId="6D63C352" w14:textId="77777777" w:rsidTr="007D6686">
        <w:trPr>
          <w:trHeight w:val="285"/>
        </w:trPr>
        <w:tc>
          <w:tcPr>
            <w:tcW w:w="1729" w:type="pct"/>
            <w:tcBorders>
              <w:top w:val="nil"/>
              <w:left w:val="nil"/>
              <w:bottom w:val="nil"/>
              <w:right w:val="nil"/>
            </w:tcBorders>
            <w:shd w:val="clear" w:color="auto" w:fill="auto"/>
            <w:vAlign w:val="center"/>
          </w:tcPr>
          <w:p w14:paraId="069D32FA" w14:textId="54688AFC" w:rsidR="002F4415" w:rsidRPr="00060311" w:rsidRDefault="002F4415" w:rsidP="00C1248F">
            <w:pPr>
              <w:rPr>
                <w:rFonts w:ascii="Arial" w:hAnsi="Arial" w:cs="Arial"/>
                <w:sz w:val="18"/>
                <w:szCs w:val="18"/>
              </w:rPr>
            </w:pPr>
            <w:r w:rsidRPr="00060311">
              <w:rPr>
                <w:rFonts w:ascii="Arial" w:hAnsi="Arial" w:cs="Arial"/>
                <w:sz w:val="18"/>
                <w:szCs w:val="18"/>
              </w:rPr>
              <w:t>Jointly</w:t>
            </w:r>
            <w:r w:rsidR="003B1D58">
              <w:rPr>
                <w:rFonts w:ascii="Arial" w:hAnsi="Arial" w:cs="Arial"/>
                <w:sz w:val="18"/>
                <w:szCs w:val="18"/>
              </w:rPr>
              <w:t xml:space="preserve"> </w:t>
            </w:r>
            <w:r w:rsidRPr="00060311">
              <w:rPr>
                <w:rFonts w:ascii="Arial" w:hAnsi="Arial" w:cs="Arial"/>
                <w:sz w:val="18"/>
                <w:szCs w:val="18"/>
              </w:rPr>
              <w:t>Controlled Entities</w:t>
            </w:r>
          </w:p>
        </w:tc>
        <w:tc>
          <w:tcPr>
            <w:tcW w:w="136" w:type="pct"/>
            <w:tcBorders>
              <w:top w:val="nil"/>
              <w:left w:val="nil"/>
              <w:bottom w:val="nil"/>
              <w:right w:val="nil"/>
            </w:tcBorders>
            <w:shd w:val="clear" w:color="auto" w:fill="auto"/>
            <w:vAlign w:val="center"/>
          </w:tcPr>
          <w:p w14:paraId="57B956FE" w14:textId="77777777" w:rsidR="002F4415" w:rsidRPr="00060311" w:rsidRDefault="002F4415">
            <w:pPr>
              <w:rPr>
                <w:rFonts w:ascii="Arial" w:hAnsi="Arial" w:cs="Arial"/>
                <w:color w:val="000000"/>
                <w:sz w:val="18"/>
                <w:szCs w:val="18"/>
                <w:lang w:eastAsia="en-SG"/>
              </w:rPr>
            </w:pPr>
          </w:p>
        </w:tc>
        <w:tc>
          <w:tcPr>
            <w:tcW w:w="615" w:type="pct"/>
            <w:tcBorders>
              <w:top w:val="nil"/>
              <w:left w:val="nil"/>
              <w:bottom w:val="nil"/>
              <w:right w:val="nil"/>
            </w:tcBorders>
            <w:shd w:val="clear" w:color="auto" w:fill="auto"/>
            <w:noWrap/>
            <w:vAlign w:val="center"/>
            <w:hideMark/>
          </w:tcPr>
          <w:p w14:paraId="7C4B349F"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675,398 </w:t>
            </w:r>
          </w:p>
        </w:tc>
        <w:tc>
          <w:tcPr>
            <w:tcW w:w="615" w:type="pct"/>
            <w:tcBorders>
              <w:top w:val="nil"/>
              <w:left w:val="nil"/>
              <w:bottom w:val="nil"/>
              <w:right w:val="nil"/>
            </w:tcBorders>
            <w:shd w:val="clear" w:color="auto" w:fill="auto"/>
            <w:noWrap/>
            <w:vAlign w:val="center"/>
            <w:hideMark/>
          </w:tcPr>
          <w:p w14:paraId="6C2EBC9B"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1,043,656 </w:t>
            </w:r>
          </w:p>
        </w:tc>
        <w:tc>
          <w:tcPr>
            <w:tcW w:w="615" w:type="pct"/>
            <w:tcBorders>
              <w:top w:val="nil"/>
              <w:left w:val="nil"/>
              <w:bottom w:val="nil"/>
              <w:right w:val="nil"/>
            </w:tcBorders>
            <w:shd w:val="clear" w:color="auto" w:fill="auto"/>
            <w:noWrap/>
            <w:vAlign w:val="center"/>
            <w:hideMark/>
          </w:tcPr>
          <w:p w14:paraId="58068875"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1,136,861 </w:t>
            </w:r>
          </w:p>
        </w:tc>
        <w:tc>
          <w:tcPr>
            <w:tcW w:w="615" w:type="pct"/>
            <w:tcBorders>
              <w:top w:val="nil"/>
              <w:left w:val="nil"/>
              <w:bottom w:val="nil"/>
              <w:right w:val="nil"/>
            </w:tcBorders>
            <w:shd w:val="clear" w:color="auto" w:fill="auto"/>
            <w:noWrap/>
            <w:vAlign w:val="center"/>
            <w:hideMark/>
          </w:tcPr>
          <w:p w14:paraId="0DADDDFA"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2,335,326 </w:t>
            </w:r>
          </w:p>
        </w:tc>
        <w:tc>
          <w:tcPr>
            <w:tcW w:w="675" w:type="pct"/>
            <w:tcBorders>
              <w:top w:val="nil"/>
              <w:left w:val="nil"/>
              <w:bottom w:val="nil"/>
              <w:right w:val="nil"/>
            </w:tcBorders>
            <w:shd w:val="clear" w:color="auto" w:fill="auto"/>
            <w:noWrap/>
            <w:vAlign w:val="center"/>
            <w:hideMark/>
          </w:tcPr>
          <w:p w14:paraId="622981C1"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2,445,766 </w:t>
            </w:r>
          </w:p>
        </w:tc>
      </w:tr>
      <w:tr w:rsidR="002F4415" w:rsidRPr="00060311" w14:paraId="10F368DA" w14:textId="77777777" w:rsidTr="007D6686">
        <w:trPr>
          <w:trHeight w:val="285"/>
        </w:trPr>
        <w:tc>
          <w:tcPr>
            <w:tcW w:w="1729" w:type="pct"/>
            <w:tcBorders>
              <w:top w:val="nil"/>
              <w:left w:val="nil"/>
              <w:bottom w:val="nil"/>
              <w:right w:val="nil"/>
            </w:tcBorders>
            <w:shd w:val="clear" w:color="auto" w:fill="auto"/>
            <w:vAlign w:val="center"/>
          </w:tcPr>
          <w:p w14:paraId="27490472" w14:textId="77777777" w:rsidR="002F4415" w:rsidRPr="00060311" w:rsidRDefault="002F4415" w:rsidP="00C1248F">
            <w:pPr>
              <w:rPr>
                <w:rFonts w:ascii="Arial" w:hAnsi="Arial" w:cs="Arial"/>
                <w:sz w:val="18"/>
                <w:szCs w:val="18"/>
              </w:rPr>
            </w:pPr>
            <w:r w:rsidRPr="00060311">
              <w:rPr>
                <w:rFonts w:ascii="Arial" w:hAnsi="Arial" w:cs="Arial"/>
                <w:sz w:val="18"/>
                <w:szCs w:val="18"/>
              </w:rPr>
              <w:t>Other Investments</w:t>
            </w:r>
          </w:p>
        </w:tc>
        <w:tc>
          <w:tcPr>
            <w:tcW w:w="136" w:type="pct"/>
            <w:tcBorders>
              <w:top w:val="nil"/>
              <w:left w:val="nil"/>
              <w:bottom w:val="nil"/>
              <w:right w:val="nil"/>
            </w:tcBorders>
            <w:shd w:val="clear" w:color="auto" w:fill="auto"/>
            <w:vAlign w:val="center"/>
          </w:tcPr>
          <w:p w14:paraId="373C535F" w14:textId="77777777" w:rsidR="002F4415" w:rsidRPr="00060311" w:rsidRDefault="002F4415">
            <w:pPr>
              <w:rPr>
                <w:rFonts w:ascii="Arial" w:hAnsi="Arial" w:cs="Arial"/>
                <w:color w:val="000000"/>
                <w:sz w:val="18"/>
                <w:szCs w:val="18"/>
                <w:lang w:eastAsia="en-SG"/>
              </w:rPr>
            </w:pPr>
          </w:p>
        </w:tc>
        <w:tc>
          <w:tcPr>
            <w:tcW w:w="615" w:type="pct"/>
            <w:tcBorders>
              <w:top w:val="nil"/>
              <w:left w:val="nil"/>
              <w:bottom w:val="nil"/>
              <w:right w:val="nil"/>
            </w:tcBorders>
            <w:shd w:val="clear" w:color="auto" w:fill="auto"/>
            <w:noWrap/>
            <w:vAlign w:val="center"/>
            <w:hideMark/>
          </w:tcPr>
          <w:p w14:paraId="205721B4"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200,028 </w:t>
            </w:r>
          </w:p>
        </w:tc>
        <w:tc>
          <w:tcPr>
            <w:tcW w:w="615" w:type="pct"/>
            <w:tcBorders>
              <w:top w:val="nil"/>
              <w:left w:val="nil"/>
              <w:bottom w:val="nil"/>
              <w:right w:val="nil"/>
            </w:tcBorders>
            <w:shd w:val="clear" w:color="auto" w:fill="auto"/>
            <w:noWrap/>
            <w:vAlign w:val="center"/>
            <w:hideMark/>
          </w:tcPr>
          <w:p w14:paraId="49B4C717"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378,653 </w:t>
            </w:r>
          </w:p>
        </w:tc>
        <w:tc>
          <w:tcPr>
            <w:tcW w:w="615" w:type="pct"/>
            <w:tcBorders>
              <w:top w:val="nil"/>
              <w:left w:val="nil"/>
              <w:bottom w:val="nil"/>
              <w:right w:val="nil"/>
            </w:tcBorders>
            <w:shd w:val="clear" w:color="auto" w:fill="auto"/>
            <w:noWrap/>
            <w:vAlign w:val="center"/>
            <w:hideMark/>
          </w:tcPr>
          <w:p w14:paraId="374688E2"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425,622 </w:t>
            </w:r>
          </w:p>
        </w:tc>
        <w:tc>
          <w:tcPr>
            <w:tcW w:w="615" w:type="pct"/>
            <w:tcBorders>
              <w:top w:val="nil"/>
              <w:left w:val="nil"/>
              <w:bottom w:val="nil"/>
              <w:right w:val="nil"/>
            </w:tcBorders>
            <w:shd w:val="clear" w:color="auto" w:fill="auto"/>
            <w:noWrap/>
            <w:vAlign w:val="center"/>
            <w:hideMark/>
          </w:tcPr>
          <w:p w14:paraId="27FE238A"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441,306 </w:t>
            </w:r>
          </w:p>
        </w:tc>
        <w:tc>
          <w:tcPr>
            <w:tcW w:w="675" w:type="pct"/>
            <w:tcBorders>
              <w:top w:val="nil"/>
              <w:left w:val="nil"/>
              <w:bottom w:val="nil"/>
              <w:right w:val="nil"/>
            </w:tcBorders>
            <w:shd w:val="clear" w:color="auto" w:fill="auto"/>
            <w:noWrap/>
            <w:vAlign w:val="center"/>
            <w:hideMark/>
          </w:tcPr>
          <w:p w14:paraId="5BA62C03"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498,469 </w:t>
            </w:r>
          </w:p>
        </w:tc>
      </w:tr>
      <w:tr w:rsidR="002F4415" w:rsidRPr="00060311" w14:paraId="1735282F" w14:textId="77777777" w:rsidTr="007D6686">
        <w:trPr>
          <w:trHeight w:val="285"/>
        </w:trPr>
        <w:tc>
          <w:tcPr>
            <w:tcW w:w="1729" w:type="pct"/>
            <w:tcBorders>
              <w:top w:val="nil"/>
              <w:left w:val="nil"/>
              <w:bottom w:val="nil"/>
              <w:right w:val="nil"/>
            </w:tcBorders>
            <w:shd w:val="clear" w:color="auto" w:fill="auto"/>
            <w:vAlign w:val="center"/>
          </w:tcPr>
          <w:p w14:paraId="650A2D0A" w14:textId="77777777" w:rsidR="002F4415" w:rsidRPr="00060311" w:rsidRDefault="002F4415" w:rsidP="00C1248F">
            <w:pPr>
              <w:rPr>
                <w:rFonts w:ascii="Arial" w:hAnsi="Arial" w:cs="Arial"/>
                <w:sz w:val="18"/>
                <w:szCs w:val="18"/>
              </w:rPr>
            </w:pPr>
            <w:r w:rsidRPr="00060311">
              <w:rPr>
                <w:rFonts w:ascii="Arial" w:hAnsi="Arial" w:cs="Arial"/>
                <w:sz w:val="18"/>
                <w:szCs w:val="18"/>
              </w:rPr>
              <w:t>Other Assets</w:t>
            </w:r>
          </w:p>
        </w:tc>
        <w:tc>
          <w:tcPr>
            <w:tcW w:w="136" w:type="pct"/>
            <w:tcBorders>
              <w:top w:val="nil"/>
              <w:left w:val="nil"/>
              <w:bottom w:val="nil"/>
              <w:right w:val="nil"/>
            </w:tcBorders>
            <w:shd w:val="clear" w:color="auto" w:fill="auto"/>
            <w:vAlign w:val="center"/>
          </w:tcPr>
          <w:p w14:paraId="526EBB2A" w14:textId="77777777" w:rsidR="002F4415" w:rsidRPr="00060311" w:rsidRDefault="002F4415">
            <w:pPr>
              <w:rPr>
                <w:rFonts w:ascii="Arial" w:hAnsi="Arial" w:cs="Arial"/>
                <w:color w:val="000000"/>
                <w:sz w:val="18"/>
                <w:szCs w:val="18"/>
                <w:lang w:eastAsia="en-SG"/>
              </w:rPr>
            </w:pPr>
          </w:p>
        </w:tc>
        <w:tc>
          <w:tcPr>
            <w:tcW w:w="615" w:type="pct"/>
            <w:tcBorders>
              <w:top w:val="nil"/>
              <w:left w:val="nil"/>
              <w:bottom w:val="nil"/>
              <w:right w:val="nil"/>
            </w:tcBorders>
            <w:shd w:val="clear" w:color="auto" w:fill="auto"/>
            <w:noWrap/>
            <w:vAlign w:val="center"/>
            <w:hideMark/>
          </w:tcPr>
          <w:p w14:paraId="7D0F0EA0"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933 </w:t>
            </w:r>
          </w:p>
        </w:tc>
        <w:tc>
          <w:tcPr>
            <w:tcW w:w="615" w:type="pct"/>
            <w:tcBorders>
              <w:top w:val="nil"/>
              <w:left w:val="nil"/>
              <w:bottom w:val="nil"/>
              <w:right w:val="nil"/>
            </w:tcBorders>
            <w:shd w:val="clear" w:color="auto" w:fill="auto"/>
            <w:noWrap/>
            <w:vAlign w:val="center"/>
            <w:hideMark/>
          </w:tcPr>
          <w:p w14:paraId="45B0FE32"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17,072 </w:t>
            </w:r>
          </w:p>
        </w:tc>
        <w:tc>
          <w:tcPr>
            <w:tcW w:w="615" w:type="pct"/>
            <w:tcBorders>
              <w:top w:val="nil"/>
              <w:left w:val="nil"/>
              <w:bottom w:val="nil"/>
              <w:right w:val="nil"/>
            </w:tcBorders>
            <w:shd w:val="clear" w:color="auto" w:fill="auto"/>
            <w:noWrap/>
            <w:vAlign w:val="center"/>
            <w:hideMark/>
          </w:tcPr>
          <w:p w14:paraId="3214978F"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97,045 </w:t>
            </w:r>
          </w:p>
        </w:tc>
        <w:tc>
          <w:tcPr>
            <w:tcW w:w="615" w:type="pct"/>
            <w:tcBorders>
              <w:top w:val="nil"/>
              <w:left w:val="nil"/>
              <w:bottom w:val="nil"/>
              <w:right w:val="nil"/>
            </w:tcBorders>
            <w:shd w:val="clear" w:color="auto" w:fill="auto"/>
            <w:noWrap/>
            <w:vAlign w:val="center"/>
            <w:hideMark/>
          </w:tcPr>
          <w:p w14:paraId="5B072928"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143,384 </w:t>
            </w:r>
          </w:p>
        </w:tc>
        <w:tc>
          <w:tcPr>
            <w:tcW w:w="675" w:type="pct"/>
            <w:tcBorders>
              <w:top w:val="nil"/>
              <w:left w:val="nil"/>
              <w:bottom w:val="nil"/>
              <w:right w:val="nil"/>
            </w:tcBorders>
            <w:shd w:val="clear" w:color="auto" w:fill="auto"/>
            <w:noWrap/>
            <w:vAlign w:val="center"/>
            <w:hideMark/>
          </w:tcPr>
          <w:p w14:paraId="3CC2C610"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202,441 </w:t>
            </w:r>
          </w:p>
        </w:tc>
      </w:tr>
      <w:tr w:rsidR="002F4415" w:rsidRPr="00060311" w14:paraId="0A92DB37" w14:textId="77777777" w:rsidTr="007D6686">
        <w:trPr>
          <w:trHeight w:val="285"/>
        </w:trPr>
        <w:tc>
          <w:tcPr>
            <w:tcW w:w="1729" w:type="pct"/>
            <w:tcBorders>
              <w:top w:val="single" w:sz="4" w:space="0" w:color="auto"/>
              <w:left w:val="nil"/>
              <w:bottom w:val="single" w:sz="4" w:space="0" w:color="auto"/>
              <w:right w:val="nil"/>
            </w:tcBorders>
            <w:shd w:val="clear" w:color="auto" w:fill="auto"/>
            <w:vAlign w:val="center"/>
          </w:tcPr>
          <w:p w14:paraId="6D535AC7" w14:textId="77777777" w:rsidR="002F4415" w:rsidRPr="00060311" w:rsidRDefault="002F4415" w:rsidP="00C1248F">
            <w:pPr>
              <w:rPr>
                <w:rFonts w:ascii="Arial" w:hAnsi="Arial" w:cs="Arial"/>
                <w:b/>
                <w:sz w:val="18"/>
                <w:szCs w:val="18"/>
              </w:rPr>
            </w:pPr>
            <w:r w:rsidRPr="00060311">
              <w:rPr>
                <w:rFonts w:ascii="Arial" w:hAnsi="Arial" w:cs="Arial"/>
                <w:b/>
                <w:sz w:val="18"/>
                <w:szCs w:val="18"/>
              </w:rPr>
              <w:t>Total Non-Current Assets</w:t>
            </w:r>
          </w:p>
        </w:tc>
        <w:tc>
          <w:tcPr>
            <w:tcW w:w="136" w:type="pct"/>
            <w:tcBorders>
              <w:top w:val="single" w:sz="4" w:space="0" w:color="auto"/>
              <w:left w:val="nil"/>
              <w:bottom w:val="single" w:sz="4" w:space="0" w:color="auto"/>
              <w:right w:val="nil"/>
            </w:tcBorders>
            <w:shd w:val="clear" w:color="auto" w:fill="auto"/>
            <w:vAlign w:val="center"/>
          </w:tcPr>
          <w:p w14:paraId="31CE7DFA" w14:textId="77777777" w:rsidR="002F4415" w:rsidRPr="00060311" w:rsidRDefault="002F4415">
            <w:pPr>
              <w:rPr>
                <w:rFonts w:ascii="Arial" w:hAnsi="Arial" w:cs="Arial"/>
                <w:b/>
                <w:bCs/>
                <w:color w:val="000000"/>
                <w:sz w:val="18"/>
                <w:szCs w:val="18"/>
                <w:lang w:eastAsia="en-SG"/>
              </w:rPr>
            </w:pPr>
          </w:p>
        </w:tc>
        <w:tc>
          <w:tcPr>
            <w:tcW w:w="615" w:type="pct"/>
            <w:tcBorders>
              <w:top w:val="single" w:sz="4" w:space="0" w:color="auto"/>
              <w:left w:val="nil"/>
              <w:bottom w:val="single" w:sz="4" w:space="0" w:color="auto"/>
              <w:right w:val="nil"/>
            </w:tcBorders>
            <w:shd w:val="clear" w:color="auto" w:fill="auto"/>
            <w:noWrap/>
            <w:vAlign w:val="center"/>
            <w:hideMark/>
          </w:tcPr>
          <w:p w14:paraId="59C3B90F"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5,396,671 </w:t>
            </w:r>
          </w:p>
        </w:tc>
        <w:tc>
          <w:tcPr>
            <w:tcW w:w="615" w:type="pct"/>
            <w:tcBorders>
              <w:top w:val="single" w:sz="4" w:space="0" w:color="auto"/>
              <w:left w:val="nil"/>
              <w:bottom w:val="single" w:sz="4" w:space="0" w:color="auto"/>
              <w:right w:val="nil"/>
            </w:tcBorders>
            <w:shd w:val="clear" w:color="auto" w:fill="auto"/>
            <w:noWrap/>
            <w:vAlign w:val="center"/>
            <w:hideMark/>
          </w:tcPr>
          <w:p w14:paraId="449F5B1A"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5,165,584 </w:t>
            </w:r>
          </w:p>
        </w:tc>
        <w:tc>
          <w:tcPr>
            <w:tcW w:w="615" w:type="pct"/>
            <w:tcBorders>
              <w:top w:val="single" w:sz="4" w:space="0" w:color="auto"/>
              <w:left w:val="nil"/>
              <w:bottom w:val="single" w:sz="4" w:space="0" w:color="auto"/>
              <w:right w:val="nil"/>
            </w:tcBorders>
            <w:shd w:val="clear" w:color="auto" w:fill="auto"/>
            <w:noWrap/>
            <w:vAlign w:val="center"/>
            <w:hideMark/>
          </w:tcPr>
          <w:p w14:paraId="3076C871"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6,875,880 </w:t>
            </w:r>
          </w:p>
        </w:tc>
        <w:tc>
          <w:tcPr>
            <w:tcW w:w="615" w:type="pct"/>
            <w:tcBorders>
              <w:top w:val="single" w:sz="4" w:space="0" w:color="auto"/>
              <w:left w:val="nil"/>
              <w:bottom w:val="single" w:sz="4" w:space="0" w:color="auto"/>
              <w:right w:val="nil"/>
            </w:tcBorders>
            <w:shd w:val="clear" w:color="auto" w:fill="auto"/>
            <w:noWrap/>
            <w:vAlign w:val="center"/>
            <w:hideMark/>
          </w:tcPr>
          <w:p w14:paraId="57F46247"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8,722,936 </w:t>
            </w:r>
          </w:p>
        </w:tc>
        <w:tc>
          <w:tcPr>
            <w:tcW w:w="675" w:type="pct"/>
            <w:tcBorders>
              <w:top w:val="single" w:sz="4" w:space="0" w:color="auto"/>
              <w:left w:val="nil"/>
              <w:bottom w:val="single" w:sz="4" w:space="0" w:color="auto"/>
              <w:right w:val="nil"/>
            </w:tcBorders>
            <w:shd w:val="clear" w:color="auto" w:fill="auto"/>
            <w:noWrap/>
            <w:vAlign w:val="center"/>
            <w:hideMark/>
          </w:tcPr>
          <w:p w14:paraId="556B25B8"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9,054,687 </w:t>
            </w:r>
          </w:p>
        </w:tc>
      </w:tr>
      <w:tr w:rsidR="002F4415" w:rsidRPr="00060311" w14:paraId="0C97A20C" w14:textId="77777777" w:rsidTr="007D6686">
        <w:trPr>
          <w:trHeight w:val="285"/>
        </w:trPr>
        <w:tc>
          <w:tcPr>
            <w:tcW w:w="1729" w:type="pct"/>
            <w:tcBorders>
              <w:top w:val="nil"/>
              <w:left w:val="nil"/>
              <w:bottom w:val="nil"/>
              <w:right w:val="nil"/>
            </w:tcBorders>
            <w:shd w:val="clear" w:color="auto" w:fill="auto"/>
            <w:vAlign w:val="center"/>
          </w:tcPr>
          <w:p w14:paraId="3EF07884" w14:textId="77777777" w:rsidR="002F4415" w:rsidRPr="00060311" w:rsidRDefault="002F4415" w:rsidP="00C1248F">
            <w:pPr>
              <w:rPr>
                <w:rFonts w:ascii="Arial" w:hAnsi="Arial" w:cs="Arial"/>
                <w:b/>
                <w:sz w:val="18"/>
                <w:szCs w:val="18"/>
              </w:rPr>
            </w:pPr>
            <w:r w:rsidRPr="00060311">
              <w:rPr>
                <w:rFonts w:ascii="Arial" w:hAnsi="Arial" w:cs="Arial"/>
                <w:b/>
                <w:sz w:val="18"/>
                <w:szCs w:val="18"/>
              </w:rPr>
              <w:t>TOTAL ASSETS</w:t>
            </w:r>
          </w:p>
        </w:tc>
        <w:tc>
          <w:tcPr>
            <w:tcW w:w="136" w:type="pct"/>
            <w:tcBorders>
              <w:top w:val="nil"/>
              <w:left w:val="nil"/>
              <w:bottom w:val="nil"/>
              <w:right w:val="nil"/>
            </w:tcBorders>
            <w:shd w:val="clear" w:color="auto" w:fill="auto"/>
            <w:vAlign w:val="center"/>
          </w:tcPr>
          <w:p w14:paraId="2A4C27E3" w14:textId="77777777" w:rsidR="002F4415" w:rsidRPr="00060311" w:rsidRDefault="002F4415">
            <w:pPr>
              <w:rPr>
                <w:rFonts w:ascii="Arial" w:hAnsi="Arial" w:cs="Arial"/>
                <w:b/>
                <w:bCs/>
                <w:color w:val="000000"/>
                <w:sz w:val="18"/>
                <w:szCs w:val="18"/>
                <w:lang w:eastAsia="en-SG"/>
              </w:rPr>
            </w:pPr>
          </w:p>
        </w:tc>
        <w:tc>
          <w:tcPr>
            <w:tcW w:w="615" w:type="pct"/>
            <w:tcBorders>
              <w:top w:val="nil"/>
              <w:left w:val="nil"/>
              <w:bottom w:val="nil"/>
              <w:right w:val="nil"/>
            </w:tcBorders>
            <w:shd w:val="clear" w:color="auto" w:fill="auto"/>
            <w:noWrap/>
            <w:vAlign w:val="center"/>
            <w:hideMark/>
          </w:tcPr>
          <w:p w14:paraId="46A2F154"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6,376,990 </w:t>
            </w:r>
          </w:p>
        </w:tc>
        <w:tc>
          <w:tcPr>
            <w:tcW w:w="615" w:type="pct"/>
            <w:tcBorders>
              <w:top w:val="nil"/>
              <w:left w:val="nil"/>
              <w:bottom w:val="nil"/>
              <w:right w:val="nil"/>
            </w:tcBorders>
            <w:shd w:val="clear" w:color="auto" w:fill="auto"/>
            <w:noWrap/>
            <w:vAlign w:val="center"/>
            <w:hideMark/>
          </w:tcPr>
          <w:p w14:paraId="7410F064"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6,982,177 </w:t>
            </w:r>
          </w:p>
        </w:tc>
        <w:tc>
          <w:tcPr>
            <w:tcW w:w="615" w:type="pct"/>
            <w:tcBorders>
              <w:top w:val="nil"/>
              <w:left w:val="nil"/>
              <w:bottom w:val="nil"/>
              <w:right w:val="nil"/>
            </w:tcBorders>
            <w:shd w:val="clear" w:color="auto" w:fill="auto"/>
            <w:noWrap/>
            <w:vAlign w:val="center"/>
            <w:hideMark/>
          </w:tcPr>
          <w:p w14:paraId="48E3141B"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8,078,048 </w:t>
            </w:r>
          </w:p>
        </w:tc>
        <w:tc>
          <w:tcPr>
            <w:tcW w:w="615" w:type="pct"/>
            <w:tcBorders>
              <w:top w:val="nil"/>
              <w:left w:val="nil"/>
              <w:bottom w:val="nil"/>
              <w:right w:val="nil"/>
            </w:tcBorders>
            <w:shd w:val="clear" w:color="auto" w:fill="auto"/>
            <w:noWrap/>
            <w:vAlign w:val="center"/>
            <w:hideMark/>
          </w:tcPr>
          <w:p w14:paraId="4A871950"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9,931,334 </w:t>
            </w:r>
          </w:p>
        </w:tc>
        <w:tc>
          <w:tcPr>
            <w:tcW w:w="675" w:type="pct"/>
            <w:tcBorders>
              <w:top w:val="nil"/>
              <w:left w:val="nil"/>
              <w:bottom w:val="nil"/>
              <w:right w:val="nil"/>
            </w:tcBorders>
            <w:shd w:val="clear" w:color="auto" w:fill="auto"/>
            <w:noWrap/>
            <w:vAlign w:val="center"/>
            <w:hideMark/>
          </w:tcPr>
          <w:p w14:paraId="3BE2F32C"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10,360,772 </w:t>
            </w:r>
          </w:p>
        </w:tc>
      </w:tr>
      <w:tr w:rsidR="002F4415" w:rsidRPr="00060311" w14:paraId="40BE76C9" w14:textId="77777777" w:rsidTr="007D6686">
        <w:trPr>
          <w:trHeight w:val="285"/>
        </w:trPr>
        <w:tc>
          <w:tcPr>
            <w:tcW w:w="1729" w:type="pct"/>
            <w:tcBorders>
              <w:top w:val="nil"/>
              <w:left w:val="nil"/>
              <w:bottom w:val="nil"/>
              <w:right w:val="nil"/>
            </w:tcBorders>
            <w:shd w:val="clear" w:color="auto" w:fill="auto"/>
            <w:vAlign w:val="center"/>
          </w:tcPr>
          <w:p w14:paraId="30306FA4" w14:textId="77777777" w:rsidR="002F4415" w:rsidRPr="00060311" w:rsidRDefault="002F4415" w:rsidP="00C1248F">
            <w:pPr>
              <w:rPr>
                <w:rFonts w:ascii="Arial" w:hAnsi="Arial" w:cs="Arial"/>
                <w:sz w:val="18"/>
                <w:szCs w:val="18"/>
              </w:rPr>
            </w:pPr>
          </w:p>
        </w:tc>
        <w:tc>
          <w:tcPr>
            <w:tcW w:w="136" w:type="pct"/>
            <w:tcBorders>
              <w:top w:val="nil"/>
              <w:left w:val="nil"/>
              <w:bottom w:val="nil"/>
              <w:right w:val="nil"/>
            </w:tcBorders>
            <w:shd w:val="clear" w:color="auto" w:fill="auto"/>
            <w:vAlign w:val="center"/>
          </w:tcPr>
          <w:p w14:paraId="4D37B2C8" w14:textId="77777777" w:rsidR="002F4415" w:rsidRPr="00060311" w:rsidRDefault="002F4415">
            <w:pPr>
              <w:rPr>
                <w:rFonts w:ascii="Arial" w:hAnsi="Arial" w:cs="Arial"/>
                <w:sz w:val="18"/>
                <w:szCs w:val="18"/>
                <w:lang w:eastAsia="en-SG"/>
              </w:rPr>
            </w:pPr>
          </w:p>
        </w:tc>
        <w:tc>
          <w:tcPr>
            <w:tcW w:w="615" w:type="pct"/>
            <w:tcBorders>
              <w:top w:val="nil"/>
              <w:left w:val="nil"/>
              <w:bottom w:val="nil"/>
              <w:right w:val="nil"/>
            </w:tcBorders>
            <w:shd w:val="clear" w:color="auto" w:fill="auto"/>
            <w:noWrap/>
            <w:vAlign w:val="center"/>
            <w:hideMark/>
          </w:tcPr>
          <w:p w14:paraId="6CD27214" w14:textId="77777777" w:rsidR="002F4415" w:rsidRPr="00060311" w:rsidRDefault="002F4415">
            <w:pPr>
              <w:jc w:val="right"/>
              <w:rPr>
                <w:rFonts w:ascii="Arial" w:hAnsi="Arial" w:cs="Arial"/>
                <w:sz w:val="18"/>
                <w:szCs w:val="18"/>
                <w:lang w:eastAsia="en-SG"/>
              </w:rPr>
            </w:pPr>
          </w:p>
        </w:tc>
        <w:tc>
          <w:tcPr>
            <w:tcW w:w="615" w:type="pct"/>
            <w:tcBorders>
              <w:top w:val="nil"/>
              <w:left w:val="nil"/>
              <w:bottom w:val="nil"/>
              <w:right w:val="nil"/>
            </w:tcBorders>
            <w:shd w:val="clear" w:color="auto" w:fill="auto"/>
            <w:noWrap/>
            <w:vAlign w:val="center"/>
            <w:hideMark/>
          </w:tcPr>
          <w:p w14:paraId="606F57C9" w14:textId="77777777" w:rsidR="002F4415" w:rsidRPr="00060311" w:rsidRDefault="002F4415">
            <w:pPr>
              <w:jc w:val="right"/>
              <w:rPr>
                <w:rFonts w:ascii="Arial" w:hAnsi="Arial" w:cs="Arial"/>
                <w:sz w:val="18"/>
                <w:szCs w:val="18"/>
                <w:lang w:eastAsia="en-SG"/>
              </w:rPr>
            </w:pPr>
          </w:p>
        </w:tc>
        <w:tc>
          <w:tcPr>
            <w:tcW w:w="615" w:type="pct"/>
            <w:tcBorders>
              <w:top w:val="nil"/>
              <w:left w:val="nil"/>
              <w:bottom w:val="nil"/>
              <w:right w:val="nil"/>
            </w:tcBorders>
            <w:shd w:val="clear" w:color="auto" w:fill="auto"/>
            <w:noWrap/>
            <w:vAlign w:val="center"/>
            <w:hideMark/>
          </w:tcPr>
          <w:p w14:paraId="2A8790DD" w14:textId="77777777" w:rsidR="002F4415" w:rsidRPr="00060311" w:rsidRDefault="002F4415">
            <w:pPr>
              <w:jc w:val="right"/>
              <w:rPr>
                <w:rFonts w:ascii="Arial" w:hAnsi="Arial" w:cs="Arial"/>
                <w:sz w:val="18"/>
                <w:szCs w:val="18"/>
                <w:lang w:eastAsia="en-SG"/>
              </w:rPr>
            </w:pPr>
          </w:p>
        </w:tc>
        <w:tc>
          <w:tcPr>
            <w:tcW w:w="615" w:type="pct"/>
            <w:tcBorders>
              <w:top w:val="nil"/>
              <w:left w:val="nil"/>
              <w:bottom w:val="nil"/>
              <w:right w:val="nil"/>
            </w:tcBorders>
            <w:shd w:val="clear" w:color="auto" w:fill="auto"/>
            <w:noWrap/>
            <w:vAlign w:val="center"/>
            <w:hideMark/>
          </w:tcPr>
          <w:p w14:paraId="2DCD35C5" w14:textId="77777777" w:rsidR="002F4415" w:rsidRPr="00060311" w:rsidRDefault="002F4415">
            <w:pPr>
              <w:jc w:val="right"/>
              <w:rPr>
                <w:rFonts w:ascii="Arial" w:hAnsi="Arial" w:cs="Arial"/>
                <w:sz w:val="18"/>
                <w:szCs w:val="18"/>
                <w:lang w:eastAsia="en-SG"/>
              </w:rPr>
            </w:pPr>
          </w:p>
        </w:tc>
        <w:tc>
          <w:tcPr>
            <w:tcW w:w="675" w:type="pct"/>
            <w:tcBorders>
              <w:top w:val="nil"/>
              <w:left w:val="nil"/>
              <w:bottom w:val="nil"/>
              <w:right w:val="nil"/>
            </w:tcBorders>
            <w:shd w:val="clear" w:color="auto" w:fill="auto"/>
            <w:noWrap/>
            <w:vAlign w:val="center"/>
            <w:hideMark/>
          </w:tcPr>
          <w:p w14:paraId="349484FC" w14:textId="77777777" w:rsidR="002F4415" w:rsidRPr="00060311" w:rsidRDefault="002F4415">
            <w:pPr>
              <w:jc w:val="right"/>
              <w:rPr>
                <w:rFonts w:ascii="Arial" w:hAnsi="Arial" w:cs="Arial"/>
                <w:sz w:val="18"/>
                <w:szCs w:val="18"/>
                <w:lang w:eastAsia="en-SG"/>
              </w:rPr>
            </w:pPr>
          </w:p>
        </w:tc>
      </w:tr>
      <w:tr w:rsidR="002F4415" w:rsidRPr="00060311" w14:paraId="30281175" w14:textId="77777777" w:rsidTr="007D6686">
        <w:trPr>
          <w:trHeight w:val="285"/>
        </w:trPr>
        <w:tc>
          <w:tcPr>
            <w:tcW w:w="1729" w:type="pct"/>
            <w:tcBorders>
              <w:top w:val="nil"/>
              <w:left w:val="nil"/>
              <w:bottom w:val="nil"/>
              <w:right w:val="nil"/>
            </w:tcBorders>
            <w:shd w:val="clear" w:color="auto" w:fill="auto"/>
            <w:vAlign w:val="center"/>
          </w:tcPr>
          <w:p w14:paraId="65DFE28C" w14:textId="77777777" w:rsidR="002F4415" w:rsidRPr="00060311" w:rsidRDefault="002F4415" w:rsidP="00C1248F">
            <w:pPr>
              <w:rPr>
                <w:rFonts w:ascii="Arial" w:hAnsi="Arial" w:cs="Arial"/>
                <w:sz w:val="18"/>
                <w:szCs w:val="18"/>
              </w:rPr>
            </w:pPr>
            <w:r w:rsidRPr="00060311">
              <w:rPr>
                <w:rFonts w:ascii="Arial" w:hAnsi="Arial" w:cs="Arial"/>
                <w:sz w:val="18"/>
                <w:szCs w:val="18"/>
              </w:rPr>
              <w:t>Trade and Other Payables</w:t>
            </w:r>
          </w:p>
        </w:tc>
        <w:tc>
          <w:tcPr>
            <w:tcW w:w="136" w:type="pct"/>
            <w:tcBorders>
              <w:top w:val="nil"/>
              <w:left w:val="nil"/>
              <w:bottom w:val="nil"/>
              <w:right w:val="nil"/>
            </w:tcBorders>
            <w:shd w:val="clear" w:color="auto" w:fill="auto"/>
            <w:vAlign w:val="center"/>
          </w:tcPr>
          <w:p w14:paraId="5902F36B" w14:textId="77777777" w:rsidR="002F4415" w:rsidRPr="00060311" w:rsidRDefault="002F4415">
            <w:pPr>
              <w:rPr>
                <w:rFonts w:ascii="Arial" w:hAnsi="Arial" w:cs="Arial"/>
                <w:color w:val="000000"/>
                <w:sz w:val="18"/>
                <w:szCs w:val="18"/>
                <w:lang w:eastAsia="en-SG"/>
              </w:rPr>
            </w:pPr>
          </w:p>
        </w:tc>
        <w:tc>
          <w:tcPr>
            <w:tcW w:w="615" w:type="pct"/>
            <w:tcBorders>
              <w:top w:val="nil"/>
              <w:left w:val="nil"/>
              <w:bottom w:val="nil"/>
              <w:right w:val="nil"/>
            </w:tcBorders>
            <w:shd w:val="clear" w:color="auto" w:fill="auto"/>
            <w:noWrap/>
            <w:vAlign w:val="center"/>
            <w:hideMark/>
          </w:tcPr>
          <w:p w14:paraId="6141328D"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377,622 </w:t>
            </w:r>
          </w:p>
        </w:tc>
        <w:tc>
          <w:tcPr>
            <w:tcW w:w="615" w:type="pct"/>
            <w:tcBorders>
              <w:top w:val="nil"/>
              <w:left w:val="nil"/>
              <w:bottom w:val="nil"/>
              <w:right w:val="nil"/>
            </w:tcBorders>
            <w:shd w:val="clear" w:color="auto" w:fill="auto"/>
            <w:noWrap/>
            <w:vAlign w:val="center"/>
            <w:hideMark/>
          </w:tcPr>
          <w:p w14:paraId="1D3D2D88"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295,396 </w:t>
            </w:r>
          </w:p>
        </w:tc>
        <w:tc>
          <w:tcPr>
            <w:tcW w:w="615" w:type="pct"/>
            <w:tcBorders>
              <w:top w:val="nil"/>
              <w:left w:val="nil"/>
              <w:bottom w:val="nil"/>
              <w:right w:val="nil"/>
            </w:tcBorders>
            <w:shd w:val="clear" w:color="auto" w:fill="auto"/>
            <w:noWrap/>
            <w:vAlign w:val="center"/>
            <w:hideMark/>
          </w:tcPr>
          <w:p w14:paraId="4F0879DF"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213,132 </w:t>
            </w:r>
          </w:p>
        </w:tc>
        <w:tc>
          <w:tcPr>
            <w:tcW w:w="615" w:type="pct"/>
            <w:tcBorders>
              <w:top w:val="nil"/>
              <w:left w:val="nil"/>
              <w:bottom w:val="nil"/>
              <w:right w:val="nil"/>
            </w:tcBorders>
            <w:shd w:val="clear" w:color="auto" w:fill="auto"/>
            <w:noWrap/>
            <w:vAlign w:val="center"/>
            <w:hideMark/>
          </w:tcPr>
          <w:p w14:paraId="13383416"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240,890 </w:t>
            </w:r>
          </w:p>
        </w:tc>
        <w:tc>
          <w:tcPr>
            <w:tcW w:w="675" w:type="pct"/>
            <w:tcBorders>
              <w:top w:val="nil"/>
              <w:left w:val="nil"/>
              <w:bottom w:val="nil"/>
              <w:right w:val="nil"/>
            </w:tcBorders>
            <w:shd w:val="clear" w:color="auto" w:fill="auto"/>
            <w:noWrap/>
            <w:vAlign w:val="center"/>
            <w:hideMark/>
          </w:tcPr>
          <w:p w14:paraId="6E32DBD3"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284,108 </w:t>
            </w:r>
          </w:p>
        </w:tc>
      </w:tr>
      <w:tr w:rsidR="002F4415" w:rsidRPr="00060311" w14:paraId="70E197AA" w14:textId="77777777" w:rsidTr="007D6686">
        <w:trPr>
          <w:trHeight w:val="285"/>
        </w:trPr>
        <w:tc>
          <w:tcPr>
            <w:tcW w:w="1729" w:type="pct"/>
            <w:tcBorders>
              <w:top w:val="nil"/>
              <w:left w:val="nil"/>
              <w:bottom w:val="nil"/>
              <w:right w:val="nil"/>
            </w:tcBorders>
            <w:shd w:val="clear" w:color="auto" w:fill="auto"/>
            <w:vAlign w:val="center"/>
          </w:tcPr>
          <w:p w14:paraId="0C328D40" w14:textId="77777777" w:rsidR="002F4415" w:rsidRPr="00060311" w:rsidRDefault="002F4415" w:rsidP="00C1248F">
            <w:pPr>
              <w:rPr>
                <w:rFonts w:ascii="Arial" w:hAnsi="Arial" w:cs="Arial"/>
                <w:sz w:val="18"/>
                <w:szCs w:val="18"/>
              </w:rPr>
            </w:pPr>
            <w:r w:rsidRPr="00060311">
              <w:rPr>
                <w:rFonts w:ascii="Arial" w:hAnsi="Arial" w:cs="Arial"/>
                <w:sz w:val="18"/>
                <w:szCs w:val="18"/>
              </w:rPr>
              <w:t>Loans and Borrowings</w:t>
            </w:r>
          </w:p>
        </w:tc>
        <w:tc>
          <w:tcPr>
            <w:tcW w:w="136" w:type="pct"/>
            <w:tcBorders>
              <w:top w:val="nil"/>
              <w:left w:val="nil"/>
              <w:bottom w:val="nil"/>
              <w:right w:val="nil"/>
            </w:tcBorders>
            <w:shd w:val="clear" w:color="auto" w:fill="auto"/>
            <w:vAlign w:val="center"/>
          </w:tcPr>
          <w:p w14:paraId="0A617844" w14:textId="77777777" w:rsidR="002F4415" w:rsidRPr="00060311" w:rsidRDefault="002F4415">
            <w:pPr>
              <w:rPr>
                <w:rFonts w:ascii="Arial" w:hAnsi="Arial" w:cs="Arial"/>
                <w:color w:val="000000"/>
                <w:sz w:val="18"/>
                <w:szCs w:val="18"/>
                <w:lang w:eastAsia="en-SG"/>
              </w:rPr>
            </w:pPr>
          </w:p>
        </w:tc>
        <w:tc>
          <w:tcPr>
            <w:tcW w:w="615" w:type="pct"/>
            <w:tcBorders>
              <w:top w:val="nil"/>
              <w:left w:val="nil"/>
              <w:bottom w:val="nil"/>
              <w:right w:val="nil"/>
            </w:tcBorders>
            <w:shd w:val="clear" w:color="auto" w:fill="auto"/>
            <w:noWrap/>
            <w:vAlign w:val="center"/>
            <w:hideMark/>
          </w:tcPr>
          <w:p w14:paraId="584F7C07"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72,155 </w:t>
            </w:r>
          </w:p>
        </w:tc>
        <w:tc>
          <w:tcPr>
            <w:tcW w:w="615" w:type="pct"/>
            <w:tcBorders>
              <w:top w:val="nil"/>
              <w:left w:val="nil"/>
              <w:bottom w:val="nil"/>
              <w:right w:val="nil"/>
            </w:tcBorders>
            <w:shd w:val="clear" w:color="auto" w:fill="auto"/>
            <w:noWrap/>
            <w:vAlign w:val="center"/>
            <w:hideMark/>
          </w:tcPr>
          <w:p w14:paraId="7C5602A3"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12,260 </w:t>
            </w:r>
          </w:p>
        </w:tc>
        <w:tc>
          <w:tcPr>
            <w:tcW w:w="615" w:type="pct"/>
            <w:tcBorders>
              <w:top w:val="nil"/>
              <w:left w:val="nil"/>
              <w:bottom w:val="nil"/>
              <w:right w:val="nil"/>
            </w:tcBorders>
            <w:shd w:val="clear" w:color="auto" w:fill="auto"/>
            <w:noWrap/>
            <w:vAlign w:val="center"/>
            <w:hideMark/>
          </w:tcPr>
          <w:p w14:paraId="0AB02F37"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238,938 </w:t>
            </w:r>
          </w:p>
        </w:tc>
        <w:tc>
          <w:tcPr>
            <w:tcW w:w="615" w:type="pct"/>
            <w:tcBorders>
              <w:top w:val="nil"/>
              <w:left w:val="nil"/>
              <w:bottom w:val="nil"/>
              <w:right w:val="nil"/>
            </w:tcBorders>
            <w:shd w:val="clear" w:color="auto" w:fill="auto"/>
            <w:noWrap/>
            <w:vAlign w:val="center"/>
            <w:hideMark/>
          </w:tcPr>
          <w:p w14:paraId="240FF82C"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8,922 </w:t>
            </w:r>
          </w:p>
        </w:tc>
        <w:tc>
          <w:tcPr>
            <w:tcW w:w="675" w:type="pct"/>
            <w:tcBorders>
              <w:top w:val="nil"/>
              <w:left w:val="nil"/>
              <w:bottom w:val="nil"/>
              <w:right w:val="nil"/>
            </w:tcBorders>
            <w:shd w:val="clear" w:color="auto" w:fill="auto"/>
            <w:noWrap/>
            <w:vAlign w:val="center"/>
            <w:hideMark/>
          </w:tcPr>
          <w:p w14:paraId="13B06363"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157,763 </w:t>
            </w:r>
          </w:p>
        </w:tc>
      </w:tr>
      <w:tr w:rsidR="002F4415" w:rsidRPr="00060311" w14:paraId="070328D2" w14:textId="77777777" w:rsidTr="007D6686">
        <w:trPr>
          <w:trHeight w:val="285"/>
        </w:trPr>
        <w:tc>
          <w:tcPr>
            <w:tcW w:w="1729" w:type="pct"/>
            <w:tcBorders>
              <w:top w:val="nil"/>
              <w:left w:val="nil"/>
              <w:bottom w:val="nil"/>
              <w:right w:val="nil"/>
            </w:tcBorders>
            <w:shd w:val="clear" w:color="auto" w:fill="auto"/>
            <w:vAlign w:val="center"/>
          </w:tcPr>
          <w:p w14:paraId="198458A2" w14:textId="77777777" w:rsidR="002F4415" w:rsidRPr="00060311" w:rsidRDefault="002F4415" w:rsidP="00C1248F">
            <w:pPr>
              <w:rPr>
                <w:rFonts w:ascii="Arial" w:hAnsi="Arial" w:cs="Arial"/>
                <w:sz w:val="18"/>
                <w:szCs w:val="18"/>
              </w:rPr>
            </w:pPr>
            <w:r w:rsidRPr="00060311">
              <w:rPr>
                <w:rFonts w:ascii="Arial" w:hAnsi="Arial" w:cs="Arial"/>
                <w:sz w:val="18"/>
                <w:szCs w:val="18"/>
              </w:rPr>
              <w:t>Current Tax Payable</w:t>
            </w:r>
          </w:p>
        </w:tc>
        <w:tc>
          <w:tcPr>
            <w:tcW w:w="136" w:type="pct"/>
            <w:tcBorders>
              <w:top w:val="nil"/>
              <w:left w:val="nil"/>
              <w:bottom w:val="nil"/>
              <w:right w:val="nil"/>
            </w:tcBorders>
            <w:shd w:val="clear" w:color="auto" w:fill="auto"/>
            <w:vAlign w:val="center"/>
          </w:tcPr>
          <w:p w14:paraId="05490CB5" w14:textId="77777777" w:rsidR="002F4415" w:rsidRPr="00060311" w:rsidRDefault="002F4415">
            <w:pPr>
              <w:rPr>
                <w:rFonts w:ascii="Arial" w:hAnsi="Arial" w:cs="Arial"/>
                <w:color w:val="000000"/>
                <w:sz w:val="18"/>
                <w:szCs w:val="18"/>
                <w:lang w:eastAsia="en-SG"/>
              </w:rPr>
            </w:pPr>
          </w:p>
        </w:tc>
        <w:tc>
          <w:tcPr>
            <w:tcW w:w="615" w:type="pct"/>
            <w:tcBorders>
              <w:top w:val="nil"/>
              <w:left w:val="nil"/>
              <w:bottom w:val="nil"/>
              <w:right w:val="nil"/>
            </w:tcBorders>
            <w:shd w:val="clear" w:color="auto" w:fill="auto"/>
            <w:noWrap/>
            <w:vAlign w:val="center"/>
            <w:hideMark/>
          </w:tcPr>
          <w:p w14:paraId="5E7924AA"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49,111 </w:t>
            </w:r>
          </w:p>
        </w:tc>
        <w:tc>
          <w:tcPr>
            <w:tcW w:w="615" w:type="pct"/>
            <w:tcBorders>
              <w:top w:val="nil"/>
              <w:left w:val="nil"/>
              <w:bottom w:val="nil"/>
              <w:right w:val="nil"/>
            </w:tcBorders>
            <w:shd w:val="clear" w:color="auto" w:fill="auto"/>
            <w:noWrap/>
            <w:vAlign w:val="center"/>
            <w:hideMark/>
          </w:tcPr>
          <w:p w14:paraId="68806E57"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58,102 </w:t>
            </w:r>
          </w:p>
        </w:tc>
        <w:tc>
          <w:tcPr>
            <w:tcW w:w="615" w:type="pct"/>
            <w:tcBorders>
              <w:top w:val="nil"/>
              <w:left w:val="nil"/>
              <w:bottom w:val="nil"/>
              <w:right w:val="nil"/>
            </w:tcBorders>
            <w:shd w:val="clear" w:color="auto" w:fill="auto"/>
            <w:noWrap/>
            <w:vAlign w:val="center"/>
            <w:hideMark/>
          </w:tcPr>
          <w:p w14:paraId="2215DE9E"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51,448 </w:t>
            </w:r>
          </w:p>
        </w:tc>
        <w:tc>
          <w:tcPr>
            <w:tcW w:w="615" w:type="pct"/>
            <w:tcBorders>
              <w:top w:val="nil"/>
              <w:left w:val="nil"/>
              <w:bottom w:val="nil"/>
              <w:right w:val="nil"/>
            </w:tcBorders>
            <w:shd w:val="clear" w:color="auto" w:fill="auto"/>
            <w:noWrap/>
            <w:vAlign w:val="center"/>
            <w:hideMark/>
          </w:tcPr>
          <w:p w14:paraId="3C0A132A"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55,526 </w:t>
            </w:r>
          </w:p>
        </w:tc>
        <w:tc>
          <w:tcPr>
            <w:tcW w:w="675" w:type="pct"/>
            <w:tcBorders>
              <w:top w:val="nil"/>
              <w:left w:val="nil"/>
              <w:bottom w:val="nil"/>
              <w:right w:val="nil"/>
            </w:tcBorders>
            <w:shd w:val="clear" w:color="auto" w:fill="auto"/>
            <w:noWrap/>
            <w:vAlign w:val="center"/>
            <w:hideMark/>
          </w:tcPr>
          <w:p w14:paraId="698DFBD6"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54,976 </w:t>
            </w:r>
          </w:p>
        </w:tc>
      </w:tr>
      <w:tr w:rsidR="002F4415" w:rsidRPr="00060311" w14:paraId="532BC1B8" w14:textId="77777777" w:rsidTr="007D6686">
        <w:trPr>
          <w:trHeight w:val="285"/>
        </w:trPr>
        <w:tc>
          <w:tcPr>
            <w:tcW w:w="1729" w:type="pct"/>
            <w:tcBorders>
              <w:top w:val="single" w:sz="4" w:space="0" w:color="auto"/>
              <w:left w:val="nil"/>
              <w:bottom w:val="single" w:sz="4" w:space="0" w:color="auto"/>
              <w:right w:val="nil"/>
            </w:tcBorders>
            <w:shd w:val="clear" w:color="auto" w:fill="auto"/>
            <w:vAlign w:val="center"/>
          </w:tcPr>
          <w:p w14:paraId="1F41BF3B" w14:textId="77777777" w:rsidR="002F4415" w:rsidRPr="00060311" w:rsidRDefault="002F4415" w:rsidP="00C1248F">
            <w:pPr>
              <w:rPr>
                <w:rFonts w:ascii="Arial" w:hAnsi="Arial" w:cs="Arial"/>
                <w:b/>
                <w:sz w:val="18"/>
                <w:szCs w:val="18"/>
              </w:rPr>
            </w:pPr>
            <w:r w:rsidRPr="00060311">
              <w:rPr>
                <w:rFonts w:ascii="Arial" w:hAnsi="Arial" w:cs="Arial"/>
                <w:b/>
                <w:sz w:val="18"/>
                <w:szCs w:val="18"/>
              </w:rPr>
              <w:t>Total Current Liabilities</w:t>
            </w:r>
          </w:p>
        </w:tc>
        <w:tc>
          <w:tcPr>
            <w:tcW w:w="136" w:type="pct"/>
            <w:tcBorders>
              <w:top w:val="single" w:sz="4" w:space="0" w:color="auto"/>
              <w:left w:val="nil"/>
              <w:bottom w:val="single" w:sz="4" w:space="0" w:color="auto"/>
              <w:right w:val="nil"/>
            </w:tcBorders>
            <w:shd w:val="clear" w:color="auto" w:fill="auto"/>
            <w:vAlign w:val="center"/>
          </w:tcPr>
          <w:p w14:paraId="38520417" w14:textId="77777777" w:rsidR="002F4415" w:rsidRPr="00060311" w:rsidRDefault="002F4415">
            <w:pPr>
              <w:rPr>
                <w:rFonts w:ascii="Arial" w:hAnsi="Arial" w:cs="Arial"/>
                <w:b/>
                <w:bCs/>
                <w:color w:val="000000"/>
                <w:sz w:val="18"/>
                <w:szCs w:val="18"/>
                <w:lang w:eastAsia="en-SG"/>
              </w:rPr>
            </w:pPr>
          </w:p>
        </w:tc>
        <w:tc>
          <w:tcPr>
            <w:tcW w:w="615" w:type="pct"/>
            <w:tcBorders>
              <w:top w:val="single" w:sz="4" w:space="0" w:color="auto"/>
              <w:left w:val="nil"/>
              <w:bottom w:val="single" w:sz="4" w:space="0" w:color="auto"/>
              <w:right w:val="nil"/>
            </w:tcBorders>
            <w:shd w:val="clear" w:color="auto" w:fill="auto"/>
            <w:noWrap/>
            <w:vAlign w:val="center"/>
            <w:hideMark/>
          </w:tcPr>
          <w:p w14:paraId="3D73AF09"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498,888 </w:t>
            </w:r>
          </w:p>
        </w:tc>
        <w:tc>
          <w:tcPr>
            <w:tcW w:w="615" w:type="pct"/>
            <w:tcBorders>
              <w:top w:val="single" w:sz="4" w:space="0" w:color="auto"/>
              <w:left w:val="nil"/>
              <w:bottom w:val="single" w:sz="4" w:space="0" w:color="auto"/>
              <w:right w:val="nil"/>
            </w:tcBorders>
            <w:shd w:val="clear" w:color="auto" w:fill="auto"/>
            <w:noWrap/>
            <w:vAlign w:val="center"/>
            <w:hideMark/>
          </w:tcPr>
          <w:p w14:paraId="1A0ECD74"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365,758 </w:t>
            </w:r>
          </w:p>
        </w:tc>
        <w:tc>
          <w:tcPr>
            <w:tcW w:w="615" w:type="pct"/>
            <w:tcBorders>
              <w:top w:val="single" w:sz="4" w:space="0" w:color="auto"/>
              <w:left w:val="nil"/>
              <w:bottom w:val="single" w:sz="4" w:space="0" w:color="auto"/>
              <w:right w:val="nil"/>
            </w:tcBorders>
            <w:shd w:val="clear" w:color="auto" w:fill="auto"/>
            <w:noWrap/>
            <w:vAlign w:val="center"/>
            <w:hideMark/>
          </w:tcPr>
          <w:p w14:paraId="44ECA52B"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503,518 </w:t>
            </w:r>
          </w:p>
        </w:tc>
        <w:tc>
          <w:tcPr>
            <w:tcW w:w="615" w:type="pct"/>
            <w:tcBorders>
              <w:top w:val="single" w:sz="4" w:space="0" w:color="auto"/>
              <w:left w:val="nil"/>
              <w:bottom w:val="single" w:sz="4" w:space="0" w:color="auto"/>
              <w:right w:val="nil"/>
            </w:tcBorders>
            <w:shd w:val="clear" w:color="auto" w:fill="auto"/>
            <w:noWrap/>
            <w:vAlign w:val="center"/>
            <w:hideMark/>
          </w:tcPr>
          <w:p w14:paraId="45894E25"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305,338 </w:t>
            </w:r>
          </w:p>
        </w:tc>
        <w:tc>
          <w:tcPr>
            <w:tcW w:w="675" w:type="pct"/>
            <w:tcBorders>
              <w:top w:val="single" w:sz="4" w:space="0" w:color="auto"/>
              <w:left w:val="nil"/>
              <w:bottom w:val="single" w:sz="4" w:space="0" w:color="auto"/>
              <w:right w:val="nil"/>
            </w:tcBorders>
            <w:shd w:val="clear" w:color="auto" w:fill="auto"/>
            <w:noWrap/>
            <w:vAlign w:val="center"/>
            <w:hideMark/>
          </w:tcPr>
          <w:p w14:paraId="3F87AE05"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496,847 </w:t>
            </w:r>
          </w:p>
        </w:tc>
      </w:tr>
      <w:tr w:rsidR="002F4415" w:rsidRPr="00060311" w14:paraId="09B726B0" w14:textId="77777777" w:rsidTr="007D6686">
        <w:trPr>
          <w:trHeight w:val="285"/>
        </w:trPr>
        <w:tc>
          <w:tcPr>
            <w:tcW w:w="1729" w:type="pct"/>
            <w:tcBorders>
              <w:top w:val="nil"/>
              <w:left w:val="nil"/>
              <w:bottom w:val="nil"/>
              <w:right w:val="nil"/>
            </w:tcBorders>
            <w:shd w:val="clear" w:color="auto" w:fill="auto"/>
            <w:vAlign w:val="center"/>
          </w:tcPr>
          <w:p w14:paraId="50B389C2" w14:textId="77777777" w:rsidR="002F4415" w:rsidRPr="00060311" w:rsidRDefault="002F4415" w:rsidP="00C1248F">
            <w:pPr>
              <w:rPr>
                <w:rFonts w:ascii="Arial" w:hAnsi="Arial" w:cs="Arial"/>
                <w:sz w:val="18"/>
                <w:szCs w:val="18"/>
              </w:rPr>
            </w:pPr>
            <w:r w:rsidRPr="00060311">
              <w:rPr>
                <w:rFonts w:ascii="Arial" w:hAnsi="Arial" w:cs="Arial"/>
                <w:sz w:val="18"/>
                <w:szCs w:val="18"/>
              </w:rPr>
              <w:t>Loans and Borrowings</w:t>
            </w:r>
          </w:p>
        </w:tc>
        <w:tc>
          <w:tcPr>
            <w:tcW w:w="136" w:type="pct"/>
            <w:tcBorders>
              <w:top w:val="nil"/>
              <w:left w:val="nil"/>
              <w:bottom w:val="nil"/>
              <w:right w:val="nil"/>
            </w:tcBorders>
            <w:shd w:val="clear" w:color="auto" w:fill="auto"/>
            <w:vAlign w:val="center"/>
          </w:tcPr>
          <w:p w14:paraId="12B8B01F" w14:textId="77777777" w:rsidR="002F4415" w:rsidRPr="00060311" w:rsidRDefault="002F4415">
            <w:pPr>
              <w:rPr>
                <w:rFonts w:ascii="Arial" w:hAnsi="Arial" w:cs="Arial"/>
                <w:color w:val="000000"/>
                <w:sz w:val="18"/>
                <w:szCs w:val="18"/>
                <w:lang w:eastAsia="en-SG"/>
              </w:rPr>
            </w:pPr>
          </w:p>
        </w:tc>
        <w:tc>
          <w:tcPr>
            <w:tcW w:w="615" w:type="pct"/>
            <w:tcBorders>
              <w:top w:val="nil"/>
              <w:left w:val="nil"/>
              <w:bottom w:val="nil"/>
              <w:right w:val="nil"/>
            </w:tcBorders>
            <w:shd w:val="clear" w:color="auto" w:fill="auto"/>
            <w:noWrap/>
            <w:vAlign w:val="center"/>
            <w:hideMark/>
          </w:tcPr>
          <w:p w14:paraId="5249442B"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430,738 </w:t>
            </w:r>
          </w:p>
        </w:tc>
        <w:tc>
          <w:tcPr>
            <w:tcW w:w="615" w:type="pct"/>
            <w:tcBorders>
              <w:top w:val="nil"/>
              <w:left w:val="nil"/>
              <w:bottom w:val="nil"/>
              <w:right w:val="nil"/>
            </w:tcBorders>
            <w:shd w:val="clear" w:color="auto" w:fill="auto"/>
            <w:noWrap/>
            <w:vAlign w:val="center"/>
            <w:hideMark/>
          </w:tcPr>
          <w:p w14:paraId="5FC8F438"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687,692 </w:t>
            </w:r>
          </w:p>
        </w:tc>
        <w:tc>
          <w:tcPr>
            <w:tcW w:w="615" w:type="pct"/>
            <w:tcBorders>
              <w:top w:val="nil"/>
              <w:left w:val="nil"/>
              <w:bottom w:val="nil"/>
              <w:right w:val="nil"/>
            </w:tcBorders>
            <w:shd w:val="clear" w:color="auto" w:fill="auto"/>
            <w:noWrap/>
            <w:vAlign w:val="center"/>
            <w:hideMark/>
          </w:tcPr>
          <w:p w14:paraId="3B4DF6F0"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990,805 </w:t>
            </w:r>
          </w:p>
        </w:tc>
        <w:tc>
          <w:tcPr>
            <w:tcW w:w="615" w:type="pct"/>
            <w:tcBorders>
              <w:top w:val="nil"/>
              <w:left w:val="nil"/>
              <w:bottom w:val="nil"/>
              <w:right w:val="nil"/>
            </w:tcBorders>
            <w:shd w:val="clear" w:color="auto" w:fill="auto"/>
            <w:noWrap/>
            <w:vAlign w:val="center"/>
            <w:hideMark/>
          </w:tcPr>
          <w:p w14:paraId="390732EC"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2,705,490 </w:t>
            </w:r>
          </w:p>
        </w:tc>
        <w:tc>
          <w:tcPr>
            <w:tcW w:w="675" w:type="pct"/>
            <w:tcBorders>
              <w:top w:val="nil"/>
              <w:left w:val="nil"/>
              <w:bottom w:val="nil"/>
              <w:right w:val="nil"/>
            </w:tcBorders>
            <w:shd w:val="clear" w:color="auto" w:fill="auto"/>
            <w:noWrap/>
            <w:vAlign w:val="center"/>
            <w:hideMark/>
          </w:tcPr>
          <w:p w14:paraId="64396A7D"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2,428,283 </w:t>
            </w:r>
          </w:p>
        </w:tc>
      </w:tr>
      <w:tr w:rsidR="002F4415" w:rsidRPr="00060311" w14:paraId="0310FCC5" w14:textId="77777777" w:rsidTr="007D6686">
        <w:trPr>
          <w:trHeight w:val="285"/>
        </w:trPr>
        <w:tc>
          <w:tcPr>
            <w:tcW w:w="1729" w:type="pct"/>
            <w:tcBorders>
              <w:top w:val="nil"/>
              <w:left w:val="nil"/>
              <w:bottom w:val="nil"/>
              <w:right w:val="nil"/>
            </w:tcBorders>
            <w:shd w:val="clear" w:color="auto" w:fill="auto"/>
            <w:vAlign w:val="center"/>
          </w:tcPr>
          <w:p w14:paraId="5253E948" w14:textId="77777777" w:rsidR="002F4415" w:rsidRPr="00060311" w:rsidRDefault="002F4415" w:rsidP="00C1248F">
            <w:pPr>
              <w:rPr>
                <w:rFonts w:ascii="Arial" w:hAnsi="Arial" w:cs="Arial"/>
                <w:sz w:val="18"/>
                <w:szCs w:val="18"/>
              </w:rPr>
            </w:pPr>
            <w:r w:rsidRPr="00060311">
              <w:rPr>
                <w:rFonts w:ascii="Arial" w:hAnsi="Arial" w:cs="Arial"/>
                <w:sz w:val="18"/>
                <w:szCs w:val="18"/>
              </w:rPr>
              <w:t>Deferred Tax Liabilities</w:t>
            </w:r>
          </w:p>
        </w:tc>
        <w:tc>
          <w:tcPr>
            <w:tcW w:w="136" w:type="pct"/>
            <w:tcBorders>
              <w:top w:val="nil"/>
              <w:left w:val="nil"/>
              <w:bottom w:val="nil"/>
              <w:right w:val="nil"/>
            </w:tcBorders>
            <w:shd w:val="clear" w:color="auto" w:fill="auto"/>
            <w:vAlign w:val="center"/>
          </w:tcPr>
          <w:p w14:paraId="78294399" w14:textId="77777777" w:rsidR="002F4415" w:rsidRPr="00060311" w:rsidRDefault="002F4415">
            <w:pPr>
              <w:rPr>
                <w:rFonts w:ascii="Arial" w:hAnsi="Arial" w:cs="Arial"/>
                <w:color w:val="000000"/>
                <w:sz w:val="18"/>
                <w:szCs w:val="18"/>
                <w:lang w:eastAsia="en-SG"/>
              </w:rPr>
            </w:pPr>
          </w:p>
        </w:tc>
        <w:tc>
          <w:tcPr>
            <w:tcW w:w="615" w:type="pct"/>
            <w:tcBorders>
              <w:top w:val="nil"/>
              <w:left w:val="nil"/>
              <w:bottom w:val="nil"/>
              <w:right w:val="nil"/>
            </w:tcBorders>
            <w:shd w:val="clear" w:color="auto" w:fill="auto"/>
            <w:noWrap/>
            <w:vAlign w:val="center"/>
            <w:hideMark/>
          </w:tcPr>
          <w:p w14:paraId="6213399E"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30,065 </w:t>
            </w:r>
          </w:p>
        </w:tc>
        <w:tc>
          <w:tcPr>
            <w:tcW w:w="615" w:type="pct"/>
            <w:tcBorders>
              <w:top w:val="nil"/>
              <w:left w:val="nil"/>
              <w:bottom w:val="nil"/>
              <w:right w:val="nil"/>
            </w:tcBorders>
            <w:shd w:val="clear" w:color="auto" w:fill="auto"/>
            <w:noWrap/>
            <w:vAlign w:val="center"/>
            <w:hideMark/>
          </w:tcPr>
          <w:p w14:paraId="1696581D"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33,121 </w:t>
            </w:r>
          </w:p>
        </w:tc>
        <w:tc>
          <w:tcPr>
            <w:tcW w:w="615" w:type="pct"/>
            <w:tcBorders>
              <w:top w:val="nil"/>
              <w:left w:val="nil"/>
              <w:bottom w:val="nil"/>
              <w:right w:val="nil"/>
            </w:tcBorders>
            <w:shd w:val="clear" w:color="auto" w:fill="auto"/>
            <w:noWrap/>
            <w:vAlign w:val="center"/>
            <w:hideMark/>
          </w:tcPr>
          <w:p w14:paraId="20BF11BA"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85,021 </w:t>
            </w:r>
          </w:p>
        </w:tc>
        <w:tc>
          <w:tcPr>
            <w:tcW w:w="615" w:type="pct"/>
            <w:tcBorders>
              <w:top w:val="nil"/>
              <w:left w:val="nil"/>
              <w:bottom w:val="nil"/>
              <w:right w:val="nil"/>
            </w:tcBorders>
            <w:shd w:val="clear" w:color="auto" w:fill="auto"/>
            <w:noWrap/>
            <w:vAlign w:val="center"/>
            <w:hideMark/>
          </w:tcPr>
          <w:p w14:paraId="5D17C118"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88,563 </w:t>
            </w:r>
          </w:p>
        </w:tc>
        <w:tc>
          <w:tcPr>
            <w:tcW w:w="675" w:type="pct"/>
            <w:tcBorders>
              <w:top w:val="nil"/>
              <w:left w:val="nil"/>
              <w:bottom w:val="nil"/>
              <w:right w:val="nil"/>
            </w:tcBorders>
            <w:shd w:val="clear" w:color="auto" w:fill="auto"/>
            <w:noWrap/>
            <w:vAlign w:val="center"/>
            <w:hideMark/>
          </w:tcPr>
          <w:p w14:paraId="73579C38"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96,524 </w:t>
            </w:r>
          </w:p>
        </w:tc>
      </w:tr>
      <w:tr w:rsidR="002F4415" w:rsidRPr="00060311" w14:paraId="77998B3F" w14:textId="77777777" w:rsidTr="007D6686">
        <w:trPr>
          <w:trHeight w:val="285"/>
        </w:trPr>
        <w:tc>
          <w:tcPr>
            <w:tcW w:w="1729" w:type="pct"/>
            <w:tcBorders>
              <w:top w:val="nil"/>
              <w:left w:val="nil"/>
              <w:bottom w:val="nil"/>
              <w:right w:val="nil"/>
            </w:tcBorders>
            <w:shd w:val="clear" w:color="auto" w:fill="auto"/>
            <w:vAlign w:val="center"/>
          </w:tcPr>
          <w:p w14:paraId="3DBDBEC0" w14:textId="77777777" w:rsidR="002F4415" w:rsidRPr="00060311" w:rsidRDefault="002F4415" w:rsidP="00C1248F">
            <w:pPr>
              <w:rPr>
                <w:rFonts w:ascii="Arial" w:hAnsi="Arial" w:cs="Arial"/>
                <w:sz w:val="18"/>
                <w:szCs w:val="18"/>
              </w:rPr>
            </w:pPr>
            <w:r w:rsidRPr="00060311">
              <w:rPr>
                <w:rFonts w:ascii="Arial" w:hAnsi="Arial" w:cs="Arial"/>
                <w:sz w:val="18"/>
                <w:szCs w:val="18"/>
              </w:rPr>
              <w:t>Other Non-Current Liabilities</w:t>
            </w:r>
          </w:p>
        </w:tc>
        <w:tc>
          <w:tcPr>
            <w:tcW w:w="136" w:type="pct"/>
            <w:tcBorders>
              <w:top w:val="nil"/>
              <w:left w:val="nil"/>
              <w:bottom w:val="nil"/>
              <w:right w:val="nil"/>
            </w:tcBorders>
            <w:shd w:val="clear" w:color="auto" w:fill="auto"/>
            <w:vAlign w:val="center"/>
          </w:tcPr>
          <w:p w14:paraId="334B9389" w14:textId="77777777" w:rsidR="002F4415" w:rsidRPr="00060311" w:rsidRDefault="002F4415">
            <w:pPr>
              <w:rPr>
                <w:rFonts w:ascii="Arial" w:hAnsi="Arial" w:cs="Arial"/>
                <w:color w:val="000000"/>
                <w:sz w:val="18"/>
                <w:szCs w:val="18"/>
                <w:lang w:eastAsia="en-SG"/>
              </w:rPr>
            </w:pPr>
          </w:p>
        </w:tc>
        <w:tc>
          <w:tcPr>
            <w:tcW w:w="615" w:type="pct"/>
            <w:tcBorders>
              <w:top w:val="nil"/>
              <w:left w:val="nil"/>
              <w:bottom w:val="nil"/>
              <w:right w:val="nil"/>
            </w:tcBorders>
            <w:shd w:val="clear" w:color="auto" w:fill="auto"/>
            <w:noWrap/>
            <w:vAlign w:val="center"/>
            <w:hideMark/>
          </w:tcPr>
          <w:p w14:paraId="7567B9B2"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23,845 </w:t>
            </w:r>
          </w:p>
        </w:tc>
        <w:tc>
          <w:tcPr>
            <w:tcW w:w="615" w:type="pct"/>
            <w:tcBorders>
              <w:top w:val="nil"/>
              <w:left w:val="nil"/>
              <w:bottom w:val="nil"/>
              <w:right w:val="nil"/>
            </w:tcBorders>
            <w:shd w:val="clear" w:color="auto" w:fill="auto"/>
            <w:noWrap/>
            <w:vAlign w:val="center"/>
            <w:hideMark/>
          </w:tcPr>
          <w:p w14:paraId="274BD415"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7,376 </w:t>
            </w:r>
          </w:p>
        </w:tc>
        <w:tc>
          <w:tcPr>
            <w:tcW w:w="615" w:type="pct"/>
            <w:tcBorders>
              <w:top w:val="nil"/>
              <w:left w:val="nil"/>
              <w:bottom w:val="nil"/>
              <w:right w:val="nil"/>
            </w:tcBorders>
            <w:shd w:val="clear" w:color="auto" w:fill="auto"/>
            <w:noWrap/>
            <w:vAlign w:val="center"/>
            <w:hideMark/>
          </w:tcPr>
          <w:p w14:paraId="2313EB31"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21,579 </w:t>
            </w:r>
          </w:p>
        </w:tc>
        <w:tc>
          <w:tcPr>
            <w:tcW w:w="615" w:type="pct"/>
            <w:tcBorders>
              <w:top w:val="nil"/>
              <w:left w:val="nil"/>
              <w:bottom w:val="nil"/>
              <w:right w:val="nil"/>
            </w:tcBorders>
            <w:shd w:val="clear" w:color="auto" w:fill="auto"/>
            <w:noWrap/>
            <w:vAlign w:val="center"/>
            <w:hideMark/>
          </w:tcPr>
          <w:p w14:paraId="4E328E2B"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93,982 </w:t>
            </w:r>
          </w:p>
        </w:tc>
        <w:tc>
          <w:tcPr>
            <w:tcW w:w="675" w:type="pct"/>
            <w:tcBorders>
              <w:top w:val="nil"/>
              <w:left w:val="nil"/>
              <w:bottom w:val="nil"/>
              <w:right w:val="nil"/>
            </w:tcBorders>
            <w:shd w:val="clear" w:color="auto" w:fill="auto"/>
            <w:noWrap/>
            <w:vAlign w:val="center"/>
            <w:hideMark/>
          </w:tcPr>
          <w:p w14:paraId="0484D986"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70,416 </w:t>
            </w:r>
          </w:p>
        </w:tc>
      </w:tr>
      <w:tr w:rsidR="002F4415" w:rsidRPr="00060311" w14:paraId="37F38D7D" w14:textId="77777777" w:rsidTr="007D6686">
        <w:trPr>
          <w:trHeight w:val="285"/>
        </w:trPr>
        <w:tc>
          <w:tcPr>
            <w:tcW w:w="1729" w:type="pct"/>
            <w:tcBorders>
              <w:top w:val="single" w:sz="4" w:space="0" w:color="auto"/>
              <w:left w:val="nil"/>
              <w:bottom w:val="single" w:sz="4" w:space="0" w:color="auto"/>
              <w:right w:val="nil"/>
            </w:tcBorders>
            <w:shd w:val="clear" w:color="auto" w:fill="auto"/>
            <w:vAlign w:val="center"/>
          </w:tcPr>
          <w:p w14:paraId="587FD81C" w14:textId="77777777" w:rsidR="002F4415" w:rsidRPr="00060311" w:rsidRDefault="002F4415" w:rsidP="00C1248F">
            <w:pPr>
              <w:rPr>
                <w:rFonts w:ascii="Arial" w:hAnsi="Arial" w:cs="Arial"/>
                <w:b/>
                <w:sz w:val="18"/>
                <w:szCs w:val="18"/>
              </w:rPr>
            </w:pPr>
            <w:r w:rsidRPr="00060311">
              <w:rPr>
                <w:rFonts w:ascii="Arial" w:hAnsi="Arial" w:cs="Arial"/>
                <w:b/>
                <w:sz w:val="18"/>
                <w:szCs w:val="18"/>
              </w:rPr>
              <w:t>Total Non-Current Liabilities</w:t>
            </w:r>
          </w:p>
        </w:tc>
        <w:tc>
          <w:tcPr>
            <w:tcW w:w="136" w:type="pct"/>
            <w:tcBorders>
              <w:top w:val="single" w:sz="4" w:space="0" w:color="auto"/>
              <w:left w:val="nil"/>
              <w:bottom w:val="single" w:sz="4" w:space="0" w:color="auto"/>
              <w:right w:val="nil"/>
            </w:tcBorders>
            <w:shd w:val="clear" w:color="auto" w:fill="auto"/>
            <w:vAlign w:val="center"/>
          </w:tcPr>
          <w:p w14:paraId="3B929D7D" w14:textId="77777777" w:rsidR="002F4415" w:rsidRPr="00060311" w:rsidRDefault="002F4415">
            <w:pPr>
              <w:rPr>
                <w:rFonts w:ascii="Arial" w:hAnsi="Arial" w:cs="Arial"/>
                <w:b/>
                <w:bCs/>
                <w:color w:val="000000"/>
                <w:sz w:val="18"/>
                <w:szCs w:val="18"/>
                <w:lang w:eastAsia="en-SG"/>
              </w:rPr>
            </w:pPr>
          </w:p>
        </w:tc>
        <w:tc>
          <w:tcPr>
            <w:tcW w:w="615" w:type="pct"/>
            <w:tcBorders>
              <w:top w:val="single" w:sz="4" w:space="0" w:color="auto"/>
              <w:left w:val="nil"/>
              <w:bottom w:val="single" w:sz="4" w:space="0" w:color="auto"/>
              <w:right w:val="nil"/>
            </w:tcBorders>
            <w:shd w:val="clear" w:color="auto" w:fill="auto"/>
            <w:noWrap/>
            <w:vAlign w:val="center"/>
            <w:hideMark/>
          </w:tcPr>
          <w:p w14:paraId="02B08CCC"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484,648 </w:t>
            </w:r>
          </w:p>
        </w:tc>
        <w:tc>
          <w:tcPr>
            <w:tcW w:w="615" w:type="pct"/>
            <w:tcBorders>
              <w:top w:val="single" w:sz="4" w:space="0" w:color="auto"/>
              <w:left w:val="nil"/>
              <w:bottom w:val="single" w:sz="4" w:space="0" w:color="auto"/>
              <w:right w:val="nil"/>
            </w:tcBorders>
            <w:shd w:val="clear" w:color="auto" w:fill="auto"/>
            <w:noWrap/>
            <w:vAlign w:val="center"/>
            <w:hideMark/>
          </w:tcPr>
          <w:p w14:paraId="4A160D0E"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728,189 </w:t>
            </w:r>
          </w:p>
        </w:tc>
        <w:tc>
          <w:tcPr>
            <w:tcW w:w="615" w:type="pct"/>
            <w:tcBorders>
              <w:top w:val="single" w:sz="4" w:space="0" w:color="auto"/>
              <w:left w:val="nil"/>
              <w:bottom w:val="single" w:sz="4" w:space="0" w:color="auto"/>
              <w:right w:val="nil"/>
            </w:tcBorders>
            <w:shd w:val="clear" w:color="auto" w:fill="auto"/>
            <w:noWrap/>
            <w:vAlign w:val="center"/>
            <w:hideMark/>
          </w:tcPr>
          <w:p w14:paraId="4AFFAC9A"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1,097,405 </w:t>
            </w:r>
          </w:p>
        </w:tc>
        <w:tc>
          <w:tcPr>
            <w:tcW w:w="615" w:type="pct"/>
            <w:tcBorders>
              <w:top w:val="single" w:sz="4" w:space="0" w:color="auto"/>
              <w:left w:val="nil"/>
              <w:bottom w:val="single" w:sz="4" w:space="0" w:color="auto"/>
              <w:right w:val="nil"/>
            </w:tcBorders>
            <w:shd w:val="clear" w:color="auto" w:fill="auto"/>
            <w:noWrap/>
            <w:vAlign w:val="center"/>
            <w:hideMark/>
          </w:tcPr>
          <w:p w14:paraId="4D8D6A9C"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2,888,035 </w:t>
            </w:r>
          </w:p>
        </w:tc>
        <w:tc>
          <w:tcPr>
            <w:tcW w:w="675" w:type="pct"/>
            <w:tcBorders>
              <w:top w:val="single" w:sz="4" w:space="0" w:color="auto"/>
              <w:left w:val="nil"/>
              <w:bottom w:val="single" w:sz="4" w:space="0" w:color="auto"/>
              <w:right w:val="nil"/>
            </w:tcBorders>
            <w:shd w:val="clear" w:color="auto" w:fill="auto"/>
            <w:noWrap/>
            <w:vAlign w:val="center"/>
            <w:hideMark/>
          </w:tcPr>
          <w:p w14:paraId="453FB445"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2,595,223 </w:t>
            </w:r>
          </w:p>
        </w:tc>
      </w:tr>
      <w:tr w:rsidR="002F4415" w:rsidRPr="00060311" w14:paraId="149A4C59" w14:textId="77777777" w:rsidTr="007D6686">
        <w:trPr>
          <w:trHeight w:val="285"/>
        </w:trPr>
        <w:tc>
          <w:tcPr>
            <w:tcW w:w="1729" w:type="pct"/>
            <w:tcBorders>
              <w:top w:val="nil"/>
              <w:left w:val="nil"/>
              <w:bottom w:val="nil"/>
              <w:right w:val="nil"/>
            </w:tcBorders>
            <w:shd w:val="clear" w:color="auto" w:fill="auto"/>
            <w:vAlign w:val="center"/>
          </w:tcPr>
          <w:p w14:paraId="1587C6C2" w14:textId="77777777" w:rsidR="002F4415" w:rsidRPr="00060311" w:rsidRDefault="002F4415" w:rsidP="00C1248F">
            <w:pPr>
              <w:rPr>
                <w:rFonts w:ascii="Arial" w:hAnsi="Arial" w:cs="Arial"/>
                <w:b/>
                <w:sz w:val="18"/>
                <w:szCs w:val="18"/>
              </w:rPr>
            </w:pPr>
            <w:r w:rsidRPr="00060311">
              <w:rPr>
                <w:rFonts w:ascii="Arial" w:hAnsi="Arial" w:cs="Arial"/>
                <w:b/>
                <w:sz w:val="18"/>
                <w:szCs w:val="18"/>
              </w:rPr>
              <w:t>TOTAL LIABILITIES</w:t>
            </w:r>
          </w:p>
        </w:tc>
        <w:tc>
          <w:tcPr>
            <w:tcW w:w="136" w:type="pct"/>
            <w:tcBorders>
              <w:top w:val="nil"/>
              <w:left w:val="nil"/>
              <w:bottom w:val="nil"/>
              <w:right w:val="nil"/>
            </w:tcBorders>
            <w:shd w:val="clear" w:color="auto" w:fill="auto"/>
            <w:vAlign w:val="center"/>
          </w:tcPr>
          <w:p w14:paraId="14E0CBDB" w14:textId="77777777" w:rsidR="002F4415" w:rsidRPr="00060311" w:rsidRDefault="002F4415">
            <w:pPr>
              <w:rPr>
                <w:rFonts w:ascii="Arial" w:hAnsi="Arial" w:cs="Arial"/>
                <w:b/>
                <w:bCs/>
                <w:color w:val="000000"/>
                <w:sz w:val="18"/>
                <w:szCs w:val="18"/>
                <w:lang w:eastAsia="en-SG"/>
              </w:rPr>
            </w:pPr>
          </w:p>
        </w:tc>
        <w:tc>
          <w:tcPr>
            <w:tcW w:w="615" w:type="pct"/>
            <w:tcBorders>
              <w:top w:val="nil"/>
              <w:left w:val="nil"/>
              <w:bottom w:val="nil"/>
              <w:right w:val="nil"/>
            </w:tcBorders>
            <w:shd w:val="clear" w:color="auto" w:fill="auto"/>
            <w:noWrap/>
            <w:vAlign w:val="center"/>
            <w:hideMark/>
          </w:tcPr>
          <w:p w14:paraId="0EF96010"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983,536 </w:t>
            </w:r>
          </w:p>
        </w:tc>
        <w:tc>
          <w:tcPr>
            <w:tcW w:w="615" w:type="pct"/>
            <w:tcBorders>
              <w:top w:val="nil"/>
              <w:left w:val="nil"/>
              <w:bottom w:val="nil"/>
              <w:right w:val="nil"/>
            </w:tcBorders>
            <w:shd w:val="clear" w:color="auto" w:fill="auto"/>
            <w:noWrap/>
            <w:vAlign w:val="center"/>
            <w:hideMark/>
          </w:tcPr>
          <w:p w14:paraId="0FE6EE94"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1,093,947 </w:t>
            </w:r>
          </w:p>
        </w:tc>
        <w:tc>
          <w:tcPr>
            <w:tcW w:w="615" w:type="pct"/>
            <w:tcBorders>
              <w:top w:val="nil"/>
              <w:left w:val="nil"/>
              <w:bottom w:val="nil"/>
              <w:right w:val="nil"/>
            </w:tcBorders>
            <w:shd w:val="clear" w:color="auto" w:fill="auto"/>
            <w:noWrap/>
            <w:vAlign w:val="center"/>
            <w:hideMark/>
          </w:tcPr>
          <w:p w14:paraId="295B500D"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1,600,923 </w:t>
            </w:r>
          </w:p>
        </w:tc>
        <w:tc>
          <w:tcPr>
            <w:tcW w:w="615" w:type="pct"/>
            <w:tcBorders>
              <w:top w:val="nil"/>
              <w:left w:val="nil"/>
              <w:bottom w:val="nil"/>
              <w:right w:val="nil"/>
            </w:tcBorders>
            <w:shd w:val="clear" w:color="auto" w:fill="auto"/>
            <w:noWrap/>
            <w:vAlign w:val="center"/>
            <w:hideMark/>
          </w:tcPr>
          <w:p w14:paraId="2F1AC39D"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3,193,373 </w:t>
            </w:r>
          </w:p>
        </w:tc>
        <w:tc>
          <w:tcPr>
            <w:tcW w:w="675" w:type="pct"/>
            <w:tcBorders>
              <w:top w:val="nil"/>
              <w:left w:val="nil"/>
              <w:bottom w:val="nil"/>
              <w:right w:val="nil"/>
            </w:tcBorders>
            <w:shd w:val="clear" w:color="auto" w:fill="auto"/>
            <w:noWrap/>
            <w:vAlign w:val="center"/>
            <w:hideMark/>
          </w:tcPr>
          <w:p w14:paraId="30CF1D0D"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3,092,070 </w:t>
            </w:r>
          </w:p>
        </w:tc>
      </w:tr>
      <w:tr w:rsidR="002F4415" w:rsidRPr="00060311" w14:paraId="0C9578C5" w14:textId="77777777" w:rsidTr="007D6686">
        <w:trPr>
          <w:trHeight w:val="285"/>
        </w:trPr>
        <w:tc>
          <w:tcPr>
            <w:tcW w:w="1729" w:type="pct"/>
            <w:tcBorders>
              <w:top w:val="nil"/>
              <w:left w:val="nil"/>
              <w:bottom w:val="nil"/>
              <w:right w:val="nil"/>
            </w:tcBorders>
            <w:shd w:val="clear" w:color="auto" w:fill="auto"/>
            <w:vAlign w:val="center"/>
          </w:tcPr>
          <w:p w14:paraId="7E6FB6E3" w14:textId="77777777" w:rsidR="002F4415" w:rsidRPr="00060311" w:rsidRDefault="002F4415" w:rsidP="00C1248F">
            <w:pPr>
              <w:rPr>
                <w:rFonts w:ascii="Arial" w:hAnsi="Arial" w:cs="Arial"/>
                <w:sz w:val="18"/>
                <w:szCs w:val="18"/>
              </w:rPr>
            </w:pPr>
          </w:p>
        </w:tc>
        <w:tc>
          <w:tcPr>
            <w:tcW w:w="136" w:type="pct"/>
            <w:tcBorders>
              <w:top w:val="nil"/>
              <w:left w:val="nil"/>
              <w:bottom w:val="nil"/>
              <w:right w:val="nil"/>
            </w:tcBorders>
            <w:shd w:val="clear" w:color="auto" w:fill="auto"/>
            <w:vAlign w:val="center"/>
          </w:tcPr>
          <w:p w14:paraId="1EC82A63" w14:textId="77777777" w:rsidR="002F4415" w:rsidRPr="00060311" w:rsidRDefault="002F4415">
            <w:pPr>
              <w:rPr>
                <w:rFonts w:ascii="Arial" w:hAnsi="Arial" w:cs="Arial"/>
                <w:sz w:val="18"/>
                <w:szCs w:val="18"/>
                <w:lang w:eastAsia="en-SG"/>
              </w:rPr>
            </w:pPr>
          </w:p>
        </w:tc>
        <w:tc>
          <w:tcPr>
            <w:tcW w:w="615" w:type="pct"/>
            <w:tcBorders>
              <w:top w:val="nil"/>
              <w:left w:val="nil"/>
              <w:bottom w:val="nil"/>
              <w:right w:val="nil"/>
            </w:tcBorders>
            <w:shd w:val="clear" w:color="auto" w:fill="auto"/>
            <w:noWrap/>
            <w:vAlign w:val="center"/>
            <w:hideMark/>
          </w:tcPr>
          <w:p w14:paraId="000EDEA0" w14:textId="77777777" w:rsidR="002F4415" w:rsidRPr="00060311" w:rsidRDefault="002F4415">
            <w:pPr>
              <w:jc w:val="right"/>
              <w:rPr>
                <w:rFonts w:ascii="Arial" w:hAnsi="Arial" w:cs="Arial"/>
                <w:sz w:val="18"/>
                <w:szCs w:val="18"/>
                <w:lang w:eastAsia="en-SG"/>
              </w:rPr>
            </w:pPr>
          </w:p>
        </w:tc>
        <w:tc>
          <w:tcPr>
            <w:tcW w:w="615" w:type="pct"/>
            <w:tcBorders>
              <w:top w:val="nil"/>
              <w:left w:val="nil"/>
              <w:bottom w:val="nil"/>
              <w:right w:val="nil"/>
            </w:tcBorders>
            <w:shd w:val="clear" w:color="auto" w:fill="auto"/>
            <w:noWrap/>
            <w:vAlign w:val="center"/>
            <w:hideMark/>
          </w:tcPr>
          <w:p w14:paraId="557F5E9D" w14:textId="77777777" w:rsidR="002F4415" w:rsidRPr="00060311" w:rsidRDefault="002F4415">
            <w:pPr>
              <w:jc w:val="right"/>
              <w:rPr>
                <w:rFonts w:ascii="Arial" w:hAnsi="Arial" w:cs="Arial"/>
                <w:sz w:val="18"/>
                <w:szCs w:val="18"/>
                <w:lang w:eastAsia="en-SG"/>
              </w:rPr>
            </w:pPr>
          </w:p>
        </w:tc>
        <w:tc>
          <w:tcPr>
            <w:tcW w:w="615" w:type="pct"/>
            <w:tcBorders>
              <w:top w:val="nil"/>
              <w:left w:val="nil"/>
              <w:bottom w:val="nil"/>
              <w:right w:val="nil"/>
            </w:tcBorders>
            <w:shd w:val="clear" w:color="auto" w:fill="auto"/>
            <w:noWrap/>
            <w:vAlign w:val="center"/>
            <w:hideMark/>
          </w:tcPr>
          <w:p w14:paraId="125D999C" w14:textId="77777777" w:rsidR="002F4415" w:rsidRPr="00060311" w:rsidRDefault="002F4415">
            <w:pPr>
              <w:jc w:val="right"/>
              <w:rPr>
                <w:rFonts w:ascii="Arial" w:hAnsi="Arial" w:cs="Arial"/>
                <w:sz w:val="18"/>
                <w:szCs w:val="18"/>
                <w:lang w:eastAsia="en-SG"/>
              </w:rPr>
            </w:pPr>
          </w:p>
        </w:tc>
        <w:tc>
          <w:tcPr>
            <w:tcW w:w="615" w:type="pct"/>
            <w:tcBorders>
              <w:top w:val="nil"/>
              <w:left w:val="nil"/>
              <w:bottom w:val="nil"/>
              <w:right w:val="nil"/>
            </w:tcBorders>
            <w:shd w:val="clear" w:color="auto" w:fill="auto"/>
            <w:noWrap/>
            <w:vAlign w:val="center"/>
            <w:hideMark/>
          </w:tcPr>
          <w:p w14:paraId="2BDABE5B" w14:textId="77777777" w:rsidR="002F4415" w:rsidRPr="00060311" w:rsidRDefault="002F4415">
            <w:pPr>
              <w:jc w:val="right"/>
              <w:rPr>
                <w:rFonts w:ascii="Arial" w:hAnsi="Arial" w:cs="Arial"/>
                <w:sz w:val="18"/>
                <w:szCs w:val="18"/>
                <w:lang w:eastAsia="en-SG"/>
              </w:rPr>
            </w:pPr>
          </w:p>
        </w:tc>
        <w:tc>
          <w:tcPr>
            <w:tcW w:w="675" w:type="pct"/>
            <w:tcBorders>
              <w:top w:val="nil"/>
              <w:left w:val="nil"/>
              <w:bottom w:val="nil"/>
              <w:right w:val="nil"/>
            </w:tcBorders>
            <w:shd w:val="clear" w:color="auto" w:fill="auto"/>
            <w:noWrap/>
            <w:vAlign w:val="center"/>
            <w:hideMark/>
          </w:tcPr>
          <w:p w14:paraId="01C563E2" w14:textId="77777777" w:rsidR="002F4415" w:rsidRPr="00060311" w:rsidRDefault="002F4415">
            <w:pPr>
              <w:jc w:val="right"/>
              <w:rPr>
                <w:rFonts w:ascii="Arial" w:hAnsi="Arial" w:cs="Arial"/>
                <w:sz w:val="18"/>
                <w:szCs w:val="18"/>
                <w:lang w:eastAsia="en-SG"/>
              </w:rPr>
            </w:pPr>
          </w:p>
        </w:tc>
      </w:tr>
      <w:tr w:rsidR="002F4415" w:rsidRPr="00060311" w14:paraId="258EA079" w14:textId="77777777" w:rsidTr="007D6686">
        <w:trPr>
          <w:trHeight w:val="285"/>
        </w:trPr>
        <w:tc>
          <w:tcPr>
            <w:tcW w:w="1729" w:type="pct"/>
            <w:tcBorders>
              <w:top w:val="nil"/>
              <w:left w:val="nil"/>
              <w:bottom w:val="nil"/>
              <w:right w:val="nil"/>
            </w:tcBorders>
            <w:shd w:val="clear" w:color="auto" w:fill="auto"/>
            <w:vAlign w:val="center"/>
          </w:tcPr>
          <w:p w14:paraId="5D46E2BA" w14:textId="77777777" w:rsidR="002F4415" w:rsidRPr="00060311" w:rsidRDefault="002F4415" w:rsidP="00C1248F">
            <w:pPr>
              <w:rPr>
                <w:rFonts w:ascii="Arial" w:hAnsi="Arial" w:cs="Arial"/>
                <w:sz w:val="18"/>
                <w:szCs w:val="18"/>
              </w:rPr>
            </w:pPr>
            <w:r w:rsidRPr="00060311">
              <w:rPr>
                <w:rFonts w:ascii="Arial" w:hAnsi="Arial" w:cs="Arial"/>
                <w:sz w:val="18"/>
                <w:szCs w:val="18"/>
              </w:rPr>
              <w:t>Share Capital</w:t>
            </w:r>
          </w:p>
        </w:tc>
        <w:tc>
          <w:tcPr>
            <w:tcW w:w="136" w:type="pct"/>
            <w:tcBorders>
              <w:top w:val="nil"/>
              <w:left w:val="nil"/>
              <w:bottom w:val="nil"/>
              <w:right w:val="nil"/>
            </w:tcBorders>
            <w:shd w:val="clear" w:color="auto" w:fill="auto"/>
            <w:vAlign w:val="center"/>
          </w:tcPr>
          <w:p w14:paraId="0374DD25" w14:textId="77777777" w:rsidR="002F4415" w:rsidRPr="00060311" w:rsidRDefault="002F4415">
            <w:pPr>
              <w:rPr>
                <w:rFonts w:ascii="Arial" w:hAnsi="Arial" w:cs="Arial"/>
                <w:color w:val="000000"/>
                <w:sz w:val="18"/>
                <w:szCs w:val="18"/>
                <w:lang w:eastAsia="en-SG"/>
              </w:rPr>
            </w:pPr>
          </w:p>
        </w:tc>
        <w:tc>
          <w:tcPr>
            <w:tcW w:w="615" w:type="pct"/>
            <w:tcBorders>
              <w:top w:val="nil"/>
              <w:left w:val="nil"/>
              <w:bottom w:val="nil"/>
              <w:right w:val="nil"/>
            </w:tcBorders>
            <w:shd w:val="clear" w:color="auto" w:fill="auto"/>
            <w:noWrap/>
            <w:vAlign w:val="center"/>
            <w:hideMark/>
          </w:tcPr>
          <w:p w14:paraId="355487FE"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4,605,000 </w:t>
            </w:r>
          </w:p>
        </w:tc>
        <w:tc>
          <w:tcPr>
            <w:tcW w:w="615" w:type="pct"/>
            <w:tcBorders>
              <w:top w:val="nil"/>
              <w:left w:val="nil"/>
              <w:bottom w:val="nil"/>
              <w:right w:val="nil"/>
            </w:tcBorders>
            <w:shd w:val="clear" w:color="auto" w:fill="auto"/>
            <w:noWrap/>
            <w:vAlign w:val="center"/>
            <w:hideMark/>
          </w:tcPr>
          <w:p w14:paraId="06F1F3EB"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4,605,000 </w:t>
            </w:r>
          </w:p>
        </w:tc>
        <w:tc>
          <w:tcPr>
            <w:tcW w:w="615" w:type="pct"/>
            <w:tcBorders>
              <w:top w:val="nil"/>
              <w:left w:val="nil"/>
              <w:bottom w:val="nil"/>
              <w:right w:val="nil"/>
            </w:tcBorders>
            <w:shd w:val="clear" w:color="auto" w:fill="auto"/>
            <w:noWrap/>
            <w:vAlign w:val="center"/>
            <w:hideMark/>
          </w:tcPr>
          <w:p w14:paraId="0B272D48"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4,607,514 </w:t>
            </w:r>
          </w:p>
        </w:tc>
        <w:tc>
          <w:tcPr>
            <w:tcW w:w="615" w:type="pct"/>
            <w:tcBorders>
              <w:top w:val="nil"/>
              <w:left w:val="nil"/>
              <w:bottom w:val="nil"/>
              <w:right w:val="nil"/>
            </w:tcBorders>
            <w:shd w:val="clear" w:color="auto" w:fill="auto"/>
            <w:noWrap/>
            <w:vAlign w:val="center"/>
            <w:hideMark/>
          </w:tcPr>
          <w:p w14:paraId="7900CB64"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4,612,590 </w:t>
            </w:r>
          </w:p>
        </w:tc>
        <w:tc>
          <w:tcPr>
            <w:tcW w:w="675" w:type="pct"/>
            <w:tcBorders>
              <w:top w:val="nil"/>
              <w:left w:val="nil"/>
              <w:bottom w:val="nil"/>
              <w:right w:val="nil"/>
            </w:tcBorders>
            <w:shd w:val="clear" w:color="auto" w:fill="auto"/>
            <w:noWrap/>
            <w:vAlign w:val="center"/>
            <w:hideMark/>
          </w:tcPr>
          <w:p w14:paraId="2E87A9EC"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4,620,971 </w:t>
            </w:r>
          </w:p>
        </w:tc>
      </w:tr>
      <w:tr w:rsidR="002F4415" w:rsidRPr="00060311" w14:paraId="58373544" w14:textId="77777777" w:rsidTr="007D6686">
        <w:trPr>
          <w:trHeight w:val="285"/>
        </w:trPr>
        <w:tc>
          <w:tcPr>
            <w:tcW w:w="1729" w:type="pct"/>
            <w:tcBorders>
              <w:top w:val="nil"/>
              <w:left w:val="nil"/>
              <w:bottom w:val="nil"/>
              <w:right w:val="nil"/>
            </w:tcBorders>
            <w:shd w:val="clear" w:color="auto" w:fill="auto"/>
            <w:vAlign w:val="center"/>
          </w:tcPr>
          <w:p w14:paraId="6BAEFE59" w14:textId="77777777" w:rsidR="002F4415" w:rsidRPr="00060311" w:rsidRDefault="002F4415" w:rsidP="00C1248F">
            <w:pPr>
              <w:rPr>
                <w:rFonts w:ascii="Arial" w:hAnsi="Arial" w:cs="Arial"/>
                <w:sz w:val="18"/>
                <w:szCs w:val="18"/>
              </w:rPr>
            </w:pPr>
            <w:r w:rsidRPr="00060311">
              <w:rPr>
                <w:rFonts w:ascii="Arial" w:hAnsi="Arial" w:cs="Arial"/>
                <w:sz w:val="18"/>
                <w:szCs w:val="18"/>
              </w:rPr>
              <w:t>Other Reserves</w:t>
            </w:r>
          </w:p>
        </w:tc>
        <w:tc>
          <w:tcPr>
            <w:tcW w:w="136" w:type="pct"/>
            <w:tcBorders>
              <w:top w:val="nil"/>
              <w:left w:val="nil"/>
              <w:bottom w:val="nil"/>
              <w:right w:val="nil"/>
            </w:tcBorders>
            <w:shd w:val="clear" w:color="auto" w:fill="auto"/>
            <w:vAlign w:val="center"/>
          </w:tcPr>
          <w:p w14:paraId="3360859B" w14:textId="77777777" w:rsidR="002F4415" w:rsidRPr="00060311" w:rsidRDefault="002F4415">
            <w:pPr>
              <w:rPr>
                <w:rFonts w:ascii="Arial" w:hAnsi="Arial" w:cs="Arial"/>
                <w:color w:val="000000"/>
                <w:sz w:val="18"/>
                <w:szCs w:val="18"/>
                <w:lang w:eastAsia="en-SG"/>
              </w:rPr>
            </w:pPr>
          </w:p>
        </w:tc>
        <w:tc>
          <w:tcPr>
            <w:tcW w:w="615" w:type="pct"/>
            <w:tcBorders>
              <w:top w:val="nil"/>
              <w:left w:val="nil"/>
              <w:bottom w:val="nil"/>
              <w:right w:val="nil"/>
            </w:tcBorders>
            <w:shd w:val="clear" w:color="auto" w:fill="auto"/>
            <w:noWrap/>
            <w:vAlign w:val="center"/>
            <w:hideMark/>
          </w:tcPr>
          <w:p w14:paraId="18F26D18"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735,041 </w:t>
            </w:r>
          </w:p>
        </w:tc>
        <w:tc>
          <w:tcPr>
            <w:tcW w:w="615" w:type="pct"/>
            <w:tcBorders>
              <w:top w:val="nil"/>
              <w:left w:val="nil"/>
              <w:bottom w:val="nil"/>
              <w:right w:val="nil"/>
            </w:tcBorders>
            <w:shd w:val="clear" w:color="auto" w:fill="auto"/>
            <w:noWrap/>
            <w:vAlign w:val="center"/>
            <w:hideMark/>
          </w:tcPr>
          <w:p w14:paraId="274FE6C5"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1,223,519 </w:t>
            </w:r>
          </w:p>
        </w:tc>
        <w:tc>
          <w:tcPr>
            <w:tcW w:w="615" w:type="pct"/>
            <w:tcBorders>
              <w:top w:val="nil"/>
              <w:left w:val="nil"/>
              <w:bottom w:val="nil"/>
              <w:right w:val="nil"/>
            </w:tcBorders>
            <w:shd w:val="clear" w:color="auto" w:fill="auto"/>
            <w:noWrap/>
            <w:vAlign w:val="center"/>
            <w:hideMark/>
          </w:tcPr>
          <w:p w14:paraId="3F54DE1F"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1,619,477 </w:t>
            </w:r>
          </w:p>
        </w:tc>
        <w:tc>
          <w:tcPr>
            <w:tcW w:w="615" w:type="pct"/>
            <w:tcBorders>
              <w:top w:val="nil"/>
              <w:left w:val="nil"/>
              <w:bottom w:val="nil"/>
              <w:right w:val="nil"/>
            </w:tcBorders>
            <w:shd w:val="clear" w:color="auto" w:fill="auto"/>
            <w:noWrap/>
            <w:vAlign w:val="center"/>
            <w:hideMark/>
          </w:tcPr>
          <w:p w14:paraId="35DA1AD6"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1,877,757 </w:t>
            </w:r>
          </w:p>
        </w:tc>
        <w:tc>
          <w:tcPr>
            <w:tcW w:w="675" w:type="pct"/>
            <w:tcBorders>
              <w:top w:val="nil"/>
              <w:left w:val="nil"/>
              <w:bottom w:val="nil"/>
              <w:right w:val="nil"/>
            </w:tcBorders>
            <w:shd w:val="clear" w:color="auto" w:fill="auto"/>
            <w:noWrap/>
            <w:vAlign w:val="center"/>
            <w:hideMark/>
          </w:tcPr>
          <w:p w14:paraId="0B4459D7"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2,542,797 </w:t>
            </w:r>
          </w:p>
        </w:tc>
      </w:tr>
      <w:tr w:rsidR="002F4415" w:rsidRPr="00060311" w14:paraId="3136B63B" w14:textId="77777777" w:rsidTr="007D6686">
        <w:trPr>
          <w:trHeight w:val="285"/>
        </w:trPr>
        <w:tc>
          <w:tcPr>
            <w:tcW w:w="1729" w:type="pct"/>
            <w:tcBorders>
              <w:top w:val="single" w:sz="4" w:space="0" w:color="auto"/>
              <w:left w:val="nil"/>
              <w:bottom w:val="nil"/>
              <w:right w:val="nil"/>
            </w:tcBorders>
            <w:shd w:val="clear" w:color="auto" w:fill="auto"/>
            <w:vAlign w:val="center"/>
          </w:tcPr>
          <w:p w14:paraId="59035954" w14:textId="042049B9" w:rsidR="002F4415" w:rsidRPr="00060311" w:rsidRDefault="002F4415" w:rsidP="00C1248F">
            <w:pPr>
              <w:rPr>
                <w:rFonts w:ascii="Arial" w:hAnsi="Arial" w:cs="Arial"/>
                <w:b/>
                <w:sz w:val="18"/>
                <w:szCs w:val="18"/>
              </w:rPr>
            </w:pPr>
            <w:r w:rsidRPr="00060311">
              <w:rPr>
                <w:rFonts w:ascii="Arial" w:hAnsi="Arial" w:cs="Arial"/>
                <w:b/>
                <w:sz w:val="18"/>
                <w:szCs w:val="18"/>
              </w:rPr>
              <w:t xml:space="preserve">Equity </w:t>
            </w:r>
            <w:r w:rsidR="003B1D58">
              <w:rPr>
                <w:rFonts w:ascii="Arial" w:hAnsi="Arial" w:cs="Arial"/>
                <w:b/>
                <w:sz w:val="18"/>
                <w:szCs w:val="18"/>
              </w:rPr>
              <w:t>A</w:t>
            </w:r>
            <w:r w:rsidR="003B1D58" w:rsidRPr="00060311">
              <w:rPr>
                <w:rFonts w:ascii="Arial" w:hAnsi="Arial" w:cs="Arial"/>
                <w:b/>
                <w:sz w:val="18"/>
                <w:szCs w:val="18"/>
              </w:rPr>
              <w:t xml:space="preserve">ttributable </w:t>
            </w:r>
            <w:r w:rsidRPr="00060311">
              <w:rPr>
                <w:rFonts w:ascii="Arial" w:hAnsi="Arial" w:cs="Arial"/>
                <w:b/>
                <w:sz w:val="18"/>
                <w:szCs w:val="18"/>
              </w:rPr>
              <w:t xml:space="preserve">to </w:t>
            </w:r>
            <w:r w:rsidR="003B1D58">
              <w:rPr>
                <w:rFonts w:ascii="Arial" w:hAnsi="Arial" w:cs="Arial"/>
                <w:b/>
                <w:sz w:val="18"/>
                <w:szCs w:val="18"/>
              </w:rPr>
              <w:t>O</w:t>
            </w:r>
            <w:r w:rsidR="003B1D58" w:rsidRPr="00060311">
              <w:rPr>
                <w:rFonts w:ascii="Arial" w:hAnsi="Arial" w:cs="Arial"/>
                <w:b/>
                <w:sz w:val="18"/>
                <w:szCs w:val="18"/>
              </w:rPr>
              <w:t>wners</w:t>
            </w:r>
            <w:r w:rsidR="003B1D58">
              <w:rPr>
                <w:rFonts w:ascii="Arial" w:hAnsi="Arial" w:cs="Arial"/>
                <w:b/>
                <w:sz w:val="18"/>
                <w:szCs w:val="18"/>
              </w:rPr>
              <w:t xml:space="preserve"> of</w:t>
            </w:r>
            <w:r w:rsidR="003B1D58" w:rsidRPr="00060311">
              <w:rPr>
                <w:rFonts w:ascii="Arial" w:hAnsi="Arial" w:cs="Arial"/>
                <w:b/>
                <w:sz w:val="18"/>
                <w:szCs w:val="18"/>
              </w:rPr>
              <w:t xml:space="preserve"> </w:t>
            </w:r>
            <w:r w:rsidRPr="00060311">
              <w:rPr>
                <w:rFonts w:ascii="Arial" w:hAnsi="Arial" w:cs="Arial"/>
                <w:b/>
                <w:sz w:val="18"/>
                <w:szCs w:val="18"/>
              </w:rPr>
              <w:t xml:space="preserve">the </w:t>
            </w:r>
            <w:r w:rsidR="003B1D58">
              <w:rPr>
                <w:rFonts w:ascii="Arial" w:hAnsi="Arial" w:cs="Arial"/>
                <w:b/>
                <w:sz w:val="18"/>
                <w:szCs w:val="18"/>
              </w:rPr>
              <w:t>C</w:t>
            </w:r>
            <w:r w:rsidR="003B1D58" w:rsidRPr="00060311">
              <w:rPr>
                <w:rFonts w:ascii="Arial" w:hAnsi="Arial" w:cs="Arial"/>
                <w:b/>
                <w:sz w:val="18"/>
                <w:szCs w:val="18"/>
              </w:rPr>
              <w:t>ompany</w:t>
            </w:r>
          </w:p>
        </w:tc>
        <w:tc>
          <w:tcPr>
            <w:tcW w:w="136" w:type="pct"/>
            <w:tcBorders>
              <w:top w:val="single" w:sz="4" w:space="0" w:color="auto"/>
              <w:left w:val="nil"/>
              <w:bottom w:val="nil"/>
              <w:right w:val="nil"/>
            </w:tcBorders>
            <w:shd w:val="clear" w:color="auto" w:fill="auto"/>
            <w:vAlign w:val="center"/>
          </w:tcPr>
          <w:p w14:paraId="7086CD5F" w14:textId="77777777" w:rsidR="002F4415" w:rsidRPr="00060311" w:rsidRDefault="002F4415">
            <w:pPr>
              <w:rPr>
                <w:rFonts w:ascii="Arial" w:hAnsi="Arial" w:cs="Arial"/>
                <w:b/>
                <w:color w:val="000000"/>
                <w:sz w:val="18"/>
                <w:szCs w:val="18"/>
                <w:lang w:eastAsia="en-SG"/>
              </w:rPr>
            </w:pPr>
          </w:p>
        </w:tc>
        <w:tc>
          <w:tcPr>
            <w:tcW w:w="615" w:type="pct"/>
            <w:tcBorders>
              <w:top w:val="single" w:sz="4" w:space="0" w:color="auto"/>
              <w:left w:val="nil"/>
              <w:bottom w:val="nil"/>
              <w:right w:val="nil"/>
            </w:tcBorders>
            <w:shd w:val="clear" w:color="auto" w:fill="auto"/>
            <w:noWrap/>
            <w:vAlign w:val="center"/>
            <w:hideMark/>
          </w:tcPr>
          <w:p w14:paraId="7E8197E4" w14:textId="77777777" w:rsidR="002F4415" w:rsidRPr="00060311" w:rsidRDefault="002F4415">
            <w:pPr>
              <w:jc w:val="right"/>
              <w:rPr>
                <w:rFonts w:ascii="Arial" w:hAnsi="Arial" w:cs="Arial"/>
                <w:b/>
                <w:color w:val="000000"/>
                <w:sz w:val="18"/>
                <w:szCs w:val="18"/>
                <w:lang w:eastAsia="en-SG"/>
              </w:rPr>
            </w:pPr>
            <w:r w:rsidRPr="00060311">
              <w:rPr>
                <w:rFonts w:ascii="Arial" w:hAnsi="Arial" w:cs="Arial"/>
                <w:b/>
                <w:color w:val="000000"/>
                <w:sz w:val="18"/>
                <w:szCs w:val="18"/>
                <w:lang w:eastAsia="en-SG"/>
              </w:rPr>
              <w:t xml:space="preserve">5,340,041 </w:t>
            </w:r>
          </w:p>
        </w:tc>
        <w:tc>
          <w:tcPr>
            <w:tcW w:w="615" w:type="pct"/>
            <w:tcBorders>
              <w:top w:val="single" w:sz="4" w:space="0" w:color="auto"/>
              <w:left w:val="nil"/>
              <w:bottom w:val="nil"/>
              <w:right w:val="nil"/>
            </w:tcBorders>
            <w:shd w:val="clear" w:color="auto" w:fill="auto"/>
            <w:noWrap/>
            <w:vAlign w:val="center"/>
            <w:hideMark/>
          </w:tcPr>
          <w:p w14:paraId="4CACF2B3" w14:textId="77777777" w:rsidR="002F4415" w:rsidRPr="00060311" w:rsidRDefault="002F4415">
            <w:pPr>
              <w:jc w:val="right"/>
              <w:rPr>
                <w:rFonts w:ascii="Arial" w:hAnsi="Arial" w:cs="Arial"/>
                <w:b/>
                <w:color w:val="000000"/>
                <w:sz w:val="18"/>
                <w:szCs w:val="18"/>
                <w:lang w:eastAsia="en-SG"/>
              </w:rPr>
            </w:pPr>
            <w:r w:rsidRPr="00060311">
              <w:rPr>
                <w:rFonts w:ascii="Arial" w:hAnsi="Arial" w:cs="Arial"/>
                <w:b/>
                <w:color w:val="000000"/>
                <w:sz w:val="18"/>
                <w:szCs w:val="18"/>
                <w:lang w:eastAsia="en-SG"/>
              </w:rPr>
              <w:t xml:space="preserve">5,828,519 </w:t>
            </w:r>
          </w:p>
        </w:tc>
        <w:tc>
          <w:tcPr>
            <w:tcW w:w="615" w:type="pct"/>
            <w:tcBorders>
              <w:top w:val="single" w:sz="4" w:space="0" w:color="auto"/>
              <w:left w:val="nil"/>
              <w:bottom w:val="nil"/>
              <w:right w:val="nil"/>
            </w:tcBorders>
            <w:shd w:val="clear" w:color="auto" w:fill="auto"/>
            <w:noWrap/>
            <w:vAlign w:val="center"/>
            <w:hideMark/>
          </w:tcPr>
          <w:p w14:paraId="21E79405" w14:textId="77777777" w:rsidR="002F4415" w:rsidRPr="00060311" w:rsidRDefault="002F4415">
            <w:pPr>
              <w:jc w:val="right"/>
              <w:rPr>
                <w:rFonts w:ascii="Arial" w:hAnsi="Arial" w:cs="Arial"/>
                <w:b/>
                <w:color w:val="000000"/>
                <w:sz w:val="18"/>
                <w:szCs w:val="18"/>
                <w:lang w:eastAsia="en-SG"/>
              </w:rPr>
            </w:pPr>
            <w:r w:rsidRPr="00060311">
              <w:rPr>
                <w:rFonts w:ascii="Arial" w:hAnsi="Arial" w:cs="Arial"/>
                <w:b/>
                <w:color w:val="000000"/>
                <w:sz w:val="18"/>
                <w:szCs w:val="18"/>
                <w:lang w:eastAsia="en-SG"/>
              </w:rPr>
              <w:t xml:space="preserve">6,226,991 </w:t>
            </w:r>
          </w:p>
        </w:tc>
        <w:tc>
          <w:tcPr>
            <w:tcW w:w="615" w:type="pct"/>
            <w:tcBorders>
              <w:top w:val="single" w:sz="4" w:space="0" w:color="auto"/>
              <w:left w:val="nil"/>
              <w:bottom w:val="nil"/>
              <w:right w:val="nil"/>
            </w:tcBorders>
            <w:shd w:val="clear" w:color="auto" w:fill="auto"/>
            <w:noWrap/>
            <w:vAlign w:val="center"/>
            <w:hideMark/>
          </w:tcPr>
          <w:p w14:paraId="4C26593C" w14:textId="77777777" w:rsidR="002F4415" w:rsidRPr="00060311" w:rsidRDefault="002F4415">
            <w:pPr>
              <w:jc w:val="right"/>
              <w:rPr>
                <w:rFonts w:ascii="Arial" w:hAnsi="Arial" w:cs="Arial"/>
                <w:b/>
                <w:color w:val="000000"/>
                <w:sz w:val="18"/>
                <w:szCs w:val="18"/>
                <w:lang w:eastAsia="en-SG"/>
              </w:rPr>
            </w:pPr>
            <w:r w:rsidRPr="00060311">
              <w:rPr>
                <w:rFonts w:ascii="Arial" w:hAnsi="Arial" w:cs="Arial"/>
                <w:b/>
                <w:color w:val="000000"/>
                <w:sz w:val="18"/>
                <w:szCs w:val="18"/>
                <w:lang w:eastAsia="en-SG"/>
              </w:rPr>
              <w:t xml:space="preserve">6,490,347 </w:t>
            </w:r>
          </w:p>
        </w:tc>
        <w:tc>
          <w:tcPr>
            <w:tcW w:w="675" w:type="pct"/>
            <w:tcBorders>
              <w:top w:val="single" w:sz="4" w:space="0" w:color="auto"/>
              <w:left w:val="nil"/>
              <w:bottom w:val="nil"/>
              <w:right w:val="nil"/>
            </w:tcBorders>
            <w:shd w:val="clear" w:color="auto" w:fill="auto"/>
            <w:noWrap/>
            <w:vAlign w:val="center"/>
            <w:hideMark/>
          </w:tcPr>
          <w:p w14:paraId="763A2F55" w14:textId="77777777" w:rsidR="002F4415" w:rsidRPr="00060311" w:rsidRDefault="002F4415">
            <w:pPr>
              <w:jc w:val="right"/>
              <w:rPr>
                <w:rFonts w:ascii="Arial" w:hAnsi="Arial" w:cs="Arial"/>
                <w:b/>
                <w:color w:val="000000"/>
                <w:sz w:val="18"/>
                <w:szCs w:val="18"/>
                <w:lang w:eastAsia="en-SG"/>
              </w:rPr>
            </w:pPr>
            <w:r w:rsidRPr="00060311">
              <w:rPr>
                <w:rFonts w:ascii="Arial" w:hAnsi="Arial" w:cs="Arial"/>
                <w:b/>
                <w:color w:val="000000"/>
                <w:sz w:val="18"/>
                <w:szCs w:val="18"/>
                <w:lang w:eastAsia="en-SG"/>
              </w:rPr>
              <w:t xml:space="preserve">7,163,768 </w:t>
            </w:r>
          </w:p>
        </w:tc>
      </w:tr>
      <w:tr w:rsidR="002F4415" w:rsidRPr="00060311" w14:paraId="4AF3BA8A" w14:textId="77777777" w:rsidTr="007D6686">
        <w:trPr>
          <w:trHeight w:val="285"/>
        </w:trPr>
        <w:tc>
          <w:tcPr>
            <w:tcW w:w="1729" w:type="pct"/>
            <w:tcBorders>
              <w:top w:val="nil"/>
              <w:left w:val="nil"/>
              <w:bottom w:val="nil"/>
              <w:right w:val="nil"/>
            </w:tcBorders>
            <w:shd w:val="clear" w:color="auto" w:fill="auto"/>
            <w:vAlign w:val="center"/>
          </w:tcPr>
          <w:p w14:paraId="1AF9D412" w14:textId="77777777" w:rsidR="002F4415" w:rsidRPr="00060311" w:rsidRDefault="002F4415" w:rsidP="00C1248F">
            <w:pPr>
              <w:rPr>
                <w:rFonts w:ascii="Arial" w:hAnsi="Arial" w:cs="Arial"/>
                <w:sz w:val="18"/>
                <w:szCs w:val="18"/>
              </w:rPr>
            </w:pPr>
            <w:r w:rsidRPr="00060311">
              <w:rPr>
                <w:rFonts w:ascii="Arial" w:hAnsi="Arial" w:cs="Arial"/>
                <w:sz w:val="18"/>
                <w:szCs w:val="18"/>
              </w:rPr>
              <w:t>Non-Controlling Interests</w:t>
            </w:r>
          </w:p>
        </w:tc>
        <w:tc>
          <w:tcPr>
            <w:tcW w:w="136" w:type="pct"/>
            <w:tcBorders>
              <w:top w:val="nil"/>
              <w:left w:val="nil"/>
              <w:bottom w:val="nil"/>
              <w:right w:val="nil"/>
            </w:tcBorders>
            <w:shd w:val="clear" w:color="auto" w:fill="auto"/>
            <w:vAlign w:val="center"/>
          </w:tcPr>
          <w:p w14:paraId="7D4979D2" w14:textId="77777777" w:rsidR="002F4415" w:rsidRPr="00060311" w:rsidRDefault="002F4415">
            <w:pPr>
              <w:rPr>
                <w:rFonts w:ascii="Arial" w:hAnsi="Arial" w:cs="Arial"/>
                <w:color w:val="000000"/>
                <w:sz w:val="18"/>
                <w:szCs w:val="18"/>
                <w:lang w:eastAsia="en-SG"/>
              </w:rPr>
            </w:pPr>
          </w:p>
        </w:tc>
        <w:tc>
          <w:tcPr>
            <w:tcW w:w="615" w:type="pct"/>
            <w:tcBorders>
              <w:top w:val="nil"/>
              <w:left w:val="nil"/>
              <w:bottom w:val="nil"/>
              <w:right w:val="nil"/>
            </w:tcBorders>
            <w:shd w:val="clear" w:color="auto" w:fill="auto"/>
            <w:noWrap/>
            <w:vAlign w:val="center"/>
            <w:hideMark/>
          </w:tcPr>
          <w:p w14:paraId="06D371D7"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53,413 </w:t>
            </w:r>
          </w:p>
        </w:tc>
        <w:tc>
          <w:tcPr>
            <w:tcW w:w="615" w:type="pct"/>
            <w:tcBorders>
              <w:top w:val="nil"/>
              <w:left w:val="nil"/>
              <w:bottom w:val="nil"/>
              <w:right w:val="nil"/>
            </w:tcBorders>
            <w:shd w:val="clear" w:color="auto" w:fill="auto"/>
            <w:noWrap/>
            <w:vAlign w:val="center"/>
            <w:hideMark/>
          </w:tcPr>
          <w:p w14:paraId="78C30504"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59,711 </w:t>
            </w:r>
          </w:p>
        </w:tc>
        <w:tc>
          <w:tcPr>
            <w:tcW w:w="615" w:type="pct"/>
            <w:tcBorders>
              <w:top w:val="nil"/>
              <w:left w:val="nil"/>
              <w:bottom w:val="nil"/>
              <w:right w:val="nil"/>
            </w:tcBorders>
            <w:shd w:val="clear" w:color="auto" w:fill="auto"/>
            <w:noWrap/>
            <w:vAlign w:val="center"/>
            <w:hideMark/>
          </w:tcPr>
          <w:p w14:paraId="6CA46855"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250,134 </w:t>
            </w:r>
          </w:p>
        </w:tc>
        <w:tc>
          <w:tcPr>
            <w:tcW w:w="615" w:type="pct"/>
            <w:tcBorders>
              <w:top w:val="nil"/>
              <w:left w:val="nil"/>
              <w:bottom w:val="nil"/>
              <w:right w:val="nil"/>
            </w:tcBorders>
            <w:shd w:val="clear" w:color="auto" w:fill="auto"/>
            <w:noWrap/>
            <w:vAlign w:val="center"/>
            <w:hideMark/>
          </w:tcPr>
          <w:p w14:paraId="7A4364B5"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247,614 </w:t>
            </w:r>
          </w:p>
        </w:tc>
        <w:tc>
          <w:tcPr>
            <w:tcW w:w="675" w:type="pct"/>
            <w:tcBorders>
              <w:top w:val="nil"/>
              <w:left w:val="nil"/>
              <w:bottom w:val="nil"/>
              <w:right w:val="nil"/>
            </w:tcBorders>
            <w:shd w:val="clear" w:color="auto" w:fill="auto"/>
            <w:noWrap/>
            <w:vAlign w:val="center"/>
            <w:hideMark/>
          </w:tcPr>
          <w:p w14:paraId="067B8040" w14:textId="77777777" w:rsidR="002F4415" w:rsidRPr="00060311" w:rsidRDefault="002F4415">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104,934 </w:t>
            </w:r>
          </w:p>
        </w:tc>
      </w:tr>
      <w:tr w:rsidR="002F4415" w:rsidRPr="00060311" w14:paraId="2ED2A2E5" w14:textId="77777777" w:rsidTr="007D6686">
        <w:trPr>
          <w:trHeight w:val="285"/>
        </w:trPr>
        <w:tc>
          <w:tcPr>
            <w:tcW w:w="1729" w:type="pct"/>
            <w:tcBorders>
              <w:top w:val="single" w:sz="4" w:space="0" w:color="auto"/>
              <w:left w:val="nil"/>
              <w:bottom w:val="single" w:sz="4" w:space="0" w:color="auto"/>
              <w:right w:val="nil"/>
            </w:tcBorders>
            <w:shd w:val="clear" w:color="auto" w:fill="auto"/>
            <w:vAlign w:val="center"/>
          </w:tcPr>
          <w:p w14:paraId="03482F2E" w14:textId="77777777" w:rsidR="002F4415" w:rsidRPr="00060311" w:rsidRDefault="002F4415" w:rsidP="00C1248F">
            <w:pPr>
              <w:rPr>
                <w:rFonts w:ascii="Arial" w:hAnsi="Arial" w:cs="Arial"/>
                <w:b/>
                <w:sz w:val="18"/>
                <w:szCs w:val="18"/>
              </w:rPr>
            </w:pPr>
            <w:r w:rsidRPr="00060311">
              <w:rPr>
                <w:rFonts w:ascii="Arial" w:hAnsi="Arial" w:cs="Arial"/>
                <w:b/>
                <w:sz w:val="18"/>
                <w:szCs w:val="18"/>
              </w:rPr>
              <w:t>Total Equity</w:t>
            </w:r>
          </w:p>
        </w:tc>
        <w:tc>
          <w:tcPr>
            <w:tcW w:w="136" w:type="pct"/>
            <w:tcBorders>
              <w:top w:val="single" w:sz="4" w:space="0" w:color="auto"/>
              <w:left w:val="nil"/>
              <w:bottom w:val="single" w:sz="4" w:space="0" w:color="auto"/>
              <w:right w:val="nil"/>
            </w:tcBorders>
            <w:shd w:val="clear" w:color="auto" w:fill="auto"/>
            <w:vAlign w:val="center"/>
          </w:tcPr>
          <w:p w14:paraId="0346B289" w14:textId="77777777" w:rsidR="002F4415" w:rsidRPr="00060311" w:rsidRDefault="002F4415">
            <w:pPr>
              <w:rPr>
                <w:rFonts w:ascii="Arial" w:hAnsi="Arial" w:cs="Arial"/>
                <w:b/>
                <w:bCs/>
                <w:color w:val="000000"/>
                <w:sz w:val="18"/>
                <w:szCs w:val="18"/>
                <w:lang w:eastAsia="en-SG"/>
              </w:rPr>
            </w:pPr>
          </w:p>
        </w:tc>
        <w:tc>
          <w:tcPr>
            <w:tcW w:w="615" w:type="pct"/>
            <w:tcBorders>
              <w:top w:val="single" w:sz="4" w:space="0" w:color="auto"/>
              <w:left w:val="nil"/>
              <w:bottom w:val="single" w:sz="4" w:space="0" w:color="auto"/>
              <w:right w:val="nil"/>
            </w:tcBorders>
            <w:shd w:val="clear" w:color="auto" w:fill="auto"/>
            <w:noWrap/>
            <w:vAlign w:val="center"/>
            <w:hideMark/>
          </w:tcPr>
          <w:p w14:paraId="4A3BD570"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5,393,454 </w:t>
            </w:r>
          </w:p>
        </w:tc>
        <w:tc>
          <w:tcPr>
            <w:tcW w:w="615" w:type="pct"/>
            <w:tcBorders>
              <w:top w:val="single" w:sz="4" w:space="0" w:color="auto"/>
              <w:left w:val="nil"/>
              <w:bottom w:val="single" w:sz="4" w:space="0" w:color="auto"/>
              <w:right w:val="nil"/>
            </w:tcBorders>
            <w:shd w:val="clear" w:color="auto" w:fill="auto"/>
            <w:noWrap/>
            <w:vAlign w:val="center"/>
            <w:hideMark/>
          </w:tcPr>
          <w:p w14:paraId="747805D7"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5,888,230 </w:t>
            </w:r>
          </w:p>
        </w:tc>
        <w:tc>
          <w:tcPr>
            <w:tcW w:w="615" w:type="pct"/>
            <w:tcBorders>
              <w:top w:val="single" w:sz="4" w:space="0" w:color="auto"/>
              <w:left w:val="nil"/>
              <w:bottom w:val="single" w:sz="4" w:space="0" w:color="auto"/>
              <w:right w:val="nil"/>
            </w:tcBorders>
            <w:shd w:val="clear" w:color="auto" w:fill="auto"/>
            <w:noWrap/>
            <w:vAlign w:val="center"/>
            <w:hideMark/>
          </w:tcPr>
          <w:p w14:paraId="3B8511B3"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6,477,125 </w:t>
            </w:r>
          </w:p>
        </w:tc>
        <w:tc>
          <w:tcPr>
            <w:tcW w:w="615" w:type="pct"/>
            <w:tcBorders>
              <w:top w:val="single" w:sz="4" w:space="0" w:color="auto"/>
              <w:left w:val="nil"/>
              <w:bottom w:val="single" w:sz="4" w:space="0" w:color="auto"/>
              <w:right w:val="nil"/>
            </w:tcBorders>
            <w:shd w:val="clear" w:color="auto" w:fill="auto"/>
            <w:noWrap/>
            <w:vAlign w:val="center"/>
            <w:hideMark/>
          </w:tcPr>
          <w:p w14:paraId="7B04DEF5"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6,737,961 </w:t>
            </w:r>
          </w:p>
        </w:tc>
        <w:tc>
          <w:tcPr>
            <w:tcW w:w="675" w:type="pct"/>
            <w:tcBorders>
              <w:top w:val="single" w:sz="4" w:space="0" w:color="auto"/>
              <w:left w:val="nil"/>
              <w:bottom w:val="single" w:sz="4" w:space="0" w:color="auto"/>
              <w:right w:val="nil"/>
            </w:tcBorders>
            <w:shd w:val="clear" w:color="auto" w:fill="auto"/>
            <w:noWrap/>
            <w:vAlign w:val="center"/>
            <w:hideMark/>
          </w:tcPr>
          <w:p w14:paraId="04EA6288"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7,268,702 </w:t>
            </w:r>
          </w:p>
        </w:tc>
      </w:tr>
      <w:tr w:rsidR="002F4415" w:rsidRPr="00060311" w14:paraId="712B84A1" w14:textId="77777777" w:rsidTr="007D6686">
        <w:trPr>
          <w:trHeight w:val="285"/>
        </w:trPr>
        <w:tc>
          <w:tcPr>
            <w:tcW w:w="1729" w:type="pct"/>
            <w:tcBorders>
              <w:top w:val="nil"/>
              <w:left w:val="nil"/>
              <w:bottom w:val="double" w:sz="4" w:space="0" w:color="auto"/>
              <w:right w:val="nil"/>
            </w:tcBorders>
            <w:shd w:val="clear" w:color="auto" w:fill="auto"/>
            <w:vAlign w:val="center"/>
          </w:tcPr>
          <w:p w14:paraId="61BFFA77" w14:textId="77777777" w:rsidR="002F4415" w:rsidRPr="00060311" w:rsidRDefault="002F4415" w:rsidP="00C1248F">
            <w:pPr>
              <w:rPr>
                <w:rFonts w:ascii="Arial" w:hAnsi="Arial" w:cs="Arial"/>
                <w:b/>
                <w:sz w:val="18"/>
                <w:szCs w:val="18"/>
              </w:rPr>
            </w:pPr>
            <w:r w:rsidRPr="00060311">
              <w:rPr>
                <w:rFonts w:ascii="Arial" w:hAnsi="Arial" w:cs="Arial"/>
                <w:b/>
                <w:sz w:val="18"/>
                <w:szCs w:val="18"/>
              </w:rPr>
              <w:t>TOTAL EQUITIES AND LIABILITIES</w:t>
            </w:r>
          </w:p>
        </w:tc>
        <w:tc>
          <w:tcPr>
            <w:tcW w:w="136" w:type="pct"/>
            <w:tcBorders>
              <w:top w:val="nil"/>
              <w:left w:val="nil"/>
              <w:bottom w:val="double" w:sz="4" w:space="0" w:color="auto"/>
              <w:right w:val="nil"/>
            </w:tcBorders>
            <w:shd w:val="clear" w:color="auto" w:fill="auto"/>
            <w:vAlign w:val="center"/>
          </w:tcPr>
          <w:p w14:paraId="1CF887D1" w14:textId="77777777" w:rsidR="002F4415" w:rsidRPr="00060311" w:rsidRDefault="002F4415">
            <w:pPr>
              <w:rPr>
                <w:rFonts w:ascii="Arial" w:hAnsi="Arial" w:cs="Arial"/>
                <w:b/>
                <w:bCs/>
                <w:color w:val="000000"/>
                <w:sz w:val="18"/>
                <w:szCs w:val="18"/>
                <w:lang w:eastAsia="en-SG"/>
              </w:rPr>
            </w:pPr>
          </w:p>
        </w:tc>
        <w:tc>
          <w:tcPr>
            <w:tcW w:w="615" w:type="pct"/>
            <w:tcBorders>
              <w:top w:val="nil"/>
              <w:left w:val="nil"/>
              <w:bottom w:val="double" w:sz="4" w:space="0" w:color="auto"/>
              <w:right w:val="nil"/>
            </w:tcBorders>
            <w:shd w:val="clear" w:color="auto" w:fill="auto"/>
            <w:noWrap/>
            <w:vAlign w:val="center"/>
            <w:hideMark/>
          </w:tcPr>
          <w:p w14:paraId="057F1593"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6,376,990 </w:t>
            </w:r>
          </w:p>
        </w:tc>
        <w:tc>
          <w:tcPr>
            <w:tcW w:w="615" w:type="pct"/>
            <w:tcBorders>
              <w:top w:val="nil"/>
              <w:left w:val="nil"/>
              <w:bottom w:val="double" w:sz="4" w:space="0" w:color="auto"/>
              <w:right w:val="nil"/>
            </w:tcBorders>
            <w:shd w:val="clear" w:color="auto" w:fill="auto"/>
            <w:noWrap/>
            <w:vAlign w:val="center"/>
            <w:hideMark/>
          </w:tcPr>
          <w:p w14:paraId="776B682A"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6,982,177 </w:t>
            </w:r>
          </w:p>
        </w:tc>
        <w:tc>
          <w:tcPr>
            <w:tcW w:w="615" w:type="pct"/>
            <w:tcBorders>
              <w:top w:val="nil"/>
              <w:left w:val="nil"/>
              <w:bottom w:val="double" w:sz="4" w:space="0" w:color="auto"/>
              <w:right w:val="nil"/>
            </w:tcBorders>
            <w:shd w:val="clear" w:color="auto" w:fill="auto"/>
            <w:noWrap/>
            <w:vAlign w:val="center"/>
            <w:hideMark/>
          </w:tcPr>
          <w:p w14:paraId="6E880333"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8,078,048 </w:t>
            </w:r>
          </w:p>
        </w:tc>
        <w:tc>
          <w:tcPr>
            <w:tcW w:w="615" w:type="pct"/>
            <w:tcBorders>
              <w:top w:val="nil"/>
              <w:left w:val="nil"/>
              <w:bottom w:val="double" w:sz="4" w:space="0" w:color="auto"/>
              <w:right w:val="nil"/>
            </w:tcBorders>
            <w:shd w:val="clear" w:color="auto" w:fill="auto"/>
            <w:noWrap/>
            <w:vAlign w:val="center"/>
            <w:hideMark/>
          </w:tcPr>
          <w:p w14:paraId="72EFA3C0"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9,931,334 </w:t>
            </w:r>
          </w:p>
        </w:tc>
        <w:tc>
          <w:tcPr>
            <w:tcW w:w="675" w:type="pct"/>
            <w:tcBorders>
              <w:top w:val="nil"/>
              <w:left w:val="nil"/>
              <w:bottom w:val="double" w:sz="4" w:space="0" w:color="auto"/>
              <w:right w:val="nil"/>
            </w:tcBorders>
            <w:shd w:val="clear" w:color="auto" w:fill="auto"/>
            <w:noWrap/>
            <w:vAlign w:val="center"/>
            <w:hideMark/>
          </w:tcPr>
          <w:p w14:paraId="6E69F010" w14:textId="77777777" w:rsidR="002F4415" w:rsidRPr="00060311" w:rsidRDefault="002F4415">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10,360,772 </w:t>
            </w:r>
          </w:p>
        </w:tc>
      </w:tr>
    </w:tbl>
    <w:p w14:paraId="2D8C0734" w14:textId="77777777" w:rsidR="002F4415" w:rsidRPr="00060311" w:rsidRDefault="002F4415" w:rsidP="00BD644A">
      <w:pPr>
        <w:pStyle w:val="ExhibitText"/>
      </w:pPr>
    </w:p>
    <w:p w14:paraId="4976103E" w14:textId="032B4604" w:rsidR="00857913" w:rsidRDefault="002F4415" w:rsidP="00857913">
      <w:pPr>
        <w:pStyle w:val="Footnote"/>
        <w:jc w:val="both"/>
      </w:pPr>
      <w:r w:rsidRPr="007D6686">
        <w:t xml:space="preserve">Source: Created by </w:t>
      </w:r>
      <w:r w:rsidR="006E5489">
        <w:t xml:space="preserve">the case </w:t>
      </w:r>
      <w:r w:rsidRPr="007D6686">
        <w:t>authors based on information obtained from CapitaMall</w:t>
      </w:r>
      <w:r w:rsidR="00217B0D" w:rsidRPr="007D6686">
        <w:t>s</w:t>
      </w:r>
      <w:r w:rsidRPr="007D6686">
        <w:t xml:space="preserve"> Asia</w:t>
      </w:r>
      <w:r w:rsidR="00217B0D" w:rsidRPr="007D6686">
        <w:t xml:space="preserve"> Limited</w:t>
      </w:r>
      <w:r w:rsidRPr="007D6686">
        <w:t xml:space="preserve">, </w:t>
      </w:r>
      <w:r w:rsidRPr="007D6686">
        <w:rPr>
          <w:i/>
        </w:rPr>
        <w:t>Clarity, Sustainable Growth: Annual Report 2013</w:t>
      </w:r>
      <w:r w:rsidRPr="007D6686">
        <w:t xml:space="preserve">, accessed January </w:t>
      </w:r>
      <w:r w:rsidR="003B1D58" w:rsidRPr="007D6686">
        <w:t xml:space="preserve">27, </w:t>
      </w:r>
      <w:r w:rsidRPr="007D6686">
        <w:t>2017</w:t>
      </w:r>
      <w:r w:rsidR="003B1D58" w:rsidRPr="007D6686">
        <w:t>,</w:t>
      </w:r>
      <w:r w:rsidRPr="007D6686">
        <w:t xml:space="preserve"> </w:t>
      </w:r>
      <w:r w:rsidR="00857913" w:rsidRPr="00857913">
        <w:t>http://infopub.sgx.com/FileOpen/CMA%20AR(Final)_2013.ashx?</w:t>
      </w:r>
    </w:p>
    <w:p w14:paraId="01E455DC" w14:textId="137F105F" w:rsidR="007D6686" w:rsidRPr="007D6686" w:rsidRDefault="00857913" w:rsidP="00857913">
      <w:pPr>
        <w:pStyle w:val="Footnote"/>
        <w:jc w:val="both"/>
        <w:rPr>
          <w:spacing w:val="-2"/>
        </w:rPr>
      </w:pPr>
      <w:r w:rsidRPr="00857913">
        <w:t>App</w:t>
      </w:r>
      <w:r w:rsidR="007D6686" w:rsidRPr="007D6686">
        <w:t>=Prospectus&amp;</w:t>
      </w:r>
      <w:r w:rsidR="00217B0D" w:rsidRPr="007D6686">
        <w:rPr>
          <w:spacing w:val="-2"/>
        </w:rPr>
        <w:t>FileID=20423</w:t>
      </w:r>
      <w:r w:rsidR="003B1D58" w:rsidRPr="007D6686">
        <w:rPr>
          <w:spacing w:val="-2"/>
        </w:rPr>
        <w:t>;</w:t>
      </w:r>
      <w:r w:rsidR="002F4415" w:rsidRPr="007D6686">
        <w:rPr>
          <w:spacing w:val="-2"/>
        </w:rPr>
        <w:t xml:space="preserve"> </w:t>
      </w:r>
      <w:r w:rsidR="00217B0D" w:rsidRPr="007D6686">
        <w:rPr>
          <w:spacing w:val="-2"/>
        </w:rPr>
        <w:t xml:space="preserve">CapitaMalls Asia Limited, </w:t>
      </w:r>
      <w:r w:rsidR="002F4415" w:rsidRPr="007D6686">
        <w:rPr>
          <w:i/>
          <w:spacing w:val="-2"/>
        </w:rPr>
        <w:t>Extending Reach, Seizing New Opportunities: Report to Shareholders 2012</w:t>
      </w:r>
      <w:r w:rsidR="002F4415" w:rsidRPr="007D6686">
        <w:rPr>
          <w:spacing w:val="-2"/>
        </w:rPr>
        <w:t xml:space="preserve">, accessed January </w:t>
      </w:r>
      <w:r w:rsidR="00217B0D" w:rsidRPr="007D6686">
        <w:rPr>
          <w:spacing w:val="-2"/>
        </w:rPr>
        <w:t xml:space="preserve">27, </w:t>
      </w:r>
      <w:r w:rsidR="002F4415" w:rsidRPr="007D6686">
        <w:rPr>
          <w:spacing w:val="-2"/>
        </w:rPr>
        <w:t>2017</w:t>
      </w:r>
      <w:r w:rsidR="00217B0D" w:rsidRPr="007D6686">
        <w:rPr>
          <w:spacing w:val="-2"/>
        </w:rPr>
        <w:t>,</w:t>
      </w:r>
      <w:r w:rsidR="002F4415" w:rsidRPr="007D6686">
        <w:rPr>
          <w:spacing w:val="-2"/>
        </w:rPr>
        <w:t xml:space="preserve"> </w:t>
      </w:r>
      <w:r w:rsidR="00217B0D" w:rsidRPr="007D6686">
        <w:rPr>
          <w:spacing w:val="-2"/>
        </w:rPr>
        <w:t>http://capitamallsasia.listedcompany.com/misc/2012_en/ar2012_en.pdf;</w:t>
      </w:r>
      <w:r w:rsidR="002F4415" w:rsidRPr="007D6686">
        <w:rPr>
          <w:spacing w:val="-2"/>
        </w:rPr>
        <w:t xml:space="preserve"> </w:t>
      </w:r>
      <w:r w:rsidR="00217B0D" w:rsidRPr="007D6686">
        <w:rPr>
          <w:spacing w:val="-2"/>
        </w:rPr>
        <w:t xml:space="preserve">CapitaMalls Asia Limited, </w:t>
      </w:r>
      <w:r w:rsidR="002F4415" w:rsidRPr="007D6686">
        <w:rPr>
          <w:i/>
          <w:spacing w:val="-2"/>
        </w:rPr>
        <w:t>Growing Our Presence in Asia, Report to Shareholders 2011</w:t>
      </w:r>
      <w:r w:rsidR="002F4415" w:rsidRPr="007D6686">
        <w:rPr>
          <w:spacing w:val="-2"/>
        </w:rPr>
        <w:t xml:space="preserve">, accessed January </w:t>
      </w:r>
      <w:r w:rsidR="00217B0D" w:rsidRPr="007D6686">
        <w:rPr>
          <w:spacing w:val="-2"/>
        </w:rPr>
        <w:t xml:space="preserve">27, </w:t>
      </w:r>
      <w:r w:rsidR="002F4415" w:rsidRPr="007D6686">
        <w:rPr>
          <w:spacing w:val="-2"/>
        </w:rPr>
        <w:t>2017</w:t>
      </w:r>
      <w:r w:rsidR="00217B0D" w:rsidRPr="007D6686">
        <w:rPr>
          <w:spacing w:val="-2"/>
        </w:rPr>
        <w:t>,</w:t>
      </w:r>
      <w:r w:rsidR="002F4415" w:rsidRPr="007D6686">
        <w:rPr>
          <w:spacing w:val="-2"/>
        </w:rPr>
        <w:t xml:space="preserve"> </w:t>
      </w:r>
      <w:r w:rsidR="00217B0D" w:rsidRPr="007D6686">
        <w:rPr>
          <w:spacing w:val="-2"/>
        </w:rPr>
        <w:t>http://infopub.sgx.com/FileOpen/CapitaMalls%20Asia%20AR%202011(FINAL_ENGLISH).ashx?App=Prospectus&amp;FileID=92</w:t>
      </w:r>
      <w:r w:rsidR="006E5489">
        <w:rPr>
          <w:spacing w:val="-2"/>
        </w:rPr>
        <w:t>;</w:t>
      </w:r>
      <w:r w:rsidR="002F4415" w:rsidRPr="007D6686">
        <w:rPr>
          <w:spacing w:val="-2"/>
        </w:rPr>
        <w:t xml:space="preserve"> </w:t>
      </w:r>
      <w:r w:rsidR="00217B0D" w:rsidRPr="007D6686">
        <w:rPr>
          <w:spacing w:val="-2"/>
        </w:rPr>
        <w:t xml:space="preserve">CapitaMalls Asia Limited, </w:t>
      </w:r>
      <w:r w:rsidR="002F4415" w:rsidRPr="007D6686">
        <w:rPr>
          <w:i/>
          <w:spacing w:val="-2"/>
        </w:rPr>
        <w:t>Growing Our Presence</w:t>
      </w:r>
      <w:r w:rsidR="00217B0D" w:rsidRPr="007D6686">
        <w:rPr>
          <w:i/>
          <w:spacing w:val="-2"/>
        </w:rPr>
        <w:t xml:space="preserve">: </w:t>
      </w:r>
      <w:r w:rsidR="002F4415" w:rsidRPr="007D6686">
        <w:rPr>
          <w:i/>
          <w:spacing w:val="-2"/>
        </w:rPr>
        <w:t>Report to Shareholders 2010</w:t>
      </w:r>
      <w:r w:rsidR="002F4415" w:rsidRPr="007D6686">
        <w:rPr>
          <w:spacing w:val="-2"/>
        </w:rPr>
        <w:t xml:space="preserve">, accessed January </w:t>
      </w:r>
      <w:r w:rsidR="00217B0D" w:rsidRPr="007D6686">
        <w:rPr>
          <w:spacing w:val="-2"/>
        </w:rPr>
        <w:t xml:space="preserve">27, </w:t>
      </w:r>
      <w:r w:rsidR="002F4415" w:rsidRPr="007D6686">
        <w:rPr>
          <w:spacing w:val="-2"/>
        </w:rPr>
        <w:t>2017</w:t>
      </w:r>
      <w:r w:rsidR="00217B0D" w:rsidRPr="007D6686">
        <w:rPr>
          <w:spacing w:val="-2"/>
        </w:rPr>
        <w:t>, http://infopub.sgx.com/FileOpen/CapitaMalls%20Asia%20AR%202010.ashx?App=Prospectus&amp;FileID=10698;</w:t>
      </w:r>
      <w:r w:rsidR="002F4415" w:rsidRPr="007D6686">
        <w:rPr>
          <w:spacing w:val="-2"/>
        </w:rPr>
        <w:t xml:space="preserve"> </w:t>
      </w:r>
      <w:r w:rsidR="00217B0D" w:rsidRPr="007D6686">
        <w:rPr>
          <w:spacing w:val="-2"/>
        </w:rPr>
        <w:t xml:space="preserve">CapitaMalls Asia Limited, </w:t>
      </w:r>
      <w:r w:rsidR="002F4415" w:rsidRPr="007D6686">
        <w:rPr>
          <w:i/>
          <w:spacing w:val="-2"/>
        </w:rPr>
        <w:t>Asia’s Leading Shopping Mall Developer, Owner and Manager</w:t>
      </w:r>
      <w:r w:rsidR="00217B0D" w:rsidRPr="007D6686">
        <w:rPr>
          <w:i/>
          <w:spacing w:val="-2"/>
        </w:rPr>
        <w:t xml:space="preserve">: </w:t>
      </w:r>
      <w:r w:rsidR="002F4415" w:rsidRPr="007D6686">
        <w:rPr>
          <w:i/>
          <w:spacing w:val="-2"/>
        </w:rPr>
        <w:t>Report to Shareholders 2009</w:t>
      </w:r>
      <w:r w:rsidR="002F4415" w:rsidRPr="007D6686">
        <w:rPr>
          <w:spacing w:val="-2"/>
        </w:rPr>
        <w:t xml:space="preserve">, accessed January </w:t>
      </w:r>
      <w:r w:rsidR="00217B0D" w:rsidRPr="007D6686">
        <w:rPr>
          <w:spacing w:val="-2"/>
        </w:rPr>
        <w:t xml:space="preserve">27, </w:t>
      </w:r>
      <w:r w:rsidR="002F4415" w:rsidRPr="007D6686">
        <w:rPr>
          <w:spacing w:val="-2"/>
        </w:rPr>
        <w:t>2017</w:t>
      </w:r>
      <w:r w:rsidR="00217B0D" w:rsidRPr="007D6686">
        <w:rPr>
          <w:spacing w:val="-2"/>
        </w:rPr>
        <w:t>,</w:t>
      </w:r>
      <w:r w:rsidR="002F4415" w:rsidRPr="007D6686">
        <w:rPr>
          <w:spacing w:val="-2"/>
        </w:rPr>
        <w:t xml:space="preserve"> </w:t>
      </w:r>
      <w:r w:rsidR="007D6686" w:rsidRPr="007D6686">
        <w:rPr>
          <w:spacing w:val="-2"/>
        </w:rPr>
        <w:t>http://infopub.sgx.com/FileOpen/CMA%20AR2009%20PDF%20for%20Registra.ashx?App=Prospectus&amp;FileID=7966</w:t>
      </w:r>
      <w:r w:rsidR="007D6686">
        <w:rPr>
          <w:spacing w:val="-2"/>
        </w:rPr>
        <w:t>.</w:t>
      </w:r>
    </w:p>
    <w:p w14:paraId="2EEDED0B" w14:textId="7AE99D62" w:rsidR="008261BF" w:rsidRDefault="008261BF">
      <w:pPr>
        <w:spacing w:after="200" w:line="276" w:lineRule="auto"/>
        <w:rPr>
          <w:rFonts w:ascii="Arial" w:hAnsi="Arial" w:cs="Arial"/>
          <w:sz w:val="17"/>
          <w:szCs w:val="17"/>
        </w:rPr>
      </w:pPr>
      <w:r>
        <w:br w:type="page"/>
      </w:r>
    </w:p>
    <w:p w14:paraId="50A935A6" w14:textId="5B5A35F3" w:rsidR="004F4C5A" w:rsidRDefault="004F4C5A" w:rsidP="00F427A8">
      <w:pPr>
        <w:pStyle w:val="ExhibitHeading"/>
        <w:rPr>
          <w:lang w:val="en-CA"/>
        </w:rPr>
      </w:pPr>
      <w:r>
        <w:rPr>
          <w:lang w:val="en-CA"/>
        </w:rPr>
        <w:t xml:space="preserve">Exhibit </w:t>
      </w:r>
      <w:r w:rsidR="002F4415">
        <w:rPr>
          <w:lang w:val="en-CA"/>
        </w:rPr>
        <w:t>2</w:t>
      </w:r>
      <w:r w:rsidRPr="0085053B">
        <w:rPr>
          <w:lang w:val="en-CA"/>
        </w:rPr>
        <w:t xml:space="preserve">: </w:t>
      </w:r>
      <w:r>
        <w:rPr>
          <w:lang w:val="en-CA"/>
        </w:rPr>
        <w:t>capit</w:t>
      </w:r>
      <w:r w:rsidRPr="00BD644A">
        <w:rPr>
          <w:spacing w:val="20"/>
          <w:lang w:val="en-CA"/>
        </w:rPr>
        <w:t>a</w:t>
      </w:r>
      <w:r>
        <w:rPr>
          <w:lang w:val="en-CA"/>
        </w:rPr>
        <w:t>mall asia’</w:t>
      </w:r>
      <w:r w:rsidRPr="0085053B">
        <w:rPr>
          <w:lang w:val="en-CA"/>
        </w:rPr>
        <w:t>s income statements</w:t>
      </w:r>
      <w:r w:rsidR="00207578">
        <w:rPr>
          <w:lang w:val="en-CA"/>
        </w:rPr>
        <w:t xml:space="preserve"> (IN </w:t>
      </w:r>
      <w:r w:rsidR="00A07A69">
        <w:rPr>
          <w:lang w:val="en-CA"/>
        </w:rPr>
        <w:t xml:space="preserve">SG$ </w:t>
      </w:r>
      <w:r w:rsidR="00207578">
        <w:rPr>
          <w:lang w:val="en-CA"/>
        </w:rPr>
        <w:t>THOUSAND</w:t>
      </w:r>
      <w:r w:rsidR="00A07A69">
        <w:rPr>
          <w:lang w:val="en-CA"/>
        </w:rPr>
        <w:t>s</w:t>
      </w:r>
      <w:r w:rsidR="00207578">
        <w:rPr>
          <w:lang w:val="en-CA"/>
        </w:rPr>
        <w:t>)</w:t>
      </w:r>
    </w:p>
    <w:p w14:paraId="067C01F7" w14:textId="1E66BFA8" w:rsidR="004F4C5A" w:rsidRPr="007D6686" w:rsidRDefault="004F4C5A" w:rsidP="00BD644A">
      <w:pPr>
        <w:pStyle w:val="ExhibitText"/>
      </w:pPr>
    </w:p>
    <w:tbl>
      <w:tblPr>
        <w:tblW w:w="5000" w:type="pct"/>
        <w:tblLook w:val="04A0" w:firstRow="1" w:lastRow="0" w:firstColumn="1" w:lastColumn="0" w:noHBand="0" w:noVBand="1"/>
      </w:tblPr>
      <w:tblGrid>
        <w:gridCol w:w="3127"/>
        <w:gridCol w:w="241"/>
        <w:gridCol w:w="1199"/>
        <w:gridCol w:w="1199"/>
        <w:gridCol w:w="1198"/>
        <w:gridCol w:w="1198"/>
        <w:gridCol w:w="1198"/>
      </w:tblGrid>
      <w:tr w:rsidR="00B52377" w:rsidRPr="00060311" w14:paraId="11CD9E4D" w14:textId="77777777" w:rsidTr="00245772">
        <w:trPr>
          <w:trHeight w:val="230"/>
        </w:trPr>
        <w:tc>
          <w:tcPr>
            <w:tcW w:w="1669" w:type="pct"/>
            <w:tcBorders>
              <w:top w:val="double" w:sz="4" w:space="0" w:color="auto"/>
              <w:left w:val="nil"/>
              <w:bottom w:val="nil"/>
              <w:right w:val="nil"/>
            </w:tcBorders>
          </w:tcPr>
          <w:p w14:paraId="5E642058" w14:textId="77777777" w:rsidR="004F4C5A" w:rsidRPr="00060311" w:rsidRDefault="004F4C5A" w:rsidP="00F427A8">
            <w:pPr>
              <w:keepNext/>
              <w:jc w:val="center"/>
              <w:rPr>
                <w:rFonts w:ascii="Arial" w:hAnsi="Arial" w:cs="Arial"/>
                <w:b/>
                <w:bCs/>
                <w:color w:val="000000"/>
                <w:sz w:val="18"/>
                <w:szCs w:val="18"/>
                <w:lang w:eastAsia="en-SG"/>
              </w:rPr>
            </w:pPr>
          </w:p>
        </w:tc>
        <w:tc>
          <w:tcPr>
            <w:tcW w:w="128" w:type="pct"/>
            <w:tcBorders>
              <w:top w:val="double" w:sz="4" w:space="0" w:color="auto"/>
              <w:left w:val="nil"/>
              <w:bottom w:val="nil"/>
              <w:right w:val="nil"/>
            </w:tcBorders>
          </w:tcPr>
          <w:p w14:paraId="4239B1FA" w14:textId="77777777" w:rsidR="004F4C5A" w:rsidRPr="00060311" w:rsidRDefault="004F4C5A" w:rsidP="00F427A8">
            <w:pPr>
              <w:keepNext/>
              <w:jc w:val="center"/>
              <w:rPr>
                <w:rFonts w:ascii="Arial" w:hAnsi="Arial" w:cs="Arial"/>
                <w:b/>
                <w:bCs/>
                <w:color w:val="000000"/>
                <w:sz w:val="18"/>
                <w:szCs w:val="18"/>
                <w:lang w:eastAsia="en-SG"/>
              </w:rPr>
            </w:pPr>
          </w:p>
        </w:tc>
        <w:tc>
          <w:tcPr>
            <w:tcW w:w="640" w:type="pct"/>
            <w:tcBorders>
              <w:top w:val="double" w:sz="4" w:space="0" w:color="auto"/>
              <w:left w:val="nil"/>
              <w:bottom w:val="single" w:sz="4" w:space="0" w:color="auto"/>
              <w:right w:val="nil"/>
            </w:tcBorders>
            <w:shd w:val="clear" w:color="auto" w:fill="auto"/>
            <w:noWrap/>
          </w:tcPr>
          <w:p w14:paraId="3A6D8DC6" w14:textId="77777777" w:rsidR="004F4C5A" w:rsidRPr="00060311" w:rsidRDefault="004F4C5A" w:rsidP="00F427A8">
            <w:pPr>
              <w:keepNext/>
              <w:jc w:val="center"/>
              <w:rPr>
                <w:rFonts w:ascii="Arial" w:hAnsi="Arial" w:cs="Arial"/>
                <w:b/>
                <w:bCs/>
                <w:color w:val="000000"/>
                <w:sz w:val="18"/>
                <w:szCs w:val="18"/>
                <w:lang w:eastAsia="en-SG"/>
              </w:rPr>
            </w:pPr>
            <w:r w:rsidRPr="00060311">
              <w:rPr>
                <w:rFonts w:ascii="Arial" w:hAnsi="Arial" w:cs="Arial"/>
                <w:b/>
                <w:bCs/>
                <w:color w:val="000000"/>
                <w:sz w:val="18"/>
                <w:szCs w:val="18"/>
                <w:lang w:eastAsia="en-SG"/>
              </w:rPr>
              <w:t>2009</w:t>
            </w:r>
          </w:p>
        </w:tc>
        <w:tc>
          <w:tcPr>
            <w:tcW w:w="640" w:type="pct"/>
            <w:tcBorders>
              <w:top w:val="double" w:sz="4" w:space="0" w:color="auto"/>
              <w:left w:val="nil"/>
              <w:bottom w:val="single" w:sz="4" w:space="0" w:color="auto"/>
              <w:right w:val="nil"/>
            </w:tcBorders>
            <w:shd w:val="clear" w:color="auto" w:fill="auto"/>
            <w:noWrap/>
          </w:tcPr>
          <w:p w14:paraId="17E4C97C" w14:textId="77777777" w:rsidR="004F4C5A" w:rsidRPr="00060311" w:rsidRDefault="004F4C5A" w:rsidP="00F427A8">
            <w:pPr>
              <w:keepNext/>
              <w:jc w:val="center"/>
              <w:rPr>
                <w:rFonts w:ascii="Arial" w:hAnsi="Arial" w:cs="Arial"/>
                <w:b/>
                <w:bCs/>
                <w:color w:val="000000"/>
                <w:sz w:val="18"/>
                <w:szCs w:val="18"/>
                <w:lang w:eastAsia="en-SG"/>
              </w:rPr>
            </w:pPr>
            <w:r w:rsidRPr="00060311">
              <w:rPr>
                <w:rFonts w:ascii="Arial" w:hAnsi="Arial" w:cs="Arial"/>
                <w:b/>
                <w:bCs/>
                <w:color w:val="000000"/>
                <w:sz w:val="18"/>
                <w:szCs w:val="18"/>
                <w:lang w:eastAsia="en-SG"/>
              </w:rPr>
              <w:t>2010</w:t>
            </w:r>
          </w:p>
        </w:tc>
        <w:tc>
          <w:tcPr>
            <w:tcW w:w="640" w:type="pct"/>
            <w:tcBorders>
              <w:top w:val="double" w:sz="4" w:space="0" w:color="auto"/>
              <w:left w:val="nil"/>
              <w:bottom w:val="single" w:sz="4" w:space="0" w:color="auto"/>
              <w:right w:val="nil"/>
            </w:tcBorders>
            <w:shd w:val="clear" w:color="auto" w:fill="auto"/>
            <w:noWrap/>
          </w:tcPr>
          <w:p w14:paraId="3F126ABF" w14:textId="77777777" w:rsidR="004F4C5A" w:rsidRPr="00060311" w:rsidRDefault="004F4C5A" w:rsidP="00F427A8">
            <w:pPr>
              <w:keepNext/>
              <w:jc w:val="center"/>
              <w:rPr>
                <w:rFonts w:ascii="Arial" w:hAnsi="Arial" w:cs="Arial"/>
                <w:b/>
                <w:bCs/>
                <w:color w:val="000000"/>
                <w:sz w:val="18"/>
                <w:szCs w:val="18"/>
                <w:lang w:eastAsia="en-SG"/>
              </w:rPr>
            </w:pPr>
            <w:r w:rsidRPr="00060311">
              <w:rPr>
                <w:rFonts w:ascii="Arial" w:hAnsi="Arial" w:cs="Arial"/>
                <w:b/>
                <w:bCs/>
                <w:color w:val="000000"/>
                <w:sz w:val="18"/>
                <w:szCs w:val="18"/>
                <w:lang w:eastAsia="en-SG"/>
              </w:rPr>
              <w:t>2011</w:t>
            </w:r>
          </w:p>
        </w:tc>
        <w:tc>
          <w:tcPr>
            <w:tcW w:w="640" w:type="pct"/>
            <w:tcBorders>
              <w:top w:val="double" w:sz="4" w:space="0" w:color="auto"/>
              <w:left w:val="nil"/>
              <w:bottom w:val="single" w:sz="4" w:space="0" w:color="auto"/>
              <w:right w:val="nil"/>
            </w:tcBorders>
            <w:shd w:val="clear" w:color="auto" w:fill="auto"/>
          </w:tcPr>
          <w:p w14:paraId="4095ECEA" w14:textId="77777777" w:rsidR="004F4C5A" w:rsidRPr="00060311" w:rsidRDefault="004F4C5A" w:rsidP="00F427A8">
            <w:pPr>
              <w:keepNext/>
              <w:jc w:val="center"/>
              <w:rPr>
                <w:rFonts w:ascii="Arial" w:hAnsi="Arial" w:cs="Arial"/>
                <w:b/>
                <w:bCs/>
                <w:color w:val="272625"/>
                <w:sz w:val="18"/>
                <w:szCs w:val="18"/>
                <w:lang w:eastAsia="en-SG"/>
              </w:rPr>
            </w:pPr>
            <w:r w:rsidRPr="00060311">
              <w:rPr>
                <w:rFonts w:ascii="Arial" w:hAnsi="Arial" w:cs="Arial"/>
                <w:b/>
                <w:bCs/>
                <w:color w:val="272625"/>
                <w:sz w:val="18"/>
                <w:szCs w:val="18"/>
                <w:lang w:eastAsia="en-SG"/>
              </w:rPr>
              <w:t>2012</w:t>
            </w:r>
          </w:p>
        </w:tc>
        <w:tc>
          <w:tcPr>
            <w:tcW w:w="640" w:type="pct"/>
            <w:tcBorders>
              <w:top w:val="double" w:sz="4" w:space="0" w:color="auto"/>
              <w:left w:val="nil"/>
              <w:bottom w:val="single" w:sz="4" w:space="0" w:color="auto"/>
              <w:right w:val="nil"/>
            </w:tcBorders>
            <w:shd w:val="clear" w:color="auto" w:fill="auto"/>
            <w:noWrap/>
          </w:tcPr>
          <w:p w14:paraId="52AEAA71" w14:textId="77777777" w:rsidR="004F4C5A" w:rsidRPr="00060311" w:rsidRDefault="004F4C5A" w:rsidP="00F427A8">
            <w:pPr>
              <w:keepNext/>
              <w:jc w:val="center"/>
              <w:rPr>
                <w:rFonts w:ascii="Arial" w:hAnsi="Arial" w:cs="Arial"/>
                <w:b/>
                <w:bCs/>
                <w:color w:val="000000"/>
                <w:sz w:val="18"/>
                <w:szCs w:val="18"/>
                <w:lang w:eastAsia="en-SG"/>
              </w:rPr>
            </w:pPr>
            <w:r w:rsidRPr="00060311">
              <w:rPr>
                <w:rFonts w:ascii="Arial" w:hAnsi="Arial" w:cs="Arial"/>
                <w:b/>
                <w:bCs/>
                <w:color w:val="000000"/>
                <w:sz w:val="18"/>
                <w:szCs w:val="18"/>
                <w:lang w:eastAsia="en-SG"/>
              </w:rPr>
              <w:t>2013</w:t>
            </w:r>
          </w:p>
        </w:tc>
      </w:tr>
      <w:tr w:rsidR="00B52377" w:rsidRPr="00060311" w14:paraId="18BFFB75" w14:textId="77777777" w:rsidTr="00245772">
        <w:trPr>
          <w:trHeight w:val="230"/>
        </w:trPr>
        <w:tc>
          <w:tcPr>
            <w:tcW w:w="1669" w:type="pct"/>
            <w:tcBorders>
              <w:top w:val="nil"/>
              <w:left w:val="nil"/>
              <w:bottom w:val="nil"/>
              <w:right w:val="nil"/>
            </w:tcBorders>
            <w:shd w:val="clear" w:color="auto" w:fill="auto"/>
          </w:tcPr>
          <w:p w14:paraId="183E9D02" w14:textId="77777777" w:rsidR="004F4C5A" w:rsidRPr="00060311" w:rsidRDefault="004F4C5A" w:rsidP="00F427A8">
            <w:pPr>
              <w:keepNext/>
              <w:rPr>
                <w:rFonts w:ascii="Arial" w:hAnsi="Arial" w:cs="Arial"/>
                <w:b/>
                <w:sz w:val="18"/>
                <w:szCs w:val="18"/>
              </w:rPr>
            </w:pPr>
            <w:r w:rsidRPr="00060311">
              <w:rPr>
                <w:rFonts w:ascii="Arial" w:hAnsi="Arial" w:cs="Arial"/>
                <w:b/>
                <w:sz w:val="18"/>
                <w:szCs w:val="18"/>
              </w:rPr>
              <w:t>Revenue</w:t>
            </w:r>
          </w:p>
        </w:tc>
        <w:tc>
          <w:tcPr>
            <w:tcW w:w="128" w:type="pct"/>
            <w:tcBorders>
              <w:top w:val="nil"/>
              <w:left w:val="nil"/>
              <w:bottom w:val="nil"/>
              <w:right w:val="nil"/>
            </w:tcBorders>
            <w:shd w:val="clear" w:color="auto" w:fill="auto"/>
          </w:tcPr>
          <w:p w14:paraId="351A0F92" w14:textId="77777777" w:rsidR="004F4C5A" w:rsidRPr="00060311" w:rsidRDefault="004F4C5A" w:rsidP="00F427A8">
            <w:pPr>
              <w:keepNext/>
              <w:rPr>
                <w:rFonts w:ascii="Arial" w:hAnsi="Arial" w:cs="Arial"/>
                <w:b/>
                <w:bCs/>
                <w:color w:val="000000"/>
                <w:sz w:val="18"/>
                <w:szCs w:val="18"/>
                <w:lang w:eastAsia="en-SG"/>
              </w:rPr>
            </w:pPr>
          </w:p>
        </w:tc>
        <w:tc>
          <w:tcPr>
            <w:tcW w:w="640" w:type="pct"/>
            <w:tcBorders>
              <w:top w:val="nil"/>
              <w:left w:val="nil"/>
              <w:bottom w:val="nil"/>
              <w:right w:val="nil"/>
            </w:tcBorders>
            <w:shd w:val="clear" w:color="auto" w:fill="auto"/>
            <w:noWrap/>
            <w:hideMark/>
          </w:tcPr>
          <w:p w14:paraId="43D43692" w14:textId="77777777" w:rsidR="004F4C5A" w:rsidRPr="00060311" w:rsidRDefault="004F4C5A" w:rsidP="00F427A8">
            <w:pPr>
              <w:keepNext/>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228,946 </w:t>
            </w:r>
          </w:p>
        </w:tc>
        <w:tc>
          <w:tcPr>
            <w:tcW w:w="640" w:type="pct"/>
            <w:tcBorders>
              <w:top w:val="nil"/>
              <w:left w:val="nil"/>
              <w:bottom w:val="nil"/>
              <w:right w:val="nil"/>
            </w:tcBorders>
            <w:shd w:val="clear" w:color="auto" w:fill="auto"/>
            <w:noWrap/>
            <w:hideMark/>
          </w:tcPr>
          <w:p w14:paraId="3F3E5369" w14:textId="77777777" w:rsidR="004F4C5A" w:rsidRPr="00060311" w:rsidRDefault="004F4C5A" w:rsidP="00F427A8">
            <w:pPr>
              <w:keepNext/>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245,402 </w:t>
            </w:r>
          </w:p>
        </w:tc>
        <w:tc>
          <w:tcPr>
            <w:tcW w:w="640" w:type="pct"/>
            <w:tcBorders>
              <w:top w:val="nil"/>
              <w:left w:val="nil"/>
              <w:bottom w:val="nil"/>
              <w:right w:val="nil"/>
            </w:tcBorders>
            <w:shd w:val="clear" w:color="auto" w:fill="auto"/>
            <w:noWrap/>
            <w:hideMark/>
          </w:tcPr>
          <w:p w14:paraId="5512AADA" w14:textId="77777777" w:rsidR="004F4C5A" w:rsidRPr="00060311" w:rsidRDefault="004F4C5A" w:rsidP="00F427A8">
            <w:pPr>
              <w:keepNext/>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246,173 </w:t>
            </w:r>
          </w:p>
        </w:tc>
        <w:tc>
          <w:tcPr>
            <w:tcW w:w="640" w:type="pct"/>
            <w:tcBorders>
              <w:top w:val="nil"/>
              <w:left w:val="nil"/>
              <w:bottom w:val="nil"/>
              <w:right w:val="nil"/>
            </w:tcBorders>
            <w:shd w:val="clear" w:color="auto" w:fill="auto"/>
            <w:hideMark/>
          </w:tcPr>
          <w:p w14:paraId="48314084" w14:textId="77777777" w:rsidR="004F4C5A" w:rsidRPr="00060311" w:rsidRDefault="004F4C5A" w:rsidP="00F427A8">
            <w:pPr>
              <w:keepNext/>
              <w:jc w:val="right"/>
              <w:rPr>
                <w:rFonts w:ascii="Arial" w:hAnsi="Arial" w:cs="Arial"/>
                <w:b/>
                <w:bCs/>
                <w:color w:val="272625"/>
                <w:sz w:val="18"/>
                <w:szCs w:val="18"/>
                <w:lang w:eastAsia="en-SG"/>
              </w:rPr>
            </w:pPr>
            <w:r w:rsidRPr="00060311">
              <w:rPr>
                <w:rFonts w:ascii="Arial" w:hAnsi="Arial" w:cs="Arial"/>
                <w:b/>
                <w:bCs/>
                <w:color w:val="272625"/>
                <w:sz w:val="18"/>
                <w:szCs w:val="18"/>
                <w:lang w:eastAsia="en-SG"/>
              </w:rPr>
              <w:t xml:space="preserve">361,178 </w:t>
            </w:r>
          </w:p>
        </w:tc>
        <w:tc>
          <w:tcPr>
            <w:tcW w:w="640" w:type="pct"/>
            <w:tcBorders>
              <w:top w:val="nil"/>
              <w:left w:val="nil"/>
              <w:bottom w:val="nil"/>
              <w:right w:val="nil"/>
            </w:tcBorders>
            <w:shd w:val="clear" w:color="auto" w:fill="auto"/>
            <w:noWrap/>
            <w:hideMark/>
          </w:tcPr>
          <w:p w14:paraId="2484E132" w14:textId="77777777" w:rsidR="004F4C5A" w:rsidRPr="00060311" w:rsidRDefault="004F4C5A" w:rsidP="00F427A8">
            <w:pPr>
              <w:keepNext/>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380,416 </w:t>
            </w:r>
          </w:p>
        </w:tc>
      </w:tr>
      <w:tr w:rsidR="00B52377" w:rsidRPr="00060311" w14:paraId="0CA1112A" w14:textId="77777777" w:rsidTr="00245772">
        <w:trPr>
          <w:trHeight w:val="230"/>
        </w:trPr>
        <w:tc>
          <w:tcPr>
            <w:tcW w:w="1669" w:type="pct"/>
            <w:tcBorders>
              <w:top w:val="nil"/>
              <w:left w:val="nil"/>
              <w:bottom w:val="nil"/>
              <w:right w:val="nil"/>
            </w:tcBorders>
            <w:shd w:val="clear" w:color="auto" w:fill="auto"/>
          </w:tcPr>
          <w:p w14:paraId="181E6523" w14:textId="77777777" w:rsidR="004F4C5A" w:rsidRPr="00060311" w:rsidRDefault="004F4C5A" w:rsidP="004F4C5A">
            <w:pPr>
              <w:rPr>
                <w:rFonts w:ascii="Arial" w:hAnsi="Arial" w:cs="Arial"/>
                <w:sz w:val="18"/>
                <w:szCs w:val="18"/>
              </w:rPr>
            </w:pPr>
            <w:r w:rsidRPr="00060311">
              <w:rPr>
                <w:rFonts w:ascii="Arial" w:hAnsi="Arial" w:cs="Arial"/>
                <w:sz w:val="18"/>
                <w:szCs w:val="18"/>
              </w:rPr>
              <w:t>Cost of Goods Sold</w:t>
            </w:r>
          </w:p>
        </w:tc>
        <w:tc>
          <w:tcPr>
            <w:tcW w:w="128" w:type="pct"/>
            <w:tcBorders>
              <w:top w:val="nil"/>
              <w:left w:val="nil"/>
              <w:bottom w:val="nil"/>
              <w:right w:val="nil"/>
            </w:tcBorders>
            <w:shd w:val="clear" w:color="auto" w:fill="auto"/>
          </w:tcPr>
          <w:p w14:paraId="611ABAF1" w14:textId="77777777" w:rsidR="004F4C5A" w:rsidRPr="00060311" w:rsidRDefault="004F4C5A" w:rsidP="004F4C5A">
            <w:pPr>
              <w:rPr>
                <w:rFonts w:ascii="Arial" w:hAnsi="Arial" w:cs="Arial"/>
                <w:color w:val="000000"/>
                <w:sz w:val="18"/>
                <w:szCs w:val="18"/>
                <w:lang w:eastAsia="en-SG"/>
              </w:rPr>
            </w:pPr>
          </w:p>
        </w:tc>
        <w:tc>
          <w:tcPr>
            <w:tcW w:w="640" w:type="pct"/>
            <w:tcBorders>
              <w:top w:val="nil"/>
              <w:left w:val="nil"/>
              <w:bottom w:val="nil"/>
              <w:right w:val="nil"/>
            </w:tcBorders>
            <w:shd w:val="clear" w:color="auto" w:fill="auto"/>
            <w:noWrap/>
            <w:hideMark/>
          </w:tcPr>
          <w:p w14:paraId="5982977A" w14:textId="2DBB16C4" w:rsidR="004F4C5A" w:rsidRPr="00060311" w:rsidRDefault="00F23308" w:rsidP="00C1248F">
            <w:pPr>
              <w:jc w:val="right"/>
              <w:rPr>
                <w:rFonts w:ascii="Arial" w:hAnsi="Arial" w:cs="Arial"/>
                <w:color w:val="000000"/>
                <w:sz w:val="18"/>
                <w:szCs w:val="18"/>
                <w:lang w:eastAsia="en-SG"/>
              </w:rPr>
            </w:pPr>
            <w:r>
              <w:rPr>
                <w:rFonts w:ascii="Arial" w:hAnsi="Arial" w:cs="Arial"/>
                <w:color w:val="000000"/>
                <w:sz w:val="18"/>
                <w:szCs w:val="18"/>
                <w:lang w:eastAsia="en-SG"/>
              </w:rPr>
              <w:t>−</w:t>
            </w:r>
            <w:r w:rsidR="004F4C5A" w:rsidRPr="00060311">
              <w:rPr>
                <w:rFonts w:ascii="Arial" w:hAnsi="Arial" w:cs="Arial"/>
                <w:color w:val="000000"/>
                <w:sz w:val="18"/>
                <w:szCs w:val="18"/>
                <w:lang w:eastAsia="en-SG"/>
              </w:rPr>
              <w:t>100,246</w:t>
            </w:r>
          </w:p>
        </w:tc>
        <w:tc>
          <w:tcPr>
            <w:tcW w:w="640" w:type="pct"/>
            <w:tcBorders>
              <w:top w:val="nil"/>
              <w:left w:val="nil"/>
              <w:bottom w:val="nil"/>
              <w:right w:val="nil"/>
            </w:tcBorders>
            <w:shd w:val="clear" w:color="auto" w:fill="auto"/>
            <w:noWrap/>
            <w:hideMark/>
          </w:tcPr>
          <w:p w14:paraId="01F9FAB1" w14:textId="2BB8F84E" w:rsidR="004F4C5A" w:rsidRPr="00060311" w:rsidRDefault="00F23308">
            <w:pPr>
              <w:jc w:val="right"/>
              <w:rPr>
                <w:rFonts w:ascii="Arial" w:hAnsi="Arial" w:cs="Arial"/>
                <w:color w:val="000000"/>
                <w:sz w:val="18"/>
                <w:szCs w:val="18"/>
                <w:lang w:eastAsia="en-SG"/>
              </w:rPr>
            </w:pPr>
            <w:r w:rsidRPr="00F23308">
              <w:rPr>
                <w:rFonts w:ascii="Arial" w:hAnsi="Arial" w:cs="Arial"/>
                <w:color w:val="000000"/>
                <w:sz w:val="18"/>
                <w:szCs w:val="18"/>
                <w:lang w:eastAsia="en-SG"/>
              </w:rPr>
              <w:t>−</w:t>
            </w:r>
            <w:r w:rsidR="004F4C5A" w:rsidRPr="00060311">
              <w:rPr>
                <w:rFonts w:ascii="Arial" w:hAnsi="Arial" w:cs="Arial"/>
                <w:color w:val="000000"/>
                <w:sz w:val="18"/>
                <w:szCs w:val="18"/>
                <w:lang w:eastAsia="en-SG"/>
              </w:rPr>
              <w:t>91,803</w:t>
            </w:r>
          </w:p>
        </w:tc>
        <w:tc>
          <w:tcPr>
            <w:tcW w:w="640" w:type="pct"/>
            <w:tcBorders>
              <w:top w:val="nil"/>
              <w:left w:val="nil"/>
              <w:bottom w:val="nil"/>
              <w:right w:val="nil"/>
            </w:tcBorders>
            <w:shd w:val="clear" w:color="auto" w:fill="auto"/>
            <w:noWrap/>
            <w:hideMark/>
          </w:tcPr>
          <w:p w14:paraId="6E1303D5" w14:textId="7E7C9BAD" w:rsidR="004F4C5A" w:rsidRPr="00060311" w:rsidRDefault="00F23308">
            <w:pPr>
              <w:jc w:val="right"/>
              <w:rPr>
                <w:rFonts w:ascii="Arial" w:hAnsi="Arial" w:cs="Arial"/>
                <w:color w:val="000000"/>
                <w:sz w:val="18"/>
                <w:szCs w:val="18"/>
                <w:lang w:eastAsia="en-SG"/>
              </w:rPr>
            </w:pPr>
            <w:r w:rsidRPr="00F23308">
              <w:rPr>
                <w:rFonts w:ascii="Arial" w:hAnsi="Arial" w:cs="Arial"/>
                <w:color w:val="000000"/>
                <w:sz w:val="18"/>
                <w:szCs w:val="18"/>
                <w:lang w:eastAsia="en-SG"/>
              </w:rPr>
              <w:t>−</w:t>
            </w:r>
            <w:r w:rsidR="004F4C5A" w:rsidRPr="00060311">
              <w:rPr>
                <w:rFonts w:ascii="Arial" w:hAnsi="Arial" w:cs="Arial"/>
                <w:color w:val="000000"/>
                <w:sz w:val="18"/>
                <w:szCs w:val="18"/>
                <w:lang w:eastAsia="en-SG"/>
              </w:rPr>
              <w:t>104,204</w:t>
            </w:r>
          </w:p>
        </w:tc>
        <w:tc>
          <w:tcPr>
            <w:tcW w:w="640" w:type="pct"/>
            <w:tcBorders>
              <w:top w:val="nil"/>
              <w:left w:val="nil"/>
              <w:bottom w:val="nil"/>
              <w:right w:val="nil"/>
            </w:tcBorders>
            <w:shd w:val="clear" w:color="auto" w:fill="auto"/>
            <w:hideMark/>
          </w:tcPr>
          <w:p w14:paraId="6A86F0AC" w14:textId="340A006F" w:rsidR="004F4C5A" w:rsidRPr="00060311" w:rsidRDefault="00F23308">
            <w:pPr>
              <w:jc w:val="right"/>
              <w:rPr>
                <w:rFonts w:ascii="Arial" w:hAnsi="Arial" w:cs="Arial"/>
                <w:color w:val="272625"/>
                <w:sz w:val="18"/>
                <w:szCs w:val="18"/>
                <w:lang w:eastAsia="en-SG"/>
              </w:rPr>
            </w:pPr>
            <w:r w:rsidRPr="00F23308">
              <w:rPr>
                <w:rFonts w:ascii="Arial" w:hAnsi="Arial" w:cs="Arial"/>
                <w:color w:val="272625"/>
                <w:sz w:val="18"/>
                <w:szCs w:val="18"/>
                <w:lang w:eastAsia="en-SG"/>
              </w:rPr>
              <w:t>−</w:t>
            </w:r>
            <w:r w:rsidR="004F4C5A" w:rsidRPr="00060311">
              <w:rPr>
                <w:rFonts w:ascii="Arial" w:hAnsi="Arial" w:cs="Arial"/>
                <w:color w:val="272625"/>
                <w:sz w:val="18"/>
                <w:szCs w:val="18"/>
                <w:lang w:eastAsia="en-SG"/>
              </w:rPr>
              <w:t>140,389</w:t>
            </w:r>
          </w:p>
        </w:tc>
        <w:tc>
          <w:tcPr>
            <w:tcW w:w="640" w:type="pct"/>
            <w:tcBorders>
              <w:top w:val="nil"/>
              <w:left w:val="nil"/>
              <w:bottom w:val="nil"/>
              <w:right w:val="nil"/>
            </w:tcBorders>
            <w:shd w:val="clear" w:color="auto" w:fill="auto"/>
            <w:noWrap/>
            <w:hideMark/>
          </w:tcPr>
          <w:p w14:paraId="55CBF5C9" w14:textId="122DD2E4" w:rsidR="004F4C5A" w:rsidRPr="00060311" w:rsidRDefault="00F23308">
            <w:pPr>
              <w:jc w:val="right"/>
              <w:rPr>
                <w:rFonts w:ascii="Arial" w:hAnsi="Arial" w:cs="Arial"/>
                <w:color w:val="000000"/>
                <w:sz w:val="18"/>
                <w:szCs w:val="18"/>
                <w:lang w:eastAsia="en-SG"/>
              </w:rPr>
            </w:pPr>
            <w:r w:rsidRPr="00F23308">
              <w:rPr>
                <w:rFonts w:ascii="Arial" w:hAnsi="Arial" w:cs="Arial"/>
                <w:color w:val="000000"/>
                <w:sz w:val="18"/>
                <w:szCs w:val="18"/>
                <w:lang w:eastAsia="en-SG"/>
              </w:rPr>
              <w:t>−</w:t>
            </w:r>
            <w:r w:rsidR="004F4C5A" w:rsidRPr="00060311">
              <w:rPr>
                <w:rFonts w:ascii="Arial" w:hAnsi="Arial" w:cs="Arial"/>
                <w:color w:val="000000"/>
                <w:sz w:val="18"/>
                <w:szCs w:val="18"/>
                <w:lang w:eastAsia="en-SG"/>
              </w:rPr>
              <w:t>140,360</w:t>
            </w:r>
          </w:p>
        </w:tc>
      </w:tr>
      <w:tr w:rsidR="00B52377" w:rsidRPr="00060311" w14:paraId="4C70B2E8" w14:textId="77777777" w:rsidTr="00245772">
        <w:trPr>
          <w:trHeight w:val="230"/>
        </w:trPr>
        <w:tc>
          <w:tcPr>
            <w:tcW w:w="1669" w:type="pct"/>
            <w:tcBorders>
              <w:top w:val="single" w:sz="4" w:space="0" w:color="auto"/>
              <w:left w:val="nil"/>
              <w:bottom w:val="nil"/>
              <w:right w:val="nil"/>
            </w:tcBorders>
            <w:shd w:val="clear" w:color="auto" w:fill="auto"/>
          </w:tcPr>
          <w:p w14:paraId="1A1C3660" w14:textId="77777777" w:rsidR="004F4C5A" w:rsidRPr="00060311" w:rsidRDefault="004F4C5A" w:rsidP="004F4C5A">
            <w:pPr>
              <w:rPr>
                <w:rFonts w:ascii="Arial" w:hAnsi="Arial" w:cs="Arial"/>
                <w:b/>
                <w:sz w:val="18"/>
                <w:szCs w:val="18"/>
              </w:rPr>
            </w:pPr>
            <w:r w:rsidRPr="00060311">
              <w:rPr>
                <w:rFonts w:ascii="Arial" w:hAnsi="Arial" w:cs="Arial"/>
                <w:b/>
                <w:sz w:val="18"/>
                <w:szCs w:val="18"/>
              </w:rPr>
              <w:t>Gross Profit</w:t>
            </w:r>
          </w:p>
        </w:tc>
        <w:tc>
          <w:tcPr>
            <w:tcW w:w="128" w:type="pct"/>
            <w:tcBorders>
              <w:top w:val="single" w:sz="4" w:space="0" w:color="auto"/>
              <w:left w:val="nil"/>
              <w:bottom w:val="nil"/>
              <w:right w:val="nil"/>
            </w:tcBorders>
            <w:shd w:val="clear" w:color="auto" w:fill="auto"/>
          </w:tcPr>
          <w:p w14:paraId="475ECA9B" w14:textId="77777777" w:rsidR="004F4C5A" w:rsidRPr="00060311" w:rsidRDefault="004F4C5A" w:rsidP="004F4C5A">
            <w:pPr>
              <w:rPr>
                <w:rFonts w:ascii="Arial" w:hAnsi="Arial" w:cs="Arial"/>
                <w:b/>
                <w:bCs/>
                <w:color w:val="000000"/>
                <w:sz w:val="18"/>
                <w:szCs w:val="18"/>
                <w:lang w:eastAsia="en-SG"/>
              </w:rPr>
            </w:pPr>
          </w:p>
        </w:tc>
        <w:tc>
          <w:tcPr>
            <w:tcW w:w="640" w:type="pct"/>
            <w:tcBorders>
              <w:top w:val="single" w:sz="4" w:space="0" w:color="auto"/>
              <w:left w:val="nil"/>
              <w:bottom w:val="nil"/>
              <w:right w:val="nil"/>
            </w:tcBorders>
            <w:shd w:val="clear" w:color="auto" w:fill="auto"/>
            <w:noWrap/>
            <w:hideMark/>
          </w:tcPr>
          <w:p w14:paraId="1A8F6BF6" w14:textId="77777777" w:rsidR="004F4C5A" w:rsidRPr="00060311" w:rsidRDefault="004F4C5A" w:rsidP="004F4C5A">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128,700 </w:t>
            </w:r>
          </w:p>
        </w:tc>
        <w:tc>
          <w:tcPr>
            <w:tcW w:w="640" w:type="pct"/>
            <w:tcBorders>
              <w:top w:val="single" w:sz="4" w:space="0" w:color="auto"/>
              <w:left w:val="nil"/>
              <w:bottom w:val="nil"/>
              <w:right w:val="nil"/>
            </w:tcBorders>
            <w:shd w:val="clear" w:color="auto" w:fill="auto"/>
            <w:noWrap/>
            <w:hideMark/>
          </w:tcPr>
          <w:p w14:paraId="0B2D7312" w14:textId="77777777" w:rsidR="004F4C5A" w:rsidRPr="00060311" w:rsidRDefault="004F4C5A" w:rsidP="004F4C5A">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153,599 </w:t>
            </w:r>
          </w:p>
        </w:tc>
        <w:tc>
          <w:tcPr>
            <w:tcW w:w="640" w:type="pct"/>
            <w:tcBorders>
              <w:top w:val="single" w:sz="4" w:space="0" w:color="auto"/>
              <w:left w:val="nil"/>
              <w:bottom w:val="nil"/>
              <w:right w:val="nil"/>
            </w:tcBorders>
            <w:shd w:val="clear" w:color="auto" w:fill="auto"/>
            <w:noWrap/>
            <w:hideMark/>
          </w:tcPr>
          <w:p w14:paraId="69A41D94" w14:textId="77777777" w:rsidR="004F4C5A" w:rsidRPr="00060311" w:rsidRDefault="004F4C5A" w:rsidP="004F4C5A">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141,969 </w:t>
            </w:r>
          </w:p>
        </w:tc>
        <w:tc>
          <w:tcPr>
            <w:tcW w:w="640" w:type="pct"/>
            <w:tcBorders>
              <w:top w:val="single" w:sz="4" w:space="0" w:color="auto"/>
              <w:left w:val="nil"/>
              <w:bottom w:val="nil"/>
              <w:right w:val="nil"/>
            </w:tcBorders>
            <w:shd w:val="clear" w:color="auto" w:fill="auto"/>
            <w:noWrap/>
            <w:hideMark/>
          </w:tcPr>
          <w:p w14:paraId="580F9EC4" w14:textId="77777777" w:rsidR="004F4C5A" w:rsidRPr="00060311" w:rsidRDefault="004F4C5A" w:rsidP="004F4C5A">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220,789 </w:t>
            </w:r>
          </w:p>
        </w:tc>
        <w:tc>
          <w:tcPr>
            <w:tcW w:w="640" w:type="pct"/>
            <w:tcBorders>
              <w:top w:val="single" w:sz="4" w:space="0" w:color="auto"/>
              <w:left w:val="nil"/>
              <w:bottom w:val="nil"/>
              <w:right w:val="nil"/>
            </w:tcBorders>
            <w:shd w:val="clear" w:color="auto" w:fill="auto"/>
            <w:noWrap/>
            <w:hideMark/>
          </w:tcPr>
          <w:p w14:paraId="6A4AA389" w14:textId="77777777" w:rsidR="004F4C5A" w:rsidRPr="00060311" w:rsidRDefault="004F4C5A" w:rsidP="004F4C5A">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240,056 </w:t>
            </w:r>
          </w:p>
        </w:tc>
      </w:tr>
      <w:tr w:rsidR="00B52377" w:rsidRPr="00060311" w14:paraId="4982BB68" w14:textId="77777777" w:rsidTr="00245772">
        <w:trPr>
          <w:trHeight w:val="230"/>
        </w:trPr>
        <w:tc>
          <w:tcPr>
            <w:tcW w:w="1669" w:type="pct"/>
            <w:tcBorders>
              <w:top w:val="nil"/>
              <w:left w:val="nil"/>
              <w:bottom w:val="nil"/>
              <w:right w:val="nil"/>
            </w:tcBorders>
            <w:shd w:val="clear" w:color="auto" w:fill="auto"/>
          </w:tcPr>
          <w:p w14:paraId="1A8C5CF4" w14:textId="77777777" w:rsidR="004F4C5A" w:rsidRPr="00060311" w:rsidRDefault="004F4C5A" w:rsidP="004F4C5A">
            <w:pPr>
              <w:rPr>
                <w:rFonts w:ascii="Arial" w:hAnsi="Arial" w:cs="Arial"/>
                <w:sz w:val="18"/>
                <w:szCs w:val="18"/>
              </w:rPr>
            </w:pPr>
            <w:r w:rsidRPr="00060311">
              <w:rPr>
                <w:rFonts w:ascii="Arial" w:hAnsi="Arial" w:cs="Arial"/>
                <w:sz w:val="18"/>
                <w:szCs w:val="18"/>
              </w:rPr>
              <w:t>Other Operating Income</w:t>
            </w:r>
          </w:p>
        </w:tc>
        <w:tc>
          <w:tcPr>
            <w:tcW w:w="128" w:type="pct"/>
            <w:tcBorders>
              <w:top w:val="nil"/>
              <w:left w:val="nil"/>
              <w:bottom w:val="nil"/>
              <w:right w:val="nil"/>
            </w:tcBorders>
            <w:shd w:val="clear" w:color="auto" w:fill="auto"/>
          </w:tcPr>
          <w:p w14:paraId="15D6BAFC" w14:textId="77777777" w:rsidR="004F4C5A" w:rsidRPr="00060311" w:rsidRDefault="004F4C5A" w:rsidP="004F4C5A">
            <w:pPr>
              <w:rPr>
                <w:rFonts w:ascii="Arial" w:hAnsi="Arial" w:cs="Arial"/>
                <w:color w:val="000000"/>
                <w:sz w:val="18"/>
                <w:szCs w:val="18"/>
                <w:lang w:eastAsia="en-SG"/>
              </w:rPr>
            </w:pPr>
          </w:p>
        </w:tc>
        <w:tc>
          <w:tcPr>
            <w:tcW w:w="640" w:type="pct"/>
            <w:tcBorders>
              <w:top w:val="nil"/>
              <w:left w:val="nil"/>
              <w:bottom w:val="nil"/>
              <w:right w:val="nil"/>
            </w:tcBorders>
            <w:shd w:val="clear" w:color="auto" w:fill="auto"/>
            <w:noWrap/>
            <w:hideMark/>
          </w:tcPr>
          <w:p w14:paraId="69D00DD1" w14:textId="77777777" w:rsidR="004F4C5A" w:rsidRPr="00060311" w:rsidRDefault="004F4C5A" w:rsidP="004F4C5A">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85,019 </w:t>
            </w:r>
          </w:p>
        </w:tc>
        <w:tc>
          <w:tcPr>
            <w:tcW w:w="640" w:type="pct"/>
            <w:tcBorders>
              <w:top w:val="nil"/>
              <w:left w:val="nil"/>
              <w:bottom w:val="nil"/>
              <w:right w:val="nil"/>
            </w:tcBorders>
            <w:shd w:val="clear" w:color="auto" w:fill="auto"/>
            <w:noWrap/>
            <w:hideMark/>
          </w:tcPr>
          <w:p w14:paraId="6DAEF492" w14:textId="77777777" w:rsidR="004F4C5A" w:rsidRPr="00060311" w:rsidRDefault="004F4C5A" w:rsidP="004F4C5A">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82,447 </w:t>
            </w:r>
          </w:p>
        </w:tc>
        <w:tc>
          <w:tcPr>
            <w:tcW w:w="640" w:type="pct"/>
            <w:tcBorders>
              <w:top w:val="nil"/>
              <w:left w:val="nil"/>
              <w:bottom w:val="nil"/>
              <w:right w:val="nil"/>
            </w:tcBorders>
            <w:shd w:val="clear" w:color="auto" w:fill="auto"/>
            <w:noWrap/>
            <w:hideMark/>
          </w:tcPr>
          <w:p w14:paraId="6BE98996" w14:textId="77777777" w:rsidR="004F4C5A" w:rsidRPr="00060311" w:rsidRDefault="004F4C5A" w:rsidP="004F4C5A">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252,057 </w:t>
            </w:r>
          </w:p>
        </w:tc>
        <w:tc>
          <w:tcPr>
            <w:tcW w:w="640" w:type="pct"/>
            <w:tcBorders>
              <w:top w:val="nil"/>
              <w:left w:val="nil"/>
              <w:bottom w:val="nil"/>
              <w:right w:val="nil"/>
            </w:tcBorders>
            <w:shd w:val="clear" w:color="auto" w:fill="auto"/>
            <w:hideMark/>
          </w:tcPr>
          <w:p w14:paraId="795025C4" w14:textId="77777777" w:rsidR="004F4C5A" w:rsidRPr="00060311" w:rsidRDefault="004F4C5A" w:rsidP="004F4C5A">
            <w:pPr>
              <w:jc w:val="right"/>
              <w:rPr>
                <w:rFonts w:ascii="Arial" w:hAnsi="Arial" w:cs="Arial"/>
                <w:color w:val="272625"/>
                <w:sz w:val="18"/>
                <w:szCs w:val="18"/>
                <w:lang w:eastAsia="en-SG"/>
              </w:rPr>
            </w:pPr>
            <w:r w:rsidRPr="00060311">
              <w:rPr>
                <w:rFonts w:ascii="Arial" w:hAnsi="Arial" w:cs="Arial"/>
                <w:color w:val="272625"/>
                <w:sz w:val="18"/>
                <w:szCs w:val="18"/>
                <w:lang w:eastAsia="en-SG"/>
              </w:rPr>
              <w:t xml:space="preserve">214,677 </w:t>
            </w:r>
          </w:p>
        </w:tc>
        <w:tc>
          <w:tcPr>
            <w:tcW w:w="640" w:type="pct"/>
            <w:tcBorders>
              <w:top w:val="nil"/>
              <w:left w:val="nil"/>
              <w:bottom w:val="nil"/>
              <w:right w:val="nil"/>
            </w:tcBorders>
            <w:shd w:val="clear" w:color="auto" w:fill="auto"/>
            <w:noWrap/>
            <w:hideMark/>
          </w:tcPr>
          <w:p w14:paraId="12C5CE29" w14:textId="77777777" w:rsidR="004F4C5A" w:rsidRPr="00060311" w:rsidRDefault="004F4C5A" w:rsidP="004F4C5A">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139,698 </w:t>
            </w:r>
          </w:p>
        </w:tc>
      </w:tr>
      <w:tr w:rsidR="00B52377" w:rsidRPr="00060311" w14:paraId="28C775BB" w14:textId="77777777" w:rsidTr="00245772">
        <w:trPr>
          <w:trHeight w:val="230"/>
        </w:trPr>
        <w:tc>
          <w:tcPr>
            <w:tcW w:w="1669" w:type="pct"/>
            <w:tcBorders>
              <w:top w:val="nil"/>
              <w:left w:val="nil"/>
              <w:bottom w:val="nil"/>
              <w:right w:val="nil"/>
            </w:tcBorders>
            <w:shd w:val="clear" w:color="auto" w:fill="auto"/>
          </w:tcPr>
          <w:p w14:paraId="375C6DAF" w14:textId="77777777" w:rsidR="004F4C5A" w:rsidRPr="00060311" w:rsidRDefault="004F4C5A" w:rsidP="004F4C5A">
            <w:pPr>
              <w:rPr>
                <w:rFonts w:ascii="Arial" w:hAnsi="Arial" w:cs="Arial"/>
                <w:sz w:val="18"/>
                <w:szCs w:val="18"/>
              </w:rPr>
            </w:pPr>
            <w:r w:rsidRPr="00060311">
              <w:rPr>
                <w:rFonts w:ascii="Arial" w:hAnsi="Arial" w:cs="Arial"/>
                <w:sz w:val="18"/>
                <w:szCs w:val="18"/>
              </w:rPr>
              <w:t>Administrative Expenses</w:t>
            </w:r>
          </w:p>
        </w:tc>
        <w:tc>
          <w:tcPr>
            <w:tcW w:w="128" w:type="pct"/>
            <w:tcBorders>
              <w:top w:val="nil"/>
              <w:left w:val="nil"/>
              <w:bottom w:val="nil"/>
              <w:right w:val="nil"/>
            </w:tcBorders>
            <w:shd w:val="clear" w:color="auto" w:fill="auto"/>
          </w:tcPr>
          <w:p w14:paraId="6FE89170" w14:textId="77777777" w:rsidR="004F4C5A" w:rsidRPr="00060311" w:rsidRDefault="004F4C5A" w:rsidP="004F4C5A">
            <w:pPr>
              <w:rPr>
                <w:rFonts w:ascii="Arial" w:hAnsi="Arial" w:cs="Arial"/>
                <w:color w:val="000000"/>
                <w:sz w:val="18"/>
                <w:szCs w:val="18"/>
                <w:lang w:eastAsia="en-SG"/>
              </w:rPr>
            </w:pPr>
          </w:p>
        </w:tc>
        <w:tc>
          <w:tcPr>
            <w:tcW w:w="640" w:type="pct"/>
            <w:tcBorders>
              <w:top w:val="nil"/>
              <w:left w:val="nil"/>
              <w:bottom w:val="nil"/>
              <w:right w:val="nil"/>
            </w:tcBorders>
            <w:shd w:val="clear" w:color="auto" w:fill="auto"/>
            <w:noWrap/>
            <w:hideMark/>
          </w:tcPr>
          <w:p w14:paraId="48205EBD" w14:textId="399838AE" w:rsidR="004F4C5A" w:rsidRPr="00060311" w:rsidRDefault="00F23308" w:rsidP="00C1248F">
            <w:pPr>
              <w:jc w:val="right"/>
              <w:rPr>
                <w:rFonts w:ascii="Arial" w:hAnsi="Arial" w:cs="Arial"/>
                <w:color w:val="000000"/>
                <w:sz w:val="18"/>
                <w:szCs w:val="18"/>
                <w:lang w:eastAsia="en-SG"/>
              </w:rPr>
            </w:pPr>
            <w:r w:rsidRPr="00F23308">
              <w:rPr>
                <w:rFonts w:ascii="Arial" w:hAnsi="Arial" w:cs="Arial"/>
                <w:color w:val="000000"/>
                <w:sz w:val="18"/>
                <w:szCs w:val="18"/>
                <w:lang w:eastAsia="en-SG"/>
              </w:rPr>
              <w:t>−</w:t>
            </w:r>
            <w:r w:rsidR="004F4C5A" w:rsidRPr="00060311">
              <w:rPr>
                <w:rFonts w:ascii="Arial" w:hAnsi="Arial" w:cs="Arial"/>
                <w:color w:val="000000"/>
                <w:sz w:val="18"/>
                <w:szCs w:val="18"/>
                <w:lang w:eastAsia="en-SG"/>
              </w:rPr>
              <w:t>70,212</w:t>
            </w:r>
          </w:p>
        </w:tc>
        <w:tc>
          <w:tcPr>
            <w:tcW w:w="640" w:type="pct"/>
            <w:tcBorders>
              <w:top w:val="nil"/>
              <w:left w:val="nil"/>
              <w:bottom w:val="nil"/>
              <w:right w:val="nil"/>
            </w:tcBorders>
            <w:shd w:val="clear" w:color="auto" w:fill="auto"/>
            <w:noWrap/>
            <w:hideMark/>
          </w:tcPr>
          <w:p w14:paraId="1CDF459D" w14:textId="1EE7074D" w:rsidR="004F4C5A" w:rsidRPr="00060311" w:rsidRDefault="00F23308">
            <w:pPr>
              <w:jc w:val="right"/>
              <w:rPr>
                <w:rFonts w:ascii="Arial" w:hAnsi="Arial" w:cs="Arial"/>
                <w:color w:val="000000"/>
                <w:sz w:val="18"/>
                <w:szCs w:val="18"/>
                <w:lang w:eastAsia="en-SG"/>
              </w:rPr>
            </w:pPr>
            <w:r w:rsidRPr="00F23308">
              <w:rPr>
                <w:rFonts w:ascii="Arial" w:hAnsi="Arial" w:cs="Arial"/>
                <w:color w:val="000000"/>
                <w:sz w:val="18"/>
                <w:szCs w:val="18"/>
                <w:lang w:eastAsia="en-SG"/>
              </w:rPr>
              <w:t>−</w:t>
            </w:r>
            <w:r w:rsidR="004F4C5A" w:rsidRPr="00060311">
              <w:rPr>
                <w:rFonts w:ascii="Arial" w:hAnsi="Arial" w:cs="Arial"/>
                <w:color w:val="000000"/>
                <w:sz w:val="18"/>
                <w:szCs w:val="18"/>
                <w:lang w:eastAsia="en-SG"/>
              </w:rPr>
              <w:t>107,419</w:t>
            </w:r>
          </w:p>
        </w:tc>
        <w:tc>
          <w:tcPr>
            <w:tcW w:w="640" w:type="pct"/>
            <w:tcBorders>
              <w:top w:val="nil"/>
              <w:left w:val="nil"/>
              <w:bottom w:val="nil"/>
              <w:right w:val="nil"/>
            </w:tcBorders>
            <w:shd w:val="clear" w:color="auto" w:fill="auto"/>
            <w:noWrap/>
            <w:hideMark/>
          </w:tcPr>
          <w:p w14:paraId="3C7E606B" w14:textId="19168F1D" w:rsidR="004F4C5A" w:rsidRPr="00060311" w:rsidRDefault="00F23308">
            <w:pPr>
              <w:jc w:val="right"/>
              <w:rPr>
                <w:rFonts w:ascii="Arial" w:hAnsi="Arial" w:cs="Arial"/>
                <w:color w:val="000000"/>
                <w:sz w:val="18"/>
                <w:szCs w:val="18"/>
                <w:lang w:eastAsia="en-SG"/>
              </w:rPr>
            </w:pPr>
            <w:r w:rsidRPr="00F23308">
              <w:rPr>
                <w:rFonts w:ascii="Arial" w:hAnsi="Arial" w:cs="Arial"/>
                <w:color w:val="000000"/>
                <w:sz w:val="18"/>
                <w:szCs w:val="18"/>
                <w:lang w:eastAsia="en-SG"/>
              </w:rPr>
              <w:t>−</w:t>
            </w:r>
            <w:r w:rsidR="004F4C5A" w:rsidRPr="00060311">
              <w:rPr>
                <w:rFonts w:ascii="Arial" w:hAnsi="Arial" w:cs="Arial"/>
                <w:color w:val="000000"/>
                <w:sz w:val="18"/>
                <w:szCs w:val="18"/>
                <w:lang w:eastAsia="en-SG"/>
              </w:rPr>
              <w:t>140,401</w:t>
            </w:r>
          </w:p>
        </w:tc>
        <w:tc>
          <w:tcPr>
            <w:tcW w:w="640" w:type="pct"/>
            <w:tcBorders>
              <w:top w:val="nil"/>
              <w:left w:val="nil"/>
              <w:bottom w:val="nil"/>
              <w:right w:val="nil"/>
            </w:tcBorders>
            <w:shd w:val="clear" w:color="auto" w:fill="auto"/>
            <w:hideMark/>
          </w:tcPr>
          <w:p w14:paraId="5745AE2E" w14:textId="077A57C9" w:rsidR="004F4C5A" w:rsidRPr="00060311" w:rsidRDefault="00F23308">
            <w:pPr>
              <w:jc w:val="right"/>
              <w:rPr>
                <w:rFonts w:ascii="Arial" w:hAnsi="Arial" w:cs="Arial"/>
                <w:color w:val="272625"/>
                <w:sz w:val="18"/>
                <w:szCs w:val="18"/>
                <w:lang w:eastAsia="en-SG"/>
              </w:rPr>
            </w:pPr>
            <w:r w:rsidRPr="00F23308">
              <w:rPr>
                <w:rFonts w:ascii="Arial" w:hAnsi="Arial" w:cs="Arial"/>
                <w:color w:val="272625"/>
                <w:sz w:val="18"/>
                <w:szCs w:val="18"/>
                <w:lang w:eastAsia="en-SG"/>
              </w:rPr>
              <w:t>−</w:t>
            </w:r>
            <w:r w:rsidR="004F4C5A" w:rsidRPr="00060311">
              <w:rPr>
                <w:rFonts w:ascii="Arial" w:hAnsi="Arial" w:cs="Arial"/>
                <w:color w:val="272625"/>
                <w:sz w:val="18"/>
                <w:szCs w:val="18"/>
                <w:lang w:eastAsia="en-SG"/>
              </w:rPr>
              <w:t>151,388</w:t>
            </w:r>
          </w:p>
        </w:tc>
        <w:tc>
          <w:tcPr>
            <w:tcW w:w="640" w:type="pct"/>
            <w:tcBorders>
              <w:top w:val="nil"/>
              <w:left w:val="nil"/>
              <w:bottom w:val="nil"/>
              <w:right w:val="nil"/>
            </w:tcBorders>
            <w:shd w:val="clear" w:color="auto" w:fill="auto"/>
            <w:noWrap/>
            <w:hideMark/>
          </w:tcPr>
          <w:p w14:paraId="2737F53A" w14:textId="6FE9C9E2" w:rsidR="004F4C5A" w:rsidRPr="00060311" w:rsidRDefault="00F23308">
            <w:pPr>
              <w:jc w:val="right"/>
              <w:rPr>
                <w:rFonts w:ascii="Arial" w:hAnsi="Arial" w:cs="Arial"/>
                <w:color w:val="000000"/>
                <w:sz w:val="18"/>
                <w:szCs w:val="18"/>
                <w:lang w:eastAsia="en-SG"/>
              </w:rPr>
            </w:pPr>
            <w:r w:rsidRPr="00F23308">
              <w:rPr>
                <w:rFonts w:ascii="Arial" w:hAnsi="Arial" w:cs="Arial"/>
                <w:color w:val="000000"/>
                <w:sz w:val="18"/>
                <w:szCs w:val="18"/>
                <w:lang w:eastAsia="en-SG"/>
              </w:rPr>
              <w:t>−</w:t>
            </w:r>
            <w:r w:rsidR="004F4C5A" w:rsidRPr="00060311">
              <w:rPr>
                <w:rFonts w:ascii="Arial" w:hAnsi="Arial" w:cs="Arial"/>
                <w:color w:val="000000"/>
                <w:sz w:val="18"/>
                <w:szCs w:val="18"/>
                <w:lang w:eastAsia="en-SG"/>
              </w:rPr>
              <w:t>146,725</w:t>
            </w:r>
          </w:p>
        </w:tc>
      </w:tr>
      <w:tr w:rsidR="00B52377" w:rsidRPr="00060311" w14:paraId="2479F602" w14:textId="77777777" w:rsidTr="00245772">
        <w:trPr>
          <w:trHeight w:val="230"/>
        </w:trPr>
        <w:tc>
          <w:tcPr>
            <w:tcW w:w="1669" w:type="pct"/>
            <w:tcBorders>
              <w:top w:val="nil"/>
              <w:left w:val="nil"/>
              <w:bottom w:val="nil"/>
              <w:right w:val="nil"/>
            </w:tcBorders>
            <w:shd w:val="clear" w:color="auto" w:fill="auto"/>
          </w:tcPr>
          <w:p w14:paraId="06FC619A" w14:textId="77777777" w:rsidR="004F4C5A" w:rsidRPr="00060311" w:rsidRDefault="004F4C5A" w:rsidP="004F4C5A">
            <w:pPr>
              <w:rPr>
                <w:rFonts w:ascii="Arial" w:hAnsi="Arial" w:cs="Arial"/>
                <w:sz w:val="18"/>
                <w:szCs w:val="18"/>
              </w:rPr>
            </w:pPr>
            <w:r w:rsidRPr="00060311">
              <w:rPr>
                <w:rFonts w:ascii="Arial" w:hAnsi="Arial" w:cs="Arial"/>
                <w:sz w:val="18"/>
                <w:szCs w:val="18"/>
              </w:rPr>
              <w:t>Other Operating Expenses</w:t>
            </w:r>
          </w:p>
        </w:tc>
        <w:tc>
          <w:tcPr>
            <w:tcW w:w="128" w:type="pct"/>
            <w:tcBorders>
              <w:top w:val="nil"/>
              <w:left w:val="nil"/>
              <w:bottom w:val="nil"/>
              <w:right w:val="nil"/>
            </w:tcBorders>
            <w:shd w:val="clear" w:color="auto" w:fill="auto"/>
          </w:tcPr>
          <w:p w14:paraId="1B38FC2E" w14:textId="77777777" w:rsidR="004F4C5A" w:rsidRPr="00060311" w:rsidRDefault="004F4C5A" w:rsidP="004F4C5A">
            <w:pPr>
              <w:rPr>
                <w:rFonts w:ascii="Arial" w:hAnsi="Arial" w:cs="Arial"/>
                <w:color w:val="000000"/>
                <w:sz w:val="18"/>
                <w:szCs w:val="18"/>
                <w:lang w:eastAsia="en-SG"/>
              </w:rPr>
            </w:pPr>
          </w:p>
        </w:tc>
        <w:tc>
          <w:tcPr>
            <w:tcW w:w="640" w:type="pct"/>
            <w:tcBorders>
              <w:top w:val="nil"/>
              <w:left w:val="nil"/>
              <w:bottom w:val="nil"/>
              <w:right w:val="nil"/>
            </w:tcBorders>
            <w:shd w:val="clear" w:color="auto" w:fill="auto"/>
            <w:noWrap/>
            <w:hideMark/>
          </w:tcPr>
          <w:p w14:paraId="742F4321" w14:textId="5C9A1504" w:rsidR="004F4C5A" w:rsidRPr="00060311" w:rsidRDefault="00F23308" w:rsidP="00C1248F">
            <w:pPr>
              <w:jc w:val="right"/>
              <w:rPr>
                <w:rFonts w:ascii="Arial" w:hAnsi="Arial" w:cs="Arial"/>
                <w:color w:val="000000"/>
                <w:sz w:val="18"/>
                <w:szCs w:val="18"/>
                <w:lang w:eastAsia="en-SG"/>
              </w:rPr>
            </w:pPr>
            <w:r w:rsidRPr="00F23308">
              <w:rPr>
                <w:rFonts w:ascii="Arial" w:hAnsi="Arial" w:cs="Arial"/>
                <w:color w:val="000000"/>
                <w:sz w:val="18"/>
                <w:szCs w:val="18"/>
                <w:lang w:eastAsia="en-SG"/>
              </w:rPr>
              <w:t>−</w:t>
            </w:r>
            <w:r w:rsidR="004F4C5A" w:rsidRPr="00060311">
              <w:rPr>
                <w:rFonts w:ascii="Arial" w:hAnsi="Arial" w:cs="Arial"/>
                <w:color w:val="000000"/>
                <w:sz w:val="18"/>
                <w:szCs w:val="18"/>
                <w:lang w:eastAsia="en-SG"/>
              </w:rPr>
              <w:t>111,901</w:t>
            </w:r>
          </w:p>
        </w:tc>
        <w:tc>
          <w:tcPr>
            <w:tcW w:w="640" w:type="pct"/>
            <w:tcBorders>
              <w:top w:val="nil"/>
              <w:left w:val="nil"/>
              <w:bottom w:val="nil"/>
              <w:right w:val="nil"/>
            </w:tcBorders>
            <w:shd w:val="clear" w:color="auto" w:fill="auto"/>
            <w:noWrap/>
            <w:hideMark/>
          </w:tcPr>
          <w:p w14:paraId="542F41B2" w14:textId="11B03A17" w:rsidR="004F4C5A" w:rsidRPr="00060311" w:rsidRDefault="00F23308">
            <w:pPr>
              <w:jc w:val="right"/>
              <w:rPr>
                <w:rFonts w:ascii="Arial" w:hAnsi="Arial" w:cs="Arial"/>
                <w:color w:val="000000"/>
                <w:sz w:val="18"/>
                <w:szCs w:val="18"/>
                <w:lang w:eastAsia="en-SG"/>
              </w:rPr>
            </w:pPr>
            <w:r w:rsidRPr="00F23308">
              <w:rPr>
                <w:rFonts w:ascii="Arial" w:hAnsi="Arial" w:cs="Arial"/>
                <w:color w:val="000000"/>
                <w:sz w:val="18"/>
                <w:szCs w:val="18"/>
                <w:lang w:eastAsia="en-SG"/>
              </w:rPr>
              <w:t>−</w:t>
            </w:r>
            <w:r w:rsidR="004F4C5A" w:rsidRPr="00060311">
              <w:rPr>
                <w:rFonts w:ascii="Arial" w:hAnsi="Arial" w:cs="Arial"/>
                <w:color w:val="000000"/>
                <w:sz w:val="18"/>
                <w:szCs w:val="18"/>
                <w:lang w:eastAsia="en-SG"/>
              </w:rPr>
              <w:t>1,099</w:t>
            </w:r>
          </w:p>
        </w:tc>
        <w:tc>
          <w:tcPr>
            <w:tcW w:w="640" w:type="pct"/>
            <w:tcBorders>
              <w:top w:val="nil"/>
              <w:left w:val="nil"/>
              <w:bottom w:val="nil"/>
              <w:right w:val="nil"/>
            </w:tcBorders>
            <w:shd w:val="clear" w:color="auto" w:fill="auto"/>
            <w:noWrap/>
            <w:hideMark/>
          </w:tcPr>
          <w:p w14:paraId="33F83B7B" w14:textId="1BCE6000" w:rsidR="004F4C5A" w:rsidRPr="00060311" w:rsidRDefault="00F23308">
            <w:pPr>
              <w:jc w:val="right"/>
              <w:rPr>
                <w:rFonts w:ascii="Arial" w:hAnsi="Arial" w:cs="Arial"/>
                <w:color w:val="000000"/>
                <w:sz w:val="18"/>
                <w:szCs w:val="18"/>
                <w:lang w:eastAsia="en-SG"/>
              </w:rPr>
            </w:pPr>
            <w:r w:rsidRPr="00F23308">
              <w:rPr>
                <w:rFonts w:ascii="Arial" w:hAnsi="Arial" w:cs="Arial"/>
                <w:color w:val="000000"/>
                <w:sz w:val="18"/>
                <w:szCs w:val="18"/>
                <w:lang w:eastAsia="en-SG"/>
              </w:rPr>
              <w:t>−</w:t>
            </w:r>
            <w:r w:rsidR="004F4C5A" w:rsidRPr="00060311">
              <w:rPr>
                <w:rFonts w:ascii="Arial" w:hAnsi="Arial" w:cs="Arial"/>
                <w:color w:val="000000"/>
                <w:sz w:val="18"/>
                <w:szCs w:val="18"/>
                <w:lang w:eastAsia="en-SG"/>
              </w:rPr>
              <w:t>699</w:t>
            </w:r>
          </w:p>
        </w:tc>
        <w:tc>
          <w:tcPr>
            <w:tcW w:w="640" w:type="pct"/>
            <w:tcBorders>
              <w:top w:val="nil"/>
              <w:left w:val="nil"/>
              <w:bottom w:val="nil"/>
              <w:right w:val="nil"/>
            </w:tcBorders>
            <w:shd w:val="clear" w:color="auto" w:fill="auto"/>
            <w:hideMark/>
          </w:tcPr>
          <w:p w14:paraId="550EB426" w14:textId="2343007A" w:rsidR="004F4C5A" w:rsidRPr="00060311" w:rsidRDefault="00F23308">
            <w:pPr>
              <w:jc w:val="right"/>
              <w:rPr>
                <w:rFonts w:ascii="Arial" w:hAnsi="Arial" w:cs="Arial"/>
                <w:color w:val="272625"/>
                <w:sz w:val="18"/>
                <w:szCs w:val="18"/>
                <w:lang w:eastAsia="en-SG"/>
              </w:rPr>
            </w:pPr>
            <w:r w:rsidRPr="00F23308">
              <w:rPr>
                <w:rFonts w:ascii="Arial" w:hAnsi="Arial" w:cs="Arial"/>
                <w:color w:val="272625"/>
                <w:sz w:val="18"/>
                <w:szCs w:val="18"/>
                <w:lang w:eastAsia="en-SG"/>
              </w:rPr>
              <w:t>−</w:t>
            </w:r>
            <w:r w:rsidR="004F4C5A" w:rsidRPr="00060311">
              <w:rPr>
                <w:rFonts w:ascii="Arial" w:hAnsi="Arial" w:cs="Arial"/>
                <w:color w:val="272625"/>
                <w:sz w:val="18"/>
                <w:szCs w:val="18"/>
                <w:lang w:eastAsia="en-SG"/>
              </w:rPr>
              <w:t>4,277</w:t>
            </w:r>
          </w:p>
        </w:tc>
        <w:tc>
          <w:tcPr>
            <w:tcW w:w="640" w:type="pct"/>
            <w:tcBorders>
              <w:top w:val="nil"/>
              <w:left w:val="nil"/>
              <w:bottom w:val="nil"/>
              <w:right w:val="nil"/>
            </w:tcBorders>
            <w:shd w:val="clear" w:color="auto" w:fill="auto"/>
            <w:noWrap/>
            <w:hideMark/>
          </w:tcPr>
          <w:p w14:paraId="3022072C" w14:textId="387FADCB" w:rsidR="004F4C5A" w:rsidRPr="00060311" w:rsidRDefault="00F23308">
            <w:pPr>
              <w:jc w:val="right"/>
              <w:rPr>
                <w:rFonts w:ascii="Arial" w:hAnsi="Arial" w:cs="Arial"/>
                <w:color w:val="000000"/>
                <w:sz w:val="18"/>
                <w:szCs w:val="18"/>
                <w:lang w:eastAsia="en-SG"/>
              </w:rPr>
            </w:pPr>
            <w:r w:rsidRPr="00F23308">
              <w:rPr>
                <w:rFonts w:ascii="Arial" w:hAnsi="Arial" w:cs="Arial"/>
                <w:color w:val="000000"/>
                <w:sz w:val="18"/>
                <w:szCs w:val="18"/>
                <w:lang w:eastAsia="en-SG"/>
              </w:rPr>
              <w:t>−</w:t>
            </w:r>
            <w:r w:rsidR="004F4C5A" w:rsidRPr="00060311">
              <w:rPr>
                <w:rFonts w:ascii="Arial" w:hAnsi="Arial" w:cs="Arial"/>
                <w:color w:val="000000"/>
                <w:sz w:val="18"/>
                <w:szCs w:val="18"/>
                <w:lang w:eastAsia="en-SG"/>
              </w:rPr>
              <w:t>3,602</w:t>
            </w:r>
          </w:p>
        </w:tc>
      </w:tr>
      <w:tr w:rsidR="00B52377" w:rsidRPr="00060311" w14:paraId="1B15ADA2" w14:textId="77777777" w:rsidTr="00245772">
        <w:trPr>
          <w:trHeight w:val="230"/>
        </w:trPr>
        <w:tc>
          <w:tcPr>
            <w:tcW w:w="1669" w:type="pct"/>
            <w:tcBorders>
              <w:top w:val="single" w:sz="4" w:space="0" w:color="auto"/>
              <w:left w:val="nil"/>
              <w:bottom w:val="nil"/>
              <w:right w:val="nil"/>
            </w:tcBorders>
            <w:shd w:val="clear" w:color="auto" w:fill="auto"/>
          </w:tcPr>
          <w:p w14:paraId="75DF6817" w14:textId="77777777" w:rsidR="004F4C5A" w:rsidRPr="00060311" w:rsidRDefault="004F4C5A" w:rsidP="004F4C5A">
            <w:pPr>
              <w:rPr>
                <w:rFonts w:ascii="Arial" w:hAnsi="Arial" w:cs="Arial"/>
                <w:b/>
                <w:sz w:val="18"/>
                <w:szCs w:val="18"/>
              </w:rPr>
            </w:pPr>
            <w:r w:rsidRPr="00060311">
              <w:rPr>
                <w:rFonts w:ascii="Arial" w:hAnsi="Arial" w:cs="Arial"/>
                <w:b/>
                <w:sz w:val="18"/>
                <w:szCs w:val="18"/>
              </w:rPr>
              <w:t>Profit from Operations</w:t>
            </w:r>
          </w:p>
        </w:tc>
        <w:tc>
          <w:tcPr>
            <w:tcW w:w="128" w:type="pct"/>
            <w:tcBorders>
              <w:top w:val="single" w:sz="4" w:space="0" w:color="auto"/>
              <w:left w:val="nil"/>
              <w:bottom w:val="nil"/>
              <w:right w:val="nil"/>
            </w:tcBorders>
            <w:shd w:val="clear" w:color="auto" w:fill="auto"/>
          </w:tcPr>
          <w:p w14:paraId="16A9317F" w14:textId="77777777" w:rsidR="004F4C5A" w:rsidRPr="00060311" w:rsidRDefault="004F4C5A" w:rsidP="004F4C5A">
            <w:pPr>
              <w:rPr>
                <w:rFonts w:ascii="Arial" w:hAnsi="Arial" w:cs="Arial"/>
                <w:b/>
                <w:bCs/>
                <w:color w:val="000000"/>
                <w:sz w:val="18"/>
                <w:szCs w:val="18"/>
                <w:lang w:eastAsia="en-SG"/>
              </w:rPr>
            </w:pPr>
          </w:p>
        </w:tc>
        <w:tc>
          <w:tcPr>
            <w:tcW w:w="640" w:type="pct"/>
            <w:tcBorders>
              <w:top w:val="single" w:sz="4" w:space="0" w:color="auto"/>
              <w:left w:val="nil"/>
              <w:bottom w:val="nil"/>
              <w:right w:val="nil"/>
            </w:tcBorders>
            <w:shd w:val="clear" w:color="auto" w:fill="auto"/>
            <w:noWrap/>
            <w:hideMark/>
          </w:tcPr>
          <w:p w14:paraId="73DC816B" w14:textId="77777777" w:rsidR="004F4C5A" w:rsidRPr="00060311" w:rsidRDefault="004F4C5A" w:rsidP="004F4C5A">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31,606 </w:t>
            </w:r>
          </w:p>
        </w:tc>
        <w:tc>
          <w:tcPr>
            <w:tcW w:w="640" w:type="pct"/>
            <w:tcBorders>
              <w:top w:val="single" w:sz="4" w:space="0" w:color="auto"/>
              <w:left w:val="nil"/>
              <w:bottom w:val="nil"/>
              <w:right w:val="nil"/>
            </w:tcBorders>
            <w:shd w:val="clear" w:color="auto" w:fill="auto"/>
            <w:noWrap/>
            <w:hideMark/>
          </w:tcPr>
          <w:p w14:paraId="6D5DCD1F" w14:textId="77777777" w:rsidR="004F4C5A" w:rsidRPr="00060311" w:rsidRDefault="004F4C5A" w:rsidP="004F4C5A">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127,528 </w:t>
            </w:r>
          </w:p>
        </w:tc>
        <w:tc>
          <w:tcPr>
            <w:tcW w:w="640" w:type="pct"/>
            <w:tcBorders>
              <w:top w:val="single" w:sz="4" w:space="0" w:color="auto"/>
              <w:left w:val="nil"/>
              <w:bottom w:val="nil"/>
              <w:right w:val="nil"/>
            </w:tcBorders>
            <w:shd w:val="clear" w:color="auto" w:fill="auto"/>
            <w:noWrap/>
            <w:hideMark/>
          </w:tcPr>
          <w:p w14:paraId="429303CA" w14:textId="77777777" w:rsidR="004F4C5A" w:rsidRPr="00060311" w:rsidRDefault="004F4C5A" w:rsidP="004F4C5A">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252,926 </w:t>
            </w:r>
          </w:p>
        </w:tc>
        <w:tc>
          <w:tcPr>
            <w:tcW w:w="640" w:type="pct"/>
            <w:tcBorders>
              <w:top w:val="single" w:sz="4" w:space="0" w:color="auto"/>
              <w:left w:val="nil"/>
              <w:bottom w:val="nil"/>
              <w:right w:val="nil"/>
            </w:tcBorders>
            <w:shd w:val="clear" w:color="auto" w:fill="auto"/>
            <w:noWrap/>
            <w:hideMark/>
          </w:tcPr>
          <w:p w14:paraId="1D053B05" w14:textId="77777777" w:rsidR="004F4C5A" w:rsidRPr="00060311" w:rsidRDefault="004F4C5A" w:rsidP="004F4C5A">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279,801 </w:t>
            </w:r>
          </w:p>
        </w:tc>
        <w:tc>
          <w:tcPr>
            <w:tcW w:w="640" w:type="pct"/>
            <w:tcBorders>
              <w:top w:val="single" w:sz="4" w:space="0" w:color="auto"/>
              <w:left w:val="nil"/>
              <w:bottom w:val="nil"/>
              <w:right w:val="nil"/>
            </w:tcBorders>
            <w:shd w:val="clear" w:color="auto" w:fill="auto"/>
            <w:noWrap/>
            <w:hideMark/>
          </w:tcPr>
          <w:p w14:paraId="6CB5F21A" w14:textId="77777777" w:rsidR="004F4C5A" w:rsidRPr="00060311" w:rsidRDefault="004F4C5A" w:rsidP="004F4C5A">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229,427 </w:t>
            </w:r>
          </w:p>
        </w:tc>
      </w:tr>
      <w:tr w:rsidR="00B52377" w:rsidRPr="00060311" w14:paraId="3EFC9088" w14:textId="77777777" w:rsidTr="00245772">
        <w:trPr>
          <w:trHeight w:val="230"/>
        </w:trPr>
        <w:tc>
          <w:tcPr>
            <w:tcW w:w="1669" w:type="pct"/>
            <w:tcBorders>
              <w:top w:val="nil"/>
              <w:left w:val="nil"/>
              <w:bottom w:val="nil"/>
              <w:right w:val="nil"/>
            </w:tcBorders>
            <w:shd w:val="clear" w:color="auto" w:fill="auto"/>
          </w:tcPr>
          <w:p w14:paraId="29B2DFC4" w14:textId="77777777" w:rsidR="004F4C5A" w:rsidRPr="00060311" w:rsidRDefault="004F4C5A" w:rsidP="004F4C5A">
            <w:pPr>
              <w:rPr>
                <w:rFonts w:ascii="Arial" w:hAnsi="Arial" w:cs="Arial"/>
                <w:sz w:val="18"/>
                <w:szCs w:val="18"/>
              </w:rPr>
            </w:pPr>
            <w:r w:rsidRPr="00060311">
              <w:rPr>
                <w:rFonts w:ascii="Arial" w:hAnsi="Arial" w:cs="Arial"/>
                <w:sz w:val="18"/>
                <w:szCs w:val="18"/>
              </w:rPr>
              <w:t>Finance Costs</w:t>
            </w:r>
          </w:p>
        </w:tc>
        <w:tc>
          <w:tcPr>
            <w:tcW w:w="128" w:type="pct"/>
            <w:tcBorders>
              <w:top w:val="nil"/>
              <w:left w:val="nil"/>
              <w:bottom w:val="nil"/>
              <w:right w:val="nil"/>
            </w:tcBorders>
            <w:shd w:val="clear" w:color="auto" w:fill="auto"/>
          </w:tcPr>
          <w:p w14:paraId="4E3F39B8" w14:textId="77777777" w:rsidR="004F4C5A" w:rsidRPr="00060311" w:rsidRDefault="004F4C5A" w:rsidP="004F4C5A">
            <w:pPr>
              <w:rPr>
                <w:rFonts w:ascii="Arial" w:hAnsi="Arial" w:cs="Arial"/>
                <w:color w:val="000000"/>
                <w:sz w:val="18"/>
                <w:szCs w:val="18"/>
                <w:lang w:eastAsia="en-SG"/>
              </w:rPr>
            </w:pPr>
          </w:p>
        </w:tc>
        <w:tc>
          <w:tcPr>
            <w:tcW w:w="640" w:type="pct"/>
            <w:tcBorders>
              <w:top w:val="nil"/>
              <w:left w:val="nil"/>
              <w:bottom w:val="nil"/>
              <w:right w:val="nil"/>
            </w:tcBorders>
            <w:shd w:val="clear" w:color="auto" w:fill="auto"/>
            <w:noWrap/>
            <w:hideMark/>
          </w:tcPr>
          <w:p w14:paraId="6A9627AD" w14:textId="19982094" w:rsidR="004F4C5A" w:rsidRPr="00060311" w:rsidRDefault="00F23308" w:rsidP="00C1248F">
            <w:pPr>
              <w:jc w:val="right"/>
              <w:rPr>
                <w:rFonts w:ascii="Arial" w:hAnsi="Arial" w:cs="Arial"/>
                <w:color w:val="000000"/>
                <w:sz w:val="18"/>
                <w:szCs w:val="18"/>
                <w:lang w:eastAsia="en-SG"/>
              </w:rPr>
            </w:pPr>
            <w:r w:rsidRPr="00F23308">
              <w:rPr>
                <w:rFonts w:ascii="Arial" w:hAnsi="Arial" w:cs="Arial"/>
                <w:color w:val="000000"/>
                <w:sz w:val="18"/>
                <w:szCs w:val="18"/>
                <w:lang w:eastAsia="en-SG"/>
              </w:rPr>
              <w:t>−</w:t>
            </w:r>
            <w:r w:rsidR="004F4C5A" w:rsidRPr="00060311">
              <w:rPr>
                <w:rFonts w:ascii="Arial" w:hAnsi="Arial" w:cs="Arial"/>
                <w:color w:val="000000"/>
                <w:sz w:val="18"/>
                <w:szCs w:val="18"/>
                <w:lang w:eastAsia="en-SG"/>
              </w:rPr>
              <w:t>111,430</w:t>
            </w:r>
          </w:p>
        </w:tc>
        <w:tc>
          <w:tcPr>
            <w:tcW w:w="640" w:type="pct"/>
            <w:tcBorders>
              <w:top w:val="nil"/>
              <w:left w:val="nil"/>
              <w:bottom w:val="nil"/>
              <w:right w:val="nil"/>
            </w:tcBorders>
            <w:shd w:val="clear" w:color="auto" w:fill="auto"/>
            <w:noWrap/>
            <w:hideMark/>
          </w:tcPr>
          <w:p w14:paraId="1D7CFDE7" w14:textId="6E66A01B" w:rsidR="004F4C5A" w:rsidRPr="00060311" w:rsidRDefault="00F23308">
            <w:pPr>
              <w:jc w:val="right"/>
              <w:rPr>
                <w:rFonts w:ascii="Arial" w:hAnsi="Arial" w:cs="Arial"/>
                <w:color w:val="000000"/>
                <w:sz w:val="18"/>
                <w:szCs w:val="18"/>
                <w:lang w:eastAsia="en-SG"/>
              </w:rPr>
            </w:pPr>
            <w:r w:rsidRPr="00F23308">
              <w:rPr>
                <w:rFonts w:ascii="Arial" w:hAnsi="Arial" w:cs="Arial"/>
                <w:color w:val="000000"/>
                <w:sz w:val="18"/>
                <w:szCs w:val="18"/>
                <w:lang w:eastAsia="en-SG"/>
              </w:rPr>
              <w:t>−</w:t>
            </w:r>
            <w:r w:rsidR="004F4C5A" w:rsidRPr="00060311">
              <w:rPr>
                <w:rFonts w:ascii="Arial" w:hAnsi="Arial" w:cs="Arial"/>
                <w:color w:val="000000"/>
                <w:sz w:val="18"/>
                <w:szCs w:val="18"/>
                <w:lang w:eastAsia="en-SG"/>
              </w:rPr>
              <w:t>25,603</w:t>
            </w:r>
          </w:p>
        </w:tc>
        <w:tc>
          <w:tcPr>
            <w:tcW w:w="640" w:type="pct"/>
            <w:tcBorders>
              <w:top w:val="nil"/>
              <w:left w:val="nil"/>
              <w:bottom w:val="nil"/>
              <w:right w:val="nil"/>
            </w:tcBorders>
            <w:shd w:val="clear" w:color="auto" w:fill="auto"/>
            <w:noWrap/>
            <w:hideMark/>
          </w:tcPr>
          <w:p w14:paraId="5F254987" w14:textId="45D4F939" w:rsidR="004F4C5A" w:rsidRPr="00060311" w:rsidRDefault="00F23308">
            <w:pPr>
              <w:jc w:val="right"/>
              <w:rPr>
                <w:rFonts w:ascii="Arial" w:hAnsi="Arial" w:cs="Arial"/>
                <w:color w:val="000000"/>
                <w:sz w:val="18"/>
                <w:szCs w:val="18"/>
                <w:lang w:eastAsia="en-SG"/>
              </w:rPr>
            </w:pPr>
            <w:r w:rsidRPr="00F23308">
              <w:rPr>
                <w:rFonts w:ascii="Arial" w:hAnsi="Arial" w:cs="Arial"/>
                <w:color w:val="000000"/>
                <w:sz w:val="18"/>
                <w:szCs w:val="18"/>
                <w:lang w:eastAsia="en-SG"/>
              </w:rPr>
              <w:t>−</w:t>
            </w:r>
            <w:r w:rsidR="004F4C5A" w:rsidRPr="00060311">
              <w:rPr>
                <w:rFonts w:ascii="Arial" w:hAnsi="Arial" w:cs="Arial"/>
                <w:color w:val="000000"/>
                <w:sz w:val="18"/>
                <w:szCs w:val="18"/>
                <w:lang w:eastAsia="en-SG"/>
              </w:rPr>
              <w:t>33,312</w:t>
            </w:r>
          </w:p>
        </w:tc>
        <w:tc>
          <w:tcPr>
            <w:tcW w:w="640" w:type="pct"/>
            <w:tcBorders>
              <w:top w:val="nil"/>
              <w:left w:val="nil"/>
              <w:bottom w:val="nil"/>
              <w:right w:val="nil"/>
            </w:tcBorders>
            <w:shd w:val="clear" w:color="auto" w:fill="auto"/>
            <w:hideMark/>
          </w:tcPr>
          <w:p w14:paraId="3482AC3E" w14:textId="75D72103" w:rsidR="004F4C5A" w:rsidRPr="00060311" w:rsidRDefault="00F23308">
            <w:pPr>
              <w:jc w:val="right"/>
              <w:rPr>
                <w:rFonts w:ascii="Arial" w:hAnsi="Arial" w:cs="Arial"/>
                <w:color w:val="272625"/>
                <w:sz w:val="18"/>
                <w:szCs w:val="18"/>
                <w:lang w:eastAsia="en-SG"/>
              </w:rPr>
            </w:pPr>
            <w:r w:rsidRPr="00F23308">
              <w:rPr>
                <w:rFonts w:ascii="Arial" w:hAnsi="Arial" w:cs="Arial"/>
                <w:color w:val="272625"/>
                <w:sz w:val="18"/>
                <w:szCs w:val="18"/>
                <w:lang w:eastAsia="en-SG"/>
              </w:rPr>
              <w:t>−</w:t>
            </w:r>
            <w:r w:rsidR="004F4C5A" w:rsidRPr="00060311">
              <w:rPr>
                <w:rFonts w:ascii="Arial" w:hAnsi="Arial" w:cs="Arial"/>
                <w:color w:val="272625"/>
                <w:sz w:val="18"/>
                <w:szCs w:val="18"/>
                <w:lang w:eastAsia="en-SG"/>
              </w:rPr>
              <w:t>69,715</w:t>
            </w:r>
          </w:p>
        </w:tc>
        <w:tc>
          <w:tcPr>
            <w:tcW w:w="640" w:type="pct"/>
            <w:tcBorders>
              <w:top w:val="nil"/>
              <w:left w:val="nil"/>
              <w:bottom w:val="nil"/>
              <w:right w:val="nil"/>
            </w:tcBorders>
            <w:shd w:val="clear" w:color="auto" w:fill="auto"/>
            <w:hideMark/>
          </w:tcPr>
          <w:p w14:paraId="14168517" w14:textId="63C91C38" w:rsidR="004F4C5A" w:rsidRPr="00060311" w:rsidRDefault="00F23308">
            <w:pPr>
              <w:jc w:val="right"/>
              <w:rPr>
                <w:rFonts w:ascii="Arial" w:hAnsi="Arial" w:cs="Arial"/>
                <w:color w:val="272625"/>
                <w:sz w:val="18"/>
                <w:szCs w:val="18"/>
                <w:lang w:eastAsia="en-SG"/>
              </w:rPr>
            </w:pPr>
            <w:r w:rsidRPr="00F23308">
              <w:rPr>
                <w:rFonts w:ascii="Arial" w:hAnsi="Arial" w:cs="Arial"/>
                <w:color w:val="272625"/>
                <w:sz w:val="18"/>
                <w:szCs w:val="18"/>
                <w:lang w:eastAsia="en-SG"/>
              </w:rPr>
              <w:t>−</w:t>
            </w:r>
            <w:r w:rsidR="004F4C5A" w:rsidRPr="00060311">
              <w:rPr>
                <w:rFonts w:ascii="Arial" w:hAnsi="Arial" w:cs="Arial"/>
                <w:color w:val="272625"/>
                <w:sz w:val="18"/>
                <w:szCs w:val="18"/>
                <w:lang w:eastAsia="en-SG"/>
              </w:rPr>
              <w:t>74,015</w:t>
            </w:r>
          </w:p>
        </w:tc>
      </w:tr>
      <w:tr w:rsidR="00B52377" w:rsidRPr="00060311" w14:paraId="4E9A1D09" w14:textId="77777777" w:rsidTr="00245772">
        <w:trPr>
          <w:trHeight w:val="230"/>
        </w:trPr>
        <w:tc>
          <w:tcPr>
            <w:tcW w:w="1669" w:type="pct"/>
            <w:tcBorders>
              <w:top w:val="nil"/>
              <w:left w:val="nil"/>
              <w:bottom w:val="single" w:sz="4" w:space="0" w:color="auto"/>
              <w:right w:val="nil"/>
            </w:tcBorders>
            <w:shd w:val="clear" w:color="auto" w:fill="auto"/>
          </w:tcPr>
          <w:p w14:paraId="7A418EB0" w14:textId="354C7B58" w:rsidR="004F4C5A" w:rsidRPr="00060311" w:rsidRDefault="004F4C5A" w:rsidP="00CA235C">
            <w:pPr>
              <w:ind w:right="-157"/>
              <w:rPr>
                <w:rFonts w:ascii="Arial" w:hAnsi="Arial" w:cs="Arial"/>
                <w:sz w:val="18"/>
                <w:szCs w:val="18"/>
              </w:rPr>
            </w:pPr>
            <w:r w:rsidRPr="00060311">
              <w:rPr>
                <w:rFonts w:ascii="Arial" w:hAnsi="Arial" w:cs="Arial"/>
                <w:sz w:val="18"/>
                <w:szCs w:val="18"/>
              </w:rPr>
              <w:t>Share of Profits fr</w:t>
            </w:r>
            <w:r w:rsidR="00A07A69">
              <w:rPr>
                <w:rFonts w:ascii="Arial" w:hAnsi="Arial" w:cs="Arial"/>
                <w:sz w:val="18"/>
                <w:szCs w:val="18"/>
              </w:rPr>
              <w:t>om</w:t>
            </w:r>
            <w:r w:rsidRPr="00060311">
              <w:rPr>
                <w:rFonts w:ascii="Arial" w:hAnsi="Arial" w:cs="Arial"/>
                <w:sz w:val="18"/>
                <w:szCs w:val="18"/>
              </w:rPr>
              <w:t xml:space="preserve"> </w:t>
            </w:r>
            <w:r w:rsidR="00A07A69">
              <w:rPr>
                <w:rFonts w:ascii="Arial" w:hAnsi="Arial" w:cs="Arial"/>
                <w:sz w:val="18"/>
                <w:szCs w:val="18"/>
              </w:rPr>
              <w:t>A</w:t>
            </w:r>
            <w:r w:rsidR="00A07A69" w:rsidRPr="00060311">
              <w:rPr>
                <w:rFonts w:ascii="Arial" w:hAnsi="Arial" w:cs="Arial"/>
                <w:sz w:val="18"/>
                <w:szCs w:val="18"/>
              </w:rPr>
              <w:t xml:space="preserve">ssociates </w:t>
            </w:r>
            <w:r w:rsidR="00B52377">
              <w:rPr>
                <w:rFonts w:ascii="Arial" w:hAnsi="Arial" w:cs="Arial"/>
                <w:sz w:val="18"/>
                <w:szCs w:val="18"/>
              </w:rPr>
              <w:t>&amp;</w:t>
            </w:r>
            <w:r w:rsidRPr="00060311">
              <w:rPr>
                <w:rFonts w:ascii="Arial" w:hAnsi="Arial" w:cs="Arial"/>
                <w:sz w:val="18"/>
                <w:szCs w:val="18"/>
              </w:rPr>
              <w:t xml:space="preserve"> </w:t>
            </w:r>
            <w:r w:rsidR="00B52377">
              <w:rPr>
                <w:rFonts w:ascii="Arial" w:hAnsi="Arial" w:cs="Arial"/>
                <w:sz w:val="18"/>
                <w:szCs w:val="18"/>
              </w:rPr>
              <w:t>J</w:t>
            </w:r>
            <w:r w:rsidR="00A07A69">
              <w:rPr>
                <w:rFonts w:ascii="Arial" w:hAnsi="Arial" w:cs="Arial"/>
                <w:sz w:val="18"/>
                <w:szCs w:val="18"/>
              </w:rPr>
              <w:t xml:space="preserve">oint </w:t>
            </w:r>
            <w:r w:rsidR="00B52377">
              <w:rPr>
                <w:rFonts w:ascii="Arial" w:hAnsi="Arial" w:cs="Arial"/>
                <w:sz w:val="18"/>
                <w:szCs w:val="18"/>
              </w:rPr>
              <w:t>V</w:t>
            </w:r>
            <w:r w:rsidR="00A07A69">
              <w:rPr>
                <w:rFonts w:ascii="Arial" w:hAnsi="Arial" w:cs="Arial"/>
                <w:sz w:val="18"/>
                <w:szCs w:val="18"/>
              </w:rPr>
              <w:t>entures</w:t>
            </w:r>
          </w:p>
        </w:tc>
        <w:tc>
          <w:tcPr>
            <w:tcW w:w="128" w:type="pct"/>
            <w:tcBorders>
              <w:top w:val="nil"/>
              <w:left w:val="nil"/>
              <w:bottom w:val="single" w:sz="4" w:space="0" w:color="auto"/>
              <w:right w:val="nil"/>
            </w:tcBorders>
            <w:shd w:val="clear" w:color="auto" w:fill="auto"/>
          </w:tcPr>
          <w:p w14:paraId="400BFB9C" w14:textId="77777777" w:rsidR="004F4C5A" w:rsidRPr="00060311" w:rsidRDefault="004F4C5A" w:rsidP="004F4C5A">
            <w:pPr>
              <w:rPr>
                <w:rFonts w:ascii="Arial" w:hAnsi="Arial" w:cs="Arial"/>
                <w:color w:val="000000"/>
                <w:sz w:val="18"/>
                <w:szCs w:val="18"/>
                <w:lang w:eastAsia="en-SG"/>
              </w:rPr>
            </w:pPr>
          </w:p>
        </w:tc>
        <w:tc>
          <w:tcPr>
            <w:tcW w:w="640" w:type="pct"/>
            <w:tcBorders>
              <w:top w:val="nil"/>
              <w:left w:val="nil"/>
              <w:bottom w:val="single" w:sz="4" w:space="0" w:color="auto"/>
              <w:right w:val="nil"/>
            </w:tcBorders>
            <w:shd w:val="clear" w:color="auto" w:fill="auto"/>
            <w:noWrap/>
            <w:hideMark/>
          </w:tcPr>
          <w:p w14:paraId="26C06B50" w14:textId="77777777" w:rsidR="004F4C5A" w:rsidRPr="00060311" w:rsidRDefault="004F4C5A" w:rsidP="004F4C5A">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489,507 </w:t>
            </w:r>
          </w:p>
        </w:tc>
        <w:tc>
          <w:tcPr>
            <w:tcW w:w="640" w:type="pct"/>
            <w:tcBorders>
              <w:top w:val="nil"/>
              <w:left w:val="nil"/>
              <w:bottom w:val="single" w:sz="4" w:space="0" w:color="auto"/>
              <w:right w:val="nil"/>
            </w:tcBorders>
            <w:shd w:val="clear" w:color="auto" w:fill="auto"/>
            <w:noWrap/>
            <w:hideMark/>
          </w:tcPr>
          <w:p w14:paraId="3EE19529" w14:textId="77777777" w:rsidR="004F4C5A" w:rsidRPr="00060311" w:rsidRDefault="004F4C5A" w:rsidP="004F4C5A">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475,884 </w:t>
            </w:r>
          </w:p>
        </w:tc>
        <w:tc>
          <w:tcPr>
            <w:tcW w:w="640" w:type="pct"/>
            <w:tcBorders>
              <w:top w:val="nil"/>
              <w:left w:val="nil"/>
              <w:bottom w:val="single" w:sz="4" w:space="0" w:color="auto"/>
              <w:right w:val="nil"/>
            </w:tcBorders>
            <w:shd w:val="clear" w:color="auto" w:fill="auto"/>
            <w:noWrap/>
            <w:hideMark/>
          </w:tcPr>
          <w:p w14:paraId="6F24091A" w14:textId="77777777" w:rsidR="004F4C5A" w:rsidRPr="00060311" w:rsidRDefault="004F4C5A" w:rsidP="004F4C5A">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348,945 </w:t>
            </w:r>
          </w:p>
        </w:tc>
        <w:tc>
          <w:tcPr>
            <w:tcW w:w="640" w:type="pct"/>
            <w:tcBorders>
              <w:top w:val="nil"/>
              <w:left w:val="nil"/>
              <w:bottom w:val="single" w:sz="4" w:space="0" w:color="auto"/>
              <w:right w:val="nil"/>
            </w:tcBorders>
            <w:shd w:val="clear" w:color="auto" w:fill="auto"/>
            <w:hideMark/>
          </w:tcPr>
          <w:p w14:paraId="547E2806" w14:textId="77777777" w:rsidR="004F4C5A" w:rsidRPr="00060311" w:rsidRDefault="004F4C5A" w:rsidP="004F4C5A">
            <w:pPr>
              <w:jc w:val="right"/>
              <w:rPr>
                <w:rFonts w:ascii="Arial" w:hAnsi="Arial" w:cs="Arial"/>
                <w:color w:val="272625"/>
                <w:sz w:val="18"/>
                <w:szCs w:val="18"/>
                <w:lang w:eastAsia="en-SG"/>
              </w:rPr>
            </w:pPr>
            <w:r w:rsidRPr="00060311">
              <w:rPr>
                <w:rFonts w:ascii="Arial" w:hAnsi="Arial" w:cs="Arial"/>
                <w:color w:val="272625"/>
                <w:sz w:val="18"/>
                <w:szCs w:val="18"/>
                <w:lang w:eastAsia="en-SG"/>
              </w:rPr>
              <w:t xml:space="preserve">406,501 </w:t>
            </w:r>
          </w:p>
        </w:tc>
        <w:tc>
          <w:tcPr>
            <w:tcW w:w="640" w:type="pct"/>
            <w:tcBorders>
              <w:top w:val="nil"/>
              <w:left w:val="nil"/>
              <w:bottom w:val="single" w:sz="4" w:space="0" w:color="auto"/>
              <w:right w:val="nil"/>
            </w:tcBorders>
            <w:shd w:val="clear" w:color="auto" w:fill="auto"/>
            <w:hideMark/>
          </w:tcPr>
          <w:p w14:paraId="06D25882" w14:textId="77777777" w:rsidR="004F4C5A" w:rsidRPr="00060311" w:rsidRDefault="004F4C5A" w:rsidP="004F4C5A">
            <w:pPr>
              <w:jc w:val="right"/>
              <w:rPr>
                <w:rFonts w:ascii="Arial" w:hAnsi="Arial" w:cs="Arial"/>
                <w:color w:val="272625"/>
                <w:sz w:val="18"/>
                <w:szCs w:val="18"/>
                <w:lang w:eastAsia="en-SG"/>
              </w:rPr>
            </w:pPr>
            <w:r w:rsidRPr="00060311">
              <w:rPr>
                <w:rFonts w:ascii="Arial" w:hAnsi="Arial" w:cs="Arial"/>
                <w:color w:val="272625"/>
                <w:sz w:val="18"/>
                <w:szCs w:val="18"/>
                <w:lang w:eastAsia="en-SG"/>
              </w:rPr>
              <w:t xml:space="preserve">524,769 </w:t>
            </w:r>
          </w:p>
        </w:tc>
      </w:tr>
      <w:tr w:rsidR="00B52377" w:rsidRPr="00060311" w14:paraId="6E01D01C" w14:textId="77777777" w:rsidTr="00245772">
        <w:trPr>
          <w:trHeight w:val="230"/>
        </w:trPr>
        <w:tc>
          <w:tcPr>
            <w:tcW w:w="1669" w:type="pct"/>
            <w:tcBorders>
              <w:top w:val="nil"/>
              <w:left w:val="nil"/>
              <w:bottom w:val="nil"/>
              <w:right w:val="nil"/>
            </w:tcBorders>
            <w:shd w:val="clear" w:color="auto" w:fill="auto"/>
          </w:tcPr>
          <w:p w14:paraId="0958C9C0" w14:textId="5224A121" w:rsidR="004F4C5A" w:rsidRPr="00060311" w:rsidRDefault="004F4C5A" w:rsidP="00CA235C">
            <w:pPr>
              <w:rPr>
                <w:rFonts w:ascii="Arial" w:hAnsi="Arial" w:cs="Arial"/>
                <w:b/>
                <w:sz w:val="18"/>
                <w:szCs w:val="18"/>
              </w:rPr>
            </w:pPr>
            <w:r w:rsidRPr="00060311">
              <w:rPr>
                <w:rFonts w:ascii="Arial" w:hAnsi="Arial" w:cs="Arial"/>
                <w:b/>
                <w:sz w:val="18"/>
                <w:szCs w:val="18"/>
              </w:rPr>
              <w:t xml:space="preserve">Profit before </w:t>
            </w:r>
            <w:r w:rsidR="00A07A69">
              <w:rPr>
                <w:rFonts w:ascii="Arial" w:hAnsi="Arial" w:cs="Arial"/>
                <w:b/>
                <w:sz w:val="18"/>
                <w:szCs w:val="18"/>
              </w:rPr>
              <w:t>T</w:t>
            </w:r>
            <w:r w:rsidR="00A07A69" w:rsidRPr="00060311">
              <w:rPr>
                <w:rFonts w:ascii="Arial" w:hAnsi="Arial" w:cs="Arial"/>
                <w:b/>
                <w:sz w:val="18"/>
                <w:szCs w:val="18"/>
              </w:rPr>
              <w:t>ax</w:t>
            </w:r>
          </w:p>
        </w:tc>
        <w:tc>
          <w:tcPr>
            <w:tcW w:w="128" w:type="pct"/>
            <w:tcBorders>
              <w:top w:val="nil"/>
              <w:left w:val="nil"/>
              <w:bottom w:val="nil"/>
              <w:right w:val="nil"/>
            </w:tcBorders>
            <w:shd w:val="clear" w:color="auto" w:fill="auto"/>
          </w:tcPr>
          <w:p w14:paraId="2E40784F" w14:textId="77777777" w:rsidR="004F4C5A" w:rsidRPr="00060311" w:rsidRDefault="004F4C5A" w:rsidP="004F4C5A">
            <w:pPr>
              <w:rPr>
                <w:rFonts w:ascii="Arial" w:hAnsi="Arial" w:cs="Arial"/>
                <w:b/>
                <w:bCs/>
                <w:color w:val="000000"/>
                <w:sz w:val="18"/>
                <w:szCs w:val="18"/>
                <w:lang w:eastAsia="en-SG"/>
              </w:rPr>
            </w:pPr>
          </w:p>
        </w:tc>
        <w:tc>
          <w:tcPr>
            <w:tcW w:w="640" w:type="pct"/>
            <w:tcBorders>
              <w:top w:val="nil"/>
              <w:left w:val="nil"/>
              <w:bottom w:val="nil"/>
              <w:right w:val="nil"/>
            </w:tcBorders>
            <w:shd w:val="clear" w:color="auto" w:fill="auto"/>
            <w:noWrap/>
            <w:hideMark/>
          </w:tcPr>
          <w:p w14:paraId="7A5432F5" w14:textId="77777777" w:rsidR="004F4C5A" w:rsidRPr="00060311" w:rsidRDefault="004F4C5A" w:rsidP="004F4C5A">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409,683 </w:t>
            </w:r>
          </w:p>
        </w:tc>
        <w:tc>
          <w:tcPr>
            <w:tcW w:w="640" w:type="pct"/>
            <w:tcBorders>
              <w:top w:val="nil"/>
              <w:left w:val="nil"/>
              <w:bottom w:val="nil"/>
              <w:right w:val="nil"/>
            </w:tcBorders>
            <w:shd w:val="clear" w:color="auto" w:fill="auto"/>
            <w:noWrap/>
            <w:hideMark/>
          </w:tcPr>
          <w:p w14:paraId="0B33CD0E" w14:textId="77777777" w:rsidR="004F4C5A" w:rsidRPr="00060311" w:rsidRDefault="004F4C5A" w:rsidP="004F4C5A">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577,809 </w:t>
            </w:r>
          </w:p>
        </w:tc>
        <w:tc>
          <w:tcPr>
            <w:tcW w:w="640" w:type="pct"/>
            <w:tcBorders>
              <w:top w:val="nil"/>
              <w:left w:val="nil"/>
              <w:bottom w:val="nil"/>
              <w:right w:val="nil"/>
            </w:tcBorders>
            <w:shd w:val="clear" w:color="auto" w:fill="auto"/>
            <w:noWrap/>
            <w:hideMark/>
          </w:tcPr>
          <w:p w14:paraId="5D4E42DD" w14:textId="77777777" w:rsidR="004F4C5A" w:rsidRPr="00060311" w:rsidRDefault="004F4C5A" w:rsidP="004F4C5A">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568,559 </w:t>
            </w:r>
          </w:p>
        </w:tc>
        <w:tc>
          <w:tcPr>
            <w:tcW w:w="640" w:type="pct"/>
            <w:tcBorders>
              <w:top w:val="nil"/>
              <w:left w:val="nil"/>
              <w:bottom w:val="nil"/>
              <w:right w:val="nil"/>
            </w:tcBorders>
            <w:shd w:val="clear" w:color="auto" w:fill="auto"/>
            <w:noWrap/>
            <w:hideMark/>
          </w:tcPr>
          <w:p w14:paraId="1E67FBA4" w14:textId="77777777" w:rsidR="004F4C5A" w:rsidRPr="00060311" w:rsidRDefault="004F4C5A" w:rsidP="004F4C5A">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616,587 </w:t>
            </w:r>
          </w:p>
        </w:tc>
        <w:tc>
          <w:tcPr>
            <w:tcW w:w="640" w:type="pct"/>
            <w:tcBorders>
              <w:top w:val="nil"/>
              <w:left w:val="nil"/>
              <w:bottom w:val="nil"/>
              <w:right w:val="nil"/>
            </w:tcBorders>
            <w:shd w:val="clear" w:color="auto" w:fill="auto"/>
            <w:noWrap/>
            <w:hideMark/>
          </w:tcPr>
          <w:p w14:paraId="162D96E0" w14:textId="77777777" w:rsidR="004F4C5A" w:rsidRPr="00060311" w:rsidRDefault="004F4C5A" w:rsidP="004F4C5A">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680,181 </w:t>
            </w:r>
          </w:p>
        </w:tc>
      </w:tr>
      <w:tr w:rsidR="00B52377" w:rsidRPr="00060311" w14:paraId="13F4322D" w14:textId="77777777" w:rsidTr="00245772">
        <w:trPr>
          <w:trHeight w:val="230"/>
        </w:trPr>
        <w:tc>
          <w:tcPr>
            <w:tcW w:w="1669" w:type="pct"/>
            <w:tcBorders>
              <w:top w:val="nil"/>
              <w:left w:val="nil"/>
              <w:bottom w:val="single" w:sz="4" w:space="0" w:color="auto"/>
              <w:right w:val="nil"/>
            </w:tcBorders>
            <w:shd w:val="clear" w:color="auto" w:fill="auto"/>
          </w:tcPr>
          <w:p w14:paraId="5699BFFA" w14:textId="624657BC" w:rsidR="004F4C5A" w:rsidRPr="00060311" w:rsidRDefault="004F4C5A" w:rsidP="00CA235C">
            <w:pPr>
              <w:rPr>
                <w:rFonts w:ascii="Arial" w:hAnsi="Arial" w:cs="Arial"/>
                <w:sz w:val="18"/>
                <w:szCs w:val="18"/>
              </w:rPr>
            </w:pPr>
            <w:r w:rsidRPr="00060311">
              <w:rPr>
                <w:rFonts w:ascii="Arial" w:hAnsi="Arial" w:cs="Arial"/>
                <w:sz w:val="18"/>
                <w:szCs w:val="18"/>
              </w:rPr>
              <w:t xml:space="preserve">Tax </w:t>
            </w:r>
            <w:r w:rsidR="00A07A69">
              <w:rPr>
                <w:rFonts w:ascii="Arial" w:hAnsi="Arial" w:cs="Arial"/>
                <w:sz w:val="18"/>
                <w:szCs w:val="18"/>
              </w:rPr>
              <w:t>E</w:t>
            </w:r>
            <w:r w:rsidR="00A07A69" w:rsidRPr="00060311">
              <w:rPr>
                <w:rFonts w:ascii="Arial" w:hAnsi="Arial" w:cs="Arial"/>
                <w:sz w:val="18"/>
                <w:szCs w:val="18"/>
              </w:rPr>
              <w:t>xpense</w:t>
            </w:r>
          </w:p>
        </w:tc>
        <w:tc>
          <w:tcPr>
            <w:tcW w:w="128" w:type="pct"/>
            <w:tcBorders>
              <w:top w:val="nil"/>
              <w:left w:val="nil"/>
              <w:bottom w:val="single" w:sz="4" w:space="0" w:color="auto"/>
              <w:right w:val="nil"/>
            </w:tcBorders>
            <w:shd w:val="clear" w:color="auto" w:fill="auto"/>
          </w:tcPr>
          <w:p w14:paraId="6366B2C2" w14:textId="77777777" w:rsidR="004F4C5A" w:rsidRPr="00060311" w:rsidRDefault="004F4C5A" w:rsidP="004F4C5A">
            <w:pPr>
              <w:rPr>
                <w:rFonts w:ascii="Arial" w:hAnsi="Arial" w:cs="Arial"/>
                <w:color w:val="000000"/>
                <w:sz w:val="18"/>
                <w:szCs w:val="18"/>
                <w:lang w:eastAsia="en-SG"/>
              </w:rPr>
            </w:pPr>
          </w:p>
        </w:tc>
        <w:tc>
          <w:tcPr>
            <w:tcW w:w="640" w:type="pct"/>
            <w:tcBorders>
              <w:top w:val="nil"/>
              <w:left w:val="nil"/>
              <w:bottom w:val="single" w:sz="4" w:space="0" w:color="auto"/>
              <w:right w:val="nil"/>
            </w:tcBorders>
            <w:shd w:val="clear" w:color="auto" w:fill="auto"/>
            <w:noWrap/>
            <w:hideMark/>
          </w:tcPr>
          <w:p w14:paraId="75E4AD9E" w14:textId="15B08F92" w:rsidR="004F4C5A" w:rsidRPr="00060311" w:rsidRDefault="00F23308" w:rsidP="00C1248F">
            <w:pPr>
              <w:jc w:val="right"/>
              <w:rPr>
                <w:rFonts w:ascii="Arial" w:hAnsi="Arial" w:cs="Arial"/>
                <w:color w:val="000000"/>
                <w:sz w:val="18"/>
                <w:szCs w:val="18"/>
                <w:lang w:eastAsia="en-SG"/>
              </w:rPr>
            </w:pPr>
            <w:r w:rsidRPr="00F23308">
              <w:rPr>
                <w:rFonts w:ascii="Arial" w:hAnsi="Arial" w:cs="Arial"/>
                <w:color w:val="000000"/>
                <w:sz w:val="18"/>
                <w:szCs w:val="18"/>
                <w:lang w:eastAsia="en-SG"/>
              </w:rPr>
              <w:t>−</w:t>
            </w:r>
            <w:r w:rsidR="004F4C5A" w:rsidRPr="00060311">
              <w:rPr>
                <w:rFonts w:ascii="Arial" w:hAnsi="Arial" w:cs="Arial"/>
                <w:color w:val="000000"/>
                <w:sz w:val="18"/>
                <w:szCs w:val="18"/>
                <w:lang w:eastAsia="en-SG"/>
              </w:rPr>
              <w:t>16,027</w:t>
            </w:r>
          </w:p>
        </w:tc>
        <w:tc>
          <w:tcPr>
            <w:tcW w:w="640" w:type="pct"/>
            <w:tcBorders>
              <w:top w:val="nil"/>
              <w:left w:val="nil"/>
              <w:bottom w:val="single" w:sz="4" w:space="0" w:color="auto"/>
              <w:right w:val="nil"/>
            </w:tcBorders>
            <w:shd w:val="clear" w:color="auto" w:fill="auto"/>
            <w:noWrap/>
            <w:hideMark/>
          </w:tcPr>
          <w:p w14:paraId="60E56AE0" w14:textId="2E8A7A35" w:rsidR="004F4C5A" w:rsidRPr="00060311" w:rsidRDefault="00F23308">
            <w:pPr>
              <w:jc w:val="right"/>
              <w:rPr>
                <w:rFonts w:ascii="Arial" w:hAnsi="Arial" w:cs="Arial"/>
                <w:color w:val="000000"/>
                <w:sz w:val="18"/>
                <w:szCs w:val="18"/>
                <w:lang w:eastAsia="en-SG"/>
              </w:rPr>
            </w:pPr>
            <w:r w:rsidRPr="00F23308">
              <w:rPr>
                <w:rFonts w:ascii="Arial" w:hAnsi="Arial" w:cs="Arial"/>
                <w:color w:val="000000"/>
                <w:sz w:val="18"/>
                <w:szCs w:val="18"/>
                <w:lang w:eastAsia="en-SG"/>
              </w:rPr>
              <w:t>−</w:t>
            </w:r>
            <w:r w:rsidR="004F4C5A" w:rsidRPr="00060311">
              <w:rPr>
                <w:rFonts w:ascii="Arial" w:hAnsi="Arial" w:cs="Arial"/>
                <w:color w:val="000000"/>
                <w:sz w:val="18"/>
                <w:szCs w:val="18"/>
                <w:lang w:eastAsia="en-SG"/>
              </w:rPr>
              <w:t>28,871</w:t>
            </w:r>
          </w:p>
        </w:tc>
        <w:tc>
          <w:tcPr>
            <w:tcW w:w="640" w:type="pct"/>
            <w:tcBorders>
              <w:top w:val="nil"/>
              <w:left w:val="nil"/>
              <w:bottom w:val="single" w:sz="4" w:space="0" w:color="auto"/>
              <w:right w:val="nil"/>
            </w:tcBorders>
            <w:shd w:val="clear" w:color="auto" w:fill="auto"/>
            <w:noWrap/>
            <w:hideMark/>
          </w:tcPr>
          <w:p w14:paraId="5C42038B" w14:textId="5321C3AF" w:rsidR="004F4C5A" w:rsidRPr="00060311" w:rsidRDefault="00F23308">
            <w:pPr>
              <w:jc w:val="right"/>
              <w:rPr>
                <w:rFonts w:ascii="Arial" w:hAnsi="Arial" w:cs="Arial"/>
                <w:color w:val="000000"/>
                <w:sz w:val="18"/>
                <w:szCs w:val="18"/>
                <w:lang w:eastAsia="en-SG"/>
              </w:rPr>
            </w:pPr>
            <w:r w:rsidRPr="00F23308">
              <w:rPr>
                <w:rFonts w:ascii="Arial" w:hAnsi="Arial" w:cs="Arial"/>
                <w:color w:val="000000"/>
                <w:sz w:val="18"/>
                <w:szCs w:val="18"/>
                <w:lang w:eastAsia="en-SG"/>
              </w:rPr>
              <w:t>−</w:t>
            </w:r>
            <w:r w:rsidR="004F4C5A" w:rsidRPr="00060311">
              <w:rPr>
                <w:rFonts w:ascii="Arial" w:hAnsi="Arial" w:cs="Arial"/>
                <w:color w:val="000000"/>
                <w:sz w:val="18"/>
                <w:szCs w:val="18"/>
                <w:lang w:eastAsia="en-SG"/>
              </w:rPr>
              <w:t>74,341</w:t>
            </w:r>
          </w:p>
        </w:tc>
        <w:tc>
          <w:tcPr>
            <w:tcW w:w="640" w:type="pct"/>
            <w:tcBorders>
              <w:top w:val="nil"/>
              <w:left w:val="nil"/>
              <w:bottom w:val="single" w:sz="4" w:space="0" w:color="auto"/>
              <w:right w:val="nil"/>
            </w:tcBorders>
            <w:shd w:val="clear" w:color="auto" w:fill="auto"/>
            <w:hideMark/>
          </w:tcPr>
          <w:p w14:paraId="6B8EC21C" w14:textId="779C1384" w:rsidR="004F4C5A" w:rsidRPr="00060311" w:rsidRDefault="00F23308">
            <w:pPr>
              <w:jc w:val="right"/>
              <w:rPr>
                <w:rFonts w:ascii="Arial" w:hAnsi="Arial" w:cs="Arial"/>
                <w:color w:val="272625"/>
                <w:sz w:val="18"/>
                <w:szCs w:val="18"/>
                <w:lang w:eastAsia="en-SG"/>
              </w:rPr>
            </w:pPr>
            <w:r w:rsidRPr="00F23308">
              <w:rPr>
                <w:rFonts w:ascii="Arial" w:hAnsi="Arial" w:cs="Arial"/>
                <w:color w:val="272625"/>
                <w:sz w:val="18"/>
                <w:szCs w:val="18"/>
                <w:lang w:eastAsia="en-SG"/>
              </w:rPr>
              <w:t>−</w:t>
            </w:r>
            <w:r w:rsidR="004F4C5A" w:rsidRPr="00060311">
              <w:rPr>
                <w:rFonts w:ascii="Arial" w:hAnsi="Arial" w:cs="Arial"/>
                <w:color w:val="272625"/>
                <w:sz w:val="18"/>
                <w:szCs w:val="18"/>
                <w:lang w:eastAsia="en-SG"/>
              </w:rPr>
              <w:t>57,739</w:t>
            </w:r>
          </w:p>
        </w:tc>
        <w:tc>
          <w:tcPr>
            <w:tcW w:w="640" w:type="pct"/>
            <w:tcBorders>
              <w:top w:val="nil"/>
              <w:left w:val="nil"/>
              <w:bottom w:val="single" w:sz="4" w:space="0" w:color="auto"/>
              <w:right w:val="nil"/>
            </w:tcBorders>
            <w:shd w:val="clear" w:color="auto" w:fill="auto"/>
            <w:hideMark/>
          </w:tcPr>
          <w:p w14:paraId="5EB9AB79" w14:textId="25629617" w:rsidR="004F4C5A" w:rsidRPr="00060311" w:rsidRDefault="00F23308">
            <w:pPr>
              <w:jc w:val="right"/>
              <w:rPr>
                <w:rFonts w:ascii="Arial" w:hAnsi="Arial" w:cs="Arial"/>
                <w:color w:val="272625"/>
                <w:sz w:val="18"/>
                <w:szCs w:val="18"/>
                <w:lang w:eastAsia="en-SG"/>
              </w:rPr>
            </w:pPr>
            <w:r w:rsidRPr="00F23308">
              <w:rPr>
                <w:rFonts w:ascii="Arial" w:hAnsi="Arial" w:cs="Arial"/>
                <w:color w:val="272625"/>
                <w:sz w:val="18"/>
                <w:szCs w:val="18"/>
                <w:lang w:eastAsia="en-SG"/>
              </w:rPr>
              <w:t>−</w:t>
            </w:r>
            <w:r w:rsidR="004F4C5A" w:rsidRPr="00060311">
              <w:rPr>
                <w:rFonts w:ascii="Arial" w:hAnsi="Arial" w:cs="Arial"/>
                <w:color w:val="272625"/>
                <w:sz w:val="18"/>
                <w:szCs w:val="18"/>
                <w:lang w:eastAsia="en-SG"/>
              </w:rPr>
              <w:t>66,054</w:t>
            </w:r>
          </w:p>
        </w:tc>
      </w:tr>
      <w:tr w:rsidR="00B52377" w:rsidRPr="00060311" w14:paraId="274FCFA5" w14:textId="77777777" w:rsidTr="00245772">
        <w:trPr>
          <w:trHeight w:val="230"/>
        </w:trPr>
        <w:tc>
          <w:tcPr>
            <w:tcW w:w="1669" w:type="pct"/>
            <w:tcBorders>
              <w:top w:val="single" w:sz="4" w:space="0" w:color="auto"/>
              <w:left w:val="nil"/>
              <w:bottom w:val="single" w:sz="4" w:space="0" w:color="auto"/>
              <w:right w:val="nil"/>
            </w:tcBorders>
            <w:shd w:val="clear" w:color="auto" w:fill="auto"/>
          </w:tcPr>
          <w:p w14:paraId="1A35AD6F" w14:textId="77777777" w:rsidR="004F4C5A" w:rsidRPr="00060311" w:rsidRDefault="004F4C5A" w:rsidP="004F4C5A">
            <w:pPr>
              <w:rPr>
                <w:rFonts w:ascii="Arial" w:hAnsi="Arial" w:cs="Arial"/>
                <w:b/>
                <w:sz w:val="18"/>
                <w:szCs w:val="18"/>
              </w:rPr>
            </w:pPr>
            <w:r w:rsidRPr="00060311">
              <w:rPr>
                <w:rFonts w:ascii="Arial" w:hAnsi="Arial" w:cs="Arial"/>
                <w:b/>
                <w:sz w:val="18"/>
                <w:szCs w:val="18"/>
              </w:rPr>
              <w:t>Net Income</w:t>
            </w:r>
          </w:p>
        </w:tc>
        <w:tc>
          <w:tcPr>
            <w:tcW w:w="128" w:type="pct"/>
            <w:tcBorders>
              <w:top w:val="single" w:sz="4" w:space="0" w:color="auto"/>
              <w:left w:val="nil"/>
              <w:bottom w:val="single" w:sz="4" w:space="0" w:color="auto"/>
              <w:right w:val="nil"/>
            </w:tcBorders>
            <w:shd w:val="clear" w:color="auto" w:fill="auto"/>
          </w:tcPr>
          <w:p w14:paraId="184B40EF" w14:textId="77777777" w:rsidR="004F4C5A" w:rsidRPr="00060311" w:rsidRDefault="004F4C5A" w:rsidP="004F4C5A">
            <w:pPr>
              <w:rPr>
                <w:rFonts w:ascii="Arial" w:hAnsi="Arial" w:cs="Arial"/>
                <w:b/>
                <w:bCs/>
                <w:color w:val="000000"/>
                <w:sz w:val="18"/>
                <w:szCs w:val="18"/>
                <w:lang w:eastAsia="en-SG"/>
              </w:rPr>
            </w:pPr>
          </w:p>
        </w:tc>
        <w:tc>
          <w:tcPr>
            <w:tcW w:w="640" w:type="pct"/>
            <w:tcBorders>
              <w:top w:val="single" w:sz="4" w:space="0" w:color="auto"/>
              <w:left w:val="nil"/>
              <w:bottom w:val="single" w:sz="4" w:space="0" w:color="auto"/>
              <w:right w:val="nil"/>
            </w:tcBorders>
            <w:shd w:val="clear" w:color="auto" w:fill="auto"/>
            <w:noWrap/>
            <w:hideMark/>
          </w:tcPr>
          <w:p w14:paraId="1A06E0DA" w14:textId="77777777" w:rsidR="004F4C5A" w:rsidRPr="00060311" w:rsidRDefault="004F4C5A" w:rsidP="004F4C5A">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393,656 </w:t>
            </w:r>
          </w:p>
        </w:tc>
        <w:tc>
          <w:tcPr>
            <w:tcW w:w="640" w:type="pct"/>
            <w:tcBorders>
              <w:top w:val="single" w:sz="4" w:space="0" w:color="auto"/>
              <w:left w:val="nil"/>
              <w:bottom w:val="single" w:sz="4" w:space="0" w:color="auto"/>
              <w:right w:val="nil"/>
            </w:tcBorders>
            <w:shd w:val="clear" w:color="auto" w:fill="auto"/>
            <w:noWrap/>
            <w:hideMark/>
          </w:tcPr>
          <w:p w14:paraId="14ECBE60" w14:textId="77777777" w:rsidR="004F4C5A" w:rsidRPr="00060311" w:rsidRDefault="004F4C5A" w:rsidP="004F4C5A">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548,938 </w:t>
            </w:r>
          </w:p>
        </w:tc>
        <w:tc>
          <w:tcPr>
            <w:tcW w:w="640" w:type="pct"/>
            <w:tcBorders>
              <w:top w:val="single" w:sz="4" w:space="0" w:color="auto"/>
              <w:left w:val="nil"/>
              <w:bottom w:val="single" w:sz="4" w:space="0" w:color="auto"/>
              <w:right w:val="nil"/>
            </w:tcBorders>
            <w:shd w:val="clear" w:color="auto" w:fill="auto"/>
            <w:noWrap/>
            <w:hideMark/>
          </w:tcPr>
          <w:p w14:paraId="59501EAC" w14:textId="77777777" w:rsidR="004F4C5A" w:rsidRPr="00060311" w:rsidRDefault="004F4C5A" w:rsidP="004F4C5A">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494,218 </w:t>
            </w:r>
          </w:p>
        </w:tc>
        <w:tc>
          <w:tcPr>
            <w:tcW w:w="640" w:type="pct"/>
            <w:tcBorders>
              <w:top w:val="single" w:sz="4" w:space="0" w:color="auto"/>
              <w:left w:val="nil"/>
              <w:bottom w:val="single" w:sz="4" w:space="0" w:color="auto"/>
              <w:right w:val="nil"/>
            </w:tcBorders>
            <w:shd w:val="clear" w:color="auto" w:fill="auto"/>
            <w:noWrap/>
            <w:hideMark/>
          </w:tcPr>
          <w:p w14:paraId="71B5965B" w14:textId="77777777" w:rsidR="004F4C5A" w:rsidRPr="00060311" w:rsidRDefault="004F4C5A" w:rsidP="004F4C5A">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558,848 </w:t>
            </w:r>
          </w:p>
        </w:tc>
        <w:tc>
          <w:tcPr>
            <w:tcW w:w="640" w:type="pct"/>
            <w:tcBorders>
              <w:top w:val="single" w:sz="4" w:space="0" w:color="auto"/>
              <w:left w:val="nil"/>
              <w:bottom w:val="single" w:sz="4" w:space="0" w:color="auto"/>
              <w:right w:val="nil"/>
            </w:tcBorders>
            <w:shd w:val="clear" w:color="auto" w:fill="auto"/>
            <w:noWrap/>
            <w:hideMark/>
          </w:tcPr>
          <w:p w14:paraId="5E561426" w14:textId="77777777" w:rsidR="004F4C5A" w:rsidRPr="00060311" w:rsidRDefault="004F4C5A" w:rsidP="004F4C5A">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614,127 </w:t>
            </w:r>
          </w:p>
        </w:tc>
      </w:tr>
      <w:tr w:rsidR="00B52377" w:rsidRPr="00060311" w14:paraId="29CC9332" w14:textId="77777777" w:rsidTr="00245772">
        <w:trPr>
          <w:trHeight w:val="230"/>
        </w:trPr>
        <w:tc>
          <w:tcPr>
            <w:tcW w:w="1669" w:type="pct"/>
            <w:tcBorders>
              <w:top w:val="nil"/>
              <w:left w:val="nil"/>
              <w:bottom w:val="nil"/>
              <w:right w:val="nil"/>
            </w:tcBorders>
            <w:shd w:val="clear" w:color="auto" w:fill="auto"/>
          </w:tcPr>
          <w:p w14:paraId="3BDDBE9D" w14:textId="77777777" w:rsidR="004F4C5A" w:rsidRPr="00060311" w:rsidRDefault="004F4C5A" w:rsidP="004F4C5A">
            <w:pPr>
              <w:rPr>
                <w:rFonts w:ascii="Arial" w:hAnsi="Arial" w:cs="Arial"/>
                <w:b/>
                <w:color w:val="000000"/>
                <w:sz w:val="18"/>
                <w:szCs w:val="18"/>
                <w:lang w:eastAsia="en-SG"/>
              </w:rPr>
            </w:pPr>
            <w:r w:rsidRPr="00060311">
              <w:rPr>
                <w:rFonts w:ascii="Arial" w:hAnsi="Arial" w:cs="Arial"/>
                <w:b/>
                <w:color w:val="000000"/>
                <w:sz w:val="18"/>
                <w:szCs w:val="18"/>
                <w:lang w:eastAsia="en-SG"/>
              </w:rPr>
              <w:t>Attributable to:</w:t>
            </w:r>
          </w:p>
        </w:tc>
        <w:tc>
          <w:tcPr>
            <w:tcW w:w="128" w:type="pct"/>
            <w:tcBorders>
              <w:top w:val="nil"/>
              <w:left w:val="nil"/>
              <w:bottom w:val="nil"/>
              <w:right w:val="nil"/>
            </w:tcBorders>
            <w:shd w:val="clear" w:color="auto" w:fill="auto"/>
          </w:tcPr>
          <w:p w14:paraId="44E6666D" w14:textId="77777777" w:rsidR="004F4C5A" w:rsidRPr="00060311" w:rsidRDefault="004F4C5A" w:rsidP="004F4C5A">
            <w:pPr>
              <w:rPr>
                <w:rFonts w:ascii="Arial" w:hAnsi="Arial" w:cs="Arial"/>
                <w:color w:val="000000"/>
                <w:sz w:val="18"/>
                <w:szCs w:val="18"/>
                <w:lang w:eastAsia="en-SG"/>
              </w:rPr>
            </w:pPr>
          </w:p>
        </w:tc>
        <w:tc>
          <w:tcPr>
            <w:tcW w:w="640" w:type="pct"/>
            <w:tcBorders>
              <w:top w:val="nil"/>
              <w:left w:val="nil"/>
              <w:bottom w:val="nil"/>
              <w:right w:val="nil"/>
            </w:tcBorders>
            <w:shd w:val="clear" w:color="auto" w:fill="auto"/>
            <w:noWrap/>
            <w:hideMark/>
          </w:tcPr>
          <w:p w14:paraId="55F431D2" w14:textId="7EB075A4" w:rsidR="004F4C5A" w:rsidRPr="00060311" w:rsidRDefault="00957DD4" w:rsidP="004F4C5A">
            <w:pPr>
              <w:jc w:val="right"/>
              <w:rPr>
                <w:rFonts w:ascii="Arial" w:hAnsi="Arial" w:cs="Arial"/>
                <w:color w:val="000000"/>
                <w:sz w:val="18"/>
                <w:szCs w:val="18"/>
                <w:lang w:eastAsia="en-SG"/>
              </w:rPr>
            </w:pPr>
            <w:r>
              <w:rPr>
                <w:rFonts w:ascii="Arial" w:hAnsi="Arial" w:cs="Arial"/>
                <w:color w:val="000000"/>
                <w:sz w:val="18"/>
                <w:szCs w:val="18"/>
                <w:lang w:eastAsia="en-SG"/>
              </w:rPr>
              <w:t xml:space="preserve"> </w:t>
            </w:r>
          </w:p>
        </w:tc>
        <w:tc>
          <w:tcPr>
            <w:tcW w:w="640" w:type="pct"/>
            <w:tcBorders>
              <w:top w:val="nil"/>
              <w:left w:val="nil"/>
              <w:bottom w:val="nil"/>
              <w:right w:val="nil"/>
            </w:tcBorders>
            <w:shd w:val="clear" w:color="auto" w:fill="auto"/>
            <w:noWrap/>
            <w:hideMark/>
          </w:tcPr>
          <w:p w14:paraId="14283768" w14:textId="529E1D65" w:rsidR="004F4C5A" w:rsidRPr="00060311" w:rsidRDefault="00957DD4" w:rsidP="004F4C5A">
            <w:pPr>
              <w:jc w:val="right"/>
              <w:rPr>
                <w:rFonts w:ascii="Arial" w:hAnsi="Arial" w:cs="Arial"/>
                <w:color w:val="000000"/>
                <w:sz w:val="18"/>
                <w:szCs w:val="18"/>
                <w:lang w:eastAsia="en-SG"/>
              </w:rPr>
            </w:pPr>
            <w:r>
              <w:rPr>
                <w:rFonts w:ascii="Arial" w:hAnsi="Arial" w:cs="Arial"/>
                <w:color w:val="000000"/>
                <w:sz w:val="18"/>
                <w:szCs w:val="18"/>
                <w:lang w:eastAsia="en-SG"/>
              </w:rPr>
              <w:t xml:space="preserve"> </w:t>
            </w:r>
          </w:p>
        </w:tc>
        <w:tc>
          <w:tcPr>
            <w:tcW w:w="640" w:type="pct"/>
            <w:tcBorders>
              <w:top w:val="nil"/>
              <w:left w:val="nil"/>
              <w:bottom w:val="nil"/>
              <w:right w:val="nil"/>
            </w:tcBorders>
            <w:shd w:val="clear" w:color="auto" w:fill="auto"/>
            <w:noWrap/>
            <w:hideMark/>
          </w:tcPr>
          <w:p w14:paraId="65E25CC2" w14:textId="16DA9F9C" w:rsidR="004F4C5A" w:rsidRPr="00060311" w:rsidRDefault="00957DD4" w:rsidP="004F4C5A">
            <w:pPr>
              <w:jc w:val="right"/>
              <w:rPr>
                <w:rFonts w:ascii="Arial" w:hAnsi="Arial" w:cs="Arial"/>
                <w:color w:val="000000"/>
                <w:sz w:val="18"/>
                <w:szCs w:val="18"/>
                <w:lang w:eastAsia="en-SG"/>
              </w:rPr>
            </w:pPr>
            <w:r>
              <w:rPr>
                <w:rFonts w:ascii="Arial" w:hAnsi="Arial" w:cs="Arial"/>
                <w:color w:val="000000"/>
                <w:sz w:val="18"/>
                <w:szCs w:val="18"/>
                <w:lang w:eastAsia="en-SG"/>
              </w:rPr>
              <w:t xml:space="preserve"> </w:t>
            </w:r>
          </w:p>
        </w:tc>
        <w:tc>
          <w:tcPr>
            <w:tcW w:w="640" w:type="pct"/>
            <w:tcBorders>
              <w:top w:val="nil"/>
              <w:left w:val="nil"/>
              <w:bottom w:val="nil"/>
              <w:right w:val="nil"/>
            </w:tcBorders>
            <w:shd w:val="clear" w:color="auto" w:fill="auto"/>
            <w:noWrap/>
            <w:hideMark/>
          </w:tcPr>
          <w:p w14:paraId="380D5F5C" w14:textId="5C29D712" w:rsidR="004F4C5A" w:rsidRPr="00060311" w:rsidRDefault="00957DD4" w:rsidP="004F4C5A">
            <w:pPr>
              <w:jc w:val="right"/>
              <w:rPr>
                <w:rFonts w:ascii="Arial" w:hAnsi="Arial" w:cs="Arial"/>
                <w:color w:val="000000"/>
                <w:sz w:val="18"/>
                <w:szCs w:val="18"/>
                <w:lang w:eastAsia="en-SG"/>
              </w:rPr>
            </w:pPr>
            <w:r>
              <w:rPr>
                <w:rFonts w:ascii="Arial" w:hAnsi="Arial" w:cs="Arial"/>
                <w:color w:val="000000"/>
                <w:sz w:val="18"/>
                <w:szCs w:val="18"/>
                <w:lang w:eastAsia="en-SG"/>
              </w:rPr>
              <w:t xml:space="preserve"> </w:t>
            </w:r>
          </w:p>
        </w:tc>
        <w:tc>
          <w:tcPr>
            <w:tcW w:w="640" w:type="pct"/>
            <w:tcBorders>
              <w:top w:val="nil"/>
              <w:left w:val="nil"/>
              <w:bottom w:val="nil"/>
              <w:right w:val="nil"/>
            </w:tcBorders>
            <w:shd w:val="clear" w:color="auto" w:fill="auto"/>
            <w:noWrap/>
            <w:hideMark/>
          </w:tcPr>
          <w:p w14:paraId="741020F0" w14:textId="4C2CBE9B" w:rsidR="004F4C5A" w:rsidRPr="00060311" w:rsidRDefault="00957DD4" w:rsidP="004F4C5A">
            <w:pPr>
              <w:jc w:val="right"/>
              <w:rPr>
                <w:rFonts w:ascii="Arial" w:hAnsi="Arial" w:cs="Arial"/>
                <w:color w:val="000000"/>
                <w:sz w:val="18"/>
                <w:szCs w:val="18"/>
                <w:lang w:eastAsia="en-SG"/>
              </w:rPr>
            </w:pPr>
            <w:r>
              <w:rPr>
                <w:rFonts w:ascii="Arial" w:hAnsi="Arial" w:cs="Arial"/>
                <w:color w:val="000000"/>
                <w:sz w:val="18"/>
                <w:szCs w:val="18"/>
                <w:lang w:eastAsia="en-SG"/>
              </w:rPr>
              <w:t xml:space="preserve"> </w:t>
            </w:r>
          </w:p>
        </w:tc>
      </w:tr>
      <w:tr w:rsidR="00B52377" w:rsidRPr="00060311" w14:paraId="129499EF" w14:textId="77777777" w:rsidTr="00245772">
        <w:trPr>
          <w:trHeight w:val="230"/>
        </w:trPr>
        <w:tc>
          <w:tcPr>
            <w:tcW w:w="1669" w:type="pct"/>
            <w:tcBorders>
              <w:top w:val="nil"/>
              <w:left w:val="nil"/>
              <w:bottom w:val="nil"/>
              <w:right w:val="nil"/>
            </w:tcBorders>
            <w:shd w:val="clear" w:color="auto" w:fill="auto"/>
          </w:tcPr>
          <w:p w14:paraId="2837B052" w14:textId="5FFF78B7" w:rsidR="004F4C5A" w:rsidRPr="00060311" w:rsidRDefault="004F4C5A" w:rsidP="00B52377">
            <w:pPr>
              <w:rPr>
                <w:rFonts w:ascii="Arial" w:hAnsi="Arial" w:cs="Arial"/>
                <w:color w:val="000000"/>
                <w:sz w:val="18"/>
                <w:szCs w:val="18"/>
                <w:lang w:eastAsia="en-SG"/>
              </w:rPr>
            </w:pPr>
            <w:r w:rsidRPr="00060311">
              <w:rPr>
                <w:rFonts w:ascii="Arial" w:hAnsi="Arial" w:cs="Arial"/>
                <w:color w:val="000000"/>
                <w:sz w:val="18"/>
                <w:szCs w:val="18"/>
                <w:lang w:eastAsia="en-SG"/>
              </w:rPr>
              <w:t xml:space="preserve">   Owners of the</w:t>
            </w:r>
            <w:r w:rsidR="00B52377">
              <w:rPr>
                <w:rFonts w:ascii="Arial" w:hAnsi="Arial" w:cs="Arial"/>
                <w:color w:val="000000"/>
                <w:sz w:val="18"/>
                <w:szCs w:val="18"/>
                <w:lang w:eastAsia="en-SG"/>
              </w:rPr>
              <w:t xml:space="preserve"> Company</w:t>
            </w:r>
          </w:p>
        </w:tc>
        <w:tc>
          <w:tcPr>
            <w:tcW w:w="128" w:type="pct"/>
            <w:tcBorders>
              <w:top w:val="nil"/>
              <w:left w:val="nil"/>
              <w:bottom w:val="nil"/>
              <w:right w:val="nil"/>
            </w:tcBorders>
            <w:shd w:val="clear" w:color="auto" w:fill="auto"/>
          </w:tcPr>
          <w:p w14:paraId="7B73F461" w14:textId="77777777" w:rsidR="004F4C5A" w:rsidRPr="00060311" w:rsidRDefault="004F4C5A" w:rsidP="004F4C5A">
            <w:pPr>
              <w:rPr>
                <w:rFonts w:ascii="Arial" w:hAnsi="Arial" w:cs="Arial"/>
                <w:color w:val="000000"/>
                <w:sz w:val="18"/>
                <w:szCs w:val="18"/>
                <w:lang w:eastAsia="en-SG"/>
              </w:rPr>
            </w:pPr>
          </w:p>
        </w:tc>
        <w:tc>
          <w:tcPr>
            <w:tcW w:w="640" w:type="pct"/>
            <w:tcBorders>
              <w:top w:val="nil"/>
              <w:left w:val="nil"/>
              <w:bottom w:val="nil"/>
              <w:right w:val="nil"/>
            </w:tcBorders>
            <w:shd w:val="clear" w:color="auto" w:fill="auto"/>
            <w:noWrap/>
            <w:hideMark/>
          </w:tcPr>
          <w:p w14:paraId="2A732F17" w14:textId="77777777" w:rsidR="004F4C5A" w:rsidRPr="00060311" w:rsidRDefault="004F4C5A" w:rsidP="004F4C5A">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388,096 </w:t>
            </w:r>
          </w:p>
        </w:tc>
        <w:tc>
          <w:tcPr>
            <w:tcW w:w="640" w:type="pct"/>
            <w:tcBorders>
              <w:top w:val="nil"/>
              <w:left w:val="nil"/>
              <w:bottom w:val="nil"/>
              <w:right w:val="nil"/>
            </w:tcBorders>
            <w:shd w:val="clear" w:color="auto" w:fill="auto"/>
            <w:noWrap/>
            <w:hideMark/>
          </w:tcPr>
          <w:p w14:paraId="1FE256F4" w14:textId="77777777" w:rsidR="004F4C5A" w:rsidRPr="00060311" w:rsidRDefault="004F4C5A" w:rsidP="004F4C5A">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541,337 </w:t>
            </w:r>
          </w:p>
        </w:tc>
        <w:tc>
          <w:tcPr>
            <w:tcW w:w="640" w:type="pct"/>
            <w:tcBorders>
              <w:top w:val="nil"/>
              <w:left w:val="nil"/>
              <w:bottom w:val="nil"/>
              <w:right w:val="nil"/>
            </w:tcBorders>
            <w:shd w:val="clear" w:color="auto" w:fill="auto"/>
            <w:noWrap/>
            <w:hideMark/>
          </w:tcPr>
          <w:p w14:paraId="492EA110" w14:textId="77777777" w:rsidR="004F4C5A" w:rsidRPr="00060311" w:rsidRDefault="004F4C5A" w:rsidP="004F4C5A">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456,008 </w:t>
            </w:r>
          </w:p>
        </w:tc>
        <w:tc>
          <w:tcPr>
            <w:tcW w:w="640" w:type="pct"/>
            <w:tcBorders>
              <w:top w:val="nil"/>
              <w:left w:val="nil"/>
              <w:bottom w:val="nil"/>
              <w:right w:val="nil"/>
            </w:tcBorders>
            <w:shd w:val="clear" w:color="auto" w:fill="auto"/>
            <w:noWrap/>
            <w:hideMark/>
          </w:tcPr>
          <w:p w14:paraId="1CE5B529" w14:textId="77777777" w:rsidR="004F4C5A" w:rsidRPr="00060311" w:rsidRDefault="004F4C5A" w:rsidP="004F4C5A">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546,018 </w:t>
            </w:r>
          </w:p>
        </w:tc>
        <w:tc>
          <w:tcPr>
            <w:tcW w:w="640" w:type="pct"/>
            <w:tcBorders>
              <w:top w:val="nil"/>
              <w:left w:val="nil"/>
              <w:bottom w:val="nil"/>
              <w:right w:val="nil"/>
            </w:tcBorders>
            <w:shd w:val="clear" w:color="auto" w:fill="auto"/>
            <w:noWrap/>
            <w:hideMark/>
          </w:tcPr>
          <w:p w14:paraId="3363B146" w14:textId="77777777" w:rsidR="004F4C5A" w:rsidRPr="00060311" w:rsidRDefault="004F4C5A" w:rsidP="004F4C5A">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600,008 </w:t>
            </w:r>
          </w:p>
        </w:tc>
      </w:tr>
      <w:tr w:rsidR="00B52377" w:rsidRPr="00060311" w14:paraId="5D096BB8" w14:textId="77777777" w:rsidTr="00245772">
        <w:trPr>
          <w:trHeight w:val="230"/>
        </w:trPr>
        <w:tc>
          <w:tcPr>
            <w:tcW w:w="1669" w:type="pct"/>
            <w:tcBorders>
              <w:top w:val="nil"/>
              <w:left w:val="nil"/>
              <w:bottom w:val="nil"/>
              <w:right w:val="nil"/>
            </w:tcBorders>
            <w:shd w:val="clear" w:color="auto" w:fill="auto"/>
          </w:tcPr>
          <w:p w14:paraId="69E20E95" w14:textId="6B991DD1" w:rsidR="004F4C5A" w:rsidRPr="00060311" w:rsidRDefault="004F4C5A" w:rsidP="00C1248F">
            <w:pPr>
              <w:rPr>
                <w:rFonts w:ascii="Arial" w:hAnsi="Arial" w:cs="Arial"/>
                <w:color w:val="000000"/>
                <w:sz w:val="18"/>
                <w:szCs w:val="18"/>
                <w:lang w:eastAsia="en-SG"/>
              </w:rPr>
            </w:pPr>
            <w:r w:rsidRPr="00060311">
              <w:rPr>
                <w:rFonts w:ascii="Arial" w:hAnsi="Arial" w:cs="Arial"/>
                <w:color w:val="000000"/>
                <w:sz w:val="18"/>
                <w:szCs w:val="18"/>
                <w:lang w:eastAsia="en-SG"/>
              </w:rPr>
              <w:t xml:space="preserve">   Non-</w:t>
            </w:r>
            <w:r w:rsidR="00F23308">
              <w:rPr>
                <w:rFonts w:ascii="Arial" w:hAnsi="Arial" w:cs="Arial"/>
                <w:color w:val="000000"/>
                <w:sz w:val="18"/>
                <w:szCs w:val="18"/>
                <w:lang w:eastAsia="en-SG"/>
              </w:rPr>
              <w:t>C</w:t>
            </w:r>
            <w:r w:rsidR="00F23308" w:rsidRPr="00060311">
              <w:rPr>
                <w:rFonts w:ascii="Arial" w:hAnsi="Arial" w:cs="Arial"/>
                <w:color w:val="000000"/>
                <w:sz w:val="18"/>
                <w:szCs w:val="18"/>
                <w:lang w:eastAsia="en-SG"/>
              </w:rPr>
              <w:t>ontrolling</w:t>
            </w:r>
            <w:r w:rsidR="00F23308">
              <w:rPr>
                <w:rFonts w:ascii="Arial" w:hAnsi="Arial" w:cs="Arial"/>
                <w:color w:val="000000"/>
                <w:sz w:val="18"/>
                <w:szCs w:val="18"/>
                <w:lang w:eastAsia="en-SG"/>
              </w:rPr>
              <w:t xml:space="preserve"> </w:t>
            </w:r>
            <w:r w:rsidR="00A07A69">
              <w:rPr>
                <w:rFonts w:ascii="Arial" w:hAnsi="Arial" w:cs="Arial"/>
                <w:color w:val="000000"/>
                <w:sz w:val="18"/>
                <w:szCs w:val="18"/>
                <w:lang w:eastAsia="en-SG"/>
              </w:rPr>
              <w:t>Interests</w:t>
            </w:r>
            <w:r w:rsidR="00957DD4">
              <w:rPr>
                <w:rFonts w:ascii="Arial" w:hAnsi="Arial" w:cs="Arial"/>
                <w:color w:val="000000"/>
                <w:sz w:val="18"/>
                <w:szCs w:val="18"/>
                <w:lang w:eastAsia="en-SG"/>
              </w:rPr>
              <w:t xml:space="preserve"> </w:t>
            </w:r>
          </w:p>
        </w:tc>
        <w:tc>
          <w:tcPr>
            <w:tcW w:w="128" w:type="pct"/>
            <w:tcBorders>
              <w:top w:val="nil"/>
              <w:left w:val="nil"/>
              <w:bottom w:val="nil"/>
              <w:right w:val="nil"/>
            </w:tcBorders>
            <w:shd w:val="clear" w:color="auto" w:fill="auto"/>
          </w:tcPr>
          <w:p w14:paraId="20566324" w14:textId="77777777" w:rsidR="004F4C5A" w:rsidRPr="00060311" w:rsidRDefault="004F4C5A" w:rsidP="004F4C5A">
            <w:pPr>
              <w:rPr>
                <w:rFonts w:ascii="Arial" w:hAnsi="Arial" w:cs="Arial"/>
                <w:color w:val="000000"/>
                <w:sz w:val="18"/>
                <w:szCs w:val="18"/>
                <w:lang w:eastAsia="en-SG"/>
              </w:rPr>
            </w:pPr>
          </w:p>
        </w:tc>
        <w:tc>
          <w:tcPr>
            <w:tcW w:w="640" w:type="pct"/>
            <w:tcBorders>
              <w:top w:val="nil"/>
              <w:left w:val="nil"/>
              <w:bottom w:val="nil"/>
              <w:right w:val="nil"/>
            </w:tcBorders>
            <w:shd w:val="clear" w:color="auto" w:fill="auto"/>
            <w:noWrap/>
            <w:hideMark/>
          </w:tcPr>
          <w:p w14:paraId="2D261CF8" w14:textId="77777777" w:rsidR="004F4C5A" w:rsidRPr="00060311" w:rsidRDefault="004F4C5A" w:rsidP="004F4C5A">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5,560 </w:t>
            </w:r>
          </w:p>
        </w:tc>
        <w:tc>
          <w:tcPr>
            <w:tcW w:w="640" w:type="pct"/>
            <w:tcBorders>
              <w:top w:val="nil"/>
              <w:left w:val="nil"/>
              <w:bottom w:val="nil"/>
              <w:right w:val="nil"/>
            </w:tcBorders>
            <w:shd w:val="clear" w:color="auto" w:fill="auto"/>
            <w:noWrap/>
            <w:hideMark/>
          </w:tcPr>
          <w:p w14:paraId="2A32151C" w14:textId="77777777" w:rsidR="004F4C5A" w:rsidRPr="00060311" w:rsidRDefault="004F4C5A" w:rsidP="004F4C5A">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7,601 </w:t>
            </w:r>
          </w:p>
        </w:tc>
        <w:tc>
          <w:tcPr>
            <w:tcW w:w="640" w:type="pct"/>
            <w:tcBorders>
              <w:top w:val="nil"/>
              <w:left w:val="nil"/>
              <w:bottom w:val="nil"/>
              <w:right w:val="nil"/>
            </w:tcBorders>
            <w:shd w:val="clear" w:color="auto" w:fill="auto"/>
            <w:noWrap/>
            <w:hideMark/>
          </w:tcPr>
          <w:p w14:paraId="5E60A3CB" w14:textId="77777777" w:rsidR="004F4C5A" w:rsidRPr="00060311" w:rsidRDefault="004F4C5A" w:rsidP="004F4C5A">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38,210 </w:t>
            </w:r>
          </w:p>
        </w:tc>
        <w:tc>
          <w:tcPr>
            <w:tcW w:w="640" w:type="pct"/>
            <w:tcBorders>
              <w:top w:val="nil"/>
              <w:left w:val="nil"/>
              <w:bottom w:val="nil"/>
              <w:right w:val="nil"/>
            </w:tcBorders>
            <w:shd w:val="clear" w:color="auto" w:fill="auto"/>
            <w:noWrap/>
            <w:hideMark/>
          </w:tcPr>
          <w:p w14:paraId="3C788DAB" w14:textId="77777777" w:rsidR="004F4C5A" w:rsidRPr="00060311" w:rsidRDefault="004F4C5A" w:rsidP="004F4C5A">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12,830 </w:t>
            </w:r>
          </w:p>
        </w:tc>
        <w:tc>
          <w:tcPr>
            <w:tcW w:w="640" w:type="pct"/>
            <w:tcBorders>
              <w:top w:val="nil"/>
              <w:left w:val="nil"/>
              <w:bottom w:val="nil"/>
              <w:right w:val="nil"/>
            </w:tcBorders>
            <w:shd w:val="clear" w:color="auto" w:fill="auto"/>
            <w:noWrap/>
            <w:hideMark/>
          </w:tcPr>
          <w:p w14:paraId="77DFBAAD" w14:textId="77777777" w:rsidR="004F4C5A" w:rsidRPr="00060311" w:rsidRDefault="004F4C5A" w:rsidP="004F4C5A">
            <w:pPr>
              <w:jc w:val="right"/>
              <w:rPr>
                <w:rFonts w:ascii="Arial" w:hAnsi="Arial" w:cs="Arial"/>
                <w:color w:val="000000"/>
                <w:sz w:val="18"/>
                <w:szCs w:val="18"/>
                <w:lang w:eastAsia="en-SG"/>
              </w:rPr>
            </w:pPr>
            <w:r w:rsidRPr="00060311">
              <w:rPr>
                <w:rFonts w:ascii="Arial" w:hAnsi="Arial" w:cs="Arial"/>
                <w:color w:val="000000"/>
                <w:sz w:val="18"/>
                <w:szCs w:val="18"/>
                <w:lang w:eastAsia="en-SG"/>
              </w:rPr>
              <w:t xml:space="preserve">14,119 </w:t>
            </w:r>
          </w:p>
        </w:tc>
      </w:tr>
      <w:tr w:rsidR="00B52377" w:rsidRPr="00060311" w14:paraId="2E9CB51E" w14:textId="77777777" w:rsidTr="00245772">
        <w:trPr>
          <w:trHeight w:val="230"/>
        </w:trPr>
        <w:tc>
          <w:tcPr>
            <w:tcW w:w="1669" w:type="pct"/>
            <w:tcBorders>
              <w:top w:val="nil"/>
              <w:left w:val="nil"/>
              <w:bottom w:val="double" w:sz="4" w:space="0" w:color="auto"/>
              <w:right w:val="nil"/>
            </w:tcBorders>
            <w:shd w:val="clear" w:color="auto" w:fill="auto"/>
          </w:tcPr>
          <w:p w14:paraId="4D7648D6" w14:textId="3A375B56" w:rsidR="004F4C5A" w:rsidRPr="00060311" w:rsidRDefault="00A07A69" w:rsidP="00CA235C">
            <w:pPr>
              <w:rPr>
                <w:rFonts w:ascii="Arial" w:hAnsi="Arial" w:cs="Arial"/>
                <w:b/>
                <w:color w:val="000000"/>
                <w:sz w:val="18"/>
                <w:szCs w:val="18"/>
                <w:lang w:eastAsia="en-SG"/>
              </w:rPr>
            </w:pPr>
            <w:r w:rsidRPr="00060311">
              <w:rPr>
                <w:rFonts w:ascii="Arial" w:hAnsi="Arial" w:cs="Arial"/>
                <w:b/>
                <w:color w:val="000000"/>
                <w:sz w:val="18"/>
                <w:szCs w:val="18"/>
                <w:lang w:eastAsia="en-SG"/>
              </w:rPr>
              <w:t>E</w:t>
            </w:r>
            <w:r>
              <w:rPr>
                <w:rFonts w:ascii="Arial" w:hAnsi="Arial" w:cs="Arial"/>
                <w:b/>
                <w:color w:val="000000"/>
                <w:sz w:val="18"/>
                <w:szCs w:val="18"/>
                <w:lang w:eastAsia="en-SG"/>
              </w:rPr>
              <w:t>arnings per Share</w:t>
            </w:r>
            <w:r w:rsidR="00CF7E82">
              <w:rPr>
                <w:rFonts w:ascii="Arial" w:hAnsi="Arial" w:cs="Arial"/>
                <w:b/>
                <w:color w:val="000000"/>
                <w:sz w:val="18"/>
                <w:szCs w:val="18"/>
                <w:lang w:eastAsia="en-SG"/>
              </w:rPr>
              <w:t xml:space="preserve"> (cents)</w:t>
            </w:r>
          </w:p>
        </w:tc>
        <w:tc>
          <w:tcPr>
            <w:tcW w:w="128" w:type="pct"/>
            <w:tcBorders>
              <w:top w:val="nil"/>
              <w:left w:val="nil"/>
              <w:bottom w:val="double" w:sz="4" w:space="0" w:color="auto"/>
              <w:right w:val="nil"/>
            </w:tcBorders>
            <w:shd w:val="clear" w:color="auto" w:fill="auto"/>
          </w:tcPr>
          <w:p w14:paraId="4DD50F29" w14:textId="77777777" w:rsidR="004F4C5A" w:rsidRPr="00060311" w:rsidRDefault="004F4C5A" w:rsidP="004F4C5A">
            <w:pPr>
              <w:rPr>
                <w:rFonts w:ascii="Arial" w:hAnsi="Arial" w:cs="Arial"/>
                <w:color w:val="000000"/>
                <w:sz w:val="18"/>
                <w:szCs w:val="18"/>
                <w:lang w:eastAsia="en-SG"/>
              </w:rPr>
            </w:pPr>
          </w:p>
        </w:tc>
        <w:tc>
          <w:tcPr>
            <w:tcW w:w="640" w:type="pct"/>
            <w:tcBorders>
              <w:top w:val="nil"/>
              <w:left w:val="nil"/>
              <w:bottom w:val="double" w:sz="4" w:space="0" w:color="auto"/>
              <w:right w:val="nil"/>
            </w:tcBorders>
            <w:shd w:val="clear" w:color="auto" w:fill="auto"/>
            <w:noWrap/>
            <w:hideMark/>
          </w:tcPr>
          <w:p w14:paraId="01B3746F" w14:textId="180BC8A1" w:rsidR="004F4C5A" w:rsidRPr="00060311" w:rsidRDefault="00CF7E82" w:rsidP="00CF7E82">
            <w:pPr>
              <w:jc w:val="right"/>
              <w:rPr>
                <w:rFonts w:ascii="Arial" w:hAnsi="Arial" w:cs="Arial"/>
                <w:color w:val="000000"/>
                <w:sz w:val="18"/>
                <w:szCs w:val="18"/>
                <w:lang w:eastAsia="en-SG"/>
              </w:rPr>
            </w:pPr>
            <w:r>
              <w:rPr>
                <w:rFonts w:ascii="Arial" w:hAnsi="Arial" w:cs="Arial"/>
                <w:color w:val="000000"/>
                <w:sz w:val="18"/>
                <w:szCs w:val="18"/>
                <w:lang w:eastAsia="en-SG"/>
              </w:rPr>
              <w:t>20.1</w:t>
            </w:r>
            <w:r w:rsidR="004F4C5A" w:rsidRPr="00060311">
              <w:rPr>
                <w:rFonts w:ascii="Arial" w:hAnsi="Arial" w:cs="Arial"/>
                <w:color w:val="000000"/>
                <w:sz w:val="18"/>
                <w:szCs w:val="18"/>
                <w:lang w:eastAsia="en-SG"/>
              </w:rPr>
              <w:t xml:space="preserve"> </w:t>
            </w:r>
          </w:p>
        </w:tc>
        <w:tc>
          <w:tcPr>
            <w:tcW w:w="640" w:type="pct"/>
            <w:tcBorders>
              <w:top w:val="nil"/>
              <w:left w:val="nil"/>
              <w:bottom w:val="double" w:sz="4" w:space="0" w:color="auto"/>
              <w:right w:val="nil"/>
            </w:tcBorders>
            <w:shd w:val="clear" w:color="auto" w:fill="auto"/>
            <w:noWrap/>
            <w:hideMark/>
          </w:tcPr>
          <w:p w14:paraId="5C868650" w14:textId="171C8DBA" w:rsidR="004F4C5A" w:rsidRPr="00060311" w:rsidRDefault="00CF7E82" w:rsidP="00CF7E82">
            <w:pPr>
              <w:jc w:val="right"/>
              <w:rPr>
                <w:rFonts w:ascii="Arial" w:hAnsi="Arial" w:cs="Arial"/>
                <w:color w:val="000000"/>
                <w:sz w:val="18"/>
                <w:szCs w:val="18"/>
                <w:lang w:eastAsia="en-SG"/>
              </w:rPr>
            </w:pPr>
            <w:r>
              <w:rPr>
                <w:rFonts w:ascii="Arial" w:hAnsi="Arial" w:cs="Arial"/>
                <w:color w:val="000000"/>
                <w:sz w:val="18"/>
                <w:szCs w:val="18"/>
                <w:lang w:eastAsia="en-SG"/>
              </w:rPr>
              <w:t>13.9</w:t>
            </w:r>
            <w:r w:rsidR="004F4C5A" w:rsidRPr="00060311">
              <w:rPr>
                <w:rFonts w:ascii="Arial" w:hAnsi="Arial" w:cs="Arial"/>
                <w:color w:val="000000"/>
                <w:sz w:val="18"/>
                <w:szCs w:val="18"/>
                <w:lang w:eastAsia="en-SG"/>
              </w:rPr>
              <w:t xml:space="preserve"> </w:t>
            </w:r>
          </w:p>
        </w:tc>
        <w:tc>
          <w:tcPr>
            <w:tcW w:w="640" w:type="pct"/>
            <w:tcBorders>
              <w:top w:val="nil"/>
              <w:left w:val="nil"/>
              <w:bottom w:val="double" w:sz="4" w:space="0" w:color="auto"/>
              <w:right w:val="nil"/>
            </w:tcBorders>
            <w:shd w:val="clear" w:color="auto" w:fill="auto"/>
            <w:noWrap/>
            <w:hideMark/>
          </w:tcPr>
          <w:p w14:paraId="2FDB898D" w14:textId="3D75C5C1" w:rsidR="004F4C5A" w:rsidRPr="00060311" w:rsidRDefault="00CF7E82" w:rsidP="00CF7E82">
            <w:pPr>
              <w:jc w:val="right"/>
              <w:rPr>
                <w:rFonts w:ascii="Arial" w:hAnsi="Arial" w:cs="Arial"/>
                <w:color w:val="000000"/>
                <w:sz w:val="18"/>
                <w:szCs w:val="18"/>
                <w:lang w:eastAsia="en-SG"/>
              </w:rPr>
            </w:pPr>
            <w:r>
              <w:rPr>
                <w:rFonts w:ascii="Arial" w:hAnsi="Arial" w:cs="Arial"/>
                <w:color w:val="000000"/>
                <w:sz w:val="18"/>
                <w:szCs w:val="18"/>
                <w:lang w:eastAsia="en-SG"/>
              </w:rPr>
              <w:t>11.7</w:t>
            </w:r>
            <w:r w:rsidR="004F4C5A" w:rsidRPr="00060311">
              <w:rPr>
                <w:rFonts w:ascii="Arial" w:hAnsi="Arial" w:cs="Arial"/>
                <w:color w:val="000000"/>
                <w:sz w:val="18"/>
                <w:szCs w:val="18"/>
                <w:lang w:eastAsia="en-SG"/>
              </w:rPr>
              <w:t xml:space="preserve"> </w:t>
            </w:r>
          </w:p>
        </w:tc>
        <w:tc>
          <w:tcPr>
            <w:tcW w:w="640" w:type="pct"/>
            <w:tcBorders>
              <w:top w:val="nil"/>
              <w:left w:val="nil"/>
              <w:bottom w:val="double" w:sz="4" w:space="0" w:color="auto"/>
              <w:right w:val="nil"/>
            </w:tcBorders>
            <w:shd w:val="clear" w:color="auto" w:fill="auto"/>
            <w:noWrap/>
            <w:hideMark/>
          </w:tcPr>
          <w:p w14:paraId="1438B294" w14:textId="6A3044E4" w:rsidR="004F4C5A" w:rsidRPr="00060311" w:rsidRDefault="00CF7E82" w:rsidP="00CF7E82">
            <w:pPr>
              <w:jc w:val="right"/>
              <w:rPr>
                <w:rFonts w:ascii="Arial" w:hAnsi="Arial" w:cs="Arial"/>
                <w:color w:val="000000"/>
                <w:sz w:val="18"/>
                <w:szCs w:val="18"/>
                <w:lang w:eastAsia="en-SG"/>
              </w:rPr>
            </w:pPr>
            <w:r>
              <w:rPr>
                <w:rFonts w:ascii="Arial" w:hAnsi="Arial" w:cs="Arial"/>
                <w:color w:val="000000"/>
                <w:sz w:val="18"/>
                <w:szCs w:val="18"/>
                <w:lang w:eastAsia="en-SG"/>
              </w:rPr>
              <w:t>14.0</w:t>
            </w:r>
            <w:r w:rsidR="004F4C5A" w:rsidRPr="00060311">
              <w:rPr>
                <w:rFonts w:ascii="Arial" w:hAnsi="Arial" w:cs="Arial"/>
                <w:color w:val="000000"/>
                <w:sz w:val="18"/>
                <w:szCs w:val="18"/>
                <w:lang w:eastAsia="en-SG"/>
              </w:rPr>
              <w:t xml:space="preserve"> </w:t>
            </w:r>
          </w:p>
        </w:tc>
        <w:tc>
          <w:tcPr>
            <w:tcW w:w="640" w:type="pct"/>
            <w:tcBorders>
              <w:top w:val="nil"/>
              <w:left w:val="nil"/>
              <w:bottom w:val="double" w:sz="4" w:space="0" w:color="auto"/>
              <w:right w:val="nil"/>
            </w:tcBorders>
            <w:shd w:val="clear" w:color="auto" w:fill="auto"/>
            <w:noWrap/>
            <w:hideMark/>
          </w:tcPr>
          <w:p w14:paraId="5E278EC3" w14:textId="58CFDF7B" w:rsidR="004F4C5A" w:rsidRPr="00060311" w:rsidRDefault="00CF7E82" w:rsidP="00CF7E82">
            <w:pPr>
              <w:jc w:val="right"/>
              <w:rPr>
                <w:rFonts w:ascii="Arial" w:hAnsi="Arial" w:cs="Arial"/>
                <w:color w:val="000000"/>
                <w:sz w:val="18"/>
                <w:szCs w:val="18"/>
                <w:lang w:eastAsia="en-SG"/>
              </w:rPr>
            </w:pPr>
            <w:r>
              <w:rPr>
                <w:rFonts w:ascii="Arial" w:hAnsi="Arial" w:cs="Arial"/>
                <w:color w:val="000000"/>
                <w:sz w:val="18"/>
                <w:szCs w:val="18"/>
                <w:lang w:eastAsia="en-SG"/>
              </w:rPr>
              <w:t>15.4</w:t>
            </w:r>
            <w:r w:rsidR="004F4C5A" w:rsidRPr="00060311">
              <w:rPr>
                <w:rFonts w:ascii="Arial" w:hAnsi="Arial" w:cs="Arial"/>
                <w:color w:val="000000"/>
                <w:sz w:val="18"/>
                <w:szCs w:val="18"/>
                <w:lang w:eastAsia="en-SG"/>
              </w:rPr>
              <w:t xml:space="preserve"> </w:t>
            </w:r>
          </w:p>
        </w:tc>
      </w:tr>
    </w:tbl>
    <w:p w14:paraId="4CDD176A" w14:textId="77777777" w:rsidR="004F4C5A" w:rsidRDefault="004F4C5A" w:rsidP="00BD644A">
      <w:pPr>
        <w:pStyle w:val="ExhibitText"/>
        <w:rPr>
          <w:lang w:val="en-CA"/>
        </w:rPr>
      </w:pPr>
    </w:p>
    <w:p w14:paraId="26C5DB80" w14:textId="77777777" w:rsidR="007D6686" w:rsidRPr="00060311" w:rsidRDefault="007D6686" w:rsidP="00BD644A">
      <w:pPr>
        <w:pStyle w:val="ExhibitText"/>
        <w:rPr>
          <w:lang w:val="en-CA"/>
        </w:rPr>
      </w:pPr>
    </w:p>
    <w:p w14:paraId="58D81D57" w14:textId="62ACF97F" w:rsidR="004F4C5A" w:rsidRDefault="004F4C5A" w:rsidP="004F4C5A">
      <w:pPr>
        <w:pStyle w:val="ExhibitHeading"/>
        <w:rPr>
          <w:lang w:val="en-CA"/>
        </w:rPr>
      </w:pPr>
      <w:r>
        <w:rPr>
          <w:lang w:val="en-CA"/>
        </w:rPr>
        <w:t>BREAKDOWN OF capit</w:t>
      </w:r>
      <w:r w:rsidRPr="00BD644A">
        <w:rPr>
          <w:spacing w:val="20"/>
          <w:lang w:val="en-CA"/>
        </w:rPr>
        <w:t>a</w:t>
      </w:r>
      <w:r>
        <w:rPr>
          <w:lang w:val="en-CA"/>
        </w:rPr>
        <w:t xml:space="preserve">mall asia’s </w:t>
      </w:r>
    </w:p>
    <w:p w14:paraId="75EA78A8" w14:textId="20EC5D59" w:rsidR="004F4C5A" w:rsidRDefault="004F4C5A" w:rsidP="004F4C5A">
      <w:pPr>
        <w:pStyle w:val="ExhibitHeading"/>
        <w:rPr>
          <w:lang w:val="en-CA"/>
        </w:rPr>
      </w:pPr>
      <w:r>
        <w:rPr>
          <w:lang w:val="en-CA"/>
        </w:rPr>
        <w:t>REVENUE BY BUSINESS AND GEOGRAPHICAL SEGMENTS</w:t>
      </w:r>
      <w:r w:rsidR="00207578">
        <w:rPr>
          <w:lang w:val="en-CA"/>
        </w:rPr>
        <w:t xml:space="preserve"> (IN </w:t>
      </w:r>
      <w:r w:rsidR="00A07A69">
        <w:rPr>
          <w:lang w:val="en-CA"/>
        </w:rPr>
        <w:t xml:space="preserve">SG$ </w:t>
      </w:r>
      <w:r w:rsidR="00207578">
        <w:rPr>
          <w:lang w:val="en-CA"/>
        </w:rPr>
        <w:t>THOUSAND</w:t>
      </w:r>
      <w:r w:rsidR="00A07A69">
        <w:rPr>
          <w:lang w:val="en-CA"/>
        </w:rPr>
        <w:t>s</w:t>
      </w:r>
      <w:r w:rsidR="00207578">
        <w:rPr>
          <w:lang w:val="en-CA"/>
        </w:rPr>
        <w:t>)</w:t>
      </w:r>
    </w:p>
    <w:p w14:paraId="3F23AE02" w14:textId="66D35783" w:rsidR="004F4C5A" w:rsidRPr="007D6686" w:rsidRDefault="004F4C5A" w:rsidP="00BD644A">
      <w:pPr>
        <w:pStyle w:val="ExhibitText"/>
        <w:rPr>
          <w:lang w:val="en-CA"/>
        </w:rPr>
      </w:pPr>
    </w:p>
    <w:tbl>
      <w:tblPr>
        <w:tblW w:w="5000" w:type="pct"/>
        <w:tblLook w:val="04A0" w:firstRow="1" w:lastRow="0" w:firstColumn="1" w:lastColumn="0" w:noHBand="0" w:noVBand="1"/>
      </w:tblPr>
      <w:tblGrid>
        <w:gridCol w:w="3150"/>
        <w:gridCol w:w="269"/>
        <w:gridCol w:w="1189"/>
        <w:gridCol w:w="1189"/>
        <w:gridCol w:w="1189"/>
        <w:gridCol w:w="1189"/>
        <w:gridCol w:w="1185"/>
      </w:tblGrid>
      <w:tr w:rsidR="004F4C5A" w:rsidRPr="00060311" w14:paraId="61D91930" w14:textId="77777777" w:rsidTr="00245772">
        <w:trPr>
          <w:trHeight w:val="230"/>
        </w:trPr>
        <w:tc>
          <w:tcPr>
            <w:tcW w:w="1827" w:type="pct"/>
            <w:gridSpan w:val="2"/>
            <w:tcBorders>
              <w:top w:val="double" w:sz="4" w:space="0" w:color="auto"/>
              <w:left w:val="nil"/>
              <w:bottom w:val="nil"/>
              <w:right w:val="nil"/>
            </w:tcBorders>
            <w:shd w:val="clear" w:color="auto" w:fill="auto"/>
            <w:noWrap/>
            <w:vAlign w:val="bottom"/>
          </w:tcPr>
          <w:p w14:paraId="56D748A2" w14:textId="77777777" w:rsidR="004F4C5A" w:rsidRPr="00060311" w:rsidRDefault="004F4C5A" w:rsidP="004F4C5A">
            <w:pPr>
              <w:rPr>
                <w:rFonts w:ascii="Arial" w:hAnsi="Arial" w:cs="Arial"/>
                <w:i/>
                <w:iCs/>
                <w:color w:val="000000"/>
                <w:sz w:val="18"/>
                <w:szCs w:val="18"/>
                <w:u w:val="single"/>
                <w:lang w:val="en-SG" w:eastAsia="en-SG"/>
              </w:rPr>
            </w:pPr>
          </w:p>
        </w:tc>
        <w:tc>
          <w:tcPr>
            <w:tcW w:w="635" w:type="pct"/>
            <w:tcBorders>
              <w:top w:val="double" w:sz="4" w:space="0" w:color="auto"/>
              <w:left w:val="nil"/>
              <w:bottom w:val="single" w:sz="2" w:space="0" w:color="auto"/>
              <w:right w:val="nil"/>
            </w:tcBorders>
            <w:shd w:val="clear" w:color="auto" w:fill="auto"/>
            <w:noWrap/>
            <w:vAlign w:val="bottom"/>
          </w:tcPr>
          <w:p w14:paraId="1C0A5AC0" w14:textId="77777777" w:rsidR="004F4C5A" w:rsidRPr="00060311" w:rsidRDefault="004F4C5A" w:rsidP="004F4C5A">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2009</w:t>
            </w:r>
          </w:p>
        </w:tc>
        <w:tc>
          <w:tcPr>
            <w:tcW w:w="635" w:type="pct"/>
            <w:tcBorders>
              <w:top w:val="double" w:sz="4" w:space="0" w:color="auto"/>
              <w:left w:val="nil"/>
              <w:bottom w:val="single" w:sz="2" w:space="0" w:color="auto"/>
              <w:right w:val="nil"/>
            </w:tcBorders>
            <w:shd w:val="clear" w:color="auto" w:fill="auto"/>
            <w:noWrap/>
            <w:vAlign w:val="bottom"/>
          </w:tcPr>
          <w:p w14:paraId="544840CE" w14:textId="77777777" w:rsidR="004F4C5A" w:rsidRPr="00060311" w:rsidRDefault="004F4C5A" w:rsidP="004F4C5A">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2010</w:t>
            </w:r>
          </w:p>
        </w:tc>
        <w:tc>
          <w:tcPr>
            <w:tcW w:w="635" w:type="pct"/>
            <w:tcBorders>
              <w:top w:val="double" w:sz="4" w:space="0" w:color="auto"/>
              <w:left w:val="nil"/>
              <w:bottom w:val="single" w:sz="2" w:space="0" w:color="auto"/>
              <w:right w:val="nil"/>
            </w:tcBorders>
            <w:shd w:val="clear" w:color="auto" w:fill="auto"/>
            <w:noWrap/>
            <w:vAlign w:val="bottom"/>
          </w:tcPr>
          <w:p w14:paraId="72EAFC7E" w14:textId="77777777" w:rsidR="004F4C5A" w:rsidRPr="00060311" w:rsidRDefault="004F4C5A" w:rsidP="004F4C5A">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2011</w:t>
            </w:r>
          </w:p>
        </w:tc>
        <w:tc>
          <w:tcPr>
            <w:tcW w:w="635" w:type="pct"/>
            <w:tcBorders>
              <w:top w:val="double" w:sz="4" w:space="0" w:color="auto"/>
              <w:left w:val="nil"/>
              <w:bottom w:val="single" w:sz="2" w:space="0" w:color="auto"/>
              <w:right w:val="nil"/>
            </w:tcBorders>
            <w:shd w:val="clear" w:color="auto" w:fill="auto"/>
            <w:noWrap/>
            <w:vAlign w:val="bottom"/>
          </w:tcPr>
          <w:p w14:paraId="3BE56FED" w14:textId="77777777" w:rsidR="004F4C5A" w:rsidRPr="00060311" w:rsidRDefault="004F4C5A" w:rsidP="004F4C5A">
            <w:pPr>
              <w:jc w:val="right"/>
              <w:rPr>
                <w:rFonts w:ascii="Arial" w:hAnsi="Arial" w:cs="Arial"/>
                <w:b/>
                <w:bCs/>
                <w:color w:val="272625"/>
                <w:sz w:val="18"/>
                <w:szCs w:val="18"/>
                <w:lang w:eastAsia="en-SG"/>
              </w:rPr>
            </w:pPr>
            <w:r w:rsidRPr="00060311">
              <w:rPr>
                <w:rFonts w:ascii="Arial" w:hAnsi="Arial" w:cs="Arial"/>
                <w:b/>
                <w:bCs/>
                <w:color w:val="272625"/>
                <w:sz w:val="18"/>
                <w:szCs w:val="18"/>
                <w:lang w:eastAsia="en-SG"/>
              </w:rPr>
              <w:t>2012</w:t>
            </w:r>
          </w:p>
        </w:tc>
        <w:tc>
          <w:tcPr>
            <w:tcW w:w="635" w:type="pct"/>
            <w:tcBorders>
              <w:top w:val="double" w:sz="4" w:space="0" w:color="auto"/>
              <w:left w:val="nil"/>
              <w:bottom w:val="single" w:sz="2" w:space="0" w:color="auto"/>
              <w:right w:val="nil"/>
            </w:tcBorders>
            <w:shd w:val="clear" w:color="auto" w:fill="auto"/>
            <w:noWrap/>
            <w:vAlign w:val="bottom"/>
          </w:tcPr>
          <w:p w14:paraId="6C039E34" w14:textId="77777777" w:rsidR="004F4C5A" w:rsidRPr="00060311" w:rsidRDefault="004F4C5A" w:rsidP="004F4C5A">
            <w:pPr>
              <w:jc w:val="right"/>
              <w:rPr>
                <w:rFonts w:ascii="Arial" w:hAnsi="Arial" w:cs="Arial"/>
                <w:b/>
                <w:bCs/>
                <w:color w:val="000000"/>
                <w:sz w:val="18"/>
                <w:szCs w:val="18"/>
                <w:lang w:eastAsia="en-SG"/>
              </w:rPr>
            </w:pPr>
            <w:r w:rsidRPr="00060311">
              <w:rPr>
                <w:rFonts w:ascii="Arial" w:hAnsi="Arial" w:cs="Arial"/>
                <w:b/>
                <w:bCs/>
                <w:color w:val="000000"/>
                <w:sz w:val="18"/>
                <w:szCs w:val="18"/>
                <w:lang w:eastAsia="en-SG"/>
              </w:rPr>
              <w:t>2013</w:t>
            </w:r>
          </w:p>
        </w:tc>
      </w:tr>
      <w:tr w:rsidR="004F4C5A" w:rsidRPr="00060311" w14:paraId="425F21E8" w14:textId="77777777" w:rsidTr="00245772">
        <w:trPr>
          <w:trHeight w:val="230"/>
        </w:trPr>
        <w:tc>
          <w:tcPr>
            <w:tcW w:w="1827" w:type="pct"/>
            <w:gridSpan w:val="2"/>
            <w:tcBorders>
              <w:top w:val="nil"/>
              <w:left w:val="nil"/>
              <w:bottom w:val="nil"/>
              <w:right w:val="nil"/>
            </w:tcBorders>
            <w:shd w:val="clear" w:color="auto" w:fill="auto"/>
            <w:noWrap/>
            <w:vAlign w:val="bottom"/>
            <w:hideMark/>
          </w:tcPr>
          <w:p w14:paraId="60A840A5" w14:textId="77777777" w:rsidR="004F4C5A" w:rsidRPr="007D6686" w:rsidRDefault="004F4C5A" w:rsidP="004F4C5A">
            <w:pPr>
              <w:rPr>
                <w:rFonts w:ascii="Arial" w:hAnsi="Arial" w:cs="Arial"/>
                <w:b/>
                <w:iCs/>
                <w:color w:val="000000"/>
                <w:sz w:val="18"/>
                <w:szCs w:val="18"/>
                <w:lang w:val="en-SG" w:eastAsia="en-SG"/>
              </w:rPr>
            </w:pPr>
            <w:r w:rsidRPr="007D6686">
              <w:rPr>
                <w:rFonts w:ascii="Arial" w:hAnsi="Arial" w:cs="Arial"/>
                <w:b/>
                <w:iCs/>
                <w:color w:val="000000"/>
                <w:sz w:val="18"/>
                <w:szCs w:val="18"/>
                <w:lang w:val="en-SG" w:eastAsia="en-SG"/>
              </w:rPr>
              <w:t>(Business Segments)</w:t>
            </w:r>
          </w:p>
        </w:tc>
        <w:tc>
          <w:tcPr>
            <w:tcW w:w="635" w:type="pct"/>
            <w:tcBorders>
              <w:top w:val="nil"/>
              <w:left w:val="nil"/>
              <w:bottom w:val="nil"/>
              <w:right w:val="nil"/>
            </w:tcBorders>
            <w:shd w:val="clear" w:color="auto" w:fill="auto"/>
            <w:noWrap/>
            <w:vAlign w:val="bottom"/>
            <w:hideMark/>
          </w:tcPr>
          <w:p w14:paraId="31C4DD99" w14:textId="77777777" w:rsidR="004F4C5A" w:rsidRPr="00060311" w:rsidRDefault="004F4C5A" w:rsidP="004F4C5A">
            <w:pPr>
              <w:rPr>
                <w:rFonts w:ascii="Arial" w:hAnsi="Arial" w:cs="Arial"/>
                <w:i/>
                <w:iCs/>
                <w:color w:val="000000"/>
                <w:sz w:val="18"/>
                <w:szCs w:val="18"/>
                <w:u w:val="single"/>
                <w:lang w:val="en-SG" w:eastAsia="en-SG"/>
              </w:rPr>
            </w:pPr>
          </w:p>
        </w:tc>
        <w:tc>
          <w:tcPr>
            <w:tcW w:w="635" w:type="pct"/>
            <w:tcBorders>
              <w:top w:val="nil"/>
              <w:left w:val="nil"/>
              <w:bottom w:val="nil"/>
              <w:right w:val="nil"/>
            </w:tcBorders>
            <w:shd w:val="clear" w:color="auto" w:fill="auto"/>
            <w:noWrap/>
            <w:vAlign w:val="bottom"/>
            <w:hideMark/>
          </w:tcPr>
          <w:p w14:paraId="68760062" w14:textId="77777777" w:rsidR="004F4C5A" w:rsidRPr="00060311" w:rsidRDefault="004F4C5A" w:rsidP="004F4C5A">
            <w:pPr>
              <w:rPr>
                <w:rFonts w:ascii="Arial" w:hAnsi="Arial" w:cs="Arial"/>
                <w:sz w:val="18"/>
                <w:szCs w:val="18"/>
                <w:lang w:val="en-SG" w:eastAsia="en-SG"/>
              </w:rPr>
            </w:pPr>
          </w:p>
        </w:tc>
        <w:tc>
          <w:tcPr>
            <w:tcW w:w="635" w:type="pct"/>
            <w:tcBorders>
              <w:top w:val="nil"/>
              <w:left w:val="nil"/>
              <w:bottom w:val="nil"/>
              <w:right w:val="nil"/>
            </w:tcBorders>
            <w:shd w:val="clear" w:color="auto" w:fill="auto"/>
            <w:noWrap/>
            <w:vAlign w:val="bottom"/>
            <w:hideMark/>
          </w:tcPr>
          <w:p w14:paraId="11F9AC96" w14:textId="77777777" w:rsidR="004F4C5A" w:rsidRPr="00060311" w:rsidRDefault="004F4C5A" w:rsidP="004F4C5A">
            <w:pPr>
              <w:rPr>
                <w:rFonts w:ascii="Arial" w:hAnsi="Arial" w:cs="Arial"/>
                <w:sz w:val="18"/>
                <w:szCs w:val="18"/>
                <w:lang w:val="en-SG" w:eastAsia="en-SG"/>
              </w:rPr>
            </w:pPr>
          </w:p>
        </w:tc>
        <w:tc>
          <w:tcPr>
            <w:tcW w:w="635" w:type="pct"/>
            <w:tcBorders>
              <w:top w:val="nil"/>
              <w:left w:val="nil"/>
              <w:bottom w:val="nil"/>
              <w:right w:val="nil"/>
            </w:tcBorders>
            <w:shd w:val="clear" w:color="auto" w:fill="auto"/>
            <w:noWrap/>
            <w:vAlign w:val="bottom"/>
            <w:hideMark/>
          </w:tcPr>
          <w:p w14:paraId="325EA912" w14:textId="77777777" w:rsidR="004F4C5A" w:rsidRPr="00060311" w:rsidRDefault="004F4C5A" w:rsidP="004F4C5A">
            <w:pPr>
              <w:rPr>
                <w:rFonts w:ascii="Arial" w:hAnsi="Arial" w:cs="Arial"/>
                <w:sz w:val="18"/>
                <w:szCs w:val="18"/>
                <w:lang w:val="en-SG" w:eastAsia="en-SG"/>
              </w:rPr>
            </w:pPr>
          </w:p>
        </w:tc>
        <w:tc>
          <w:tcPr>
            <w:tcW w:w="635" w:type="pct"/>
            <w:tcBorders>
              <w:top w:val="nil"/>
              <w:left w:val="nil"/>
              <w:bottom w:val="nil"/>
              <w:right w:val="nil"/>
            </w:tcBorders>
            <w:shd w:val="clear" w:color="auto" w:fill="auto"/>
            <w:noWrap/>
            <w:vAlign w:val="bottom"/>
            <w:hideMark/>
          </w:tcPr>
          <w:p w14:paraId="7488E251" w14:textId="77777777" w:rsidR="004F4C5A" w:rsidRPr="00060311" w:rsidRDefault="004F4C5A" w:rsidP="004F4C5A">
            <w:pPr>
              <w:rPr>
                <w:rFonts w:ascii="Arial" w:hAnsi="Arial" w:cs="Arial"/>
                <w:sz w:val="18"/>
                <w:szCs w:val="18"/>
                <w:lang w:val="en-SG" w:eastAsia="en-SG"/>
              </w:rPr>
            </w:pPr>
          </w:p>
        </w:tc>
      </w:tr>
      <w:tr w:rsidR="004F4C5A" w:rsidRPr="00060311" w14:paraId="66EA3B65" w14:textId="77777777" w:rsidTr="00245772">
        <w:trPr>
          <w:trHeight w:val="230"/>
        </w:trPr>
        <w:tc>
          <w:tcPr>
            <w:tcW w:w="1827" w:type="pct"/>
            <w:gridSpan w:val="2"/>
            <w:tcBorders>
              <w:top w:val="nil"/>
              <w:left w:val="nil"/>
              <w:bottom w:val="nil"/>
              <w:right w:val="nil"/>
            </w:tcBorders>
            <w:shd w:val="clear" w:color="auto" w:fill="auto"/>
            <w:noWrap/>
            <w:vAlign w:val="bottom"/>
            <w:hideMark/>
          </w:tcPr>
          <w:p w14:paraId="56A48B16" w14:textId="77777777" w:rsidR="004F4C5A" w:rsidRPr="00060311" w:rsidRDefault="004F4C5A" w:rsidP="004F4C5A">
            <w:pPr>
              <w:rPr>
                <w:rFonts w:ascii="Arial" w:hAnsi="Arial" w:cs="Arial"/>
                <w:color w:val="000000"/>
                <w:sz w:val="18"/>
                <w:szCs w:val="18"/>
                <w:lang w:val="en-SG" w:eastAsia="en-SG"/>
              </w:rPr>
            </w:pPr>
            <w:r w:rsidRPr="00060311">
              <w:rPr>
                <w:rFonts w:ascii="Arial" w:hAnsi="Arial" w:cs="Arial"/>
                <w:color w:val="000000"/>
                <w:sz w:val="18"/>
                <w:szCs w:val="18"/>
                <w:lang w:val="en-SG" w:eastAsia="en-SG"/>
              </w:rPr>
              <w:t>Management Business</w:t>
            </w:r>
          </w:p>
        </w:tc>
        <w:tc>
          <w:tcPr>
            <w:tcW w:w="635" w:type="pct"/>
            <w:tcBorders>
              <w:top w:val="nil"/>
              <w:left w:val="nil"/>
              <w:bottom w:val="nil"/>
              <w:right w:val="nil"/>
            </w:tcBorders>
            <w:shd w:val="clear" w:color="auto" w:fill="auto"/>
            <w:noWrap/>
            <w:vAlign w:val="bottom"/>
            <w:hideMark/>
          </w:tcPr>
          <w:p w14:paraId="0178A19D"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166,360</w:t>
            </w:r>
          </w:p>
        </w:tc>
        <w:tc>
          <w:tcPr>
            <w:tcW w:w="635" w:type="pct"/>
            <w:tcBorders>
              <w:top w:val="nil"/>
              <w:left w:val="nil"/>
              <w:bottom w:val="nil"/>
              <w:right w:val="nil"/>
            </w:tcBorders>
            <w:shd w:val="clear" w:color="auto" w:fill="auto"/>
            <w:noWrap/>
            <w:vAlign w:val="bottom"/>
            <w:hideMark/>
          </w:tcPr>
          <w:p w14:paraId="0BDCB69E"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253,768</w:t>
            </w:r>
          </w:p>
        </w:tc>
        <w:tc>
          <w:tcPr>
            <w:tcW w:w="635" w:type="pct"/>
            <w:tcBorders>
              <w:top w:val="nil"/>
              <w:left w:val="nil"/>
              <w:bottom w:val="nil"/>
              <w:right w:val="nil"/>
            </w:tcBorders>
            <w:shd w:val="clear" w:color="auto" w:fill="auto"/>
            <w:noWrap/>
            <w:vAlign w:val="bottom"/>
            <w:hideMark/>
          </w:tcPr>
          <w:p w14:paraId="2D566FD1"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318,372</w:t>
            </w:r>
          </w:p>
        </w:tc>
        <w:tc>
          <w:tcPr>
            <w:tcW w:w="635" w:type="pct"/>
            <w:tcBorders>
              <w:top w:val="nil"/>
              <w:left w:val="nil"/>
              <w:bottom w:val="nil"/>
              <w:right w:val="nil"/>
            </w:tcBorders>
            <w:shd w:val="clear" w:color="auto" w:fill="auto"/>
            <w:noWrap/>
            <w:vAlign w:val="bottom"/>
            <w:hideMark/>
          </w:tcPr>
          <w:p w14:paraId="680C6E8A"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258,005</w:t>
            </w:r>
          </w:p>
        </w:tc>
        <w:tc>
          <w:tcPr>
            <w:tcW w:w="635" w:type="pct"/>
            <w:tcBorders>
              <w:top w:val="nil"/>
              <w:left w:val="nil"/>
              <w:bottom w:val="nil"/>
              <w:right w:val="nil"/>
            </w:tcBorders>
            <w:shd w:val="clear" w:color="auto" w:fill="auto"/>
            <w:noWrap/>
            <w:vAlign w:val="bottom"/>
            <w:hideMark/>
          </w:tcPr>
          <w:p w14:paraId="3FF9A2E0"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230,790</w:t>
            </w:r>
          </w:p>
        </w:tc>
      </w:tr>
      <w:tr w:rsidR="004F4C5A" w:rsidRPr="00060311" w14:paraId="180136DD" w14:textId="77777777" w:rsidTr="00245772">
        <w:trPr>
          <w:trHeight w:val="230"/>
        </w:trPr>
        <w:tc>
          <w:tcPr>
            <w:tcW w:w="1827" w:type="pct"/>
            <w:gridSpan w:val="2"/>
            <w:tcBorders>
              <w:top w:val="nil"/>
              <w:left w:val="nil"/>
              <w:bottom w:val="nil"/>
              <w:right w:val="nil"/>
            </w:tcBorders>
            <w:shd w:val="clear" w:color="auto" w:fill="auto"/>
            <w:noWrap/>
            <w:vAlign w:val="bottom"/>
            <w:hideMark/>
          </w:tcPr>
          <w:p w14:paraId="42F59198" w14:textId="77777777" w:rsidR="004F4C5A" w:rsidRPr="00060311" w:rsidRDefault="004F4C5A" w:rsidP="004F4C5A">
            <w:pPr>
              <w:rPr>
                <w:rFonts w:ascii="Arial" w:hAnsi="Arial" w:cs="Arial"/>
                <w:color w:val="000000"/>
                <w:sz w:val="18"/>
                <w:szCs w:val="18"/>
                <w:lang w:val="en-SG" w:eastAsia="en-SG"/>
              </w:rPr>
            </w:pPr>
            <w:r w:rsidRPr="00060311">
              <w:rPr>
                <w:rFonts w:ascii="Arial" w:hAnsi="Arial" w:cs="Arial"/>
                <w:color w:val="000000"/>
                <w:sz w:val="18"/>
                <w:szCs w:val="18"/>
                <w:lang w:val="en-SG" w:eastAsia="en-SG"/>
              </w:rPr>
              <w:t>Investment Business</w:t>
            </w:r>
          </w:p>
        </w:tc>
        <w:tc>
          <w:tcPr>
            <w:tcW w:w="635" w:type="pct"/>
            <w:tcBorders>
              <w:top w:val="nil"/>
              <w:left w:val="nil"/>
              <w:bottom w:val="nil"/>
              <w:right w:val="nil"/>
            </w:tcBorders>
            <w:shd w:val="clear" w:color="auto" w:fill="auto"/>
            <w:noWrap/>
            <w:vAlign w:val="bottom"/>
            <w:hideMark/>
          </w:tcPr>
          <w:p w14:paraId="61DF5061"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135,161</w:t>
            </w:r>
          </w:p>
        </w:tc>
        <w:tc>
          <w:tcPr>
            <w:tcW w:w="635" w:type="pct"/>
            <w:tcBorders>
              <w:top w:val="nil"/>
              <w:left w:val="nil"/>
              <w:bottom w:val="nil"/>
              <w:right w:val="nil"/>
            </w:tcBorders>
            <w:shd w:val="clear" w:color="auto" w:fill="auto"/>
            <w:noWrap/>
            <w:vAlign w:val="bottom"/>
            <w:hideMark/>
          </w:tcPr>
          <w:p w14:paraId="4F1B831D"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94,285</w:t>
            </w:r>
          </w:p>
        </w:tc>
        <w:tc>
          <w:tcPr>
            <w:tcW w:w="635" w:type="pct"/>
            <w:tcBorders>
              <w:top w:val="nil"/>
              <w:left w:val="nil"/>
              <w:bottom w:val="nil"/>
              <w:right w:val="nil"/>
            </w:tcBorders>
            <w:shd w:val="clear" w:color="auto" w:fill="auto"/>
            <w:noWrap/>
            <w:vAlign w:val="bottom"/>
            <w:hideMark/>
          </w:tcPr>
          <w:p w14:paraId="6D81BC42"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56,224</w:t>
            </w:r>
          </w:p>
        </w:tc>
        <w:tc>
          <w:tcPr>
            <w:tcW w:w="635" w:type="pct"/>
            <w:tcBorders>
              <w:top w:val="nil"/>
              <w:left w:val="nil"/>
              <w:bottom w:val="nil"/>
              <w:right w:val="nil"/>
            </w:tcBorders>
            <w:shd w:val="clear" w:color="auto" w:fill="auto"/>
            <w:noWrap/>
            <w:vAlign w:val="bottom"/>
            <w:hideMark/>
          </w:tcPr>
          <w:p w14:paraId="2520302E"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109,678</w:t>
            </w:r>
          </w:p>
        </w:tc>
        <w:tc>
          <w:tcPr>
            <w:tcW w:w="635" w:type="pct"/>
            <w:tcBorders>
              <w:top w:val="nil"/>
              <w:left w:val="nil"/>
              <w:bottom w:val="nil"/>
              <w:right w:val="nil"/>
            </w:tcBorders>
            <w:shd w:val="clear" w:color="auto" w:fill="auto"/>
            <w:noWrap/>
            <w:vAlign w:val="bottom"/>
            <w:hideMark/>
          </w:tcPr>
          <w:p w14:paraId="5EE52675"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154,194</w:t>
            </w:r>
          </w:p>
        </w:tc>
      </w:tr>
      <w:tr w:rsidR="004F4C5A" w:rsidRPr="00060311" w14:paraId="186C0F92" w14:textId="77777777" w:rsidTr="00245772">
        <w:trPr>
          <w:trHeight w:val="230"/>
        </w:trPr>
        <w:tc>
          <w:tcPr>
            <w:tcW w:w="1683" w:type="pct"/>
            <w:tcBorders>
              <w:top w:val="nil"/>
              <w:left w:val="nil"/>
              <w:bottom w:val="nil"/>
              <w:right w:val="nil"/>
            </w:tcBorders>
            <w:shd w:val="clear" w:color="auto" w:fill="auto"/>
            <w:noWrap/>
            <w:vAlign w:val="bottom"/>
            <w:hideMark/>
          </w:tcPr>
          <w:p w14:paraId="01A28665" w14:textId="77777777" w:rsidR="004F4C5A" w:rsidRPr="00060311" w:rsidRDefault="004F4C5A" w:rsidP="004F4C5A">
            <w:pPr>
              <w:rPr>
                <w:rFonts w:ascii="Arial" w:hAnsi="Arial" w:cs="Arial"/>
                <w:color w:val="000000"/>
                <w:sz w:val="18"/>
                <w:szCs w:val="18"/>
                <w:lang w:val="en-SG" w:eastAsia="en-SG"/>
              </w:rPr>
            </w:pPr>
            <w:r w:rsidRPr="00060311">
              <w:rPr>
                <w:rFonts w:ascii="Arial" w:hAnsi="Arial" w:cs="Arial"/>
                <w:color w:val="000000"/>
                <w:sz w:val="18"/>
                <w:szCs w:val="18"/>
                <w:lang w:val="en-SG" w:eastAsia="en-SG"/>
              </w:rPr>
              <w:t xml:space="preserve">Others </w:t>
            </w:r>
          </w:p>
        </w:tc>
        <w:tc>
          <w:tcPr>
            <w:tcW w:w="144" w:type="pct"/>
            <w:tcBorders>
              <w:top w:val="nil"/>
              <w:left w:val="nil"/>
              <w:bottom w:val="nil"/>
              <w:right w:val="nil"/>
            </w:tcBorders>
            <w:shd w:val="clear" w:color="auto" w:fill="auto"/>
            <w:noWrap/>
            <w:vAlign w:val="bottom"/>
            <w:hideMark/>
          </w:tcPr>
          <w:p w14:paraId="530A7674" w14:textId="77777777" w:rsidR="004F4C5A" w:rsidRPr="00060311" w:rsidRDefault="004F4C5A" w:rsidP="004F4C5A">
            <w:pPr>
              <w:rPr>
                <w:rFonts w:ascii="Arial" w:hAnsi="Arial" w:cs="Arial"/>
                <w:color w:val="000000"/>
                <w:sz w:val="18"/>
                <w:szCs w:val="18"/>
                <w:lang w:val="en-SG" w:eastAsia="en-SG"/>
              </w:rPr>
            </w:pPr>
          </w:p>
        </w:tc>
        <w:tc>
          <w:tcPr>
            <w:tcW w:w="635" w:type="pct"/>
            <w:tcBorders>
              <w:top w:val="nil"/>
              <w:left w:val="nil"/>
              <w:bottom w:val="nil"/>
              <w:right w:val="nil"/>
            </w:tcBorders>
            <w:shd w:val="clear" w:color="auto" w:fill="auto"/>
            <w:noWrap/>
            <w:vAlign w:val="bottom"/>
            <w:hideMark/>
          </w:tcPr>
          <w:p w14:paraId="536F2EF6"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2,110</w:t>
            </w:r>
          </w:p>
        </w:tc>
        <w:tc>
          <w:tcPr>
            <w:tcW w:w="635" w:type="pct"/>
            <w:tcBorders>
              <w:top w:val="nil"/>
              <w:left w:val="nil"/>
              <w:bottom w:val="nil"/>
              <w:right w:val="nil"/>
            </w:tcBorders>
            <w:shd w:val="clear" w:color="auto" w:fill="auto"/>
            <w:noWrap/>
            <w:vAlign w:val="bottom"/>
            <w:hideMark/>
          </w:tcPr>
          <w:p w14:paraId="6B696B1B"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2,061</w:t>
            </w:r>
          </w:p>
        </w:tc>
        <w:tc>
          <w:tcPr>
            <w:tcW w:w="635" w:type="pct"/>
            <w:tcBorders>
              <w:top w:val="nil"/>
              <w:left w:val="nil"/>
              <w:bottom w:val="nil"/>
              <w:right w:val="nil"/>
            </w:tcBorders>
            <w:shd w:val="clear" w:color="auto" w:fill="auto"/>
            <w:noWrap/>
            <w:vAlign w:val="bottom"/>
            <w:hideMark/>
          </w:tcPr>
          <w:p w14:paraId="463EDF8C"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1,746</w:t>
            </w:r>
          </w:p>
        </w:tc>
        <w:tc>
          <w:tcPr>
            <w:tcW w:w="635" w:type="pct"/>
            <w:tcBorders>
              <w:top w:val="nil"/>
              <w:left w:val="nil"/>
              <w:bottom w:val="nil"/>
              <w:right w:val="nil"/>
            </w:tcBorders>
            <w:shd w:val="clear" w:color="auto" w:fill="auto"/>
            <w:noWrap/>
            <w:vAlign w:val="bottom"/>
            <w:hideMark/>
          </w:tcPr>
          <w:p w14:paraId="7512D7B2"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102,183</w:t>
            </w:r>
          </w:p>
        </w:tc>
        <w:tc>
          <w:tcPr>
            <w:tcW w:w="635" w:type="pct"/>
            <w:tcBorders>
              <w:top w:val="nil"/>
              <w:left w:val="nil"/>
              <w:bottom w:val="nil"/>
              <w:right w:val="nil"/>
            </w:tcBorders>
            <w:shd w:val="clear" w:color="auto" w:fill="auto"/>
            <w:noWrap/>
            <w:vAlign w:val="bottom"/>
            <w:hideMark/>
          </w:tcPr>
          <w:p w14:paraId="6EE9BFB2"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66,337</w:t>
            </w:r>
          </w:p>
        </w:tc>
      </w:tr>
      <w:tr w:rsidR="004F4C5A" w:rsidRPr="00060311" w14:paraId="7F890913" w14:textId="77777777" w:rsidTr="00245772">
        <w:trPr>
          <w:trHeight w:val="230"/>
        </w:trPr>
        <w:tc>
          <w:tcPr>
            <w:tcW w:w="1827" w:type="pct"/>
            <w:gridSpan w:val="2"/>
            <w:tcBorders>
              <w:top w:val="nil"/>
              <w:left w:val="nil"/>
              <w:bottom w:val="nil"/>
              <w:right w:val="nil"/>
            </w:tcBorders>
            <w:shd w:val="clear" w:color="auto" w:fill="auto"/>
            <w:noWrap/>
            <w:vAlign w:val="bottom"/>
            <w:hideMark/>
          </w:tcPr>
          <w:p w14:paraId="049E09EB" w14:textId="77777777" w:rsidR="004F4C5A" w:rsidRPr="00060311" w:rsidRDefault="004F4C5A" w:rsidP="004F4C5A">
            <w:pPr>
              <w:rPr>
                <w:rFonts w:ascii="Arial" w:hAnsi="Arial" w:cs="Arial"/>
                <w:color w:val="000000"/>
                <w:sz w:val="18"/>
                <w:szCs w:val="18"/>
                <w:lang w:val="en-SG" w:eastAsia="en-SG"/>
              </w:rPr>
            </w:pPr>
            <w:r w:rsidRPr="00060311">
              <w:rPr>
                <w:rFonts w:ascii="Arial" w:hAnsi="Arial" w:cs="Arial"/>
                <w:color w:val="000000"/>
                <w:sz w:val="18"/>
                <w:szCs w:val="18"/>
                <w:lang w:val="en-SG" w:eastAsia="en-SG"/>
              </w:rPr>
              <w:t>Consolidation Elimination</w:t>
            </w:r>
          </w:p>
        </w:tc>
        <w:tc>
          <w:tcPr>
            <w:tcW w:w="635" w:type="pct"/>
            <w:tcBorders>
              <w:top w:val="nil"/>
              <w:left w:val="nil"/>
              <w:bottom w:val="nil"/>
              <w:right w:val="nil"/>
            </w:tcBorders>
            <w:shd w:val="clear" w:color="auto" w:fill="auto"/>
            <w:noWrap/>
            <w:vAlign w:val="bottom"/>
            <w:hideMark/>
          </w:tcPr>
          <w:p w14:paraId="3DEF207D" w14:textId="7A4C3577" w:rsidR="004F4C5A" w:rsidRPr="00060311" w:rsidRDefault="00F23308" w:rsidP="004F4C5A">
            <w:pPr>
              <w:jc w:val="right"/>
              <w:rPr>
                <w:rFonts w:ascii="Arial" w:hAnsi="Arial" w:cs="Arial"/>
                <w:color w:val="000000"/>
                <w:sz w:val="18"/>
                <w:szCs w:val="18"/>
                <w:lang w:val="en-SG" w:eastAsia="en-SG"/>
              </w:rPr>
            </w:pPr>
            <w:r w:rsidRPr="00F23308">
              <w:rPr>
                <w:rFonts w:ascii="Arial" w:hAnsi="Arial" w:cs="Arial"/>
                <w:color w:val="000000"/>
                <w:sz w:val="18"/>
                <w:szCs w:val="18"/>
                <w:lang w:val="en-SG" w:eastAsia="en-SG"/>
              </w:rPr>
              <w:t>−</w:t>
            </w:r>
            <w:r w:rsidR="004F4C5A" w:rsidRPr="00060311">
              <w:rPr>
                <w:rFonts w:ascii="Arial" w:hAnsi="Arial" w:cs="Arial"/>
                <w:color w:val="000000"/>
                <w:sz w:val="18"/>
                <w:szCs w:val="18"/>
                <w:lang w:val="en-SG" w:eastAsia="en-SG"/>
              </w:rPr>
              <w:t>74,685</w:t>
            </w:r>
          </w:p>
        </w:tc>
        <w:tc>
          <w:tcPr>
            <w:tcW w:w="635" w:type="pct"/>
            <w:tcBorders>
              <w:top w:val="nil"/>
              <w:left w:val="nil"/>
              <w:bottom w:val="nil"/>
              <w:right w:val="nil"/>
            </w:tcBorders>
            <w:shd w:val="clear" w:color="auto" w:fill="auto"/>
            <w:noWrap/>
            <w:vAlign w:val="bottom"/>
            <w:hideMark/>
          </w:tcPr>
          <w:p w14:paraId="19BE2405" w14:textId="634FAC82" w:rsidR="004F4C5A" w:rsidRPr="00060311" w:rsidRDefault="00F23308" w:rsidP="004F4C5A">
            <w:pPr>
              <w:jc w:val="right"/>
              <w:rPr>
                <w:rFonts w:ascii="Arial" w:hAnsi="Arial" w:cs="Arial"/>
                <w:color w:val="000000"/>
                <w:sz w:val="18"/>
                <w:szCs w:val="18"/>
                <w:lang w:val="en-SG" w:eastAsia="en-SG"/>
              </w:rPr>
            </w:pPr>
            <w:r w:rsidRPr="00F23308">
              <w:rPr>
                <w:rFonts w:ascii="Arial" w:hAnsi="Arial" w:cs="Arial"/>
                <w:color w:val="000000"/>
                <w:sz w:val="18"/>
                <w:szCs w:val="18"/>
                <w:lang w:val="en-SG" w:eastAsia="en-SG"/>
              </w:rPr>
              <w:t>−</w:t>
            </w:r>
            <w:r w:rsidR="004F4C5A" w:rsidRPr="00060311">
              <w:rPr>
                <w:rFonts w:ascii="Arial" w:hAnsi="Arial" w:cs="Arial"/>
                <w:color w:val="000000"/>
                <w:sz w:val="18"/>
                <w:szCs w:val="18"/>
                <w:lang w:val="en-SG" w:eastAsia="en-SG"/>
              </w:rPr>
              <w:t>104,712</w:t>
            </w:r>
          </w:p>
        </w:tc>
        <w:tc>
          <w:tcPr>
            <w:tcW w:w="635" w:type="pct"/>
            <w:tcBorders>
              <w:top w:val="nil"/>
              <w:left w:val="nil"/>
              <w:bottom w:val="nil"/>
              <w:right w:val="nil"/>
            </w:tcBorders>
            <w:shd w:val="clear" w:color="auto" w:fill="auto"/>
            <w:noWrap/>
            <w:vAlign w:val="bottom"/>
            <w:hideMark/>
          </w:tcPr>
          <w:p w14:paraId="2E7887AB" w14:textId="34807A83" w:rsidR="004F4C5A" w:rsidRPr="00060311" w:rsidRDefault="00F23308" w:rsidP="004F4C5A">
            <w:pPr>
              <w:jc w:val="right"/>
              <w:rPr>
                <w:rFonts w:ascii="Arial" w:hAnsi="Arial" w:cs="Arial"/>
                <w:color w:val="000000"/>
                <w:sz w:val="18"/>
                <w:szCs w:val="18"/>
                <w:lang w:val="en-SG" w:eastAsia="en-SG"/>
              </w:rPr>
            </w:pPr>
            <w:r w:rsidRPr="00F23308">
              <w:rPr>
                <w:rFonts w:ascii="Arial" w:hAnsi="Arial" w:cs="Arial"/>
                <w:color w:val="000000"/>
                <w:sz w:val="18"/>
                <w:szCs w:val="18"/>
                <w:lang w:val="en-SG" w:eastAsia="en-SG"/>
              </w:rPr>
              <w:t>−</w:t>
            </w:r>
            <w:r w:rsidR="004F4C5A" w:rsidRPr="00060311">
              <w:rPr>
                <w:rFonts w:ascii="Arial" w:hAnsi="Arial" w:cs="Arial"/>
                <w:color w:val="000000"/>
                <w:sz w:val="18"/>
                <w:szCs w:val="18"/>
                <w:lang w:val="en-SG" w:eastAsia="en-SG"/>
              </w:rPr>
              <w:t>130,169</w:t>
            </w:r>
          </w:p>
        </w:tc>
        <w:tc>
          <w:tcPr>
            <w:tcW w:w="635" w:type="pct"/>
            <w:tcBorders>
              <w:top w:val="nil"/>
              <w:left w:val="nil"/>
              <w:bottom w:val="nil"/>
              <w:right w:val="nil"/>
            </w:tcBorders>
            <w:shd w:val="clear" w:color="auto" w:fill="auto"/>
            <w:noWrap/>
            <w:vAlign w:val="bottom"/>
            <w:hideMark/>
          </w:tcPr>
          <w:p w14:paraId="60F97945" w14:textId="44C8E563" w:rsidR="004F4C5A" w:rsidRPr="00060311" w:rsidRDefault="00F23308" w:rsidP="004F4C5A">
            <w:pPr>
              <w:jc w:val="right"/>
              <w:rPr>
                <w:rFonts w:ascii="Arial" w:hAnsi="Arial" w:cs="Arial"/>
                <w:color w:val="000000"/>
                <w:sz w:val="18"/>
                <w:szCs w:val="18"/>
                <w:lang w:val="en-SG" w:eastAsia="en-SG"/>
              </w:rPr>
            </w:pPr>
            <w:r w:rsidRPr="00F23308">
              <w:rPr>
                <w:rFonts w:ascii="Arial" w:hAnsi="Arial" w:cs="Arial"/>
                <w:color w:val="000000"/>
                <w:sz w:val="18"/>
                <w:szCs w:val="18"/>
                <w:lang w:val="en-SG" w:eastAsia="en-SG"/>
              </w:rPr>
              <w:t>−</w:t>
            </w:r>
            <w:r w:rsidR="004F4C5A" w:rsidRPr="00060311">
              <w:rPr>
                <w:rFonts w:ascii="Arial" w:hAnsi="Arial" w:cs="Arial"/>
                <w:color w:val="000000"/>
                <w:sz w:val="18"/>
                <w:szCs w:val="18"/>
                <w:lang w:val="en-SG" w:eastAsia="en-SG"/>
              </w:rPr>
              <w:t>108,688</w:t>
            </w:r>
          </w:p>
        </w:tc>
        <w:tc>
          <w:tcPr>
            <w:tcW w:w="635" w:type="pct"/>
            <w:tcBorders>
              <w:top w:val="nil"/>
              <w:left w:val="nil"/>
              <w:bottom w:val="nil"/>
              <w:right w:val="nil"/>
            </w:tcBorders>
            <w:shd w:val="clear" w:color="auto" w:fill="auto"/>
            <w:noWrap/>
            <w:vAlign w:val="bottom"/>
            <w:hideMark/>
          </w:tcPr>
          <w:p w14:paraId="5DAE3736" w14:textId="062FAC5F" w:rsidR="004F4C5A" w:rsidRPr="00060311" w:rsidRDefault="00F23308" w:rsidP="004F4C5A">
            <w:pPr>
              <w:jc w:val="right"/>
              <w:rPr>
                <w:rFonts w:ascii="Arial" w:hAnsi="Arial" w:cs="Arial"/>
                <w:color w:val="000000"/>
                <w:sz w:val="18"/>
                <w:szCs w:val="18"/>
                <w:lang w:val="en-SG" w:eastAsia="en-SG"/>
              </w:rPr>
            </w:pPr>
            <w:r w:rsidRPr="00F23308">
              <w:rPr>
                <w:rFonts w:ascii="Arial" w:hAnsi="Arial" w:cs="Arial"/>
                <w:color w:val="000000"/>
                <w:sz w:val="18"/>
                <w:szCs w:val="18"/>
                <w:lang w:val="en-SG" w:eastAsia="en-SG"/>
              </w:rPr>
              <w:t>−</w:t>
            </w:r>
            <w:r w:rsidR="004F4C5A" w:rsidRPr="00060311">
              <w:rPr>
                <w:rFonts w:ascii="Arial" w:hAnsi="Arial" w:cs="Arial"/>
                <w:color w:val="000000"/>
                <w:sz w:val="18"/>
                <w:szCs w:val="18"/>
                <w:lang w:val="en-SG" w:eastAsia="en-SG"/>
              </w:rPr>
              <w:t>70,905</w:t>
            </w:r>
          </w:p>
        </w:tc>
      </w:tr>
      <w:tr w:rsidR="004F4C5A" w:rsidRPr="00060311" w14:paraId="64F8F8A5" w14:textId="77777777" w:rsidTr="00245772">
        <w:trPr>
          <w:trHeight w:val="230"/>
        </w:trPr>
        <w:tc>
          <w:tcPr>
            <w:tcW w:w="1683" w:type="pct"/>
            <w:tcBorders>
              <w:top w:val="nil"/>
              <w:left w:val="nil"/>
              <w:bottom w:val="nil"/>
              <w:right w:val="nil"/>
            </w:tcBorders>
            <w:shd w:val="clear" w:color="auto" w:fill="auto"/>
            <w:noWrap/>
            <w:vAlign w:val="bottom"/>
            <w:hideMark/>
          </w:tcPr>
          <w:p w14:paraId="472E24C6" w14:textId="77777777" w:rsidR="004F4C5A" w:rsidRPr="00060311" w:rsidRDefault="004F4C5A" w:rsidP="004F4C5A">
            <w:pPr>
              <w:rPr>
                <w:rFonts w:ascii="Arial" w:hAnsi="Arial" w:cs="Arial"/>
                <w:b/>
                <w:bCs/>
                <w:color w:val="000000"/>
                <w:sz w:val="18"/>
                <w:szCs w:val="18"/>
                <w:lang w:val="en-SG" w:eastAsia="en-SG"/>
              </w:rPr>
            </w:pPr>
            <w:r w:rsidRPr="00060311">
              <w:rPr>
                <w:rFonts w:ascii="Arial" w:hAnsi="Arial" w:cs="Arial"/>
                <w:b/>
                <w:bCs/>
                <w:color w:val="000000"/>
                <w:sz w:val="18"/>
                <w:szCs w:val="18"/>
                <w:lang w:val="en-SG" w:eastAsia="en-SG"/>
              </w:rPr>
              <w:t>Total</w:t>
            </w:r>
          </w:p>
        </w:tc>
        <w:tc>
          <w:tcPr>
            <w:tcW w:w="144" w:type="pct"/>
            <w:tcBorders>
              <w:top w:val="nil"/>
              <w:left w:val="nil"/>
              <w:bottom w:val="nil"/>
              <w:right w:val="nil"/>
            </w:tcBorders>
            <w:shd w:val="clear" w:color="auto" w:fill="auto"/>
            <w:noWrap/>
            <w:vAlign w:val="bottom"/>
            <w:hideMark/>
          </w:tcPr>
          <w:p w14:paraId="504597F8" w14:textId="77777777" w:rsidR="004F4C5A" w:rsidRPr="00060311" w:rsidRDefault="004F4C5A" w:rsidP="004F4C5A">
            <w:pPr>
              <w:rPr>
                <w:rFonts w:ascii="Arial" w:hAnsi="Arial" w:cs="Arial"/>
                <w:b/>
                <w:bCs/>
                <w:color w:val="000000"/>
                <w:sz w:val="18"/>
                <w:szCs w:val="18"/>
                <w:lang w:val="en-SG" w:eastAsia="en-SG"/>
              </w:rPr>
            </w:pPr>
          </w:p>
        </w:tc>
        <w:tc>
          <w:tcPr>
            <w:tcW w:w="635" w:type="pct"/>
            <w:tcBorders>
              <w:top w:val="single" w:sz="4" w:space="0" w:color="auto"/>
              <w:left w:val="nil"/>
              <w:bottom w:val="single" w:sz="4" w:space="0" w:color="auto"/>
              <w:right w:val="nil"/>
            </w:tcBorders>
            <w:shd w:val="clear" w:color="auto" w:fill="auto"/>
            <w:noWrap/>
            <w:vAlign w:val="bottom"/>
            <w:hideMark/>
          </w:tcPr>
          <w:p w14:paraId="18E3EF58" w14:textId="77777777" w:rsidR="004F4C5A" w:rsidRPr="00060311" w:rsidRDefault="004F4C5A" w:rsidP="004F4C5A">
            <w:pPr>
              <w:jc w:val="right"/>
              <w:rPr>
                <w:rFonts w:ascii="Arial" w:hAnsi="Arial" w:cs="Arial"/>
                <w:b/>
                <w:bCs/>
                <w:color w:val="000000"/>
                <w:sz w:val="18"/>
                <w:szCs w:val="18"/>
                <w:lang w:val="en-SG" w:eastAsia="en-SG"/>
              </w:rPr>
            </w:pPr>
            <w:r w:rsidRPr="00060311">
              <w:rPr>
                <w:rFonts w:ascii="Arial" w:hAnsi="Arial" w:cs="Arial"/>
                <w:b/>
                <w:bCs/>
                <w:color w:val="000000"/>
                <w:sz w:val="18"/>
                <w:szCs w:val="18"/>
                <w:lang w:val="en-SG" w:eastAsia="en-SG"/>
              </w:rPr>
              <w:t>228,946</w:t>
            </w:r>
          </w:p>
        </w:tc>
        <w:tc>
          <w:tcPr>
            <w:tcW w:w="635" w:type="pct"/>
            <w:tcBorders>
              <w:top w:val="single" w:sz="4" w:space="0" w:color="auto"/>
              <w:left w:val="nil"/>
              <w:bottom w:val="single" w:sz="4" w:space="0" w:color="auto"/>
              <w:right w:val="nil"/>
            </w:tcBorders>
            <w:shd w:val="clear" w:color="auto" w:fill="auto"/>
            <w:noWrap/>
            <w:vAlign w:val="bottom"/>
            <w:hideMark/>
          </w:tcPr>
          <w:p w14:paraId="7B61CC2C" w14:textId="77777777" w:rsidR="004F4C5A" w:rsidRPr="00060311" w:rsidRDefault="004F4C5A" w:rsidP="004F4C5A">
            <w:pPr>
              <w:jc w:val="right"/>
              <w:rPr>
                <w:rFonts w:ascii="Arial" w:hAnsi="Arial" w:cs="Arial"/>
                <w:b/>
                <w:bCs/>
                <w:color w:val="000000"/>
                <w:sz w:val="18"/>
                <w:szCs w:val="18"/>
                <w:lang w:val="en-SG" w:eastAsia="en-SG"/>
              </w:rPr>
            </w:pPr>
            <w:r w:rsidRPr="00060311">
              <w:rPr>
                <w:rFonts w:ascii="Arial" w:hAnsi="Arial" w:cs="Arial"/>
                <w:b/>
                <w:bCs/>
                <w:color w:val="000000"/>
                <w:sz w:val="18"/>
                <w:szCs w:val="18"/>
                <w:lang w:val="en-SG" w:eastAsia="en-SG"/>
              </w:rPr>
              <w:t>245,402</w:t>
            </w:r>
          </w:p>
        </w:tc>
        <w:tc>
          <w:tcPr>
            <w:tcW w:w="635" w:type="pct"/>
            <w:tcBorders>
              <w:top w:val="single" w:sz="4" w:space="0" w:color="auto"/>
              <w:left w:val="nil"/>
              <w:bottom w:val="single" w:sz="4" w:space="0" w:color="auto"/>
              <w:right w:val="nil"/>
            </w:tcBorders>
            <w:shd w:val="clear" w:color="auto" w:fill="auto"/>
            <w:noWrap/>
            <w:vAlign w:val="bottom"/>
            <w:hideMark/>
          </w:tcPr>
          <w:p w14:paraId="71E29F94" w14:textId="77777777" w:rsidR="004F4C5A" w:rsidRPr="00060311" w:rsidRDefault="004F4C5A" w:rsidP="004F4C5A">
            <w:pPr>
              <w:jc w:val="right"/>
              <w:rPr>
                <w:rFonts w:ascii="Arial" w:hAnsi="Arial" w:cs="Arial"/>
                <w:b/>
                <w:bCs/>
                <w:color w:val="000000"/>
                <w:sz w:val="18"/>
                <w:szCs w:val="18"/>
                <w:lang w:val="en-SG" w:eastAsia="en-SG"/>
              </w:rPr>
            </w:pPr>
            <w:r w:rsidRPr="00060311">
              <w:rPr>
                <w:rFonts w:ascii="Arial" w:hAnsi="Arial" w:cs="Arial"/>
                <w:b/>
                <w:bCs/>
                <w:color w:val="000000"/>
                <w:sz w:val="18"/>
                <w:szCs w:val="18"/>
                <w:lang w:val="en-SG" w:eastAsia="en-SG"/>
              </w:rPr>
              <w:t>246,173</w:t>
            </w:r>
          </w:p>
        </w:tc>
        <w:tc>
          <w:tcPr>
            <w:tcW w:w="635" w:type="pct"/>
            <w:tcBorders>
              <w:top w:val="single" w:sz="4" w:space="0" w:color="auto"/>
              <w:left w:val="nil"/>
              <w:bottom w:val="single" w:sz="4" w:space="0" w:color="auto"/>
              <w:right w:val="nil"/>
            </w:tcBorders>
            <w:shd w:val="clear" w:color="auto" w:fill="auto"/>
            <w:noWrap/>
            <w:vAlign w:val="bottom"/>
            <w:hideMark/>
          </w:tcPr>
          <w:p w14:paraId="1E10EAAD" w14:textId="77777777" w:rsidR="004F4C5A" w:rsidRPr="00060311" w:rsidRDefault="004F4C5A" w:rsidP="004F4C5A">
            <w:pPr>
              <w:jc w:val="right"/>
              <w:rPr>
                <w:rFonts w:ascii="Arial" w:hAnsi="Arial" w:cs="Arial"/>
                <w:b/>
                <w:bCs/>
                <w:color w:val="000000"/>
                <w:sz w:val="18"/>
                <w:szCs w:val="18"/>
                <w:lang w:val="en-SG" w:eastAsia="en-SG"/>
              </w:rPr>
            </w:pPr>
            <w:r w:rsidRPr="00060311">
              <w:rPr>
                <w:rFonts w:ascii="Arial" w:hAnsi="Arial" w:cs="Arial"/>
                <w:b/>
                <w:bCs/>
                <w:color w:val="000000"/>
                <w:sz w:val="18"/>
                <w:szCs w:val="18"/>
                <w:lang w:val="en-SG" w:eastAsia="en-SG"/>
              </w:rPr>
              <w:t>361,178</w:t>
            </w:r>
          </w:p>
        </w:tc>
        <w:tc>
          <w:tcPr>
            <w:tcW w:w="635" w:type="pct"/>
            <w:tcBorders>
              <w:top w:val="single" w:sz="4" w:space="0" w:color="auto"/>
              <w:left w:val="nil"/>
              <w:bottom w:val="single" w:sz="4" w:space="0" w:color="auto"/>
              <w:right w:val="nil"/>
            </w:tcBorders>
            <w:shd w:val="clear" w:color="auto" w:fill="auto"/>
            <w:noWrap/>
            <w:vAlign w:val="bottom"/>
            <w:hideMark/>
          </w:tcPr>
          <w:p w14:paraId="0A07B6B5" w14:textId="77777777" w:rsidR="004F4C5A" w:rsidRPr="00060311" w:rsidRDefault="004F4C5A" w:rsidP="004F4C5A">
            <w:pPr>
              <w:jc w:val="right"/>
              <w:rPr>
                <w:rFonts w:ascii="Arial" w:hAnsi="Arial" w:cs="Arial"/>
                <w:b/>
                <w:bCs/>
                <w:color w:val="000000"/>
                <w:sz w:val="18"/>
                <w:szCs w:val="18"/>
                <w:lang w:val="en-SG" w:eastAsia="en-SG"/>
              </w:rPr>
            </w:pPr>
            <w:r w:rsidRPr="00060311">
              <w:rPr>
                <w:rFonts w:ascii="Arial" w:hAnsi="Arial" w:cs="Arial"/>
                <w:b/>
                <w:bCs/>
                <w:color w:val="000000"/>
                <w:sz w:val="18"/>
                <w:szCs w:val="18"/>
                <w:lang w:val="en-SG" w:eastAsia="en-SG"/>
              </w:rPr>
              <w:t>380,416</w:t>
            </w:r>
          </w:p>
        </w:tc>
      </w:tr>
      <w:tr w:rsidR="00F23308" w:rsidRPr="00060311" w14:paraId="56F7857D" w14:textId="77777777" w:rsidTr="00245772">
        <w:trPr>
          <w:trHeight w:val="230"/>
        </w:trPr>
        <w:tc>
          <w:tcPr>
            <w:tcW w:w="1827" w:type="pct"/>
            <w:gridSpan w:val="2"/>
            <w:tcBorders>
              <w:top w:val="nil"/>
              <w:left w:val="nil"/>
              <w:bottom w:val="nil"/>
              <w:right w:val="nil"/>
            </w:tcBorders>
            <w:shd w:val="clear" w:color="auto" w:fill="auto"/>
            <w:noWrap/>
            <w:vAlign w:val="bottom"/>
          </w:tcPr>
          <w:p w14:paraId="287FB90D" w14:textId="77777777" w:rsidR="00F23308" w:rsidRPr="00C1248F" w:rsidRDefault="00F23308" w:rsidP="004F4C5A">
            <w:pPr>
              <w:rPr>
                <w:rFonts w:ascii="Arial" w:hAnsi="Arial" w:cs="Arial"/>
                <w:b/>
                <w:iCs/>
                <w:color w:val="000000"/>
                <w:sz w:val="18"/>
                <w:szCs w:val="18"/>
                <w:lang w:val="en-SG" w:eastAsia="en-SG"/>
              </w:rPr>
            </w:pPr>
          </w:p>
        </w:tc>
        <w:tc>
          <w:tcPr>
            <w:tcW w:w="635" w:type="pct"/>
            <w:tcBorders>
              <w:top w:val="nil"/>
              <w:left w:val="nil"/>
              <w:bottom w:val="nil"/>
              <w:right w:val="nil"/>
            </w:tcBorders>
            <w:shd w:val="clear" w:color="auto" w:fill="auto"/>
            <w:noWrap/>
            <w:vAlign w:val="bottom"/>
          </w:tcPr>
          <w:p w14:paraId="46EAE2FE" w14:textId="77777777" w:rsidR="00F23308" w:rsidRPr="00060311" w:rsidRDefault="00F23308" w:rsidP="004F4C5A">
            <w:pPr>
              <w:rPr>
                <w:rFonts w:ascii="Arial" w:hAnsi="Arial" w:cs="Arial"/>
                <w:i/>
                <w:iCs/>
                <w:color w:val="000000"/>
                <w:sz w:val="18"/>
                <w:szCs w:val="18"/>
                <w:u w:val="single"/>
                <w:lang w:val="en-SG" w:eastAsia="en-SG"/>
              </w:rPr>
            </w:pPr>
          </w:p>
        </w:tc>
        <w:tc>
          <w:tcPr>
            <w:tcW w:w="635" w:type="pct"/>
            <w:tcBorders>
              <w:top w:val="nil"/>
              <w:left w:val="nil"/>
              <w:bottom w:val="nil"/>
              <w:right w:val="nil"/>
            </w:tcBorders>
            <w:shd w:val="clear" w:color="auto" w:fill="auto"/>
            <w:noWrap/>
            <w:vAlign w:val="bottom"/>
          </w:tcPr>
          <w:p w14:paraId="3C12F7C0" w14:textId="77777777" w:rsidR="00F23308" w:rsidRPr="00060311" w:rsidRDefault="00F23308" w:rsidP="004F4C5A">
            <w:pPr>
              <w:rPr>
                <w:rFonts w:ascii="Arial" w:hAnsi="Arial" w:cs="Arial"/>
                <w:sz w:val="18"/>
                <w:szCs w:val="18"/>
                <w:lang w:val="en-SG" w:eastAsia="en-SG"/>
              </w:rPr>
            </w:pPr>
          </w:p>
        </w:tc>
        <w:tc>
          <w:tcPr>
            <w:tcW w:w="635" w:type="pct"/>
            <w:tcBorders>
              <w:top w:val="nil"/>
              <w:left w:val="nil"/>
              <w:bottom w:val="nil"/>
              <w:right w:val="nil"/>
            </w:tcBorders>
            <w:shd w:val="clear" w:color="auto" w:fill="auto"/>
            <w:noWrap/>
            <w:vAlign w:val="bottom"/>
          </w:tcPr>
          <w:p w14:paraId="3EB7538C" w14:textId="77777777" w:rsidR="00F23308" w:rsidRPr="00060311" w:rsidRDefault="00F23308" w:rsidP="004F4C5A">
            <w:pPr>
              <w:rPr>
                <w:rFonts w:ascii="Arial" w:hAnsi="Arial" w:cs="Arial"/>
                <w:sz w:val="18"/>
                <w:szCs w:val="18"/>
                <w:lang w:val="en-SG" w:eastAsia="en-SG"/>
              </w:rPr>
            </w:pPr>
          </w:p>
        </w:tc>
        <w:tc>
          <w:tcPr>
            <w:tcW w:w="635" w:type="pct"/>
            <w:tcBorders>
              <w:top w:val="nil"/>
              <w:left w:val="nil"/>
              <w:bottom w:val="nil"/>
              <w:right w:val="nil"/>
            </w:tcBorders>
            <w:shd w:val="clear" w:color="auto" w:fill="auto"/>
            <w:noWrap/>
            <w:vAlign w:val="bottom"/>
          </w:tcPr>
          <w:p w14:paraId="1A0CF0B0" w14:textId="77777777" w:rsidR="00F23308" w:rsidRPr="00060311" w:rsidRDefault="00F23308" w:rsidP="004F4C5A">
            <w:pPr>
              <w:rPr>
                <w:rFonts w:ascii="Arial" w:hAnsi="Arial" w:cs="Arial"/>
                <w:sz w:val="18"/>
                <w:szCs w:val="18"/>
                <w:lang w:val="en-SG" w:eastAsia="en-SG"/>
              </w:rPr>
            </w:pPr>
          </w:p>
        </w:tc>
        <w:tc>
          <w:tcPr>
            <w:tcW w:w="635" w:type="pct"/>
            <w:tcBorders>
              <w:top w:val="nil"/>
              <w:left w:val="nil"/>
              <w:bottom w:val="nil"/>
              <w:right w:val="nil"/>
            </w:tcBorders>
            <w:shd w:val="clear" w:color="auto" w:fill="auto"/>
            <w:noWrap/>
            <w:vAlign w:val="bottom"/>
          </w:tcPr>
          <w:p w14:paraId="7D7A46B5" w14:textId="77777777" w:rsidR="00F23308" w:rsidRPr="00060311" w:rsidRDefault="00F23308" w:rsidP="004F4C5A">
            <w:pPr>
              <w:rPr>
                <w:rFonts w:ascii="Arial" w:hAnsi="Arial" w:cs="Arial"/>
                <w:sz w:val="18"/>
                <w:szCs w:val="18"/>
                <w:lang w:val="en-SG" w:eastAsia="en-SG"/>
              </w:rPr>
            </w:pPr>
          </w:p>
        </w:tc>
      </w:tr>
      <w:tr w:rsidR="004F4C5A" w:rsidRPr="00060311" w14:paraId="0C5D0BA3" w14:textId="77777777" w:rsidTr="00245772">
        <w:trPr>
          <w:trHeight w:val="230"/>
        </w:trPr>
        <w:tc>
          <w:tcPr>
            <w:tcW w:w="1827" w:type="pct"/>
            <w:gridSpan w:val="2"/>
            <w:tcBorders>
              <w:top w:val="nil"/>
              <w:left w:val="nil"/>
              <w:bottom w:val="nil"/>
              <w:right w:val="nil"/>
            </w:tcBorders>
            <w:shd w:val="clear" w:color="auto" w:fill="auto"/>
            <w:noWrap/>
            <w:vAlign w:val="bottom"/>
            <w:hideMark/>
          </w:tcPr>
          <w:p w14:paraId="3E67C94D" w14:textId="77777777" w:rsidR="004F4C5A" w:rsidRPr="007D6686" w:rsidRDefault="004F4C5A" w:rsidP="004F4C5A">
            <w:pPr>
              <w:rPr>
                <w:rFonts w:ascii="Arial" w:hAnsi="Arial" w:cs="Arial"/>
                <w:b/>
                <w:iCs/>
                <w:color w:val="000000"/>
                <w:sz w:val="18"/>
                <w:szCs w:val="18"/>
                <w:lang w:val="en-SG" w:eastAsia="en-SG"/>
              </w:rPr>
            </w:pPr>
            <w:r w:rsidRPr="007D6686">
              <w:rPr>
                <w:rFonts w:ascii="Arial" w:hAnsi="Arial" w:cs="Arial"/>
                <w:b/>
                <w:iCs/>
                <w:color w:val="000000"/>
                <w:sz w:val="18"/>
                <w:szCs w:val="18"/>
                <w:lang w:val="en-SG" w:eastAsia="en-SG"/>
              </w:rPr>
              <w:t>(Geographical Segments)</w:t>
            </w:r>
          </w:p>
        </w:tc>
        <w:tc>
          <w:tcPr>
            <w:tcW w:w="635" w:type="pct"/>
            <w:tcBorders>
              <w:top w:val="nil"/>
              <w:left w:val="nil"/>
              <w:bottom w:val="nil"/>
              <w:right w:val="nil"/>
            </w:tcBorders>
            <w:shd w:val="clear" w:color="auto" w:fill="auto"/>
            <w:noWrap/>
            <w:vAlign w:val="bottom"/>
            <w:hideMark/>
          </w:tcPr>
          <w:p w14:paraId="2EA27660" w14:textId="77777777" w:rsidR="004F4C5A" w:rsidRPr="00060311" w:rsidRDefault="004F4C5A" w:rsidP="004F4C5A">
            <w:pPr>
              <w:rPr>
                <w:rFonts w:ascii="Arial" w:hAnsi="Arial" w:cs="Arial"/>
                <w:i/>
                <w:iCs/>
                <w:color w:val="000000"/>
                <w:sz w:val="18"/>
                <w:szCs w:val="18"/>
                <w:u w:val="single"/>
                <w:lang w:val="en-SG" w:eastAsia="en-SG"/>
              </w:rPr>
            </w:pPr>
          </w:p>
        </w:tc>
        <w:tc>
          <w:tcPr>
            <w:tcW w:w="635" w:type="pct"/>
            <w:tcBorders>
              <w:top w:val="nil"/>
              <w:left w:val="nil"/>
              <w:bottom w:val="nil"/>
              <w:right w:val="nil"/>
            </w:tcBorders>
            <w:shd w:val="clear" w:color="auto" w:fill="auto"/>
            <w:noWrap/>
            <w:vAlign w:val="bottom"/>
            <w:hideMark/>
          </w:tcPr>
          <w:p w14:paraId="29A40DD4" w14:textId="77777777" w:rsidR="004F4C5A" w:rsidRPr="00060311" w:rsidRDefault="004F4C5A" w:rsidP="004F4C5A">
            <w:pPr>
              <w:rPr>
                <w:rFonts w:ascii="Arial" w:hAnsi="Arial" w:cs="Arial"/>
                <w:sz w:val="18"/>
                <w:szCs w:val="18"/>
                <w:lang w:val="en-SG" w:eastAsia="en-SG"/>
              </w:rPr>
            </w:pPr>
          </w:p>
        </w:tc>
        <w:tc>
          <w:tcPr>
            <w:tcW w:w="635" w:type="pct"/>
            <w:tcBorders>
              <w:top w:val="nil"/>
              <w:left w:val="nil"/>
              <w:bottom w:val="nil"/>
              <w:right w:val="nil"/>
            </w:tcBorders>
            <w:shd w:val="clear" w:color="auto" w:fill="auto"/>
            <w:noWrap/>
            <w:vAlign w:val="bottom"/>
            <w:hideMark/>
          </w:tcPr>
          <w:p w14:paraId="15B34666" w14:textId="77777777" w:rsidR="004F4C5A" w:rsidRPr="00060311" w:rsidRDefault="004F4C5A" w:rsidP="004F4C5A">
            <w:pPr>
              <w:rPr>
                <w:rFonts w:ascii="Arial" w:hAnsi="Arial" w:cs="Arial"/>
                <w:sz w:val="18"/>
                <w:szCs w:val="18"/>
                <w:lang w:val="en-SG" w:eastAsia="en-SG"/>
              </w:rPr>
            </w:pPr>
          </w:p>
        </w:tc>
        <w:tc>
          <w:tcPr>
            <w:tcW w:w="635" w:type="pct"/>
            <w:tcBorders>
              <w:top w:val="nil"/>
              <w:left w:val="nil"/>
              <w:bottom w:val="nil"/>
              <w:right w:val="nil"/>
            </w:tcBorders>
            <w:shd w:val="clear" w:color="auto" w:fill="auto"/>
            <w:noWrap/>
            <w:vAlign w:val="bottom"/>
            <w:hideMark/>
          </w:tcPr>
          <w:p w14:paraId="19A07C5E" w14:textId="77777777" w:rsidR="004F4C5A" w:rsidRPr="00060311" w:rsidRDefault="004F4C5A" w:rsidP="004F4C5A">
            <w:pPr>
              <w:rPr>
                <w:rFonts w:ascii="Arial" w:hAnsi="Arial" w:cs="Arial"/>
                <w:sz w:val="18"/>
                <w:szCs w:val="18"/>
                <w:lang w:val="en-SG" w:eastAsia="en-SG"/>
              </w:rPr>
            </w:pPr>
          </w:p>
        </w:tc>
        <w:tc>
          <w:tcPr>
            <w:tcW w:w="635" w:type="pct"/>
            <w:tcBorders>
              <w:top w:val="nil"/>
              <w:left w:val="nil"/>
              <w:bottom w:val="nil"/>
              <w:right w:val="nil"/>
            </w:tcBorders>
            <w:shd w:val="clear" w:color="auto" w:fill="auto"/>
            <w:noWrap/>
            <w:vAlign w:val="bottom"/>
            <w:hideMark/>
          </w:tcPr>
          <w:p w14:paraId="3CCFD64D" w14:textId="77777777" w:rsidR="004F4C5A" w:rsidRPr="00060311" w:rsidRDefault="004F4C5A" w:rsidP="004F4C5A">
            <w:pPr>
              <w:rPr>
                <w:rFonts w:ascii="Arial" w:hAnsi="Arial" w:cs="Arial"/>
                <w:sz w:val="18"/>
                <w:szCs w:val="18"/>
                <w:lang w:val="en-SG" w:eastAsia="en-SG"/>
              </w:rPr>
            </w:pPr>
          </w:p>
        </w:tc>
      </w:tr>
      <w:tr w:rsidR="004F4C5A" w:rsidRPr="00060311" w14:paraId="0F0AD415" w14:textId="77777777" w:rsidTr="00245772">
        <w:trPr>
          <w:trHeight w:val="230"/>
        </w:trPr>
        <w:tc>
          <w:tcPr>
            <w:tcW w:w="1683" w:type="pct"/>
            <w:tcBorders>
              <w:top w:val="nil"/>
              <w:left w:val="nil"/>
              <w:bottom w:val="nil"/>
              <w:right w:val="nil"/>
            </w:tcBorders>
            <w:shd w:val="clear" w:color="auto" w:fill="auto"/>
            <w:noWrap/>
            <w:vAlign w:val="bottom"/>
            <w:hideMark/>
          </w:tcPr>
          <w:p w14:paraId="68942083" w14:textId="77777777" w:rsidR="004F4C5A" w:rsidRPr="00060311" w:rsidRDefault="004F4C5A" w:rsidP="004F4C5A">
            <w:pPr>
              <w:rPr>
                <w:rFonts w:ascii="Arial" w:hAnsi="Arial" w:cs="Arial"/>
                <w:color w:val="000000"/>
                <w:sz w:val="18"/>
                <w:szCs w:val="18"/>
                <w:lang w:val="en-SG" w:eastAsia="en-SG"/>
              </w:rPr>
            </w:pPr>
            <w:r w:rsidRPr="00060311">
              <w:rPr>
                <w:rFonts w:ascii="Arial" w:hAnsi="Arial" w:cs="Arial"/>
                <w:color w:val="000000"/>
                <w:sz w:val="18"/>
                <w:szCs w:val="18"/>
                <w:lang w:val="en-SG" w:eastAsia="en-SG"/>
              </w:rPr>
              <w:t xml:space="preserve">Singapore </w:t>
            </w:r>
          </w:p>
        </w:tc>
        <w:tc>
          <w:tcPr>
            <w:tcW w:w="144" w:type="pct"/>
            <w:tcBorders>
              <w:top w:val="nil"/>
              <w:left w:val="nil"/>
              <w:bottom w:val="nil"/>
              <w:right w:val="nil"/>
            </w:tcBorders>
            <w:shd w:val="clear" w:color="auto" w:fill="auto"/>
            <w:noWrap/>
            <w:vAlign w:val="bottom"/>
            <w:hideMark/>
          </w:tcPr>
          <w:p w14:paraId="15B0398E" w14:textId="77777777" w:rsidR="004F4C5A" w:rsidRPr="00060311" w:rsidRDefault="004F4C5A" w:rsidP="004F4C5A">
            <w:pPr>
              <w:rPr>
                <w:rFonts w:ascii="Arial" w:hAnsi="Arial" w:cs="Arial"/>
                <w:color w:val="000000"/>
                <w:sz w:val="18"/>
                <w:szCs w:val="18"/>
                <w:lang w:val="en-SG" w:eastAsia="en-SG"/>
              </w:rPr>
            </w:pPr>
          </w:p>
        </w:tc>
        <w:tc>
          <w:tcPr>
            <w:tcW w:w="635" w:type="pct"/>
            <w:tcBorders>
              <w:top w:val="nil"/>
              <w:left w:val="nil"/>
              <w:bottom w:val="nil"/>
              <w:right w:val="nil"/>
            </w:tcBorders>
            <w:shd w:val="clear" w:color="auto" w:fill="auto"/>
            <w:noWrap/>
            <w:vAlign w:val="bottom"/>
            <w:hideMark/>
          </w:tcPr>
          <w:p w14:paraId="249CA8A5"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84,332</w:t>
            </w:r>
          </w:p>
        </w:tc>
        <w:tc>
          <w:tcPr>
            <w:tcW w:w="635" w:type="pct"/>
            <w:tcBorders>
              <w:top w:val="nil"/>
              <w:left w:val="nil"/>
              <w:bottom w:val="nil"/>
              <w:right w:val="nil"/>
            </w:tcBorders>
            <w:shd w:val="clear" w:color="auto" w:fill="auto"/>
            <w:noWrap/>
            <w:vAlign w:val="bottom"/>
            <w:hideMark/>
          </w:tcPr>
          <w:p w14:paraId="28FE944A"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108,679</w:t>
            </w:r>
          </w:p>
        </w:tc>
        <w:tc>
          <w:tcPr>
            <w:tcW w:w="635" w:type="pct"/>
            <w:tcBorders>
              <w:top w:val="nil"/>
              <w:left w:val="nil"/>
              <w:bottom w:val="nil"/>
              <w:right w:val="nil"/>
            </w:tcBorders>
            <w:shd w:val="clear" w:color="auto" w:fill="auto"/>
            <w:noWrap/>
            <w:vAlign w:val="bottom"/>
            <w:hideMark/>
          </w:tcPr>
          <w:p w14:paraId="498BA643"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104,047</w:t>
            </w:r>
          </w:p>
        </w:tc>
        <w:tc>
          <w:tcPr>
            <w:tcW w:w="635" w:type="pct"/>
            <w:tcBorders>
              <w:top w:val="nil"/>
              <w:left w:val="nil"/>
              <w:bottom w:val="nil"/>
              <w:right w:val="nil"/>
            </w:tcBorders>
            <w:shd w:val="clear" w:color="auto" w:fill="auto"/>
            <w:noWrap/>
            <w:vAlign w:val="bottom"/>
            <w:hideMark/>
          </w:tcPr>
          <w:p w14:paraId="0D7627D8"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123,036</w:t>
            </w:r>
          </w:p>
        </w:tc>
        <w:tc>
          <w:tcPr>
            <w:tcW w:w="635" w:type="pct"/>
            <w:tcBorders>
              <w:top w:val="nil"/>
              <w:left w:val="nil"/>
              <w:bottom w:val="nil"/>
              <w:right w:val="nil"/>
            </w:tcBorders>
            <w:shd w:val="clear" w:color="auto" w:fill="auto"/>
            <w:noWrap/>
            <w:vAlign w:val="bottom"/>
            <w:hideMark/>
          </w:tcPr>
          <w:p w14:paraId="08E3323C"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120,007</w:t>
            </w:r>
          </w:p>
        </w:tc>
      </w:tr>
      <w:tr w:rsidR="004F4C5A" w:rsidRPr="00060311" w14:paraId="1F646EBB" w14:textId="77777777" w:rsidTr="00245772">
        <w:trPr>
          <w:trHeight w:val="230"/>
        </w:trPr>
        <w:tc>
          <w:tcPr>
            <w:tcW w:w="1683" w:type="pct"/>
            <w:tcBorders>
              <w:top w:val="nil"/>
              <w:left w:val="nil"/>
              <w:bottom w:val="nil"/>
              <w:right w:val="nil"/>
            </w:tcBorders>
            <w:shd w:val="clear" w:color="auto" w:fill="auto"/>
            <w:noWrap/>
            <w:vAlign w:val="bottom"/>
            <w:hideMark/>
          </w:tcPr>
          <w:p w14:paraId="2D76EA85" w14:textId="77777777" w:rsidR="004F4C5A" w:rsidRPr="00060311" w:rsidRDefault="004F4C5A" w:rsidP="004F4C5A">
            <w:pPr>
              <w:rPr>
                <w:rFonts w:ascii="Arial" w:hAnsi="Arial" w:cs="Arial"/>
                <w:color w:val="000000"/>
                <w:sz w:val="18"/>
                <w:szCs w:val="18"/>
                <w:lang w:val="en-SG" w:eastAsia="en-SG"/>
              </w:rPr>
            </w:pPr>
            <w:r w:rsidRPr="00060311">
              <w:rPr>
                <w:rFonts w:ascii="Arial" w:hAnsi="Arial" w:cs="Arial"/>
                <w:color w:val="000000"/>
                <w:sz w:val="18"/>
                <w:szCs w:val="18"/>
                <w:lang w:val="en-SG" w:eastAsia="en-SG"/>
              </w:rPr>
              <w:t>China</w:t>
            </w:r>
          </w:p>
        </w:tc>
        <w:tc>
          <w:tcPr>
            <w:tcW w:w="144" w:type="pct"/>
            <w:tcBorders>
              <w:top w:val="nil"/>
              <w:left w:val="nil"/>
              <w:bottom w:val="nil"/>
              <w:right w:val="nil"/>
            </w:tcBorders>
            <w:shd w:val="clear" w:color="auto" w:fill="auto"/>
            <w:noWrap/>
            <w:vAlign w:val="bottom"/>
            <w:hideMark/>
          </w:tcPr>
          <w:p w14:paraId="460FAF55" w14:textId="77777777" w:rsidR="004F4C5A" w:rsidRPr="00060311" w:rsidRDefault="004F4C5A" w:rsidP="004F4C5A">
            <w:pPr>
              <w:rPr>
                <w:rFonts w:ascii="Arial" w:hAnsi="Arial" w:cs="Arial"/>
                <w:color w:val="000000"/>
                <w:sz w:val="18"/>
                <w:szCs w:val="18"/>
                <w:lang w:val="en-SG" w:eastAsia="en-SG"/>
              </w:rPr>
            </w:pPr>
          </w:p>
        </w:tc>
        <w:tc>
          <w:tcPr>
            <w:tcW w:w="635" w:type="pct"/>
            <w:tcBorders>
              <w:top w:val="nil"/>
              <w:left w:val="nil"/>
              <w:bottom w:val="nil"/>
              <w:right w:val="nil"/>
            </w:tcBorders>
            <w:shd w:val="clear" w:color="auto" w:fill="auto"/>
            <w:noWrap/>
            <w:vAlign w:val="bottom"/>
            <w:hideMark/>
          </w:tcPr>
          <w:p w14:paraId="62C62080"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62,879</w:t>
            </w:r>
          </w:p>
        </w:tc>
        <w:tc>
          <w:tcPr>
            <w:tcW w:w="635" w:type="pct"/>
            <w:tcBorders>
              <w:top w:val="nil"/>
              <w:left w:val="nil"/>
              <w:bottom w:val="nil"/>
              <w:right w:val="nil"/>
            </w:tcBorders>
            <w:shd w:val="clear" w:color="auto" w:fill="auto"/>
            <w:noWrap/>
            <w:vAlign w:val="bottom"/>
            <w:hideMark/>
          </w:tcPr>
          <w:p w14:paraId="65D9B96C"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78,680</w:t>
            </w:r>
          </w:p>
        </w:tc>
        <w:tc>
          <w:tcPr>
            <w:tcW w:w="635" w:type="pct"/>
            <w:tcBorders>
              <w:top w:val="nil"/>
              <w:left w:val="nil"/>
              <w:bottom w:val="nil"/>
              <w:right w:val="nil"/>
            </w:tcBorders>
            <w:shd w:val="clear" w:color="auto" w:fill="auto"/>
            <w:noWrap/>
            <w:vAlign w:val="bottom"/>
            <w:hideMark/>
          </w:tcPr>
          <w:p w14:paraId="6CAB45CA"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104,412</w:t>
            </w:r>
          </w:p>
        </w:tc>
        <w:tc>
          <w:tcPr>
            <w:tcW w:w="635" w:type="pct"/>
            <w:tcBorders>
              <w:top w:val="nil"/>
              <w:left w:val="nil"/>
              <w:bottom w:val="nil"/>
              <w:right w:val="nil"/>
            </w:tcBorders>
            <w:shd w:val="clear" w:color="auto" w:fill="auto"/>
            <w:noWrap/>
            <w:vAlign w:val="bottom"/>
            <w:hideMark/>
          </w:tcPr>
          <w:p w14:paraId="01A14342"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159,996</w:t>
            </w:r>
          </w:p>
        </w:tc>
        <w:tc>
          <w:tcPr>
            <w:tcW w:w="635" w:type="pct"/>
            <w:tcBorders>
              <w:top w:val="nil"/>
              <w:left w:val="nil"/>
              <w:bottom w:val="nil"/>
              <w:right w:val="nil"/>
            </w:tcBorders>
            <w:shd w:val="clear" w:color="auto" w:fill="auto"/>
            <w:noWrap/>
            <w:vAlign w:val="bottom"/>
            <w:hideMark/>
          </w:tcPr>
          <w:p w14:paraId="229DEB9B"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165,179</w:t>
            </w:r>
          </w:p>
        </w:tc>
      </w:tr>
      <w:tr w:rsidR="004F4C5A" w:rsidRPr="00060311" w14:paraId="5EDE3ACE" w14:textId="77777777" w:rsidTr="00245772">
        <w:trPr>
          <w:trHeight w:val="230"/>
        </w:trPr>
        <w:tc>
          <w:tcPr>
            <w:tcW w:w="1683" w:type="pct"/>
            <w:tcBorders>
              <w:top w:val="nil"/>
              <w:left w:val="nil"/>
              <w:bottom w:val="nil"/>
              <w:right w:val="nil"/>
            </w:tcBorders>
            <w:shd w:val="clear" w:color="auto" w:fill="auto"/>
            <w:noWrap/>
            <w:vAlign w:val="bottom"/>
            <w:hideMark/>
          </w:tcPr>
          <w:p w14:paraId="6AF8BD9B" w14:textId="77777777" w:rsidR="004F4C5A" w:rsidRPr="00060311" w:rsidRDefault="004F4C5A" w:rsidP="004F4C5A">
            <w:pPr>
              <w:rPr>
                <w:rFonts w:ascii="Arial" w:hAnsi="Arial" w:cs="Arial"/>
                <w:color w:val="000000"/>
                <w:sz w:val="18"/>
                <w:szCs w:val="18"/>
                <w:lang w:val="en-SG" w:eastAsia="en-SG"/>
              </w:rPr>
            </w:pPr>
            <w:r w:rsidRPr="00060311">
              <w:rPr>
                <w:rFonts w:ascii="Arial" w:hAnsi="Arial" w:cs="Arial"/>
                <w:color w:val="000000"/>
                <w:sz w:val="18"/>
                <w:szCs w:val="18"/>
                <w:lang w:val="en-SG" w:eastAsia="en-SG"/>
              </w:rPr>
              <w:t xml:space="preserve">Malaysia </w:t>
            </w:r>
          </w:p>
        </w:tc>
        <w:tc>
          <w:tcPr>
            <w:tcW w:w="144" w:type="pct"/>
            <w:tcBorders>
              <w:top w:val="nil"/>
              <w:left w:val="nil"/>
              <w:bottom w:val="nil"/>
              <w:right w:val="nil"/>
            </w:tcBorders>
            <w:shd w:val="clear" w:color="auto" w:fill="auto"/>
            <w:noWrap/>
            <w:vAlign w:val="bottom"/>
            <w:hideMark/>
          </w:tcPr>
          <w:p w14:paraId="638ED84F" w14:textId="77777777" w:rsidR="004F4C5A" w:rsidRPr="00060311" w:rsidRDefault="004F4C5A" w:rsidP="004F4C5A">
            <w:pPr>
              <w:rPr>
                <w:rFonts w:ascii="Arial" w:hAnsi="Arial" w:cs="Arial"/>
                <w:color w:val="000000"/>
                <w:sz w:val="18"/>
                <w:szCs w:val="18"/>
                <w:lang w:val="en-SG" w:eastAsia="en-SG"/>
              </w:rPr>
            </w:pPr>
          </w:p>
        </w:tc>
        <w:tc>
          <w:tcPr>
            <w:tcW w:w="635" w:type="pct"/>
            <w:tcBorders>
              <w:top w:val="nil"/>
              <w:left w:val="nil"/>
              <w:bottom w:val="nil"/>
              <w:right w:val="nil"/>
            </w:tcBorders>
            <w:shd w:val="clear" w:color="auto" w:fill="auto"/>
            <w:noWrap/>
            <w:vAlign w:val="bottom"/>
            <w:hideMark/>
          </w:tcPr>
          <w:p w14:paraId="7A0D2DA1"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2,144</w:t>
            </w:r>
          </w:p>
        </w:tc>
        <w:tc>
          <w:tcPr>
            <w:tcW w:w="635" w:type="pct"/>
            <w:tcBorders>
              <w:top w:val="nil"/>
              <w:left w:val="nil"/>
              <w:bottom w:val="nil"/>
              <w:right w:val="nil"/>
            </w:tcBorders>
            <w:shd w:val="clear" w:color="auto" w:fill="auto"/>
            <w:noWrap/>
            <w:vAlign w:val="bottom"/>
            <w:hideMark/>
          </w:tcPr>
          <w:p w14:paraId="669C7F02"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49,520</w:t>
            </w:r>
          </w:p>
        </w:tc>
        <w:tc>
          <w:tcPr>
            <w:tcW w:w="635" w:type="pct"/>
            <w:tcBorders>
              <w:top w:val="nil"/>
              <w:left w:val="nil"/>
              <w:bottom w:val="nil"/>
              <w:right w:val="nil"/>
            </w:tcBorders>
            <w:shd w:val="clear" w:color="auto" w:fill="auto"/>
            <w:noWrap/>
            <w:vAlign w:val="bottom"/>
            <w:hideMark/>
          </w:tcPr>
          <w:p w14:paraId="1CC163F1"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28,876</w:t>
            </w:r>
          </w:p>
        </w:tc>
        <w:tc>
          <w:tcPr>
            <w:tcW w:w="635" w:type="pct"/>
            <w:tcBorders>
              <w:top w:val="nil"/>
              <w:left w:val="nil"/>
              <w:bottom w:val="nil"/>
              <w:right w:val="nil"/>
            </w:tcBorders>
            <w:shd w:val="clear" w:color="auto" w:fill="auto"/>
            <w:noWrap/>
            <w:vAlign w:val="bottom"/>
            <w:hideMark/>
          </w:tcPr>
          <w:p w14:paraId="4223E3D3"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37,576</w:t>
            </w:r>
          </w:p>
        </w:tc>
        <w:tc>
          <w:tcPr>
            <w:tcW w:w="635" w:type="pct"/>
            <w:tcBorders>
              <w:top w:val="nil"/>
              <w:left w:val="nil"/>
              <w:bottom w:val="nil"/>
              <w:right w:val="nil"/>
            </w:tcBorders>
            <w:shd w:val="clear" w:color="auto" w:fill="auto"/>
            <w:noWrap/>
            <w:vAlign w:val="bottom"/>
            <w:hideMark/>
          </w:tcPr>
          <w:p w14:paraId="75E7F63B"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40,581</w:t>
            </w:r>
          </w:p>
        </w:tc>
      </w:tr>
      <w:tr w:rsidR="004F4C5A" w:rsidRPr="00060311" w14:paraId="08C0F7FD" w14:textId="77777777" w:rsidTr="00245772">
        <w:trPr>
          <w:trHeight w:val="230"/>
        </w:trPr>
        <w:tc>
          <w:tcPr>
            <w:tcW w:w="1683" w:type="pct"/>
            <w:tcBorders>
              <w:top w:val="nil"/>
              <w:left w:val="nil"/>
              <w:bottom w:val="nil"/>
              <w:right w:val="nil"/>
            </w:tcBorders>
            <w:shd w:val="clear" w:color="auto" w:fill="auto"/>
            <w:noWrap/>
            <w:vAlign w:val="bottom"/>
            <w:hideMark/>
          </w:tcPr>
          <w:p w14:paraId="0E82D6F7" w14:textId="77777777" w:rsidR="004F4C5A" w:rsidRPr="00060311" w:rsidRDefault="004F4C5A" w:rsidP="004F4C5A">
            <w:pPr>
              <w:rPr>
                <w:rFonts w:ascii="Arial" w:hAnsi="Arial" w:cs="Arial"/>
                <w:color w:val="000000"/>
                <w:sz w:val="18"/>
                <w:szCs w:val="18"/>
                <w:lang w:val="en-SG" w:eastAsia="en-SG"/>
              </w:rPr>
            </w:pPr>
            <w:r w:rsidRPr="00060311">
              <w:rPr>
                <w:rFonts w:ascii="Arial" w:hAnsi="Arial" w:cs="Arial"/>
                <w:color w:val="000000"/>
                <w:sz w:val="18"/>
                <w:szCs w:val="18"/>
                <w:lang w:val="en-SG" w:eastAsia="en-SG"/>
              </w:rPr>
              <w:t xml:space="preserve">Japan </w:t>
            </w:r>
          </w:p>
        </w:tc>
        <w:tc>
          <w:tcPr>
            <w:tcW w:w="144" w:type="pct"/>
            <w:tcBorders>
              <w:top w:val="nil"/>
              <w:left w:val="nil"/>
              <w:bottom w:val="nil"/>
              <w:right w:val="nil"/>
            </w:tcBorders>
            <w:shd w:val="clear" w:color="auto" w:fill="auto"/>
            <w:noWrap/>
            <w:vAlign w:val="bottom"/>
            <w:hideMark/>
          </w:tcPr>
          <w:p w14:paraId="4C7D8B4F" w14:textId="77777777" w:rsidR="004F4C5A" w:rsidRPr="00060311" w:rsidRDefault="004F4C5A" w:rsidP="004F4C5A">
            <w:pPr>
              <w:rPr>
                <w:rFonts w:ascii="Arial" w:hAnsi="Arial" w:cs="Arial"/>
                <w:color w:val="000000"/>
                <w:sz w:val="18"/>
                <w:szCs w:val="18"/>
                <w:lang w:val="en-SG" w:eastAsia="en-SG"/>
              </w:rPr>
            </w:pPr>
          </w:p>
        </w:tc>
        <w:tc>
          <w:tcPr>
            <w:tcW w:w="635" w:type="pct"/>
            <w:tcBorders>
              <w:top w:val="nil"/>
              <w:left w:val="nil"/>
              <w:bottom w:val="nil"/>
              <w:right w:val="nil"/>
            </w:tcBorders>
            <w:shd w:val="clear" w:color="auto" w:fill="auto"/>
            <w:noWrap/>
            <w:vAlign w:val="bottom"/>
            <w:hideMark/>
          </w:tcPr>
          <w:p w14:paraId="07563DC7"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79,134</w:t>
            </w:r>
          </w:p>
        </w:tc>
        <w:tc>
          <w:tcPr>
            <w:tcW w:w="635" w:type="pct"/>
            <w:tcBorders>
              <w:top w:val="nil"/>
              <w:left w:val="nil"/>
              <w:bottom w:val="nil"/>
              <w:right w:val="nil"/>
            </w:tcBorders>
            <w:shd w:val="clear" w:color="auto" w:fill="auto"/>
            <w:noWrap/>
            <w:vAlign w:val="bottom"/>
            <w:hideMark/>
          </w:tcPr>
          <w:p w14:paraId="128CBA3C"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4,699</w:t>
            </w:r>
          </w:p>
        </w:tc>
        <w:tc>
          <w:tcPr>
            <w:tcW w:w="635" w:type="pct"/>
            <w:tcBorders>
              <w:top w:val="nil"/>
              <w:left w:val="nil"/>
              <w:bottom w:val="nil"/>
              <w:right w:val="nil"/>
            </w:tcBorders>
            <w:shd w:val="clear" w:color="auto" w:fill="auto"/>
            <w:noWrap/>
            <w:vAlign w:val="bottom"/>
            <w:hideMark/>
          </w:tcPr>
          <w:p w14:paraId="3BD15974"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4,433</w:t>
            </w:r>
          </w:p>
        </w:tc>
        <w:tc>
          <w:tcPr>
            <w:tcW w:w="635" w:type="pct"/>
            <w:tcBorders>
              <w:top w:val="nil"/>
              <w:left w:val="nil"/>
              <w:bottom w:val="nil"/>
              <w:right w:val="nil"/>
            </w:tcBorders>
            <w:shd w:val="clear" w:color="auto" w:fill="auto"/>
            <w:noWrap/>
            <w:vAlign w:val="bottom"/>
            <w:hideMark/>
          </w:tcPr>
          <w:p w14:paraId="69617FD2"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35,639</w:t>
            </w:r>
          </w:p>
        </w:tc>
        <w:tc>
          <w:tcPr>
            <w:tcW w:w="635" w:type="pct"/>
            <w:tcBorders>
              <w:top w:val="nil"/>
              <w:left w:val="nil"/>
              <w:bottom w:val="nil"/>
              <w:right w:val="nil"/>
            </w:tcBorders>
            <w:shd w:val="clear" w:color="auto" w:fill="auto"/>
            <w:noWrap/>
            <w:vAlign w:val="bottom"/>
            <w:hideMark/>
          </w:tcPr>
          <w:p w14:paraId="5C717C78"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49,259</w:t>
            </w:r>
          </w:p>
        </w:tc>
      </w:tr>
      <w:tr w:rsidR="004F4C5A" w:rsidRPr="00060311" w14:paraId="22726B17" w14:textId="77777777" w:rsidTr="00245772">
        <w:trPr>
          <w:trHeight w:val="230"/>
        </w:trPr>
        <w:tc>
          <w:tcPr>
            <w:tcW w:w="1683" w:type="pct"/>
            <w:tcBorders>
              <w:top w:val="nil"/>
              <w:left w:val="nil"/>
              <w:bottom w:val="nil"/>
              <w:right w:val="nil"/>
            </w:tcBorders>
            <w:shd w:val="clear" w:color="auto" w:fill="auto"/>
            <w:noWrap/>
            <w:vAlign w:val="bottom"/>
            <w:hideMark/>
          </w:tcPr>
          <w:p w14:paraId="6DF66A11" w14:textId="77777777" w:rsidR="004F4C5A" w:rsidRPr="00060311" w:rsidRDefault="004F4C5A" w:rsidP="004F4C5A">
            <w:pPr>
              <w:rPr>
                <w:rFonts w:ascii="Arial" w:hAnsi="Arial" w:cs="Arial"/>
                <w:color w:val="000000"/>
                <w:sz w:val="18"/>
                <w:szCs w:val="18"/>
                <w:lang w:val="en-SG" w:eastAsia="en-SG"/>
              </w:rPr>
            </w:pPr>
            <w:r w:rsidRPr="00060311">
              <w:rPr>
                <w:rFonts w:ascii="Arial" w:hAnsi="Arial" w:cs="Arial"/>
                <w:color w:val="000000"/>
                <w:sz w:val="18"/>
                <w:szCs w:val="18"/>
                <w:lang w:val="en-SG" w:eastAsia="en-SG"/>
              </w:rPr>
              <w:t>India</w:t>
            </w:r>
          </w:p>
        </w:tc>
        <w:tc>
          <w:tcPr>
            <w:tcW w:w="144" w:type="pct"/>
            <w:tcBorders>
              <w:top w:val="nil"/>
              <w:left w:val="nil"/>
              <w:bottom w:val="nil"/>
              <w:right w:val="nil"/>
            </w:tcBorders>
            <w:shd w:val="clear" w:color="auto" w:fill="auto"/>
            <w:noWrap/>
            <w:vAlign w:val="bottom"/>
            <w:hideMark/>
          </w:tcPr>
          <w:p w14:paraId="2150011E" w14:textId="77777777" w:rsidR="004F4C5A" w:rsidRPr="00060311" w:rsidRDefault="004F4C5A" w:rsidP="004F4C5A">
            <w:pPr>
              <w:rPr>
                <w:rFonts w:ascii="Arial" w:hAnsi="Arial" w:cs="Arial"/>
                <w:color w:val="000000"/>
                <w:sz w:val="18"/>
                <w:szCs w:val="18"/>
                <w:lang w:val="en-SG" w:eastAsia="en-SG"/>
              </w:rPr>
            </w:pPr>
          </w:p>
        </w:tc>
        <w:tc>
          <w:tcPr>
            <w:tcW w:w="635" w:type="pct"/>
            <w:tcBorders>
              <w:top w:val="nil"/>
              <w:left w:val="nil"/>
              <w:bottom w:val="nil"/>
              <w:right w:val="nil"/>
            </w:tcBorders>
            <w:shd w:val="clear" w:color="auto" w:fill="auto"/>
            <w:noWrap/>
            <w:vAlign w:val="bottom"/>
            <w:hideMark/>
          </w:tcPr>
          <w:p w14:paraId="1547A7F4"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457</w:t>
            </w:r>
          </w:p>
        </w:tc>
        <w:tc>
          <w:tcPr>
            <w:tcW w:w="635" w:type="pct"/>
            <w:tcBorders>
              <w:top w:val="nil"/>
              <w:left w:val="nil"/>
              <w:bottom w:val="nil"/>
              <w:right w:val="nil"/>
            </w:tcBorders>
            <w:shd w:val="clear" w:color="auto" w:fill="auto"/>
            <w:noWrap/>
            <w:vAlign w:val="bottom"/>
            <w:hideMark/>
          </w:tcPr>
          <w:p w14:paraId="7902FD20"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3,824</w:t>
            </w:r>
          </w:p>
        </w:tc>
        <w:tc>
          <w:tcPr>
            <w:tcW w:w="635" w:type="pct"/>
            <w:tcBorders>
              <w:top w:val="nil"/>
              <w:left w:val="nil"/>
              <w:bottom w:val="nil"/>
              <w:right w:val="nil"/>
            </w:tcBorders>
            <w:shd w:val="clear" w:color="auto" w:fill="auto"/>
            <w:noWrap/>
            <w:vAlign w:val="bottom"/>
            <w:hideMark/>
          </w:tcPr>
          <w:p w14:paraId="02B5AB64"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4,405</w:t>
            </w:r>
          </w:p>
        </w:tc>
        <w:tc>
          <w:tcPr>
            <w:tcW w:w="635" w:type="pct"/>
            <w:tcBorders>
              <w:top w:val="nil"/>
              <w:left w:val="nil"/>
              <w:bottom w:val="nil"/>
              <w:right w:val="nil"/>
            </w:tcBorders>
            <w:shd w:val="clear" w:color="auto" w:fill="auto"/>
            <w:noWrap/>
            <w:vAlign w:val="bottom"/>
            <w:hideMark/>
          </w:tcPr>
          <w:p w14:paraId="0E7CCB10"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4,931</w:t>
            </w:r>
          </w:p>
        </w:tc>
        <w:tc>
          <w:tcPr>
            <w:tcW w:w="635" w:type="pct"/>
            <w:tcBorders>
              <w:top w:val="nil"/>
              <w:left w:val="nil"/>
              <w:bottom w:val="nil"/>
              <w:right w:val="nil"/>
            </w:tcBorders>
            <w:shd w:val="clear" w:color="auto" w:fill="auto"/>
            <w:noWrap/>
            <w:vAlign w:val="bottom"/>
            <w:hideMark/>
          </w:tcPr>
          <w:p w14:paraId="6486CCF9" w14:textId="77777777" w:rsidR="004F4C5A" w:rsidRPr="00060311" w:rsidRDefault="004F4C5A" w:rsidP="004F4C5A">
            <w:pPr>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5,390</w:t>
            </w:r>
          </w:p>
        </w:tc>
      </w:tr>
      <w:tr w:rsidR="004F4C5A" w:rsidRPr="00060311" w14:paraId="501842D8" w14:textId="77777777" w:rsidTr="00BD644A">
        <w:trPr>
          <w:trHeight w:val="230"/>
        </w:trPr>
        <w:tc>
          <w:tcPr>
            <w:tcW w:w="1683" w:type="pct"/>
            <w:tcBorders>
              <w:top w:val="nil"/>
              <w:left w:val="nil"/>
              <w:bottom w:val="double" w:sz="4" w:space="0" w:color="auto"/>
              <w:right w:val="nil"/>
            </w:tcBorders>
            <w:shd w:val="clear" w:color="auto" w:fill="auto"/>
            <w:noWrap/>
            <w:vAlign w:val="bottom"/>
            <w:hideMark/>
          </w:tcPr>
          <w:p w14:paraId="1A8303C9" w14:textId="77777777" w:rsidR="004F4C5A" w:rsidRPr="00060311" w:rsidRDefault="004F4C5A" w:rsidP="004F4C5A">
            <w:pPr>
              <w:rPr>
                <w:rFonts w:ascii="Arial" w:hAnsi="Arial" w:cs="Arial"/>
                <w:b/>
                <w:bCs/>
                <w:color w:val="000000"/>
                <w:sz w:val="18"/>
                <w:szCs w:val="18"/>
                <w:lang w:val="en-SG" w:eastAsia="en-SG"/>
              </w:rPr>
            </w:pPr>
            <w:r w:rsidRPr="00060311">
              <w:rPr>
                <w:rFonts w:ascii="Arial" w:hAnsi="Arial" w:cs="Arial"/>
                <w:b/>
                <w:bCs/>
                <w:color w:val="000000"/>
                <w:sz w:val="18"/>
                <w:szCs w:val="18"/>
                <w:lang w:val="en-SG" w:eastAsia="en-SG"/>
              </w:rPr>
              <w:t>Total</w:t>
            </w:r>
          </w:p>
        </w:tc>
        <w:tc>
          <w:tcPr>
            <w:tcW w:w="144" w:type="pct"/>
            <w:tcBorders>
              <w:top w:val="nil"/>
              <w:left w:val="nil"/>
              <w:bottom w:val="double" w:sz="4" w:space="0" w:color="auto"/>
              <w:right w:val="nil"/>
            </w:tcBorders>
            <w:shd w:val="clear" w:color="auto" w:fill="auto"/>
            <w:noWrap/>
            <w:vAlign w:val="bottom"/>
            <w:hideMark/>
          </w:tcPr>
          <w:p w14:paraId="2F34F2DD" w14:textId="77777777" w:rsidR="004F4C5A" w:rsidRPr="00060311" w:rsidRDefault="004F4C5A" w:rsidP="004F4C5A">
            <w:pPr>
              <w:rPr>
                <w:rFonts w:ascii="Arial" w:hAnsi="Arial" w:cs="Arial"/>
                <w:b/>
                <w:bCs/>
                <w:color w:val="000000"/>
                <w:sz w:val="18"/>
                <w:szCs w:val="18"/>
                <w:lang w:val="en-SG" w:eastAsia="en-SG"/>
              </w:rPr>
            </w:pPr>
          </w:p>
        </w:tc>
        <w:tc>
          <w:tcPr>
            <w:tcW w:w="635" w:type="pct"/>
            <w:tcBorders>
              <w:top w:val="single" w:sz="4" w:space="0" w:color="auto"/>
              <w:left w:val="nil"/>
              <w:bottom w:val="double" w:sz="4" w:space="0" w:color="auto"/>
              <w:right w:val="nil"/>
            </w:tcBorders>
            <w:shd w:val="clear" w:color="auto" w:fill="auto"/>
            <w:noWrap/>
            <w:vAlign w:val="bottom"/>
            <w:hideMark/>
          </w:tcPr>
          <w:p w14:paraId="1D55CEA5" w14:textId="77777777" w:rsidR="004F4C5A" w:rsidRPr="00060311" w:rsidRDefault="004F4C5A" w:rsidP="004F4C5A">
            <w:pPr>
              <w:jc w:val="right"/>
              <w:rPr>
                <w:rFonts w:ascii="Arial" w:hAnsi="Arial" w:cs="Arial"/>
                <w:b/>
                <w:bCs/>
                <w:color w:val="000000"/>
                <w:sz w:val="18"/>
                <w:szCs w:val="18"/>
                <w:lang w:val="en-SG" w:eastAsia="en-SG"/>
              </w:rPr>
            </w:pPr>
            <w:r w:rsidRPr="00060311">
              <w:rPr>
                <w:rFonts w:ascii="Arial" w:hAnsi="Arial" w:cs="Arial"/>
                <w:b/>
                <w:bCs/>
                <w:color w:val="000000"/>
                <w:sz w:val="18"/>
                <w:szCs w:val="18"/>
                <w:lang w:val="en-SG" w:eastAsia="en-SG"/>
              </w:rPr>
              <w:t>228,946</w:t>
            </w:r>
          </w:p>
        </w:tc>
        <w:tc>
          <w:tcPr>
            <w:tcW w:w="635" w:type="pct"/>
            <w:tcBorders>
              <w:top w:val="single" w:sz="4" w:space="0" w:color="auto"/>
              <w:left w:val="nil"/>
              <w:bottom w:val="double" w:sz="4" w:space="0" w:color="auto"/>
              <w:right w:val="nil"/>
            </w:tcBorders>
            <w:shd w:val="clear" w:color="auto" w:fill="auto"/>
            <w:noWrap/>
            <w:vAlign w:val="bottom"/>
            <w:hideMark/>
          </w:tcPr>
          <w:p w14:paraId="7FE558EB" w14:textId="77777777" w:rsidR="004F4C5A" w:rsidRPr="00060311" w:rsidRDefault="004F4C5A" w:rsidP="004F4C5A">
            <w:pPr>
              <w:jc w:val="right"/>
              <w:rPr>
                <w:rFonts w:ascii="Arial" w:hAnsi="Arial" w:cs="Arial"/>
                <w:b/>
                <w:bCs/>
                <w:color w:val="000000"/>
                <w:sz w:val="18"/>
                <w:szCs w:val="18"/>
                <w:lang w:val="en-SG" w:eastAsia="en-SG"/>
              </w:rPr>
            </w:pPr>
            <w:r w:rsidRPr="00060311">
              <w:rPr>
                <w:rFonts w:ascii="Arial" w:hAnsi="Arial" w:cs="Arial"/>
                <w:b/>
                <w:bCs/>
                <w:color w:val="000000"/>
                <w:sz w:val="18"/>
                <w:szCs w:val="18"/>
                <w:lang w:val="en-SG" w:eastAsia="en-SG"/>
              </w:rPr>
              <w:t>245,402</w:t>
            </w:r>
          </w:p>
        </w:tc>
        <w:tc>
          <w:tcPr>
            <w:tcW w:w="635" w:type="pct"/>
            <w:tcBorders>
              <w:top w:val="single" w:sz="4" w:space="0" w:color="auto"/>
              <w:left w:val="nil"/>
              <w:bottom w:val="double" w:sz="4" w:space="0" w:color="auto"/>
              <w:right w:val="nil"/>
            </w:tcBorders>
            <w:shd w:val="clear" w:color="auto" w:fill="auto"/>
            <w:noWrap/>
            <w:vAlign w:val="bottom"/>
            <w:hideMark/>
          </w:tcPr>
          <w:p w14:paraId="1C912C6E" w14:textId="77777777" w:rsidR="004F4C5A" w:rsidRPr="00060311" w:rsidRDefault="004F4C5A" w:rsidP="004F4C5A">
            <w:pPr>
              <w:jc w:val="right"/>
              <w:rPr>
                <w:rFonts w:ascii="Arial" w:hAnsi="Arial" w:cs="Arial"/>
                <w:b/>
                <w:bCs/>
                <w:color w:val="000000"/>
                <w:sz w:val="18"/>
                <w:szCs w:val="18"/>
                <w:lang w:val="en-SG" w:eastAsia="en-SG"/>
              </w:rPr>
            </w:pPr>
            <w:r w:rsidRPr="00060311">
              <w:rPr>
                <w:rFonts w:ascii="Arial" w:hAnsi="Arial" w:cs="Arial"/>
                <w:b/>
                <w:bCs/>
                <w:color w:val="000000"/>
                <w:sz w:val="18"/>
                <w:szCs w:val="18"/>
                <w:lang w:val="en-SG" w:eastAsia="en-SG"/>
              </w:rPr>
              <w:t>246,173</w:t>
            </w:r>
          </w:p>
        </w:tc>
        <w:tc>
          <w:tcPr>
            <w:tcW w:w="635" w:type="pct"/>
            <w:tcBorders>
              <w:top w:val="single" w:sz="4" w:space="0" w:color="auto"/>
              <w:left w:val="nil"/>
              <w:bottom w:val="double" w:sz="4" w:space="0" w:color="auto"/>
              <w:right w:val="nil"/>
            </w:tcBorders>
            <w:shd w:val="clear" w:color="auto" w:fill="auto"/>
            <w:noWrap/>
            <w:vAlign w:val="bottom"/>
            <w:hideMark/>
          </w:tcPr>
          <w:p w14:paraId="08623196" w14:textId="77777777" w:rsidR="004F4C5A" w:rsidRPr="00060311" w:rsidRDefault="004F4C5A" w:rsidP="004F4C5A">
            <w:pPr>
              <w:jc w:val="right"/>
              <w:rPr>
                <w:rFonts w:ascii="Arial" w:hAnsi="Arial" w:cs="Arial"/>
                <w:b/>
                <w:bCs/>
                <w:color w:val="000000"/>
                <w:sz w:val="18"/>
                <w:szCs w:val="18"/>
                <w:lang w:val="en-SG" w:eastAsia="en-SG"/>
              </w:rPr>
            </w:pPr>
            <w:r w:rsidRPr="00060311">
              <w:rPr>
                <w:rFonts w:ascii="Arial" w:hAnsi="Arial" w:cs="Arial"/>
                <w:b/>
                <w:bCs/>
                <w:color w:val="000000"/>
                <w:sz w:val="18"/>
                <w:szCs w:val="18"/>
                <w:lang w:val="en-SG" w:eastAsia="en-SG"/>
              </w:rPr>
              <w:t>361,178</w:t>
            </w:r>
          </w:p>
        </w:tc>
        <w:tc>
          <w:tcPr>
            <w:tcW w:w="635" w:type="pct"/>
            <w:tcBorders>
              <w:top w:val="single" w:sz="4" w:space="0" w:color="auto"/>
              <w:left w:val="nil"/>
              <w:bottom w:val="double" w:sz="4" w:space="0" w:color="auto"/>
              <w:right w:val="nil"/>
            </w:tcBorders>
            <w:shd w:val="clear" w:color="auto" w:fill="auto"/>
            <w:noWrap/>
            <w:vAlign w:val="bottom"/>
            <w:hideMark/>
          </w:tcPr>
          <w:p w14:paraId="3A14EEC1" w14:textId="77777777" w:rsidR="004F4C5A" w:rsidRPr="00060311" w:rsidRDefault="004F4C5A" w:rsidP="004F4C5A">
            <w:pPr>
              <w:jc w:val="right"/>
              <w:rPr>
                <w:rFonts w:ascii="Arial" w:hAnsi="Arial" w:cs="Arial"/>
                <w:b/>
                <w:bCs/>
                <w:color w:val="000000"/>
                <w:sz w:val="18"/>
                <w:szCs w:val="18"/>
                <w:lang w:val="en-SG" w:eastAsia="en-SG"/>
              </w:rPr>
            </w:pPr>
            <w:r w:rsidRPr="00060311">
              <w:rPr>
                <w:rFonts w:ascii="Arial" w:hAnsi="Arial" w:cs="Arial"/>
                <w:b/>
                <w:bCs/>
                <w:color w:val="000000"/>
                <w:sz w:val="18"/>
                <w:szCs w:val="18"/>
                <w:lang w:val="en-SG" w:eastAsia="en-SG"/>
              </w:rPr>
              <w:t>380,416</w:t>
            </w:r>
          </w:p>
        </w:tc>
      </w:tr>
    </w:tbl>
    <w:p w14:paraId="17B0FEBF" w14:textId="77777777" w:rsidR="00456717" w:rsidRDefault="00456717" w:rsidP="00BD644A">
      <w:pPr>
        <w:pStyle w:val="ExhibitText"/>
      </w:pPr>
    </w:p>
    <w:p w14:paraId="03D5D1E2" w14:textId="25D7D062" w:rsidR="002C2175" w:rsidRDefault="00DE68B4" w:rsidP="0052696C">
      <w:pPr>
        <w:pStyle w:val="Footnote"/>
        <w:jc w:val="both"/>
        <w:rPr>
          <w:spacing w:val="-2"/>
        </w:rPr>
      </w:pPr>
      <w:r w:rsidRPr="002C2175">
        <w:rPr>
          <w:spacing w:val="-2"/>
        </w:rPr>
        <w:t xml:space="preserve">Source: Created by </w:t>
      </w:r>
      <w:r w:rsidR="000F5D1D" w:rsidRPr="002C2175">
        <w:rPr>
          <w:spacing w:val="-2"/>
        </w:rPr>
        <w:t xml:space="preserve">the case </w:t>
      </w:r>
      <w:r w:rsidRPr="002C2175">
        <w:rPr>
          <w:spacing w:val="-2"/>
        </w:rPr>
        <w:t>authors based on information obtained from CapitaMall</w:t>
      </w:r>
      <w:r w:rsidR="008E765A" w:rsidRPr="002C2175">
        <w:rPr>
          <w:spacing w:val="-2"/>
        </w:rPr>
        <w:t>s</w:t>
      </w:r>
      <w:r w:rsidRPr="002C2175">
        <w:rPr>
          <w:spacing w:val="-2"/>
        </w:rPr>
        <w:t xml:space="preserve"> Asia</w:t>
      </w:r>
      <w:r w:rsidR="00F23308" w:rsidRPr="002C2175">
        <w:rPr>
          <w:spacing w:val="-2"/>
        </w:rPr>
        <w:t xml:space="preserve"> Limited</w:t>
      </w:r>
      <w:r w:rsidRPr="002C2175">
        <w:rPr>
          <w:spacing w:val="-2"/>
        </w:rPr>
        <w:t>,</w:t>
      </w:r>
      <w:r w:rsidR="008E765A" w:rsidRPr="002C2175">
        <w:rPr>
          <w:spacing w:val="-2"/>
        </w:rPr>
        <w:t xml:space="preserve"> </w:t>
      </w:r>
      <w:r w:rsidRPr="002C2175">
        <w:rPr>
          <w:i/>
          <w:spacing w:val="-2"/>
        </w:rPr>
        <w:t>Clarity, Sustainable Growth: Annual Report 2013</w:t>
      </w:r>
      <w:r w:rsidRPr="002C2175">
        <w:rPr>
          <w:spacing w:val="-2"/>
        </w:rPr>
        <w:t xml:space="preserve">, accessed January </w:t>
      </w:r>
      <w:r w:rsidR="00EF5BC1" w:rsidRPr="002C2175">
        <w:rPr>
          <w:spacing w:val="-2"/>
        </w:rPr>
        <w:t>27</w:t>
      </w:r>
      <w:r w:rsidR="008E765A" w:rsidRPr="002C2175">
        <w:rPr>
          <w:spacing w:val="-2"/>
        </w:rPr>
        <w:t>,</w:t>
      </w:r>
      <w:r w:rsidR="00EF5BC1" w:rsidRPr="002C2175">
        <w:rPr>
          <w:spacing w:val="-2"/>
        </w:rPr>
        <w:t xml:space="preserve"> 2017, </w:t>
      </w:r>
      <w:r w:rsidR="002C2175" w:rsidRPr="002C2175">
        <w:rPr>
          <w:spacing w:val="-2"/>
        </w:rPr>
        <w:t>http://infopub.sgx.com/FileOpen/</w:t>
      </w:r>
      <w:r w:rsidR="007D6686" w:rsidRPr="002C2175">
        <w:rPr>
          <w:spacing w:val="-2"/>
        </w:rPr>
        <w:t>CMA%20AR(Final)_2013.ashx?App=</w:t>
      </w:r>
    </w:p>
    <w:p w14:paraId="33FCB3EF" w14:textId="3CE16B52" w:rsidR="00245772" w:rsidRPr="002C2175" w:rsidRDefault="007D6686" w:rsidP="0052696C">
      <w:pPr>
        <w:pStyle w:val="Footnote"/>
        <w:jc w:val="both"/>
      </w:pPr>
      <w:r w:rsidRPr="002C2175">
        <w:rPr>
          <w:spacing w:val="-2"/>
        </w:rPr>
        <w:t>Prospectus&amp;</w:t>
      </w:r>
      <w:r w:rsidR="00F23308" w:rsidRPr="002C2175">
        <w:rPr>
          <w:spacing w:val="-2"/>
        </w:rPr>
        <w:t>FileID=20423</w:t>
      </w:r>
      <w:r w:rsidR="008E765A" w:rsidRPr="002C2175">
        <w:rPr>
          <w:spacing w:val="-2"/>
        </w:rPr>
        <w:t>; CapitaMalls Asia</w:t>
      </w:r>
      <w:r w:rsidR="00F23308" w:rsidRPr="002C2175">
        <w:rPr>
          <w:spacing w:val="-2"/>
        </w:rPr>
        <w:t xml:space="preserve"> Limited</w:t>
      </w:r>
      <w:r w:rsidR="008E765A" w:rsidRPr="002C2175">
        <w:rPr>
          <w:spacing w:val="-2"/>
        </w:rPr>
        <w:t xml:space="preserve">, </w:t>
      </w:r>
      <w:r w:rsidR="00DE68B4" w:rsidRPr="002C2175">
        <w:rPr>
          <w:i/>
          <w:spacing w:val="-2"/>
        </w:rPr>
        <w:t>Extending Reach, Seizing New Opportunities: Report to Shareholders 2012</w:t>
      </w:r>
      <w:r w:rsidR="00DE68B4" w:rsidRPr="002C2175">
        <w:rPr>
          <w:spacing w:val="-2"/>
        </w:rPr>
        <w:t>, accessed January</w:t>
      </w:r>
      <w:r w:rsidR="008E765A" w:rsidRPr="002C2175">
        <w:rPr>
          <w:spacing w:val="-2"/>
        </w:rPr>
        <w:t xml:space="preserve"> 27,</w:t>
      </w:r>
      <w:r w:rsidR="00DE68B4" w:rsidRPr="002C2175">
        <w:rPr>
          <w:spacing w:val="-2"/>
        </w:rPr>
        <w:t xml:space="preserve"> 2017</w:t>
      </w:r>
      <w:r w:rsidR="008E765A" w:rsidRPr="002C2175">
        <w:rPr>
          <w:spacing w:val="-2"/>
        </w:rPr>
        <w:t xml:space="preserve">, </w:t>
      </w:r>
      <w:r w:rsidR="00F23308" w:rsidRPr="002C2175">
        <w:rPr>
          <w:spacing w:val="-2"/>
        </w:rPr>
        <w:t>http://capitamallsasia.listedcompany.com/misc/2012_en/ar2012_en.pdf</w:t>
      </w:r>
      <w:r w:rsidR="008E765A" w:rsidRPr="002C2175">
        <w:rPr>
          <w:spacing w:val="-2"/>
        </w:rPr>
        <w:t>; CapitaMall</w:t>
      </w:r>
      <w:r w:rsidR="00F23308" w:rsidRPr="002C2175">
        <w:rPr>
          <w:spacing w:val="-2"/>
        </w:rPr>
        <w:t>s</w:t>
      </w:r>
      <w:r w:rsidR="008E765A" w:rsidRPr="002C2175">
        <w:rPr>
          <w:spacing w:val="-2"/>
        </w:rPr>
        <w:t xml:space="preserve"> Asia</w:t>
      </w:r>
      <w:r w:rsidR="00F23308" w:rsidRPr="002C2175">
        <w:rPr>
          <w:spacing w:val="-2"/>
        </w:rPr>
        <w:t xml:space="preserve"> Limited</w:t>
      </w:r>
      <w:r w:rsidR="008E765A" w:rsidRPr="002C2175">
        <w:rPr>
          <w:spacing w:val="-2"/>
        </w:rPr>
        <w:t xml:space="preserve">, </w:t>
      </w:r>
      <w:r w:rsidR="00DE68B4" w:rsidRPr="002C2175">
        <w:rPr>
          <w:i/>
          <w:spacing w:val="-2"/>
        </w:rPr>
        <w:t>Growing Our Presence in Asia</w:t>
      </w:r>
      <w:r w:rsidR="008E765A" w:rsidRPr="002C2175">
        <w:rPr>
          <w:i/>
          <w:spacing w:val="-2"/>
        </w:rPr>
        <w:t xml:space="preserve">: </w:t>
      </w:r>
      <w:r w:rsidR="00DE68B4" w:rsidRPr="002C2175">
        <w:rPr>
          <w:i/>
          <w:spacing w:val="-2"/>
        </w:rPr>
        <w:t>Report to Shareholders 2011</w:t>
      </w:r>
      <w:r w:rsidR="00DE68B4" w:rsidRPr="002C2175">
        <w:rPr>
          <w:spacing w:val="-2"/>
        </w:rPr>
        <w:t xml:space="preserve">, accessed January </w:t>
      </w:r>
      <w:r w:rsidR="008E765A" w:rsidRPr="002C2175">
        <w:rPr>
          <w:spacing w:val="-2"/>
        </w:rPr>
        <w:t xml:space="preserve">27, </w:t>
      </w:r>
      <w:r w:rsidR="00DE68B4" w:rsidRPr="002C2175">
        <w:rPr>
          <w:spacing w:val="-2"/>
        </w:rPr>
        <w:t>2017</w:t>
      </w:r>
      <w:r w:rsidR="008E765A" w:rsidRPr="002C2175">
        <w:rPr>
          <w:spacing w:val="-2"/>
        </w:rPr>
        <w:t xml:space="preserve">, </w:t>
      </w:r>
      <w:r w:rsidR="00F23308" w:rsidRPr="002C2175">
        <w:rPr>
          <w:spacing w:val="-2"/>
        </w:rPr>
        <w:t xml:space="preserve">http://infopub.sgx.com/FileOpen/CapitaMalls%20Asia%20AR%202011(FINAL_ENGLISH).ashx?App=Prospectus&amp;FileID=92; </w:t>
      </w:r>
      <w:r w:rsidR="008E765A" w:rsidRPr="002C2175">
        <w:rPr>
          <w:spacing w:val="-2"/>
        </w:rPr>
        <w:t>CapitaMalls Asia</w:t>
      </w:r>
      <w:r w:rsidR="00F23308" w:rsidRPr="002C2175">
        <w:rPr>
          <w:spacing w:val="-2"/>
        </w:rPr>
        <w:t xml:space="preserve"> Limited</w:t>
      </w:r>
      <w:r w:rsidR="008E765A" w:rsidRPr="002C2175">
        <w:rPr>
          <w:spacing w:val="-2"/>
        </w:rPr>
        <w:t xml:space="preserve">, </w:t>
      </w:r>
      <w:r w:rsidR="00DE68B4" w:rsidRPr="002C2175">
        <w:rPr>
          <w:i/>
          <w:spacing w:val="-2"/>
        </w:rPr>
        <w:t>Growing Our Presence</w:t>
      </w:r>
      <w:r w:rsidR="008E765A" w:rsidRPr="002C2175">
        <w:rPr>
          <w:i/>
          <w:spacing w:val="-2"/>
        </w:rPr>
        <w:t xml:space="preserve">: </w:t>
      </w:r>
      <w:r w:rsidR="00DE68B4" w:rsidRPr="002C2175">
        <w:rPr>
          <w:i/>
          <w:spacing w:val="-2"/>
        </w:rPr>
        <w:t>Report to Shareholders 2010</w:t>
      </w:r>
      <w:r w:rsidR="00DE68B4" w:rsidRPr="002C2175">
        <w:rPr>
          <w:spacing w:val="-2"/>
        </w:rPr>
        <w:t xml:space="preserve">, accessed January </w:t>
      </w:r>
      <w:r w:rsidR="008E765A" w:rsidRPr="002C2175">
        <w:rPr>
          <w:spacing w:val="-2"/>
        </w:rPr>
        <w:t xml:space="preserve">27, </w:t>
      </w:r>
      <w:r w:rsidR="00DE68B4" w:rsidRPr="002C2175">
        <w:rPr>
          <w:spacing w:val="-2"/>
        </w:rPr>
        <w:t>2017</w:t>
      </w:r>
      <w:r w:rsidR="008E765A" w:rsidRPr="002C2175">
        <w:rPr>
          <w:spacing w:val="-2"/>
        </w:rPr>
        <w:t xml:space="preserve">, </w:t>
      </w:r>
      <w:r w:rsidR="00F23308" w:rsidRPr="002C2175">
        <w:rPr>
          <w:spacing w:val="-2"/>
        </w:rPr>
        <w:t>http://infopub.sgx.com/FileOpen/CapitaMalls%20Asia%20AR%202010.ashx?App=Prospectus&amp;FileID=10698</w:t>
      </w:r>
      <w:r w:rsidR="008E765A" w:rsidRPr="002C2175">
        <w:rPr>
          <w:spacing w:val="-2"/>
        </w:rPr>
        <w:t>; CapitaMalls Asia</w:t>
      </w:r>
      <w:r w:rsidR="00F23308" w:rsidRPr="002C2175">
        <w:rPr>
          <w:spacing w:val="-2"/>
        </w:rPr>
        <w:t xml:space="preserve"> Limited</w:t>
      </w:r>
      <w:r w:rsidR="008E765A" w:rsidRPr="002C2175">
        <w:rPr>
          <w:spacing w:val="-2"/>
        </w:rPr>
        <w:t xml:space="preserve">, </w:t>
      </w:r>
      <w:r w:rsidR="00DE68B4" w:rsidRPr="002C2175">
        <w:rPr>
          <w:i/>
          <w:spacing w:val="-2"/>
        </w:rPr>
        <w:t>Asia’s Leading Shopping Mall Developer, Owner and Manager</w:t>
      </w:r>
      <w:r w:rsidR="008E765A" w:rsidRPr="002C2175">
        <w:rPr>
          <w:i/>
          <w:spacing w:val="-2"/>
        </w:rPr>
        <w:t xml:space="preserve">: </w:t>
      </w:r>
      <w:r w:rsidR="00DE68B4" w:rsidRPr="002C2175">
        <w:rPr>
          <w:i/>
          <w:spacing w:val="-2"/>
        </w:rPr>
        <w:t>Report to Shareholders 2009</w:t>
      </w:r>
      <w:r w:rsidR="00DE68B4" w:rsidRPr="002C2175">
        <w:rPr>
          <w:spacing w:val="-2"/>
        </w:rPr>
        <w:t xml:space="preserve">, accessed January </w:t>
      </w:r>
      <w:r w:rsidR="008E765A" w:rsidRPr="002C2175">
        <w:rPr>
          <w:spacing w:val="-2"/>
        </w:rPr>
        <w:t xml:space="preserve">27, </w:t>
      </w:r>
      <w:r w:rsidR="00DE68B4" w:rsidRPr="002C2175">
        <w:rPr>
          <w:spacing w:val="-2"/>
        </w:rPr>
        <w:t>2017</w:t>
      </w:r>
      <w:r w:rsidR="008E765A" w:rsidRPr="002C2175">
        <w:rPr>
          <w:spacing w:val="-2"/>
        </w:rPr>
        <w:t xml:space="preserve">, </w:t>
      </w:r>
      <w:r w:rsidR="00F23308" w:rsidRPr="002C2175">
        <w:rPr>
          <w:spacing w:val="-2"/>
        </w:rPr>
        <w:t>http://infopub.sgx.com/FileOpen/CMA%20AR2009%20PDF%20for%20Registra.ashx?App=Prospectus&amp;FileID=</w:t>
      </w:r>
      <w:r w:rsidR="00F23308" w:rsidRPr="002C2175">
        <w:t>7966</w:t>
      </w:r>
      <w:r w:rsidR="00456717" w:rsidRPr="002C2175">
        <w:t>.</w:t>
      </w:r>
    </w:p>
    <w:p w14:paraId="648AEF18" w14:textId="09CA6120" w:rsidR="007D6686" w:rsidRPr="002C2175" w:rsidRDefault="007D6686" w:rsidP="000F5D1D">
      <w:pPr>
        <w:pStyle w:val="Footnote"/>
        <w:rPr>
          <w:b/>
          <w:caps/>
          <w:lang w:val="en-CA"/>
        </w:rPr>
      </w:pPr>
      <w:r w:rsidRPr="002C2175">
        <w:rPr>
          <w:lang w:val="en-CA"/>
        </w:rPr>
        <w:br w:type="page"/>
      </w:r>
    </w:p>
    <w:p w14:paraId="1BC56DE3" w14:textId="2B1F4C90" w:rsidR="004F4C5A" w:rsidRDefault="004F4C5A" w:rsidP="004F4C5A">
      <w:pPr>
        <w:pStyle w:val="ExhibitHeading"/>
        <w:rPr>
          <w:lang w:val="en-CA"/>
        </w:rPr>
      </w:pPr>
      <w:r>
        <w:rPr>
          <w:lang w:val="en-CA"/>
        </w:rPr>
        <w:t xml:space="preserve">Exhibit </w:t>
      </w:r>
      <w:r w:rsidR="00605748">
        <w:rPr>
          <w:lang w:val="en-CA"/>
        </w:rPr>
        <w:t>3</w:t>
      </w:r>
      <w:r w:rsidRPr="0085053B">
        <w:rPr>
          <w:lang w:val="en-CA"/>
        </w:rPr>
        <w:t xml:space="preserve">: </w:t>
      </w:r>
      <w:r>
        <w:rPr>
          <w:lang w:val="en-CA"/>
        </w:rPr>
        <w:t>capit</w:t>
      </w:r>
      <w:r w:rsidRPr="00BD644A">
        <w:rPr>
          <w:spacing w:val="20"/>
          <w:lang w:val="en-CA"/>
        </w:rPr>
        <w:t>a</w:t>
      </w:r>
      <w:r>
        <w:rPr>
          <w:lang w:val="en-CA"/>
        </w:rPr>
        <w:t>land’S INCOME STATEMENTS</w:t>
      </w:r>
      <w:r w:rsidR="00C85DF7">
        <w:rPr>
          <w:lang w:val="en-CA"/>
        </w:rPr>
        <w:t xml:space="preserve"> (IN </w:t>
      </w:r>
      <w:r w:rsidR="00F23308">
        <w:rPr>
          <w:lang w:val="en-CA"/>
        </w:rPr>
        <w:t>SG$</w:t>
      </w:r>
      <w:r w:rsidR="000F5D1D">
        <w:rPr>
          <w:lang w:val="en-CA"/>
        </w:rPr>
        <w:t xml:space="preserve"> </w:t>
      </w:r>
      <w:r w:rsidR="00C85DF7">
        <w:rPr>
          <w:lang w:val="en-CA"/>
        </w:rPr>
        <w:t>THOUSAND</w:t>
      </w:r>
      <w:r w:rsidR="00F23308">
        <w:rPr>
          <w:lang w:val="en-CA"/>
        </w:rPr>
        <w:t>s</w:t>
      </w:r>
      <w:r w:rsidR="00C85DF7">
        <w:rPr>
          <w:lang w:val="en-CA"/>
        </w:rPr>
        <w:t>)</w:t>
      </w:r>
    </w:p>
    <w:p w14:paraId="001551FE" w14:textId="1CEAE05F" w:rsidR="004F4C5A" w:rsidRPr="00060311" w:rsidRDefault="004F4C5A" w:rsidP="00BD644A">
      <w:pPr>
        <w:pStyle w:val="ExhibitText"/>
      </w:pPr>
    </w:p>
    <w:tbl>
      <w:tblPr>
        <w:tblW w:w="5000" w:type="pct"/>
        <w:jc w:val="center"/>
        <w:tblLayout w:type="fixed"/>
        <w:tblLook w:val="04A0" w:firstRow="1" w:lastRow="0" w:firstColumn="1" w:lastColumn="0" w:noHBand="0" w:noVBand="1"/>
      </w:tblPr>
      <w:tblGrid>
        <w:gridCol w:w="3330"/>
        <w:gridCol w:w="1206"/>
        <w:gridCol w:w="1206"/>
        <w:gridCol w:w="1206"/>
        <w:gridCol w:w="1206"/>
        <w:gridCol w:w="1206"/>
      </w:tblGrid>
      <w:tr w:rsidR="000F5D1D" w:rsidRPr="00060311" w14:paraId="184F2623" w14:textId="77777777" w:rsidTr="000F5D1D">
        <w:trPr>
          <w:trHeight w:val="285"/>
          <w:jc w:val="center"/>
        </w:trPr>
        <w:tc>
          <w:tcPr>
            <w:tcW w:w="3330" w:type="dxa"/>
            <w:tcBorders>
              <w:top w:val="double" w:sz="4" w:space="0" w:color="auto"/>
              <w:left w:val="nil"/>
              <w:bottom w:val="nil"/>
              <w:right w:val="nil"/>
            </w:tcBorders>
            <w:shd w:val="clear" w:color="auto" w:fill="auto"/>
            <w:vAlign w:val="bottom"/>
          </w:tcPr>
          <w:p w14:paraId="4CF73D69" w14:textId="77777777" w:rsidR="000F5D1D" w:rsidRPr="00060311" w:rsidRDefault="000F5D1D" w:rsidP="006A3328">
            <w:pPr>
              <w:rPr>
                <w:rFonts w:ascii="Arial" w:hAnsi="Arial" w:cs="Arial"/>
                <w:sz w:val="18"/>
                <w:szCs w:val="18"/>
              </w:rPr>
            </w:pPr>
          </w:p>
        </w:tc>
        <w:tc>
          <w:tcPr>
            <w:tcW w:w="1206" w:type="dxa"/>
            <w:tcBorders>
              <w:top w:val="double" w:sz="4" w:space="0" w:color="auto"/>
              <w:left w:val="nil"/>
              <w:bottom w:val="single" w:sz="2" w:space="0" w:color="auto"/>
              <w:right w:val="nil"/>
            </w:tcBorders>
            <w:shd w:val="clear" w:color="auto" w:fill="auto"/>
            <w:noWrap/>
            <w:vAlign w:val="bottom"/>
          </w:tcPr>
          <w:p w14:paraId="2EA388C9" w14:textId="77777777" w:rsidR="000F5D1D" w:rsidRPr="00060311" w:rsidRDefault="000F5D1D" w:rsidP="007D6686">
            <w:pPr>
              <w:jc w:val="center"/>
              <w:rPr>
                <w:rFonts w:ascii="Arial" w:hAnsi="Arial" w:cs="Arial"/>
                <w:b/>
                <w:bCs/>
                <w:color w:val="000000"/>
                <w:sz w:val="18"/>
                <w:szCs w:val="18"/>
                <w:lang w:eastAsia="en-SG"/>
              </w:rPr>
            </w:pPr>
            <w:r w:rsidRPr="00060311">
              <w:rPr>
                <w:rFonts w:ascii="Arial" w:hAnsi="Arial" w:cs="Arial"/>
                <w:b/>
                <w:bCs/>
                <w:color w:val="000000"/>
                <w:sz w:val="18"/>
                <w:szCs w:val="18"/>
                <w:lang w:eastAsia="en-SG"/>
              </w:rPr>
              <w:t>2009</w:t>
            </w:r>
          </w:p>
        </w:tc>
        <w:tc>
          <w:tcPr>
            <w:tcW w:w="1206" w:type="dxa"/>
            <w:tcBorders>
              <w:top w:val="double" w:sz="4" w:space="0" w:color="auto"/>
              <w:left w:val="nil"/>
              <w:bottom w:val="single" w:sz="2" w:space="0" w:color="auto"/>
              <w:right w:val="nil"/>
            </w:tcBorders>
            <w:shd w:val="clear" w:color="auto" w:fill="auto"/>
            <w:noWrap/>
            <w:vAlign w:val="bottom"/>
          </w:tcPr>
          <w:p w14:paraId="52C34A14" w14:textId="77777777" w:rsidR="000F5D1D" w:rsidRPr="00060311" w:rsidRDefault="000F5D1D" w:rsidP="007D6686">
            <w:pPr>
              <w:jc w:val="center"/>
              <w:rPr>
                <w:rFonts w:ascii="Arial" w:hAnsi="Arial" w:cs="Arial"/>
                <w:b/>
                <w:bCs/>
                <w:color w:val="000000"/>
                <w:sz w:val="18"/>
                <w:szCs w:val="18"/>
                <w:lang w:eastAsia="en-SG"/>
              </w:rPr>
            </w:pPr>
            <w:r w:rsidRPr="00060311">
              <w:rPr>
                <w:rFonts w:ascii="Arial" w:hAnsi="Arial" w:cs="Arial"/>
                <w:b/>
                <w:bCs/>
                <w:color w:val="000000"/>
                <w:sz w:val="18"/>
                <w:szCs w:val="18"/>
                <w:lang w:eastAsia="en-SG"/>
              </w:rPr>
              <w:t>2010</w:t>
            </w:r>
          </w:p>
        </w:tc>
        <w:tc>
          <w:tcPr>
            <w:tcW w:w="1206" w:type="dxa"/>
            <w:tcBorders>
              <w:top w:val="double" w:sz="4" w:space="0" w:color="auto"/>
              <w:left w:val="nil"/>
              <w:bottom w:val="single" w:sz="2" w:space="0" w:color="auto"/>
              <w:right w:val="nil"/>
            </w:tcBorders>
            <w:shd w:val="clear" w:color="auto" w:fill="auto"/>
            <w:noWrap/>
            <w:vAlign w:val="bottom"/>
          </w:tcPr>
          <w:p w14:paraId="28FDD0E9" w14:textId="77777777" w:rsidR="000F5D1D" w:rsidRPr="00060311" w:rsidRDefault="000F5D1D" w:rsidP="007D6686">
            <w:pPr>
              <w:jc w:val="center"/>
              <w:rPr>
                <w:rFonts w:ascii="Arial" w:hAnsi="Arial" w:cs="Arial"/>
                <w:b/>
                <w:bCs/>
                <w:color w:val="000000"/>
                <w:sz w:val="18"/>
                <w:szCs w:val="18"/>
                <w:lang w:eastAsia="en-SG"/>
              </w:rPr>
            </w:pPr>
            <w:r w:rsidRPr="00060311">
              <w:rPr>
                <w:rFonts w:ascii="Arial" w:hAnsi="Arial" w:cs="Arial"/>
                <w:b/>
                <w:bCs/>
                <w:color w:val="000000"/>
                <w:sz w:val="18"/>
                <w:szCs w:val="18"/>
                <w:lang w:eastAsia="en-SG"/>
              </w:rPr>
              <w:t>2011</w:t>
            </w:r>
          </w:p>
        </w:tc>
        <w:tc>
          <w:tcPr>
            <w:tcW w:w="1206" w:type="dxa"/>
            <w:tcBorders>
              <w:top w:val="double" w:sz="4" w:space="0" w:color="auto"/>
              <w:left w:val="nil"/>
              <w:bottom w:val="single" w:sz="2" w:space="0" w:color="auto"/>
              <w:right w:val="nil"/>
            </w:tcBorders>
            <w:shd w:val="clear" w:color="auto" w:fill="auto"/>
            <w:vAlign w:val="bottom"/>
          </w:tcPr>
          <w:p w14:paraId="2C4446D9" w14:textId="77777777" w:rsidR="000F5D1D" w:rsidRPr="00060311" w:rsidRDefault="000F5D1D" w:rsidP="007D6686">
            <w:pPr>
              <w:jc w:val="center"/>
              <w:rPr>
                <w:rFonts w:ascii="Arial" w:hAnsi="Arial" w:cs="Arial"/>
                <w:b/>
                <w:bCs/>
                <w:color w:val="272625"/>
                <w:sz w:val="18"/>
                <w:szCs w:val="18"/>
                <w:lang w:eastAsia="en-SG"/>
              </w:rPr>
            </w:pPr>
            <w:r w:rsidRPr="00060311">
              <w:rPr>
                <w:rFonts w:ascii="Arial" w:hAnsi="Arial" w:cs="Arial"/>
                <w:b/>
                <w:bCs/>
                <w:color w:val="272625"/>
                <w:sz w:val="18"/>
                <w:szCs w:val="18"/>
                <w:lang w:eastAsia="en-SG"/>
              </w:rPr>
              <w:t>2012</w:t>
            </w:r>
          </w:p>
        </w:tc>
        <w:tc>
          <w:tcPr>
            <w:tcW w:w="1206" w:type="dxa"/>
            <w:tcBorders>
              <w:top w:val="double" w:sz="4" w:space="0" w:color="auto"/>
              <w:left w:val="nil"/>
              <w:bottom w:val="single" w:sz="2" w:space="0" w:color="auto"/>
              <w:right w:val="nil"/>
            </w:tcBorders>
            <w:shd w:val="clear" w:color="auto" w:fill="auto"/>
            <w:noWrap/>
            <w:vAlign w:val="bottom"/>
          </w:tcPr>
          <w:p w14:paraId="525EC241" w14:textId="77777777" w:rsidR="000F5D1D" w:rsidRPr="00060311" w:rsidRDefault="000F5D1D" w:rsidP="007D6686">
            <w:pPr>
              <w:jc w:val="center"/>
              <w:rPr>
                <w:rFonts w:ascii="Arial" w:hAnsi="Arial" w:cs="Arial"/>
                <w:b/>
                <w:bCs/>
                <w:color w:val="000000"/>
                <w:sz w:val="18"/>
                <w:szCs w:val="18"/>
                <w:lang w:eastAsia="en-SG"/>
              </w:rPr>
            </w:pPr>
            <w:r w:rsidRPr="00060311">
              <w:rPr>
                <w:rFonts w:ascii="Arial" w:hAnsi="Arial" w:cs="Arial"/>
                <w:b/>
                <w:bCs/>
                <w:color w:val="000000"/>
                <w:sz w:val="18"/>
                <w:szCs w:val="18"/>
                <w:lang w:eastAsia="en-SG"/>
              </w:rPr>
              <w:t>2013</w:t>
            </w:r>
          </w:p>
        </w:tc>
      </w:tr>
      <w:tr w:rsidR="000F5D1D" w:rsidRPr="00060311" w14:paraId="5346AEDB" w14:textId="77777777" w:rsidTr="000F5D1D">
        <w:trPr>
          <w:trHeight w:val="285"/>
          <w:jc w:val="center"/>
        </w:trPr>
        <w:tc>
          <w:tcPr>
            <w:tcW w:w="3330" w:type="dxa"/>
            <w:tcBorders>
              <w:top w:val="nil"/>
              <w:left w:val="nil"/>
              <w:bottom w:val="nil"/>
              <w:right w:val="nil"/>
            </w:tcBorders>
            <w:shd w:val="clear" w:color="auto" w:fill="auto"/>
            <w:vAlign w:val="bottom"/>
          </w:tcPr>
          <w:p w14:paraId="2F76BD1F" w14:textId="77777777" w:rsidR="000F5D1D" w:rsidRPr="00060311" w:rsidRDefault="000F5D1D" w:rsidP="006A3328">
            <w:pPr>
              <w:rPr>
                <w:rFonts w:ascii="Arial" w:hAnsi="Arial" w:cs="Arial"/>
                <w:b/>
                <w:sz w:val="18"/>
                <w:szCs w:val="18"/>
              </w:rPr>
            </w:pPr>
            <w:r w:rsidRPr="00060311">
              <w:rPr>
                <w:rFonts w:ascii="Arial" w:hAnsi="Arial" w:cs="Arial"/>
                <w:b/>
                <w:sz w:val="18"/>
                <w:szCs w:val="18"/>
              </w:rPr>
              <w:t>Revenue</w:t>
            </w:r>
          </w:p>
        </w:tc>
        <w:tc>
          <w:tcPr>
            <w:tcW w:w="1206" w:type="dxa"/>
            <w:tcBorders>
              <w:top w:val="nil"/>
              <w:left w:val="nil"/>
              <w:bottom w:val="nil"/>
              <w:right w:val="nil"/>
            </w:tcBorders>
            <w:shd w:val="clear" w:color="auto" w:fill="auto"/>
            <w:noWrap/>
            <w:vAlign w:val="bottom"/>
            <w:hideMark/>
          </w:tcPr>
          <w:p w14:paraId="763DAAD4" w14:textId="77777777" w:rsidR="000F5D1D" w:rsidRPr="00060311" w:rsidRDefault="000F5D1D" w:rsidP="006A3328">
            <w:pPr>
              <w:jc w:val="right"/>
              <w:rPr>
                <w:rFonts w:ascii="Arial" w:hAnsi="Arial" w:cs="Arial"/>
                <w:b/>
                <w:bCs/>
                <w:color w:val="000000"/>
                <w:sz w:val="18"/>
                <w:szCs w:val="18"/>
              </w:rPr>
            </w:pPr>
            <w:r w:rsidRPr="00060311">
              <w:rPr>
                <w:rFonts w:ascii="Arial" w:hAnsi="Arial" w:cs="Arial"/>
                <w:b/>
                <w:bCs/>
                <w:color w:val="000000"/>
                <w:sz w:val="18"/>
                <w:szCs w:val="18"/>
              </w:rPr>
              <w:t xml:space="preserve">2,957,359 </w:t>
            </w:r>
          </w:p>
        </w:tc>
        <w:tc>
          <w:tcPr>
            <w:tcW w:w="1206" w:type="dxa"/>
            <w:tcBorders>
              <w:top w:val="nil"/>
              <w:left w:val="nil"/>
              <w:bottom w:val="nil"/>
              <w:right w:val="nil"/>
            </w:tcBorders>
            <w:shd w:val="clear" w:color="auto" w:fill="auto"/>
            <w:noWrap/>
            <w:vAlign w:val="bottom"/>
            <w:hideMark/>
          </w:tcPr>
          <w:p w14:paraId="36CF6C3F" w14:textId="77777777" w:rsidR="000F5D1D" w:rsidRPr="00060311" w:rsidRDefault="000F5D1D" w:rsidP="006A3328">
            <w:pPr>
              <w:jc w:val="right"/>
              <w:rPr>
                <w:rFonts w:ascii="Arial" w:hAnsi="Arial" w:cs="Arial"/>
                <w:b/>
                <w:bCs/>
                <w:color w:val="000000"/>
                <w:sz w:val="18"/>
                <w:szCs w:val="18"/>
              </w:rPr>
            </w:pPr>
            <w:r w:rsidRPr="00060311">
              <w:rPr>
                <w:rFonts w:ascii="Arial" w:hAnsi="Arial" w:cs="Arial"/>
                <w:b/>
                <w:bCs/>
                <w:color w:val="000000"/>
                <w:sz w:val="18"/>
                <w:szCs w:val="18"/>
              </w:rPr>
              <w:t xml:space="preserve">3,382,742 </w:t>
            </w:r>
          </w:p>
        </w:tc>
        <w:tc>
          <w:tcPr>
            <w:tcW w:w="1206" w:type="dxa"/>
            <w:tcBorders>
              <w:top w:val="nil"/>
              <w:left w:val="nil"/>
              <w:bottom w:val="nil"/>
              <w:right w:val="nil"/>
            </w:tcBorders>
            <w:shd w:val="clear" w:color="auto" w:fill="auto"/>
            <w:noWrap/>
            <w:vAlign w:val="bottom"/>
            <w:hideMark/>
          </w:tcPr>
          <w:p w14:paraId="4E786FA6" w14:textId="77777777" w:rsidR="000F5D1D" w:rsidRPr="00060311" w:rsidRDefault="000F5D1D" w:rsidP="006A3328">
            <w:pPr>
              <w:jc w:val="right"/>
              <w:rPr>
                <w:rFonts w:ascii="Arial" w:hAnsi="Arial" w:cs="Arial"/>
                <w:b/>
                <w:bCs/>
                <w:color w:val="000000"/>
                <w:sz w:val="18"/>
                <w:szCs w:val="18"/>
              </w:rPr>
            </w:pPr>
            <w:r w:rsidRPr="00060311">
              <w:rPr>
                <w:rFonts w:ascii="Arial" w:hAnsi="Arial" w:cs="Arial"/>
                <w:b/>
                <w:bCs/>
                <w:color w:val="000000"/>
                <w:sz w:val="18"/>
                <w:szCs w:val="18"/>
              </w:rPr>
              <w:t xml:space="preserve">3,019,569 </w:t>
            </w:r>
          </w:p>
        </w:tc>
        <w:tc>
          <w:tcPr>
            <w:tcW w:w="1206" w:type="dxa"/>
            <w:tcBorders>
              <w:top w:val="nil"/>
              <w:left w:val="nil"/>
              <w:bottom w:val="nil"/>
              <w:right w:val="nil"/>
            </w:tcBorders>
            <w:shd w:val="clear" w:color="auto" w:fill="auto"/>
            <w:vAlign w:val="bottom"/>
            <w:hideMark/>
          </w:tcPr>
          <w:p w14:paraId="7D600712" w14:textId="77777777" w:rsidR="000F5D1D" w:rsidRPr="00060311" w:rsidRDefault="000F5D1D" w:rsidP="006A3328">
            <w:pPr>
              <w:jc w:val="right"/>
              <w:rPr>
                <w:rFonts w:ascii="Arial" w:hAnsi="Arial" w:cs="Arial"/>
                <w:b/>
                <w:bCs/>
                <w:color w:val="000000"/>
                <w:sz w:val="18"/>
                <w:szCs w:val="18"/>
              </w:rPr>
            </w:pPr>
            <w:r w:rsidRPr="00060311">
              <w:rPr>
                <w:rFonts w:ascii="Arial" w:hAnsi="Arial" w:cs="Arial"/>
                <w:b/>
                <w:bCs/>
                <w:color w:val="000000"/>
                <w:sz w:val="18"/>
                <w:szCs w:val="18"/>
              </w:rPr>
              <w:t xml:space="preserve">3,301,363 </w:t>
            </w:r>
          </w:p>
        </w:tc>
        <w:tc>
          <w:tcPr>
            <w:tcW w:w="1206" w:type="dxa"/>
            <w:tcBorders>
              <w:top w:val="nil"/>
              <w:left w:val="nil"/>
              <w:bottom w:val="nil"/>
              <w:right w:val="nil"/>
            </w:tcBorders>
            <w:shd w:val="clear" w:color="auto" w:fill="auto"/>
            <w:noWrap/>
            <w:vAlign w:val="bottom"/>
            <w:hideMark/>
          </w:tcPr>
          <w:p w14:paraId="67FC4096" w14:textId="77777777" w:rsidR="000F5D1D" w:rsidRPr="00060311" w:rsidRDefault="000F5D1D" w:rsidP="006A3328">
            <w:pPr>
              <w:jc w:val="right"/>
              <w:rPr>
                <w:rFonts w:ascii="Arial" w:hAnsi="Arial" w:cs="Arial"/>
                <w:b/>
                <w:bCs/>
                <w:color w:val="000000"/>
                <w:sz w:val="18"/>
                <w:szCs w:val="18"/>
              </w:rPr>
            </w:pPr>
            <w:r w:rsidRPr="00060311">
              <w:rPr>
                <w:rFonts w:ascii="Arial" w:hAnsi="Arial" w:cs="Arial"/>
                <w:b/>
                <w:bCs/>
                <w:color w:val="000000"/>
                <w:sz w:val="18"/>
                <w:szCs w:val="18"/>
              </w:rPr>
              <w:t xml:space="preserve">3,977,487 </w:t>
            </w:r>
          </w:p>
        </w:tc>
      </w:tr>
      <w:tr w:rsidR="000F5D1D" w:rsidRPr="00060311" w14:paraId="67988A50" w14:textId="77777777" w:rsidTr="000F5D1D">
        <w:trPr>
          <w:trHeight w:val="285"/>
          <w:jc w:val="center"/>
        </w:trPr>
        <w:tc>
          <w:tcPr>
            <w:tcW w:w="3330" w:type="dxa"/>
            <w:tcBorders>
              <w:top w:val="nil"/>
              <w:left w:val="nil"/>
              <w:bottom w:val="nil"/>
              <w:right w:val="nil"/>
            </w:tcBorders>
            <w:shd w:val="clear" w:color="auto" w:fill="auto"/>
            <w:vAlign w:val="bottom"/>
          </w:tcPr>
          <w:p w14:paraId="59AEE4C5" w14:textId="77777777" w:rsidR="000F5D1D" w:rsidRPr="00060311" w:rsidRDefault="000F5D1D" w:rsidP="00104BC4">
            <w:pPr>
              <w:ind w:right="-392"/>
              <w:rPr>
                <w:rFonts w:ascii="Arial" w:hAnsi="Arial" w:cs="Arial"/>
                <w:sz w:val="18"/>
                <w:szCs w:val="18"/>
              </w:rPr>
            </w:pPr>
            <w:r w:rsidRPr="00060311">
              <w:rPr>
                <w:rFonts w:ascii="Arial" w:hAnsi="Arial" w:cs="Arial"/>
                <w:sz w:val="18"/>
                <w:szCs w:val="18"/>
              </w:rPr>
              <w:t>Cost of Goods Sold</w:t>
            </w:r>
          </w:p>
        </w:tc>
        <w:tc>
          <w:tcPr>
            <w:tcW w:w="1206" w:type="dxa"/>
            <w:tcBorders>
              <w:top w:val="nil"/>
              <w:left w:val="nil"/>
              <w:bottom w:val="nil"/>
              <w:right w:val="nil"/>
            </w:tcBorders>
            <w:shd w:val="clear" w:color="auto" w:fill="auto"/>
            <w:noWrap/>
            <w:vAlign w:val="bottom"/>
            <w:hideMark/>
          </w:tcPr>
          <w:p w14:paraId="6806710A" w14:textId="2D923E80" w:rsidR="000F5D1D" w:rsidRPr="00060311" w:rsidRDefault="000F5D1D" w:rsidP="00C1248F">
            <w:pPr>
              <w:jc w:val="right"/>
              <w:rPr>
                <w:rFonts w:ascii="Arial" w:hAnsi="Arial" w:cs="Arial"/>
                <w:color w:val="000000"/>
                <w:sz w:val="18"/>
                <w:szCs w:val="18"/>
              </w:rPr>
            </w:pPr>
            <w:r>
              <w:rPr>
                <w:rFonts w:ascii="Arial" w:hAnsi="Arial" w:cs="Arial"/>
                <w:color w:val="000000"/>
                <w:sz w:val="18"/>
                <w:szCs w:val="18"/>
              </w:rPr>
              <w:t>−</w:t>
            </w:r>
            <w:r w:rsidRPr="00060311">
              <w:rPr>
                <w:rFonts w:ascii="Arial" w:hAnsi="Arial" w:cs="Arial"/>
                <w:color w:val="000000"/>
                <w:sz w:val="18"/>
                <w:szCs w:val="18"/>
              </w:rPr>
              <w:t>1,931,165</w:t>
            </w:r>
          </w:p>
        </w:tc>
        <w:tc>
          <w:tcPr>
            <w:tcW w:w="1206" w:type="dxa"/>
            <w:tcBorders>
              <w:top w:val="nil"/>
              <w:left w:val="nil"/>
              <w:bottom w:val="nil"/>
              <w:right w:val="nil"/>
            </w:tcBorders>
            <w:shd w:val="clear" w:color="auto" w:fill="auto"/>
            <w:noWrap/>
            <w:vAlign w:val="bottom"/>
            <w:hideMark/>
          </w:tcPr>
          <w:p w14:paraId="5A2B6BB7" w14:textId="372C80CC" w:rsidR="000F5D1D" w:rsidRPr="00060311" w:rsidRDefault="000F5D1D">
            <w:pPr>
              <w:jc w:val="right"/>
              <w:rPr>
                <w:rFonts w:ascii="Arial" w:hAnsi="Arial" w:cs="Arial"/>
                <w:color w:val="000000"/>
                <w:sz w:val="18"/>
                <w:szCs w:val="18"/>
              </w:rPr>
            </w:pPr>
            <w:r w:rsidRPr="008671C0">
              <w:rPr>
                <w:rFonts w:ascii="Arial" w:hAnsi="Arial" w:cs="Arial"/>
                <w:color w:val="000000"/>
                <w:sz w:val="18"/>
                <w:szCs w:val="18"/>
              </w:rPr>
              <w:t>−</w:t>
            </w:r>
            <w:r w:rsidRPr="00060311">
              <w:rPr>
                <w:rFonts w:ascii="Arial" w:hAnsi="Arial" w:cs="Arial"/>
                <w:color w:val="000000"/>
                <w:sz w:val="18"/>
                <w:szCs w:val="18"/>
              </w:rPr>
              <w:t>2,106,384</w:t>
            </w:r>
          </w:p>
        </w:tc>
        <w:tc>
          <w:tcPr>
            <w:tcW w:w="1206" w:type="dxa"/>
            <w:tcBorders>
              <w:top w:val="nil"/>
              <w:left w:val="nil"/>
              <w:bottom w:val="nil"/>
              <w:right w:val="nil"/>
            </w:tcBorders>
            <w:shd w:val="clear" w:color="auto" w:fill="auto"/>
            <w:noWrap/>
            <w:vAlign w:val="bottom"/>
            <w:hideMark/>
          </w:tcPr>
          <w:p w14:paraId="4ED03893" w14:textId="179762F8" w:rsidR="000F5D1D" w:rsidRPr="00060311" w:rsidRDefault="000F5D1D">
            <w:pPr>
              <w:jc w:val="right"/>
              <w:rPr>
                <w:rFonts w:ascii="Arial" w:hAnsi="Arial" w:cs="Arial"/>
                <w:color w:val="000000"/>
                <w:sz w:val="18"/>
                <w:szCs w:val="18"/>
              </w:rPr>
            </w:pPr>
            <w:r w:rsidRPr="008671C0">
              <w:rPr>
                <w:rFonts w:ascii="Arial" w:hAnsi="Arial" w:cs="Arial"/>
                <w:color w:val="000000"/>
                <w:sz w:val="18"/>
                <w:szCs w:val="18"/>
              </w:rPr>
              <w:t>−</w:t>
            </w:r>
            <w:r w:rsidRPr="00060311">
              <w:rPr>
                <w:rFonts w:ascii="Arial" w:hAnsi="Arial" w:cs="Arial"/>
                <w:color w:val="000000"/>
                <w:sz w:val="18"/>
                <w:szCs w:val="18"/>
              </w:rPr>
              <w:t>1,946,684</w:t>
            </w:r>
          </w:p>
        </w:tc>
        <w:tc>
          <w:tcPr>
            <w:tcW w:w="1206" w:type="dxa"/>
            <w:tcBorders>
              <w:top w:val="nil"/>
              <w:left w:val="nil"/>
              <w:bottom w:val="nil"/>
              <w:right w:val="nil"/>
            </w:tcBorders>
            <w:shd w:val="clear" w:color="auto" w:fill="auto"/>
            <w:vAlign w:val="bottom"/>
            <w:hideMark/>
          </w:tcPr>
          <w:p w14:paraId="25174B3A" w14:textId="4DFE42C6" w:rsidR="000F5D1D" w:rsidRPr="00060311" w:rsidRDefault="000F5D1D">
            <w:pPr>
              <w:jc w:val="right"/>
              <w:rPr>
                <w:rFonts w:ascii="Arial" w:hAnsi="Arial" w:cs="Arial"/>
                <w:color w:val="000000"/>
                <w:sz w:val="18"/>
                <w:szCs w:val="18"/>
              </w:rPr>
            </w:pPr>
            <w:r w:rsidRPr="008671C0">
              <w:rPr>
                <w:rFonts w:ascii="Arial" w:hAnsi="Arial" w:cs="Arial"/>
                <w:color w:val="000000"/>
                <w:sz w:val="18"/>
                <w:szCs w:val="18"/>
              </w:rPr>
              <w:t>−</w:t>
            </w:r>
            <w:r w:rsidRPr="00060311">
              <w:rPr>
                <w:rFonts w:ascii="Arial" w:hAnsi="Arial" w:cs="Arial"/>
                <w:color w:val="000000"/>
                <w:sz w:val="18"/>
                <w:szCs w:val="18"/>
              </w:rPr>
              <w:t>2,073,289</w:t>
            </w:r>
          </w:p>
        </w:tc>
        <w:tc>
          <w:tcPr>
            <w:tcW w:w="1206" w:type="dxa"/>
            <w:tcBorders>
              <w:top w:val="nil"/>
              <w:left w:val="nil"/>
              <w:bottom w:val="nil"/>
              <w:right w:val="nil"/>
            </w:tcBorders>
            <w:shd w:val="clear" w:color="auto" w:fill="auto"/>
            <w:noWrap/>
            <w:vAlign w:val="bottom"/>
            <w:hideMark/>
          </w:tcPr>
          <w:p w14:paraId="09ADB229" w14:textId="7C93A4C4" w:rsidR="000F5D1D" w:rsidRPr="00060311" w:rsidRDefault="000F5D1D">
            <w:pPr>
              <w:jc w:val="right"/>
              <w:rPr>
                <w:rFonts w:ascii="Arial" w:hAnsi="Arial" w:cs="Arial"/>
                <w:color w:val="272625"/>
                <w:sz w:val="18"/>
                <w:szCs w:val="18"/>
              </w:rPr>
            </w:pPr>
            <w:r w:rsidRPr="008671C0">
              <w:rPr>
                <w:rFonts w:ascii="Arial" w:hAnsi="Arial" w:cs="Arial"/>
                <w:color w:val="272625"/>
                <w:sz w:val="18"/>
                <w:szCs w:val="18"/>
              </w:rPr>
              <w:t>−</w:t>
            </w:r>
            <w:r w:rsidRPr="00060311">
              <w:rPr>
                <w:rFonts w:ascii="Arial" w:hAnsi="Arial" w:cs="Arial"/>
                <w:color w:val="272625"/>
                <w:sz w:val="18"/>
                <w:szCs w:val="18"/>
              </w:rPr>
              <w:t>2,891,707</w:t>
            </w:r>
          </w:p>
        </w:tc>
      </w:tr>
      <w:tr w:rsidR="000F5D1D" w:rsidRPr="00060311" w14:paraId="2D75F09D" w14:textId="77777777" w:rsidTr="000F5D1D">
        <w:trPr>
          <w:trHeight w:val="285"/>
          <w:jc w:val="center"/>
        </w:trPr>
        <w:tc>
          <w:tcPr>
            <w:tcW w:w="3330" w:type="dxa"/>
            <w:tcBorders>
              <w:top w:val="single" w:sz="4" w:space="0" w:color="auto"/>
              <w:left w:val="nil"/>
              <w:bottom w:val="nil"/>
              <w:right w:val="nil"/>
            </w:tcBorders>
            <w:shd w:val="clear" w:color="auto" w:fill="auto"/>
            <w:vAlign w:val="bottom"/>
          </w:tcPr>
          <w:p w14:paraId="61FEFA79" w14:textId="77777777" w:rsidR="000F5D1D" w:rsidRPr="00060311" w:rsidRDefault="000F5D1D" w:rsidP="006A3328">
            <w:pPr>
              <w:rPr>
                <w:rFonts w:ascii="Arial" w:hAnsi="Arial" w:cs="Arial"/>
                <w:b/>
                <w:sz w:val="18"/>
                <w:szCs w:val="18"/>
              </w:rPr>
            </w:pPr>
            <w:r w:rsidRPr="00060311">
              <w:rPr>
                <w:rFonts w:ascii="Arial" w:hAnsi="Arial" w:cs="Arial"/>
                <w:b/>
                <w:sz w:val="18"/>
                <w:szCs w:val="18"/>
              </w:rPr>
              <w:t>Gross Profit</w:t>
            </w:r>
          </w:p>
        </w:tc>
        <w:tc>
          <w:tcPr>
            <w:tcW w:w="1206" w:type="dxa"/>
            <w:tcBorders>
              <w:top w:val="single" w:sz="4" w:space="0" w:color="auto"/>
              <w:left w:val="nil"/>
              <w:bottom w:val="nil"/>
              <w:right w:val="nil"/>
            </w:tcBorders>
            <w:shd w:val="clear" w:color="auto" w:fill="auto"/>
            <w:noWrap/>
            <w:vAlign w:val="bottom"/>
            <w:hideMark/>
          </w:tcPr>
          <w:p w14:paraId="47E834F3" w14:textId="77777777" w:rsidR="000F5D1D" w:rsidRPr="00060311" w:rsidRDefault="000F5D1D" w:rsidP="006A3328">
            <w:pPr>
              <w:jc w:val="right"/>
              <w:rPr>
                <w:rFonts w:ascii="Arial" w:hAnsi="Arial" w:cs="Arial"/>
                <w:b/>
                <w:bCs/>
                <w:color w:val="000000"/>
                <w:sz w:val="18"/>
                <w:szCs w:val="18"/>
              </w:rPr>
            </w:pPr>
            <w:r w:rsidRPr="00060311">
              <w:rPr>
                <w:rFonts w:ascii="Arial" w:hAnsi="Arial" w:cs="Arial"/>
                <w:b/>
                <w:bCs/>
                <w:color w:val="000000"/>
                <w:sz w:val="18"/>
                <w:szCs w:val="18"/>
              </w:rPr>
              <w:t xml:space="preserve">1,026,194 </w:t>
            </w:r>
          </w:p>
        </w:tc>
        <w:tc>
          <w:tcPr>
            <w:tcW w:w="1206" w:type="dxa"/>
            <w:tcBorders>
              <w:top w:val="single" w:sz="4" w:space="0" w:color="auto"/>
              <w:left w:val="nil"/>
              <w:bottom w:val="nil"/>
              <w:right w:val="nil"/>
            </w:tcBorders>
            <w:shd w:val="clear" w:color="auto" w:fill="auto"/>
            <w:noWrap/>
            <w:vAlign w:val="bottom"/>
            <w:hideMark/>
          </w:tcPr>
          <w:p w14:paraId="3244245F" w14:textId="77777777" w:rsidR="000F5D1D" w:rsidRPr="00060311" w:rsidRDefault="000F5D1D" w:rsidP="006A3328">
            <w:pPr>
              <w:jc w:val="right"/>
              <w:rPr>
                <w:rFonts w:ascii="Arial" w:hAnsi="Arial" w:cs="Arial"/>
                <w:b/>
                <w:bCs/>
                <w:color w:val="000000"/>
                <w:sz w:val="18"/>
                <w:szCs w:val="18"/>
              </w:rPr>
            </w:pPr>
            <w:r w:rsidRPr="00060311">
              <w:rPr>
                <w:rFonts w:ascii="Arial" w:hAnsi="Arial" w:cs="Arial"/>
                <w:b/>
                <w:bCs/>
                <w:color w:val="000000"/>
                <w:sz w:val="18"/>
                <w:szCs w:val="18"/>
              </w:rPr>
              <w:t xml:space="preserve">1,276,358 </w:t>
            </w:r>
          </w:p>
        </w:tc>
        <w:tc>
          <w:tcPr>
            <w:tcW w:w="1206" w:type="dxa"/>
            <w:tcBorders>
              <w:top w:val="single" w:sz="4" w:space="0" w:color="auto"/>
              <w:left w:val="nil"/>
              <w:bottom w:val="nil"/>
              <w:right w:val="nil"/>
            </w:tcBorders>
            <w:shd w:val="clear" w:color="auto" w:fill="auto"/>
            <w:noWrap/>
            <w:vAlign w:val="bottom"/>
            <w:hideMark/>
          </w:tcPr>
          <w:p w14:paraId="7B341F09" w14:textId="77777777" w:rsidR="000F5D1D" w:rsidRPr="00060311" w:rsidRDefault="000F5D1D" w:rsidP="006A3328">
            <w:pPr>
              <w:jc w:val="right"/>
              <w:rPr>
                <w:rFonts w:ascii="Arial" w:hAnsi="Arial" w:cs="Arial"/>
                <w:b/>
                <w:bCs/>
                <w:color w:val="000000"/>
                <w:sz w:val="18"/>
                <w:szCs w:val="18"/>
              </w:rPr>
            </w:pPr>
            <w:r w:rsidRPr="00060311">
              <w:rPr>
                <w:rFonts w:ascii="Arial" w:hAnsi="Arial" w:cs="Arial"/>
                <w:b/>
                <w:bCs/>
                <w:color w:val="000000"/>
                <w:sz w:val="18"/>
                <w:szCs w:val="18"/>
              </w:rPr>
              <w:t xml:space="preserve">1,072,885 </w:t>
            </w:r>
          </w:p>
        </w:tc>
        <w:tc>
          <w:tcPr>
            <w:tcW w:w="1206" w:type="dxa"/>
            <w:tcBorders>
              <w:top w:val="single" w:sz="4" w:space="0" w:color="auto"/>
              <w:left w:val="nil"/>
              <w:bottom w:val="nil"/>
              <w:right w:val="nil"/>
            </w:tcBorders>
            <w:shd w:val="clear" w:color="auto" w:fill="auto"/>
            <w:noWrap/>
            <w:vAlign w:val="bottom"/>
            <w:hideMark/>
          </w:tcPr>
          <w:p w14:paraId="199783E6" w14:textId="77777777" w:rsidR="000F5D1D" w:rsidRPr="00060311" w:rsidRDefault="000F5D1D" w:rsidP="006A3328">
            <w:pPr>
              <w:jc w:val="right"/>
              <w:rPr>
                <w:rFonts w:ascii="Arial" w:hAnsi="Arial" w:cs="Arial"/>
                <w:b/>
                <w:bCs/>
                <w:color w:val="000000"/>
                <w:sz w:val="18"/>
                <w:szCs w:val="18"/>
              </w:rPr>
            </w:pPr>
            <w:r w:rsidRPr="00060311">
              <w:rPr>
                <w:rFonts w:ascii="Arial" w:hAnsi="Arial" w:cs="Arial"/>
                <w:b/>
                <w:bCs/>
                <w:color w:val="000000"/>
                <w:sz w:val="18"/>
                <w:szCs w:val="18"/>
              </w:rPr>
              <w:t xml:space="preserve">1,228,074 </w:t>
            </w:r>
          </w:p>
        </w:tc>
        <w:tc>
          <w:tcPr>
            <w:tcW w:w="1206" w:type="dxa"/>
            <w:tcBorders>
              <w:top w:val="single" w:sz="4" w:space="0" w:color="auto"/>
              <w:left w:val="nil"/>
              <w:bottom w:val="nil"/>
              <w:right w:val="nil"/>
            </w:tcBorders>
            <w:shd w:val="clear" w:color="auto" w:fill="auto"/>
            <w:noWrap/>
            <w:vAlign w:val="bottom"/>
            <w:hideMark/>
          </w:tcPr>
          <w:p w14:paraId="64ABCA1F" w14:textId="77777777" w:rsidR="000F5D1D" w:rsidRPr="00060311" w:rsidRDefault="000F5D1D" w:rsidP="006A3328">
            <w:pPr>
              <w:jc w:val="right"/>
              <w:rPr>
                <w:rFonts w:ascii="Arial" w:hAnsi="Arial" w:cs="Arial"/>
                <w:b/>
                <w:bCs/>
                <w:color w:val="000000"/>
                <w:sz w:val="18"/>
                <w:szCs w:val="18"/>
              </w:rPr>
            </w:pPr>
            <w:r w:rsidRPr="00060311">
              <w:rPr>
                <w:rFonts w:ascii="Arial" w:hAnsi="Arial" w:cs="Arial"/>
                <w:b/>
                <w:bCs/>
                <w:color w:val="000000"/>
                <w:sz w:val="18"/>
                <w:szCs w:val="18"/>
              </w:rPr>
              <w:t xml:space="preserve">1,085,780 </w:t>
            </w:r>
          </w:p>
        </w:tc>
      </w:tr>
      <w:tr w:rsidR="000F5D1D" w:rsidRPr="00060311" w14:paraId="164315EE" w14:textId="77777777" w:rsidTr="000F5D1D">
        <w:trPr>
          <w:trHeight w:val="285"/>
          <w:jc w:val="center"/>
        </w:trPr>
        <w:tc>
          <w:tcPr>
            <w:tcW w:w="3330" w:type="dxa"/>
            <w:tcBorders>
              <w:top w:val="nil"/>
              <w:left w:val="nil"/>
              <w:bottom w:val="nil"/>
              <w:right w:val="nil"/>
            </w:tcBorders>
            <w:shd w:val="clear" w:color="auto" w:fill="auto"/>
            <w:vAlign w:val="bottom"/>
          </w:tcPr>
          <w:p w14:paraId="209C7959" w14:textId="77777777" w:rsidR="000F5D1D" w:rsidRPr="00060311" w:rsidRDefault="000F5D1D" w:rsidP="006A3328">
            <w:pPr>
              <w:rPr>
                <w:rFonts w:ascii="Arial" w:hAnsi="Arial" w:cs="Arial"/>
                <w:sz w:val="18"/>
                <w:szCs w:val="18"/>
              </w:rPr>
            </w:pPr>
            <w:r w:rsidRPr="00060311">
              <w:rPr>
                <w:rFonts w:ascii="Arial" w:hAnsi="Arial" w:cs="Arial"/>
                <w:sz w:val="18"/>
                <w:szCs w:val="18"/>
              </w:rPr>
              <w:t>Other Operating Income</w:t>
            </w:r>
          </w:p>
        </w:tc>
        <w:tc>
          <w:tcPr>
            <w:tcW w:w="1206" w:type="dxa"/>
            <w:tcBorders>
              <w:top w:val="nil"/>
              <w:left w:val="nil"/>
              <w:bottom w:val="nil"/>
              <w:right w:val="nil"/>
            </w:tcBorders>
            <w:shd w:val="clear" w:color="auto" w:fill="auto"/>
            <w:noWrap/>
            <w:vAlign w:val="bottom"/>
            <w:hideMark/>
          </w:tcPr>
          <w:p w14:paraId="3C79CB15" w14:textId="77777777" w:rsidR="000F5D1D" w:rsidRPr="00060311" w:rsidRDefault="000F5D1D" w:rsidP="006A3328">
            <w:pPr>
              <w:jc w:val="right"/>
              <w:rPr>
                <w:rFonts w:ascii="Arial" w:hAnsi="Arial" w:cs="Arial"/>
                <w:color w:val="000000"/>
                <w:sz w:val="18"/>
                <w:szCs w:val="18"/>
              </w:rPr>
            </w:pPr>
            <w:r w:rsidRPr="00060311">
              <w:rPr>
                <w:rFonts w:ascii="Arial" w:hAnsi="Arial" w:cs="Arial"/>
                <w:color w:val="000000"/>
                <w:sz w:val="18"/>
                <w:szCs w:val="18"/>
              </w:rPr>
              <w:t xml:space="preserve">1,238,399 </w:t>
            </w:r>
          </w:p>
        </w:tc>
        <w:tc>
          <w:tcPr>
            <w:tcW w:w="1206" w:type="dxa"/>
            <w:tcBorders>
              <w:top w:val="nil"/>
              <w:left w:val="nil"/>
              <w:bottom w:val="nil"/>
              <w:right w:val="nil"/>
            </w:tcBorders>
            <w:shd w:val="clear" w:color="auto" w:fill="auto"/>
            <w:noWrap/>
            <w:vAlign w:val="bottom"/>
            <w:hideMark/>
          </w:tcPr>
          <w:p w14:paraId="2770B04F" w14:textId="77777777" w:rsidR="000F5D1D" w:rsidRPr="00060311" w:rsidRDefault="000F5D1D" w:rsidP="006A3328">
            <w:pPr>
              <w:jc w:val="right"/>
              <w:rPr>
                <w:rFonts w:ascii="Arial" w:hAnsi="Arial" w:cs="Arial"/>
                <w:color w:val="000000"/>
                <w:sz w:val="18"/>
                <w:szCs w:val="18"/>
              </w:rPr>
            </w:pPr>
            <w:r w:rsidRPr="00060311">
              <w:rPr>
                <w:rFonts w:ascii="Arial" w:hAnsi="Arial" w:cs="Arial"/>
                <w:color w:val="000000"/>
                <w:sz w:val="18"/>
                <w:szCs w:val="18"/>
              </w:rPr>
              <w:t xml:space="preserve">892,687 </w:t>
            </w:r>
          </w:p>
        </w:tc>
        <w:tc>
          <w:tcPr>
            <w:tcW w:w="1206" w:type="dxa"/>
            <w:tcBorders>
              <w:top w:val="nil"/>
              <w:left w:val="nil"/>
              <w:bottom w:val="nil"/>
              <w:right w:val="nil"/>
            </w:tcBorders>
            <w:shd w:val="clear" w:color="auto" w:fill="auto"/>
            <w:noWrap/>
            <w:vAlign w:val="bottom"/>
            <w:hideMark/>
          </w:tcPr>
          <w:p w14:paraId="29288BB6" w14:textId="77777777" w:rsidR="000F5D1D" w:rsidRPr="00060311" w:rsidRDefault="000F5D1D" w:rsidP="006A3328">
            <w:pPr>
              <w:jc w:val="right"/>
              <w:rPr>
                <w:rFonts w:ascii="Arial" w:hAnsi="Arial" w:cs="Arial"/>
                <w:color w:val="000000"/>
                <w:sz w:val="18"/>
                <w:szCs w:val="18"/>
              </w:rPr>
            </w:pPr>
            <w:r w:rsidRPr="00060311">
              <w:rPr>
                <w:rFonts w:ascii="Arial" w:hAnsi="Arial" w:cs="Arial"/>
                <w:color w:val="000000"/>
                <w:sz w:val="18"/>
                <w:szCs w:val="18"/>
              </w:rPr>
              <w:t xml:space="preserve">713,704 </w:t>
            </w:r>
          </w:p>
        </w:tc>
        <w:tc>
          <w:tcPr>
            <w:tcW w:w="1206" w:type="dxa"/>
            <w:tcBorders>
              <w:top w:val="nil"/>
              <w:left w:val="nil"/>
              <w:bottom w:val="nil"/>
              <w:right w:val="nil"/>
            </w:tcBorders>
            <w:shd w:val="clear" w:color="auto" w:fill="auto"/>
            <w:vAlign w:val="bottom"/>
            <w:hideMark/>
          </w:tcPr>
          <w:p w14:paraId="138483C3" w14:textId="77777777" w:rsidR="000F5D1D" w:rsidRPr="00060311" w:rsidRDefault="000F5D1D" w:rsidP="006A3328">
            <w:pPr>
              <w:jc w:val="right"/>
              <w:rPr>
                <w:rFonts w:ascii="Arial" w:hAnsi="Arial" w:cs="Arial"/>
                <w:color w:val="000000"/>
                <w:sz w:val="18"/>
                <w:szCs w:val="18"/>
              </w:rPr>
            </w:pPr>
            <w:r w:rsidRPr="00060311">
              <w:rPr>
                <w:rFonts w:ascii="Arial" w:hAnsi="Arial" w:cs="Arial"/>
                <w:color w:val="000000"/>
                <w:sz w:val="18"/>
                <w:szCs w:val="18"/>
              </w:rPr>
              <w:t xml:space="preserve">586,949 </w:t>
            </w:r>
          </w:p>
        </w:tc>
        <w:tc>
          <w:tcPr>
            <w:tcW w:w="1206" w:type="dxa"/>
            <w:tcBorders>
              <w:top w:val="nil"/>
              <w:left w:val="nil"/>
              <w:bottom w:val="nil"/>
              <w:right w:val="nil"/>
            </w:tcBorders>
            <w:shd w:val="clear" w:color="auto" w:fill="auto"/>
            <w:noWrap/>
            <w:vAlign w:val="bottom"/>
            <w:hideMark/>
          </w:tcPr>
          <w:p w14:paraId="5DBF7D9F" w14:textId="77777777" w:rsidR="000F5D1D" w:rsidRPr="00060311" w:rsidRDefault="000F5D1D" w:rsidP="006A3328">
            <w:pPr>
              <w:jc w:val="right"/>
              <w:rPr>
                <w:rFonts w:ascii="Arial" w:hAnsi="Arial" w:cs="Arial"/>
                <w:color w:val="272625"/>
                <w:sz w:val="18"/>
                <w:szCs w:val="18"/>
              </w:rPr>
            </w:pPr>
            <w:r w:rsidRPr="00060311">
              <w:rPr>
                <w:rFonts w:ascii="Arial" w:hAnsi="Arial" w:cs="Arial"/>
                <w:color w:val="272625"/>
                <w:sz w:val="18"/>
                <w:szCs w:val="18"/>
              </w:rPr>
              <w:t xml:space="preserve">381,127 </w:t>
            </w:r>
          </w:p>
        </w:tc>
      </w:tr>
      <w:tr w:rsidR="000F5D1D" w:rsidRPr="00060311" w14:paraId="2F93D72C" w14:textId="77777777" w:rsidTr="000F5D1D">
        <w:trPr>
          <w:trHeight w:val="285"/>
          <w:jc w:val="center"/>
        </w:trPr>
        <w:tc>
          <w:tcPr>
            <w:tcW w:w="3330" w:type="dxa"/>
            <w:tcBorders>
              <w:top w:val="nil"/>
              <w:left w:val="nil"/>
              <w:bottom w:val="nil"/>
              <w:right w:val="nil"/>
            </w:tcBorders>
            <w:shd w:val="clear" w:color="auto" w:fill="auto"/>
            <w:vAlign w:val="bottom"/>
          </w:tcPr>
          <w:p w14:paraId="26AD04C8" w14:textId="77777777" w:rsidR="000F5D1D" w:rsidRPr="00060311" w:rsidRDefault="000F5D1D" w:rsidP="006A3328">
            <w:pPr>
              <w:rPr>
                <w:rFonts w:ascii="Arial" w:hAnsi="Arial" w:cs="Arial"/>
                <w:sz w:val="18"/>
                <w:szCs w:val="18"/>
              </w:rPr>
            </w:pPr>
            <w:r w:rsidRPr="00060311">
              <w:rPr>
                <w:rFonts w:ascii="Arial" w:hAnsi="Arial" w:cs="Arial"/>
                <w:sz w:val="18"/>
                <w:szCs w:val="18"/>
              </w:rPr>
              <w:t>Administrative Expenses</w:t>
            </w:r>
          </w:p>
        </w:tc>
        <w:tc>
          <w:tcPr>
            <w:tcW w:w="1206" w:type="dxa"/>
            <w:tcBorders>
              <w:top w:val="nil"/>
              <w:left w:val="nil"/>
              <w:bottom w:val="nil"/>
              <w:right w:val="nil"/>
            </w:tcBorders>
            <w:shd w:val="clear" w:color="auto" w:fill="auto"/>
            <w:noWrap/>
            <w:vAlign w:val="bottom"/>
            <w:hideMark/>
          </w:tcPr>
          <w:p w14:paraId="6A642AC8" w14:textId="7080A42E" w:rsidR="000F5D1D" w:rsidRPr="00060311" w:rsidRDefault="000F5D1D" w:rsidP="00C1248F">
            <w:pPr>
              <w:jc w:val="right"/>
              <w:rPr>
                <w:rFonts w:ascii="Arial" w:hAnsi="Arial" w:cs="Arial"/>
                <w:color w:val="000000"/>
                <w:sz w:val="18"/>
                <w:szCs w:val="18"/>
              </w:rPr>
            </w:pPr>
            <w:r w:rsidRPr="008671C0">
              <w:rPr>
                <w:rFonts w:ascii="Arial" w:hAnsi="Arial" w:cs="Arial"/>
                <w:color w:val="000000"/>
                <w:sz w:val="18"/>
                <w:szCs w:val="18"/>
              </w:rPr>
              <w:t>−</w:t>
            </w:r>
            <w:r w:rsidRPr="00060311">
              <w:rPr>
                <w:rFonts w:ascii="Arial" w:hAnsi="Arial" w:cs="Arial"/>
                <w:color w:val="000000"/>
                <w:sz w:val="18"/>
                <w:szCs w:val="18"/>
              </w:rPr>
              <w:t>412,649</w:t>
            </w:r>
          </w:p>
        </w:tc>
        <w:tc>
          <w:tcPr>
            <w:tcW w:w="1206" w:type="dxa"/>
            <w:tcBorders>
              <w:top w:val="nil"/>
              <w:left w:val="nil"/>
              <w:bottom w:val="nil"/>
              <w:right w:val="nil"/>
            </w:tcBorders>
            <w:shd w:val="clear" w:color="auto" w:fill="auto"/>
            <w:noWrap/>
            <w:vAlign w:val="bottom"/>
            <w:hideMark/>
          </w:tcPr>
          <w:p w14:paraId="1FCA261B" w14:textId="0CE6B6E6" w:rsidR="000F5D1D" w:rsidRPr="00060311" w:rsidRDefault="000F5D1D">
            <w:pPr>
              <w:jc w:val="right"/>
              <w:rPr>
                <w:rFonts w:ascii="Arial" w:hAnsi="Arial" w:cs="Arial"/>
                <w:color w:val="000000"/>
                <w:sz w:val="18"/>
                <w:szCs w:val="18"/>
              </w:rPr>
            </w:pPr>
            <w:r w:rsidRPr="008671C0">
              <w:rPr>
                <w:rFonts w:ascii="Arial" w:hAnsi="Arial" w:cs="Arial"/>
                <w:color w:val="000000"/>
                <w:sz w:val="18"/>
                <w:szCs w:val="18"/>
              </w:rPr>
              <w:t>−</w:t>
            </w:r>
            <w:r w:rsidRPr="00060311">
              <w:rPr>
                <w:rFonts w:ascii="Arial" w:hAnsi="Arial" w:cs="Arial"/>
                <w:color w:val="000000"/>
                <w:sz w:val="18"/>
                <w:szCs w:val="18"/>
              </w:rPr>
              <w:t>488,279</w:t>
            </w:r>
          </w:p>
        </w:tc>
        <w:tc>
          <w:tcPr>
            <w:tcW w:w="1206" w:type="dxa"/>
            <w:tcBorders>
              <w:top w:val="nil"/>
              <w:left w:val="nil"/>
              <w:bottom w:val="nil"/>
              <w:right w:val="nil"/>
            </w:tcBorders>
            <w:shd w:val="clear" w:color="auto" w:fill="auto"/>
            <w:noWrap/>
            <w:vAlign w:val="bottom"/>
            <w:hideMark/>
          </w:tcPr>
          <w:p w14:paraId="29249F6B" w14:textId="39243FF4" w:rsidR="000F5D1D" w:rsidRPr="00060311" w:rsidRDefault="000F5D1D">
            <w:pPr>
              <w:jc w:val="right"/>
              <w:rPr>
                <w:rFonts w:ascii="Arial" w:hAnsi="Arial" w:cs="Arial"/>
                <w:color w:val="000000"/>
                <w:sz w:val="18"/>
                <w:szCs w:val="18"/>
              </w:rPr>
            </w:pPr>
            <w:r w:rsidRPr="008671C0">
              <w:rPr>
                <w:rFonts w:ascii="Arial" w:hAnsi="Arial" w:cs="Arial"/>
                <w:color w:val="000000"/>
                <w:sz w:val="18"/>
                <w:szCs w:val="18"/>
              </w:rPr>
              <w:t>−</w:t>
            </w:r>
            <w:r w:rsidRPr="00060311">
              <w:rPr>
                <w:rFonts w:ascii="Arial" w:hAnsi="Arial" w:cs="Arial"/>
                <w:color w:val="000000"/>
                <w:sz w:val="18"/>
                <w:szCs w:val="18"/>
              </w:rPr>
              <w:t>530,187</w:t>
            </w:r>
          </w:p>
        </w:tc>
        <w:tc>
          <w:tcPr>
            <w:tcW w:w="1206" w:type="dxa"/>
            <w:tcBorders>
              <w:top w:val="nil"/>
              <w:left w:val="nil"/>
              <w:bottom w:val="nil"/>
              <w:right w:val="nil"/>
            </w:tcBorders>
            <w:shd w:val="clear" w:color="auto" w:fill="auto"/>
            <w:vAlign w:val="bottom"/>
            <w:hideMark/>
          </w:tcPr>
          <w:p w14:paraId="7D049BE4" w14:textId="7051B5AD" w:rsidR="000F5D1D" w:rsidRPr="00060311" w:rsidRDefault="000F5D1D">
            <w:pPr>
              <w:jc w:val="right"/>
              <w:rPr>
                <w:rFonts w:ascii="Arial" w:hAnsi="Arial" w:cs="Arial"/>
                <w:color w:val="000000"/>
                <w:sz w:val="18"/>
                <w:szCs w:val="18"/>
              </w:rPr>
            </w:pPr>
            <w:r w:rsidRPr="008671C0">
              <w:rPr>
                <w:rFonts w:ascii="Arial" w:hAnsi="Arial" w:cs="Arial"/>
                <w:color w:val="000000"/>
                <w:sz w:val="18"/>
                <w:szCs w:val="18"/>
              </w:rPr>
              <w:t>−</w:t>
            </w:r>
            <w:r w:rsidRPr="00060311">
              <w:rPr>
                <w:rFonts w:ascii="Arial" w:hAnsi="Arial" w:cs="Arial"/>
                <w:color w:val="000000"/>
                <w:sz w:val="18"/>
                <w:szCs w:val="18"/>
              </w:rPr>
              <w:t>580,251</w:t>
            </w:r>
          </w:p>
        </w:tc>
        <w:tc>
          <w:tcPr>
            <w:tcW w:w="1206" w:type="dxa"/>
            <w:tcBorders>
              <w:top w:val="nil"/>
              <w:left w:val="nil"/>
              <w:bottom w:val="nil"/>
              <w:right w:val="nil"/>
            </w:tcBorders>
            <w:shd w:val="clear" w:color="auto" w:fill="auto"/>
            <w:noWrap/>
            <w:vAlign w:val="bottom"/>
            <w:hideMark/>
          </w:tcPr>
          <w:p w14:paraId="34DD79BB" w14:textId="4A5D3ABF" w:rsidR="000F5D1D" w:rsidRPr="00060311" w:rsidRDefault="000F5D1D">
            <w:pPr>
              <w:jc w:val="right"/>
              <w:rPr>
                <w:rFonts w:ascii="Arial" w:hAnsi="Arial" w:cs="Arial"/>
                <w:color w:val="272625"/>
                <w:sz w:val="18"/>
                <w:szCs w:val="18"/>
              </w:rPr>
            </w:pPr>
            <w:r w:rsidRPr="008671C0">
              <w:rPr>
                <w:rFonts w:ascii="Arial" w:hAnsi="Arial" w:cs="Arial"/>
                <w:color w:val="272625"/>
                <w:sz w:val="18"/>
                <w:szCs w:val="18"/>
              </w:rPr>
              <w:t>−</w:t>
            </w:r>
            <w:r w:rsidRPr="00060311">
              <w:rPr>
                <w:rFonts w:ascii="Arial" w:hAnsi="Arial" w:cs="Arial"/>
                <w:color w:val="272625"/>
                <w:sz w:val="18"/>
                <w:szCs w:val="18"/>
              </w:rPr>
              <w:t>517,627</w:t>
            </w:r>
          </w:p>
        </w:tc>
      </w:tr>
      <w:tr w:rsidR="000F5D1D" w:rsidRPr="00060311" w14:paraId="14003E5A" w14:textId="77777777" w:rsidTr="000F5D1D">
        <w:trPr>
          <w:trHeight w:val="285"/>
          <w:jc w:val="center"/>
        </w:trPr>
        <w:tc>
          <w:tcPr>
            <w:tcW w:w="3330" w:type="dxa"/>
            <w:tcBorders>
              <w:top w:val="nil"/>
              <w:left w:val="nil"/>
              <w:bottom w:val="nil"/>
              <w:right w:val="nil"/>
            </w:tcBorders>
            <w:shd w:val="clear" w:color="auto" w:fill="auto"/>
            <w:vAlign w:val="bottom"/>
          </w:tcPr>
          <w:p w14:paraId="55B27D76" w14:textId="77777777" w:rsidR="000F5D1D" w:rsidRPr="00060311" w:rsidRDefault="000F5D1D" w:rsidP="006A3328">
            <w:pPr>
              <w:rPr>
                <w:rFonts w:ascii="Arial" w:hAnsi="Arial" w:cs="Arial"/>
                <w:sz w:val="18"/>
                <w:szCs w:val="18"/>
              </w:rPr>
            </w:pPr>
            <w:r w:rsidRPr="00060311">
              <w:rPr>
                <w:rFonts w:ascii="Arial" w:hAnsi="Arial" w:cs="Arial"/>
                <w:sz w:val="18"/>
                <w:szCs w:val="18"/>
              </w:rPr>
              <w:t>Other Operating Expenses</w:t>
            </w:r>
          </w:p>
        </w:tc>
        <w:tc>
          <w:tcPr>
            <w:tcW w:w="1206" w:type="dxa"/>
            <w:tcBorders>
              <w:top w:val="nil"/>
              <w:left w:val="nil"/>
              <w:bottom w:val="nil"/>
              <w:right w:val="nil"/>
            </w:tcBorders>
            <w:shd w:val="clear" w:color="auto" w:fill="auto"/>
            <w:noWrap/>
            <w:vAlign w:val="bottom"/>
            <w:hideMark/>
          </w:tcPr>
          <w:p w14:paraId="530719F4" w14:textId="1EB39B26" w:rsidR="000F5D1D" w:rsidRPr="00060311" w:rsidRDefault="000F5D1D" w:rsidP="00C1248F">
            <w:pPr>
              <w:jc w:val="right"/>
              <w:rPr>
                <w:rFonts w:ascii="Arial" w:hAnsi="Arial" w:cs="Arial"/>
                <w:color w:val="000000"/>
                <w:sz w:val="18"/>
                <w:szCs w:val="18"/>
              </w:rPr>
            </w:pPr>
            <w:r w:rsidRPr="008671C0">
              <w:rPr>
                <w:rFonts w:ascii="Arial" w:hAnsi="Arial" w:cs="Arial"/>
                <w:color w:val="000000"/>
                <w:sz w:val="18"/>
                <w:szCs w:val="18"/>
              </w:rPr>
              <w:t>−</w:t>
            </w:r>
            <w:r w:rsidRPr="00060311">
              <w:rPr>
                <w:rFonts w:ascii="Arial" w:hAnsi="Arial" w:cs="Arial"/>
                <w:color w:val="000000"/>
                <w:sz w:val="18"/>
                <w:szCs w:val="18"/>
              </w:rPr>
              <w:t>572,121</w:t>
            </w:r>
          </w:p>
        </w:tc>
        <w:tc>
          <w:tcPr>
            <w:tcW w:w="1206" w:type="dxa"/>
            <w:tcBorders>
              <w:top w:val="nil"/>
              <w:left w:val="nil"/>
              <w:bottom w:val="nil"/>
              <w:right w:val="nil"/>
            </w:tcBorders>
            <w:shd w:val="clear" w:color="auto" w:fill="auto"/>
            <w:noWrap/>
            <w:vAlign w:val="bottom"/>
            <w:hideMark/>
          </w:tcPr>
          <w:p w14:paraId="527B9A27" w14:textId="08291DF3" w:rsidR="000F5D1D" w:rsidRPr="00060311" w:rsidRDefault="000F5D1D">
            <w:pPr>
              <w:jc w:val="right"/>
              <w:rPr>
                <w:rFonts w:ascii="Arial" w:hAnsi="Arial" w:cs="Arial"/>
                <w:color w:val="000000"/>
                <w:sz w:val="18"/>
                <w:szCs w:val="18"/>
              </w:rPr>
            </w:pPr>
            <w:r w:rsidRPr="008671C0">
              <w:rPr>
                <w:rFonts w:ascii="Arial" w:hAnsi="Arial" w:cs="Arial"/>
                <w:color w:val="000000"/>
                <w:sz w:val="18"/>
                <w:szCs w:val="18"/>
              </w:rPr>
              <w:t>−</w:t>
            </w:r>
            <w:r w:rsidRPr="00060311">
              <w:rPr>
                <w:rFonts w:ascii="Arial" w:hAnsi="Arial" w:cs="Arial"/>
                <w:color w:val="000000"/>
                <w:sz w:val="18"/>
                <w:szCs w:val="18"/>
              </w:rPr>
              <w:t>117,421</w:t>
            </w:r>
          </w:p>
        </w:tc>
        <w:tc>
          <w:tcPr>
            <w:tcW w:w="1206" w:type="dxa"/>
            <w:tcBorders>
              <w:top w:val="nil"/>
              <w:left w:val="nil"/>
              <w:bottom w:val="nil"/>
              <w:right w:val="nil"/>
            </w:tcBorders>
            <w:shd w:val="clear" w:color="auto" w:fill="auto"/>
            <w:noWrap/>
            <w:vAlign w:val="bottom"/>
            <w:hideMark/>
          </w:tcPr>
          <w:p w14:paraId="6AD5B550" w14:textId="2B1A1622" w:rsidR="000F5D1D" w:rsidRPr="00060311" w:rsidRDefault="000F5D1D">
            <w:pPr>
              <w:jc w:val="right"/>
              <w:rPr>
                <w:rFonts w:ascii="Arial" w:hAnsi="Arial" w:cs="Arial"/>
                <w:color w:val="000000"/>
                <w:sz w:val="18"/>
                <w:szCs w:val="18"/>
              </w:rPr>
            </w:pPr>
            <w:r w:rsidRPr="008671C0">
              <w:rPr>
                <w:rFonts w:ascii="Arial" w:hAnsi="Arial" w:cs="Arial"/>
                <w:color w:val="000000"/>
                <w:sz w:val="18"/>
                <w:szCs w:val="18"/>
              </w:rPr>
              <w:t>−</w:t>
            </w:r>
            <w:r w:rsidRPr="00060311">
              <w:rPr>
                <w:rFonts w:ascii="Arial" w:hAnsi="Arial" w:cs="Arial"/>
                <w:color w:val="000000"/>
                <w:sz w:val="18"/>
                <w:szCs w:val="18"/>
              </w:rPr>
              <w:t>46,459</w:t>
            </w:r>
          </w:p>
        </w:tc>
        <w:tc>
          <w:tcPr>
            <w:tcW w:w="1206" w:type="dxa"/>
            <w:tcBorders>
              <w:top w:val="nil"/>
              <w:left w:val="nil"/>
              <w:bottom w:val="nil"/>
              <w:right w:val="nil"/>
            </w:tcBorders>
            <w:shd w:val="clear" w:color="auto" w:fill="auto"/>
            <w:vAlign w:val="bottom"/>
            <w:hideMark/>
          </w:tcPr>
          <w:p w14:paraId="2399B487" w14:textId="1BD73527" w:rsidR="000F5D1D" w:rsidRPr="00060311" w:rsidRDefault="000F5D1D">
            <w:pPr>
              <w:jc w:val="right"/>
              <w:rPr>
                <w:rFonts w:ascii="Arial" w:hAnsi="Arial" w:cs="Arial"/>
                <w:color w:val="000000"/>
                <w:sz w:val="18"/>
                <w:szCs w:val="18"/>
              </w:rPr>
            </w:pPr>
            <w:r w:rsidRPr="008671C0">
              <w:rPr>
                <w:rFonts w:ascii="Arial" w:hAnsi="Arial" w:cs="Arial"/>
                <w:color w:val="000000"/>
                <w:sz w:val="18"/>
                <w:szCs w:val="18"/>
              </w:rPr>
              <w:t>−</w:t>
            </w:r>
            <w:r w:rsidRPr="00060311">
              <w:rPr>
                <w:rFonts w:ascii="Arial" w:hAnsi="Arial" w:cs="Arial"/>
                <w:color w:val="000000"/>
                <w:sz w:val="18"/>
                <w:szCs w:val="18"/>
              </w:rPr>
              <w:t>52,122</w:t>
            </w:r>
          </w:p>
        </w:tc>
        <w:tc>
          <w:tcPr>
            <w:tcW w:w="1206" w:type="dxa"/>
            <w:tcBorders>
              <w:top w:val="nil"/>
              <w:left w:val="nil"/>
              <w:bottom w:val="nil"/>
              <w:right w:val="nil"/>
            </w:tcBorders>
            <w:shd w:val="clear" w:color="auto" w:fill="auto"/>
            <w:noWrap/>
            <w:vAlign w:val="bottom"/>
            <w:hideMark/>
          </w:tcPr>
          <w:p w14:paraId="5AAF5943" w14:textId="7A7B2929" w:rsidR="000F5D1D" w:rsidRPr="00060311" w:rsidRDefault="000F5D1D">
            <w:pPr>
              <w:jc w:val="right"/>
              <w:rPr>
                <w:rFonts w:ascii="Arial" w:hAnsi="Arial" w:cs="Arial"/>
                <w:color w:val="272625"/>
                <w:sz w:val="18"/>
                <w:szCs w:val="18"/>
              </w:rPr>
            </w:pPr>
            <w:r w:rsidRPr="008671C0">
              <w:rPr>
                <w:rFonts w:ascii="Arial" w:hAnsi="Arial" w:cs="Arial"/>
                <w:color w:val="272625"/>
                <w:sz w:val="18"/>
                <w:szCs w:val="18"/>
              </w:rPr>
              <w:t>−</w:t>
            </w:r>
            <w:r w:rsidRPr="00060311">
              <w:rPr>
                <w:rFonts w:ascii="Arial" w:hAnsi="Arial" w:cs="Arial"/>
                <w:color w:val="272625"/>
                <w:sz w:val="18"/>
                <w:szCs w:val="18"/>
              </w:rPr>
              <w:t>198,637</w:t>
            </w:r>
          </w:p>
        </w:tc>
      </w:tr>
      <w:tr w:rsidR="000F5D1D" w:rsidRPr="00060311" w14:paraId="3D1651C6" w14:textId="77777777" w:rsidTr="000F5D1D">
        <w:trPr>
          <w:trHeight w:val="285"/>
          <w:jc w:val="center"/>
        </w:trPr>
        <w:tc>
          <w:tcPr>
            <w:tcW w:w="3330" w:type="dxa"/>
            <w:tcBorders>
              <w:top w:val="single" w:sz="4" w:space="0" w:color="auto"/>
              <w:left w:val="nil"/>
              <w:bottom w:val="nil"/>
              <w:right w:val="nil"/>
            </w:tcBorders>
            <w:shd w:val="clear" w:color="auto" w:fill="auto"/>
            <w:vAlign w:val="bottom"/>
          </w:tcPr>
          <w:p w14:paraId="6864C275" w14:textId="77777777" w:rsidR="000F5D1D" w:rsidRPr="00060311" w:rsidRDefault="000F5D1D" w:rsidP="006A3328">
            <w:pPr>
              <w:rPr>
                <w:rFonts w:ascii="Arial" w:hAnsi="Arial" w:cs="Arial"/>
                <w:b/>
                <w:sz w:val="18"/>
                <w:szCs w:val="18"/>
              </w:rPr>
            </w:pPr>
            <w:r w:rsidRPr="00060311">
              <w:rPr>
                <w:rFonts w:ascii="Arial" w:hAnsi="Arial" w:cs="Arial"/>
                <w:b/>
                <w:sz w:val="18"/>
                <w:szCs w:val="18"/>
              </w:rPr>
              <w:t>Profit from Operations</w:t>
            </w:r>
          </w:p>
        </w:tc>
        <w:tc>
          <w:tcPr>
            <w:tcW w:w="1206" w:type="dxa"/>
            <w:tcBorders>
              <w:top w:val="single" w:sz="4" w:space="0" w:color="auto"/>
              <w:left w:val="nil"/>
              <w:bottom w:val="nil"/>
              <w:right w:val="nil"/>
            </w:tcBorders>
            <w:shd w:val="clear" w:color="auto" w:fill="auto"/>
            <w:noWrap/>
            <w:vAlign w:val="bottom"/>
            <w:hideMark/>
          </w:tcPr>
          <w:p w14:paraId="1355E77E" w14:textId="77777777" w:rsidR="000F5D1D" w:rsidRPr="00060311" w:rsidRDefault="000F5D1D" w:rsidP="006A3328">
            <w:pPr>
              <w:jc w:val="right"/>
              <w:rPr>
                <w:rFonts w:ascii="Arial" w:hAnsi="Arial" w:cs="Arial"/>
                <w:b/>
                <w:bCs/>
                <w:color w:val="000000"/>
                <w:sz w:val="18"/>
                <w:szCs w:val="18"/>
              </w:rPr>
            </w:pPr>
            <w:r w:rsidRPr="00060311">
              <w:rPr>
                <w:rFonts w:ascii="Arial" w:hAnsi="Arial" w:cs="Arial"/>
                <w:b/>
                <w:bCs/>
                <w:color w:val="000000"/>
                <w:sz w:val="18"/>
                <w:szCs w:val="18"/>
              </w:rPr>
              <w:t xml:space="preserve">1,279,823 </w:t>
            </w:r>
          </w:p>
        </w:tc>
        <w:tc>
          <w:tcPr>
            <w:tcW w:w="1206" w:type="dxa"/>
            <w:tcBorders>
              <w:top w:val="single" w:sz="4" w:space="0" w:color="auto"/>
              <w:left w:val="nil"/>
              <w:bottom w:val="nil"/>
              <w:right w:val="nil"/>
            </w:tcBorders>
            <w:shd w:val="clear" w:color="auto" w:fill="auto"/>
            <w:noWrap/>
            <w:vAlign w:val="bottom"/>
            <w:hideMark/>
          </w:tcPr>
          <w:p w14:paraId="619E8BC9" w14:textId="77777777" w:rsidR="000F5D1D" w:rsidRPr="00060311" w:rsidRDefault="000F5D1D" w:rsidP="006A3328">
            <w:pPr>
              <w:jc w:val="right"/>
              <w:rPr>
                <w:rFonts w:ascii="Arial" w:hAnsi="Arial" w:cs="Arial"/>
                <w:b/>
                <w:bCs/>
                <w:color w:val="000000"/>
                <w:sz w:val="18"/>
                <w:szCs w:val="18"/>
              </w:rPr>
            </w:pPr>
            <w:r w:rsidRPr="00060311">
              <w:rPr>
                <w:rFonts w:ascii="Arial" w:hAnsi="Arial" w:cs="Arial"/>
                <w:b/>
                <w:bCs/>
                <w:color w:val="000000"/>
                <w:sz w:val="18"/>
                <w:szCs w:val="18"/>
              </w:rPr>
              <w:t xml:space="preserve">1,563,345 </w:t>
            </w:r>
          </w:p>
        </w:tc>
        <w:tc>
          <w:tcPr>
            <w:tcW w:w="1206" w:type="dxa"/>
            <w:tcBorders>
              <w:top w:val="single" w:sz="4" w:space="0" w:color="auto"/>
              <w:left w:val="nil"/>
              <w:bottom w:val="nil"/>
              <w:right w:val="nil"/>
            </w:tcBorders>
            <w:shd w:val="clear" w:color="auto" w:fill="auto"/>
            <w:noWrap/>
            <w:vAlign w:val="bottom"/>
            <w:hideMark/>
          </w:tcPr>
          <w:p w14:paraId="1A659502" w14:textId="77777777" w:rsidR="000F5D1D" w:rsidRPr="00060311" w:rsidRDefault="000F5D1D" w:rsidP="006A3328">
            <w:pPr>
              <w:jc w:val="right"/>
              <w:rPr>
                <w:rFonts w:ascii="Arial" w:hAnsi="Arial" w:cs="Arial"/>
                <w:b/>
                <w:bCs/>
                <w:color w:val="000000"/>
                <w:sz w:val="18"/>
                <w:szCs w:val="18"/>
              </w:rPr>
            </w:pPr>
            <w:r w:rsidRPr="00060311">
              <w:rPr>
                <w:rFonts w:ascii="Arial" w:hAnsi="Arial" w:cs="Arial"/>
                <w:b/>
                <w:bCs/>
                <w:color w:val="000000"/>
                <w:sz w:val="18"/>
                <w:szCs w:val="18"/>
              </w:rPr>
              <w:t xml:space="preserve">1,209,943 </w:t>
            </w:r>
          </w:p>
        </w:tc>
        <w:tc>
          <w:tcPr>
            <w:tcW w:w="1206" w:type="dxa"/>
            <w:tcBorders>
              <w:top w:val="single" w:sz="4" w:space="0" w:color="auto"/>
              <w:left w:val="nil"/>
              <w:bottom w:val="nil"/>
              <w:right w:val="nil"/>
            </w:tcBorders>
            <w:shd w:val="clear" w:color="auto" w:fill="auto"/>
            <w:noWrap/>
            <w:vAlign w:val="bottom"/>
            <w:hideMark/>
          </w:tcPr>
          <w:p w14:paraId="46123249" w14:textId="77777777" w:rsidR="000F5D1D" w:rsidRPr="00060311" w:rsidRDefault="000F5D1D" w:rsidP="006A3328">
            <w:pPr>
              <w:jc w:val="right"/>
              <w:rPr>
                <w:rFonts w:ascii="Arial" w:hAnsi="Arial" w:cs="Arial"/>
                <w:b/>
                <w:bCs/>
                <w:color w:val="000000"/>
                <w:sz w:val="18"/>
                <w:szCs w:val="18"/>
              </w:rPr>
            </w:pPr>
            <w:r w:rsidRPr="00060311">
              <w:rPr>
                <w:rFonts w:ascii="Arial" w:hAnsi="Arial" w:cs="Arial"/>
                <w:b/>
                <w:bCs/>
                <w:color w:val="000000"/>
                <w:sz w:val="18"/>
                <w:szCs w:val="18"/>
              </w:rPr>
              <w:t xml:space="preserve">1,182,650 </w:t>
            </w:r>
          </w:p>
        </w:tc>
        <w:tc>
          <w:tcPr>
            <w:tcW w:w="1206" w:type="dxa"/>
            <w:tcBorders>
              <w:top w:val="single" w:sz="4" w:space="0" w:color="auto"/>
              <w:left w:val="nil"/>
              <w:bottom w:val="nil"/>
              <w:right w:val="nil"/>
            </w:tcBorders>
            <w:shd w:val="clear" w:color="auto" w:fill="auto"/>
            <w:noWrap/>
            <w:vAlign w:val="bottom"/>
            <w:hideMark/>
          </w:tcPr>
          <w:p w14:paraId="431FFC14" w14:textId="77777777" w:rsidR="000F5D1D" w:rsidRPr="00060311" w:rsidRDefault="000F5D1D" w:rsidP="006A3328">
            <w:pPr>
              <w:jc w:val="right"/>
              <w:rPr>
                <w:rFonts w:ascii="Arial" w:hAnsi="Arial" w:cs="Arial"/>
                <w:b/>
                <w:bCs/>
                <w:color w:val="000000"/>
                <w:sz w:val="18"/>
                <w:szCs w:val="18"/>
              </w:rPr>
            </w:pPr>
            <w:r w:rsidRPr="00060311">
              <w:rPr>
                <w:rFonts w:ascii="Arial" w:hAnsi="Arial" w:cs="Arial"/>
                <w:b/>
                <w:bCs/>
                <w:color w:val="000000"/>
                <w:sz w:val="18"/>
                <w:szCs w:val="18"/>
              </w:rPr>
              <w:t xml:space="preserve">750,643 </w:t>
            </w:r>
          </w:p>
        </w:tc>
      </w:tr>
      <w:tr w:rsidR="000F5D1D" w:rsidRPr="00060311" w14:paraId="1C356A70" w14:textId="77777777" w:rsidTr="000F5D1D">
        <w:trPr>
          <w:trHeight w:val="285"/>
          <w:jc w:val="center"/>
        </w:trPr>
        <w:tc>
          <w:tcPr>
            <w:tcW w:w="3330" w:type="dxa"/>
            <w:tcBorders>
              <w:top w:val="nil"/>
              <w:left w:val="nil"/>
              <w:right w:val="nil"/>
            </w:tcBorders>
            <w:shd w:val="clear" w:color="auto" w:fill="auto"/>
            <w:vAlign w:val="bottom"/>
          </w:tcPr>
          <w:p w14:paraId="1C4BEFD9" w14:textId="77777777" w:rsidR="000F5D1D" w:rsidRPr="00060311" w:rsidRDefault="000F5D1D" w:rsidP="006A3328">
            <w:pPr>
              <w:rPr>
                <w:rFonts w:ascii="Arial" w:hAnsi="Arial" w:cs="Arial"/>
                <w:sz w:val="18"/>
                <w:szCs w:val="18"/>
              </w:rPr>
            </w:pPr>
            <w:r w:rsidRPr="00060311">
              <w:rPr>
                <w:rFonts w:ascii="Arial" w:hAnsi="Arial" w:cs="Arial"/>
                <w:sz w:val="18"/>
                <w:szCs w:val="18"/>
              </w:rPr>
              <w:t>Finance Costs</w:t>
            </w:r>
          </w:p>
        </w:tc>
        <w:tc>
          <w:tcPr>
            <w:tcW w:w="1206" w:type="dxa"/>
            <w:tcBorders>
              <w:top w:val="nil"/>
              <w:left w:val="nil"/>
              <w:right w:val="nil"/>
            </w:tcBorders>
            <w:shd w:val="clear" w:color="auto" w:fill="auto"/>
            <w:noWrap/>
            <w:vAlign w:val="bottom"/>
            <w:hideMark/>
          </w:tcPr>
          <w:p w14:paraId="4CF278D0" w14:textId="79136076" w:rsidR="000F5D1D" w:rsidRPr="00060311" w:rsidRDefault="000F5D1D" w:rsidP="00C1248F">
            <w:pPr>
              <w:jc w:val="right"/>
              <w:rPr>
                <w:rFonts w:ascii="Arial" w:hAnsi="Arial" w:cs="Arial"/>
                <w:color w:val="000000"/>
                <w:sz w:val="18"/>
                <w:szCs w:val="18"/>
              </w:rPr>
            </w:pPr>
            <w:r w:rsidRPr="008671C0">
              <w:rPr>
                <w:rFonts w:ascii="Arial" w:hAnsi="Arial" w:cs="Arial"/>
                <w:color w:val="000000"/>
                <w:sz w:val="18"/>
                <w:szCs w:val="18"/>
              </w:rPr>
              <w:t>−</w:t>
            </w:r>
            <w:r w:rsidRPr="00060311">
              <w:rPr>
                <w:rFonts w:ascii="Arial" w:hAnsi="Arial" w:cs="Arial"/>
                <w:color w:val="000000"/>
                <w:sz w:val="18"/>
                <w:szCs w:val="18"/>
              </w:rPr>
              <w:t>453,922</w:t>
            </w:r>
          </w:p>
        </w:tc>
        <w:tc>
          <w:tcPr>
            <w:tcW w:w="1206" w:type="dxa"/>
            <w:tcBorders>
              <w:top w:val="nil"/>
              <w:left w:val="nil"/>
              <w:right w:val="nil"/>
            </w:tcBorders>
            <w:shd w:val="clear" w:color="auto" w:fill="auto"/>
            <w:noWrap/>
            <w:vAlign w:val="bottom"/>
            <w:hideMark/>
          </w:tcPr>
          <w:p w14:paraId="0D11A98B" w14:textId="00C9DCC7" w:rsidR="000F5D1D" w:rsidRPr="00060311" w:rsidRDefault="000F5D1D">
            <w:pPr>
              <w:jc w:val="right"/>
              <w:rPr>
                <w:rFonts w:ascii="Arial" w:hAnsi="Arial" w:cs="Arial"/>
                <w:color w:val="000000"/>
                <w:sz w:val="18"/>
                <w:szCs w:val="18"/>
              </w:rPr>
            </w:pPr>
            <w:r w:rsidRPr="008671C0">
              <w:rPr>
                <w:rFonts w:ascii="Arial" w:hAnsi="Arial" w:cs="Arial"/>
                <w:color w:val="000000"/>
                <w:sz w:val="18"/>
                <w:szCs w:val="18"/>
              </w:rPr>
              <w:t>−</w:t>
            </w:r>
            <w:r w:rsidRPr="00060311">
              <w:rPr>
                <w:rFonts w:ascii="Arial" w:hAnsi="Arial" w:cs="Arial"/>
                <w:color w:val="000000"/>
                <w:sz w:val="18"/>
                <w:szCs w:val="18"/>
              </w:rPr>
              <w:t>448,183</w:t>
            </w:r>
          </w:p>
        </w:tc>
        <w:tc>
          <w:tcPr>
            <w:tcW w:w="1206" w:type="dxa"/>
            <w:tcBorders>
              <w:top w:val="nil"/>
              <w:left w:val="nil"/>
              <w:right w:val="nil"/>
            </w:tcBorders>
            <w:shd w:val="clear" w:color="auto" w:fill="auto"/>
            <w:noWrap/>
            <w:vAlign w:val="bottom"/>
            <w:hideMark/>
          </w:tcPr>
          <w:p w14:paraId="79A1F523" w14:textId="11057E1C" w:rsidR="000F5D1D" w:rsidRPr="00060311" w:rsidRDefault="000F5D1D">
            <w:pPr>
              <w:jc w:val="right"/>
              <w:rPr>
                <w:rFonts w:ascii="Arial" w:hAnsi="Arial" w:cs="Arial"/>
                <w:color w:val="000000"/>
                <w:sz w:val="18"/>
                <w:szCs w:val="18"/>
              </w:rPr>
            </w:pPr>
            <w:r w:rsidRPr="008671C0">
              <w:rPr>
                <w:rFonts w:ascii="Arial" w:hAnsi="Arial" w:cs="Arial"/>
                <w:color w:val="000000"/>
                <w:sz w:val="18"/>
                <w:szCs w:val="18"/>
              </w:rPr>
              <w:t>−</w:t>
            </w:r>
            <w:r w:rsidRPr="00060311">
              <w:rPr>
                <w:rFonts w:ascii="Arial" w:hAnsi="Arial" w:cs="Arial"/>
                <w:color w:val="000000"/>
                <w:sz w:val="18"/>
                <w:szCs w:val="18"/>
              </w:rPr>
              <w:t>472,785</w:t>
            </w:r>
          </w:p>
        </w:tc>
        <w:tc>
          <w:tcPr>
            <w:tcW w:w="1206" w:type="dxa"/>
            <w:tcBorders>
              <w:top w:val="nil"/>
              <w:left w:val="nil"/>
              <w:right w:val="nil"/>
            </w:tcBorders>
            <w:shd w:val="clear" w:color="auto" w:fill="auto"/>
            <w:vAlign w:val="bottom"/>
            <w:hideMark/>
          </w:tcPr>
          <w:p w14:paraId="55463008" w14:textId="5E4C801B" w:rsidR="000F5D1D" w:rsidRPr="00060311" w:rsidRDefault="000F5D1D">
            <w:pPr>
              <w:jc w:val="right"/>
              <w:rPr>
                <w:rFonts w:ascii="Arial" w:hAnsi="Arial" w:cs="Arial"/>
                <w:color w:val="000000"/>
                <w:sz w:val="18"/>
                <w:szCs w:val="18"/>
              </w:rPr>
            </w:pPr>
            <w:r w:rsidRPr="008671C0">
              <w:rPr>
                <w:rFonts w:ascii="Arial" w:hAnsi="Arial" w:cs="Arial"/>
                <w:color w:val="000000"/>
                <w:sz w:val="18"/>
                <w:szCs w:val="18"/>
              </w:rPr>
              <w:t>−</w:t>
            </w:r>
            <w:r w:rsidRPr="00060311">
              <w:rPr>
                <w:rFonts w:ascii="Arial" w:hAnsi="Arial" w:cs="Arial"/>
                <w:color w:val="000000"/>
                <w:sz w:val="18"/>
                <w:szCs w:val="18"/>
              </w:rPr>
              <w:t>498,953</w:t>
            </w:r>
          </w:p>
        </w:tc>
        <w:tc>
          <w:tcPr>
            <w:tcW w:w="1206" w:type="dxa"/>
            <w:tcBorders>
              <w:top w:val="nil"/>
              <w:left w:val="nil"/>
              <w:right w:val="nil"/>
            </w:tcBorders>
            <w:shd w:val="clear" w:color="auto" w:fill="auto"/>
            <w:vAlign w:val="bottom"/>
            <w:hideMark/>
          </w:tcPr>
          <w:p w14:paraId="00AD878A" w14:textId="7A0A9E1E" w:rsidR="000F5D1D" w:rsidRPr="00060311" w:rsidRDefault="000F5D1D">
            <w:pPr>
              <w:jc w:val="right"/>
              <w:rPr>
                <w:rFonts w:ascii="Arial" w:hAnsi="Arial" w:cs="Arial"/>
                <w:color w:val="272625"/>
                <w:sz w:val="18"/>
                <w:szCs w:val="18"/>
              </w:rPr>
            </w:pPr>
            <w:r w:rsidRPr="008671C0">
              <w:rPr>
                <w:rFonts w:ascii="Arial" w:hAnsi="Arial" w:cs="Arial"/>
                <w:color w:val="272625"/>
                <w:sz w:val="18"/>
                <w:szCs w:val="18"/>
              </w:rPr>
              <w:t>−</w:t>
            </w:r>
            <w:r w:rsidRPr="00060311">
              <w:rPr>
                <w:rFonts w:ascii="Arial" w:hAnsi="Arial" w:cs="Arial"/>
                <w:color w:val="272625"/>
                <w:sz w:val="18"/>
                <w:szCs w:val="18"/>
              </w:rPr>
              <w:t>444,490</w:t>
            </w:r>
          </w:p>
        </w:tc>
      </w:tr>
      <w:tr w:rsidR="000F5D1D" w:rsidRPr="00060311" w14:paraId="4BBEA086" w14:textId="77777777" w:rsidTr="000F5D1D">
        <w:trPr>
          <w:trHeight w:val="285"/>
          <w:jc w:val="center"/>
        </w:trPr>
        <w:tc>
          <w:tcPr>
            <w:tcW w:w="3330" w:type="dxa"/>
            <w:tcBorders>
              <w:left w:val="nil"/>
              <w:bottom w:val="single" w:sz="4" w:space="0" w:color="auto"/>
              <w:right w:val="nil"/>
            </w:tcBorders>
            <w:shd w:val="clear" w:color="auto" w:fill="auto"/>
            <w:vAlign w:val="bottom"/>
          </w:tcPr>
          <w:p w14:paraId="48411218" w14:textId="6C19CF23" w:rsidR="000F5D1D" w:rsidRPr="00060311" w:rsidRDefault="000F5D1D" w:rsidP="00104BC4">
            <w:pPr>
              <w:ind w:right="-392"/>
              <w:rPr>
                <w:rFonts w:ascii="Arial" w:hAnsi="Arial" w:cs="Arial"/>
                <w:sz w:val="18"/>
                <w:szCs w:val="18"/>
              </w:rPr>
            </w:pPr>
            <w:r w:rsidRPr="00060311">
              <w:rPr>
                <w:rFonts w:ascii="Arial" w:hAnsi="Arial" w:cs="Arial"/>
                <w:sz w:val="18"/>
                <w:szCs w:val="18"/>
              </w:rPr>
              <w:t>Share of Profits fr</w:t>
            </w:r>
            <w:r>
              <w:rPr>
                <w:rFonts w:ascii="Arial" w:hAnsi="Arial" w:cs="Arial"/>
                <w:sz w:val="18"/>
                <w:szCs w:val="18"/>
              </w:rPr>
              <w:t>om</w:t>
            </w:r>
            <w:r w:rsidRPr="00060311">
              <w:rPr>
                <w:rFonts w:ascii="Arial" w:hAnsi="Arial" w:cs="Arial"/>
                <w:sz w:val="18"/>
                <w:szCs w:val="18"/>
              </w:rPr>
              <w:t xml:space="preserve"> </w:t>
            </w:r>
            <w:r>
              <w:rPr>
                <w:rFonts w:ascii="Arial" w:hAnsi="Arial" w:cs="Arial"/>
                <w:sz w:val="18"/>
                <w:szCs w:val="18"/>
              </w:rPr>
              <w:t>A</w:t>
            </w:r>
            <w:r w:rsidRPr="00060311">
              <w:rPr>
                <w:rFonts w:ascii="Arial" w:hAnsi="Arial" w:cs="Arial"/>
                <w:sz w:val="18"/>
                <w:szCs w:val="18"/>
              </w:rPr>
              <w:t>ssociates and JV</w:t>
            </w:r>
          </w:p>
        </w:tc>
        <w:tc>
          <w:tcPr>
            <w:tcW w:w="1206" w:type="dxa"/>
            <w:tcBorders>
              <w:left w:val="nil"/>
              <w:bottom w:val="single" w:sz="4" w:space="0" w:color="auto"/>
              <w:right w:val="nil"/>
            </w:tcBorders>
            <w:shd w:val="clear" w:color="auto" w:fill="auto"/>
            <w:noWrap/>
            <w:vAlign w:val="bottom"/>
            <w:hideMark/>
          </w:tcPr>
          <w:p w14:paraId="16BA60E1" w14:textId="77777777" w:rsidR="000F5D1D" w:rsidRPr="00060311" w:rsidRDefault="000F5D1D" w:rsidP="006A3328">
            <w:pPr>
              <w:jc w:val="right"/>
              <w:rPr>
                <w:rFonts w:ascii="Arial" w:hAnsi="Arial" w:cs="Arial"/>
                <w:color w:val="000000"/>
                <w:sz w:val="18"/>
                <w:szCs w:val="18"/>
              </w:rPr>
            </w:pPr>
            <w:r w:rsidRPr="00060311">
              <w:rPr>
                <w:rFonts w:ascii="Arial" w:hAnsi="Arial" w:cs="Arial"/>
                <w:color w:val="000000"/>
                <w:sz w:val="18"/>
                <w:szCs w:val="18"/>
              </w:rPr>
              <w:t xml:space="preserve">269,195 </w:t>
            </w:r>
          </w:p>
        </w:tc>
        <w:tc>
          <w:tcPr>
            <w:tcW w:w="1206" w:type="dxa"/>
            <w:tcBorders>
              <w:left w:val="nil"/>
              <w:bottom w:val="single" w:sz="4" w:space="0" w:color="auto"/>
              <w:right w:val="nil"/>
            </w:tcBorders>
            <w:shd w:val="clear" w:color="auto" w:fill="auto"/>
            <w:noWrap/>
            <w:vAlign w:val="bottom"/>
            <w:hideMark/>
          </w:tcPr>
          <w:p w14:paraId="072366A4" w14:textId="77777777" w:rsidR="000F5D1D" w:rsidRPr="00060311" w:rsidRDefault="000F5D1D" w:rsidP="006A3328">
            <w:pPr>
              <w:jc w:val="right"/>
              <w:rPr>
                <w:rFonts w:ascii="Arial" w:hAnsi="Arial" w:cs="Arial"/>
                <w:color w:val="000000"/>
                <w:sz w:val="18"/>
                <w:szCs w:val="18"/>
              </w:rPr>
            </w:pPr>
            <w:r w:rsidRPr="00060311">
              <w:rPr>
                <w:rFonts w:ascii="Arial" w:hAnsi="Arial" w:cs="Arial"/>
                <w:color w:val="000000"/>
                <w:sz w:val="18"/>
                <w:szCs w:val="18"/>
              </w:rPr>
              <w:t xml:space="preserve">820,852 </w:t>
            </w:r>
          </w:p>
        </w:tc>
        <w:tc>
          <w:tcPr>
            <w:tcW w:w="1206" w:type="dxa"/>
            <w:tcBorders>
              <w:left w:val="nil"/>
              <w:bottom w:val="single" w:sz="4" w:space="0" w:color="auto"/>
              <w:right w:val="nil"/>
            </w:tcBorders>
            <w:shd w:val="clear" w:color="auto" w:fill="auto"/>
            <w:noWrap/>
            <w:vAlign w:val="bottom"/>
            <w:hideMark/>
          </w:tcPr>
          <w:p w14:paraId="74255F51" w14:textId="77777777" w:rsidR="000F5D1D" w:rsidRPr="00060311" w:rsidRDefault="000F5D1D" w:rsidP="006A3328">
            <w:pPr>
              <w:jc w:val="right"/>
              <w:rPr>
                <w:rFonts w:ascii="Arial" w:hAnsi="Arial" w:cs="Arial"/>
                <w:color w:val="000000"/>
                <w:sz w:val="18"/>
                <w:szCs w:val="18"/>
              </w:rPr>
            </w:pPr>
            <w:r w:rsidRPr="00060311">
              <w:rPr>
                <w:rFonts w:ascii="Arial" w:hAnsi="Arial" w:cs="Arial"/>
                <w:color w:val="000000"/>
                <w:sz w:val="18"/>
                <w:szCs w:val="18"/>
              </w:rPr>
              <w:t xml:space="preserve">876,646 </w:t>
            </w:r>
          </w:p>
        </w:tc>
        <w:tc>
          <w:tcPr>
            <w:tcW w:w="1206" w:type="dxa"/>
            <w:tcBorders>
              <w:left w:val="nil"/>
              <w:bottom w:val="single" w:sz="4" w:space="0" w:color="auto"/>
              <w:right w:val="nil"/>
            </w:tcBorders>
            <w:shd w:val="clear" w:color="auto" w:fill="auto"/>
            <w:vAlign w:val="bottom"/>
            <w:hideMark/>
          </w:tcPr>
          <w:p w14:paraId="58C69A0A" w14:textId="77777777" w:rsidR="000F5D1D" w:rsidRPr="00060311" w:rsidRDefault="000F5D1D" w:rsidP="006A3328">
            <w:pPr>
              <w:jc w:val="right"/>
              <w:rPr>
                <w:rFonts w:ascii="Arial" w:hAnsi="Arial" w:cs="Arial"/>
                <w:color w:val="000000"/>
                <w:sz w:val="18"/>
                <w:szCs w:val="18"/>
              </w:rPr>
            </w:pPr>
            <w:r w:rsidRPr="00060311">
              <w:rPr>
                <w:rFonts w:ascii="Arial" w:hAnsi="Arial" w:cs="Arial"/>
                <w:color w:val="000000"/>
                <w:sz w:val="18"/>
                <w:szCs w:val="18"/>
              </w:rPr>
              <w:t xml:space="preserve">834,781 </w:t>
            </w:r>
          </w:p>
        </w:tc>
        <w:tc>
          <w:tcPr>
            <w:tcW w:w="1206" w:type="dxa"/>
            <w:tcBorders>
              <w:left w:val="nil"/>
              <w:bottom w:val="single" w:sz="4" w:space="0" w:color="auto"/>
              <w:right w:val="nil"/>
            </w:tcBorders>
            <w:shd w:val="clear" w:color="auto" w:fill="auto"/>
            <w:vAlign w:val="bottom"/>
            <w:hideMark/>
          </w:tcPr>
          <w:p w14:paraId="561055F6" w14:textId="77777777" w:rsidR="000F5D1D" w:rsidRPr="00060311" w:rsidRDefault="000F5D1D" w:rsidP="006A3328">
            <w:pPr>
              <w:jc w:val="right"/>
              <w:rPr>
                <w:rFonts w:ascii="Arial" w:hAnsi="Arial" w:cs="Arial"/>
                <w:color w:val="272625"/>
                <w:sz w:val="18"/>
                <w:szCs w:val="18"/>
              </w:rPr>
            </w:pPr>
            <w:r w:rsidRPr="00060311">
              <w:rPr>
                <w:rFonts w:ascii="Arial" w:hAnsi="Arial" w:cs="Arial"/>
                <w:color w:val="272625"/>
                <w:sz w:val="18"/>
                <w:szCs w:val="18"/>
              </w:rPr>
              <w:t xml:space="preserve">1,047,368 </w:t>
            </w:r>
          </w:p>
        </w:tc>
      </w:tr>
      <w:tr w:rsidR="000F5D1D" w:rsidRPr="00060311" w14:paraId="4DAAB0AF" w14:textId="77777777" w:rsidTr="000F5D1D">
        <w:trPr>
          <w:trHeight w:val="285"/>
          <w:jc w:val="center"/>
        </w:trPr>
        <w:tc>
          <w:tcPr>
            <w:tcW w:w="3330" w:type="dxa"/>
            <w:tcBorders>
              <w:top w:val="nil"/>
              <w:left w:val="nil"/>
              <w:bottom w:val="nil"/>
              <w:right w:val="nil"/>
            </w:tcBorders>
            <w:shd w:val="clear" w:color="auto" w:fill="auto"/>
            <w:vAlign w:val="bottom"/>
          </w:tcPr>
          <w:p w14:paraId="6B210C91" w14:textId="0460CD0E" w:rsidR="000F5D1D" w:rsidRPr="00060311" w:rsidRDefault="000F5D1D" w:rsidP="00C1248F">
            <w:pPr>
              <w:rPr>
                <w:rFonts w:ascii="Arial" w:hAnsi="Arial" w:cs="Arial"/>
                <w:b/>
                <w:sz w:val="18"/>
                <w:szCs w:val="18"/>
              </w:rPr>
            </w:pPr>
            <w:r w:rsidRPr="00060311">
              <w:rPr>
                <w:rFonts w:ascii="Arial" w:hAnsi="Arial" w:cs="Arial"/>
                <w:b/>
                <w:sz w:val="18"/>
                <w:szCs w:val="18"/>
              </w:rPr>
              <w:t xml:space="preserve">Profit before </w:t>
            </w:r>
            <w:r>
              <w:rPr>
                <w:rFonts w:ascii="Arial" w:hAnsi="Arial" w:cs="Arial"/>
                <w:b/>
                <w:sz w:val="18"/>
                <w:szCs w:val="18"/>
              </w:rPr>
              <w:t>T</w:t>
            </w:r>
            <w:r w:rsidRPr="00060311">
              <w:rPr>
                <w:rFonts w:ascii="Arial" w:hAnsi="Arial" w:cs="Arial"/>
                <w:b/>
                <w:sz w:val="18"/>
                <w:szCs w:val="18"/>
              </w:rPr>
              <w:t>ax</w:t>
            </w:r>
          </w:p>
        </w:tc>
        <w:tc>
          <w:tcPr>
            <w:tcW w:w="1206" w:type="dxa"/>
            <w:tcBorders>
              <w:top w:val="nil"/>
              <w:left w:val="nil"/>
              <w:bottom w:val="nil"/>
              <w:right w:val="nil"/>
            </w:tcBorders>
            <w:shd w:val="clear" w:color="auto" w:fill="auto"/>
            <w:noWrap/>
            <w:vAlign w:val="bottom"/>
            <w:hideMark/>
          </w:tcPr>
          <w:p w14:paraId="15956325" w14:textId="77777777" w:rsidR="000F5D1D" w:rsidRPr="00060311" w:rsidRDefault="000F5D1D" w:rsidP="006A3328">
            <w:pPr>
              <w:jc w:val="right"/>
              <w:rPr>
                <w:rFonts w:ascii="Arial" w:hAnsi="Arial" w:cs="Arial"/>
                <w:b/>
                <w:bCs/>
                <w:color w:val="000000"/>
                <w:sz w:val="18"/>
                <w:szCs w:val="18"/>
              </w:rPr>
            </w:pPr>
            <w:r w:rsidRPr="00060311">
              <w:rPr>
                <w:rFonts w:ascii="Arial" w:hAnsi="Arial" w:cs="Arial"/>
                <w:b/>
                <w:bCs/>
                <w:color w:val="000000"/>
                <w:sz w:val="18"/>
                <w:szCs w:val="18"/>
              </w:rPr>
              <w:t xml:space="preserve">1,095,096 </w:t>
            </w:r>
          </w:p>
        </w:tc>
        <w:tc>
          <w:tcPr>
            <w:tcW w:w="1206" w:type="dxa"/>
            <w:tcBorders>
              <w:top w:val="nil"/>
              <w:left w:val="nil"/>
              <w:bottom w:val="nil"/>
              <w:right w:val="nil"/>
            </w:tcBorders>
            <w:shd w:val="clear" w:color="auto" w:fill="auto"/>
            <w:noWrap/>
            <w:vAlign w:val="bottom"/>
            <w:hideMark/>
          </w:tcPr>
          <w:p w14:paraId="1F094701" w14:textId="77777777" w:rsidR="000F5D1D" w:rsidRPr="00060311" w:rsidRDefault="000F5D1D" w:rsidP="006A3328">
            <w:pPr>
              <w:jc w:val="right"/>
              <w:rPr>
                <w:rFonts w:ascii="Arial" w:hAnsi="Arial" w:cs="Arial"/>
                <w:b/>
                <w:bCs/>
                <w:color w:val="000000"/>
                <w:sz w:val="18"/>
                <w:szCs w:val="18"/>
              </w:rPr>
            </w:pPr>
            <w:r w:rsidRPr="00060311">
              <w:rPr>
                <w:rFonts w:ascii="Arial" w:hAnsi="Arial" w:cs="Arial"/>
                <w:b/>
                <w:bCs/>
                <w:color w:val="000000"/>
                <w:sz w:val="18"/>
                <w:szCs w:val="18"/>
              </w:rPr>
              <w:t xml:space="preserve">1,936,014 </w:t>
            </w:r>
          </w:p>
        </w:tc>
        <w:tc>
          <w:tcPr>
            <w:tcW w:w="1206" w:type="dxa"/>
            <w:tcBorders>
              <w:top w:val="nil"/>
              <w:left w:val="nil"/>
              <w:bottom w:val="nil"/>
              <w:right w:val="nil"/>
            </w:tcBorders>
            <w:shd w:val="clear" w:color="auto" w:fill="auto"/>
            <w:noWrap/>
            <w:vAlign w:val="bottom"/>
            <w:hideMark/>
          </w:tcPr>
          <w:p w14:paraId="41F5AC8F" w14:textId="77777777" w:rsidR="000F5D1D" w:rsidRPr="00060311" w:rsidRDefault="000F5D1D" w:rsidP="006A3328">
            <w:pPr>
              <w:jc w:val="right"/>
              <w:rPr>
                <w:rFonts w:ascii="Arial" w:hAnsi="Arial" w:cs="Arial"/>
                <w:b/>
                <w:bCs/>
                <w:color w:val="000000"/>
                <w:sz w:val="18"/>
                <w:szCs w:val="18"/>
              </w:rPr>
            </w:pPr>
            <w:r w:rsidRPr="00060311">
              <w:rPr>
                <w:rFonts w:ascii="Arial" w:hAnsi="Arial" w:cs="Arial"/>
                <w:b/>
                <w:bCs/>
                <w:color w:val="000000"/>
                <w:sz w:val="18"/>
                <w:szCs w:val="18"/>
              </w:rPr>
              <w:t xml:space="preserve">1,613,804 </w:t>
            </w:r>
          </w:p>
        </w:tc>
        <w:tc>
          <w:tcPr>
            <w:tcW w:w="1206" w:type="dxa"/>
            <w:tcBorders>
              <w:top w:val="nil"/>
              <w:left w:val="nil"/>
              <w:bottom w:val="nil"/>
              <w:right w:val="nil"/>
            </w:tcBorders>
            <w:shd w:val="clear" w:color="auto" w:fill="auto"/>
            <w:noWrap/>
            <w:vAlign w:val="bottom"/>
            <w:hideMark/>
          </w:tcPr>
          <w:p w14:paraId="08E9B076" w14:textId="77777777" w:rsidR="000F5D1D" w:rsidRPr="00060311" w:rsidRDefault="000F5D1D" w:rsidP="006A3328">
            <w:pPr>
              <w:jc w:val="right"/>
              <w:rPr>
                <w:rFonts w:ascii="Arial" w:hAnsi="Arial" w:cs="Arial"/>
                <w:b/>
                <w:bCs/>
                <w:color w:val="000000"/>
                <w:sz w:val="18"/>
                <w:szCs w:val="18"/>
              </w:rPr>
            </w:pPr>
            <w:r w:rsidRPr="00060311">
              <w:rPr>
                <w:rFonts w:ascii="Arial" w:hAnsi="Arial" w:cs="Arial"/>
                <w:b/>
                <w:bCs/>
                <w:color w:val="000000"/>
                <w:sz w:val="18"/>
                <w:szCs w:val="18"/>
              </w:rPr>
              <w:t xml:space="preserve">1,518,478 </w:t>
            </w:r>
          </w:p>
        </w:tc>
        <w:tc>
          <w:tcPr>
            <w:tcW w:w="1206" w:type="dxa"/>
            <w:tcBorders>
              <w:top w:val="nil"/>
              <w:left w:val="nil"/>
              <w:bottom w:val="nil"/>
              <w:right w:val="nil"/>
            </w:tcBorders>
            <w:shd w:val="clear" w:color="auto" w:fill="auto"/>
            <w:noWrap/>
            <w:vAlign w:val="bottom"/>
            <w:hideMark/>
          </w:tcPr>
          <w:p w14:paraId="08234F6D" w14:textId="77777777" w:rsidR="000F5D1D" w:rsidRPr="00060311" w:rsidRDefault="000F5D1D" w:rsidP="006A3328">
            <w:pPr>
              <w:jc w:val="right"/>
              <w:rPr>
                <w:rFonts w:ascii="Arial" w:hAnsi="Arial" w:cs="Arial"/>
                <w:b/>
                <w:bCs/>
                <w:color w:val="000000"/>
                <w:sz w:val="18"/>
                <w:szCs w:val="18"/>
              </w:rPr>
            </w:pPr>
            <w:r w:rsidRPr="00060311">
              <w:rPr>
                <w:rFonts w:ascii="Arial" w:hAnsi="Arial" w:cs="Arial"/>
                <w:b/>
                <w:bCs/>
                <w:color w:val="000000"/>
                <w:sz w:val="18"/>
                <w:szCs w:val="18"/>
              </w:rPr>
              <w:t xml:space="preserve">1,353,521 </w:t>
            </w:r>
          </w:p>
        </w:tc>
      </w:tr>
      <w:tr w:rsidR="000F5D1D" w:rsidRPr="00060311" w14:paraId="0D8DA31B" w14:textId="77777777" w:rsidTr="000F5D1D">
        <w:trPr>
          <w:trHeight w:val="285"/>
          <w:jc w:val="center"/>
        </w:trPr>
        <w:tc>
          <w:tcPr>
            <w:tcW w:w="3330" w:type="dxa"/>
            <w:tcBorders>
              <w:top w:val="nil"/>
              <w:left w:val="nil"/>
              <w:bottom w:val="nil"/>
              <w:right w:val="nil"/>
            </w:tcBorders>
            <w:shd w:val="clear" w:color="auto" w:fill="auto"/>
            <w:vAlign w:val="bottom"/>
          </w:tcPr>
          <w:p w14:paraId="28490A3C" w14:textId="10A731C9" w:rsidR="000F5D1D" w:rsidRPr="00060311" w:rsidRDefault="000F5D1D" w:rsidP="00C1248F">
            <w:pPr>
              <w:rPr>
                <w:rFonts w:ascii="Arial" w:hAnsi="Arial" w:cs="Arial"/>
                <w:sz w:val="18"/>
                <w:szCs w:val="18"/>
              </w:rPr>
            </w:pPr>
            <w:r w:rsidRPr="00060311">
              <w:rPr>
                <w:rFonts w:ascii="Arial" w:hAnsi="Arial" w:cs="Arial"/>
                <w:sz w:val="18"/>
                <w:szCs w:val="18"/>
              </w:rPr>
              <w:t xml:space="preserve">Tax </w:t>
            </w:r>
            <w:r>
              <w:rPr>
                <w:rFonts w:ascii="Arial" w:hAnsi="Arial" w:cs="Arial"/>
                <w:sz w:val="18"/>
                <w:szCs w:val="18"/>
              </w:rPr>
              <w:t>E</w:t>
            </w:r>
            <w:r w:rsidRPr="00060311">
              <w:rPr>
                <w:rFonts w:ascii="Arial" w:hAnsi="Arial" w:cs="Arial"/>
                <w:sz w:val="18"/>
                <w:szCs w:val="18"/>
              </w:rPr>
              <w:t>xpense</w:t>
            </w:r>
          </w:p>
        </w:tc>
        <w:tc>
          <w:tcPr>
            <w:tcW w:w="1206" w:type="dxa"/>
            <w:tcBorders>
              <w:top w:val="nil"/>
              <w:left w:val="nil"/>
              <w:bottom w:val="nil"/>
              <w:right w:val="nil"/>
            </w:tcBorders>
            <w:shd w:val="clear" w:color="auto" w:fill="auto"/>
            <w:noWrap/>
            <w:vAlign w:val="bottom"/>
            <w:hideMark/>
          </w:tcPr>
          <w:p w14:paraId="2FCB2127" w14:textId="655847CD" w:rsidR="000F5D1D" w:rsidRPr="00060311" w:rsidRDefault="000F5D1D" w:rsidP="00C1248F">
            <w:pPr>
              <w:jc w:val="right"/>
              <w:rPr>
                <w:rFonts w:ascii="Arial" w:hAnsi="Arial" w:cs="Arial"/>
                <w:color w:val="000000"/>
                <w:sz w:val="18"/>
                <w:szCs w:val="18"/>
              </w:rPr>
            </w:pPr>
            <w:r w:rsidRPr="008671C0">
              <w:rPr>
                <w:rFonts w:ascii="Arial" w:hAnsi="Arial" w:cs="Arial"/>
                <w:color w:val="000000"/>
                <w:sz w:val="18"/>
                <w:szCs w:val="18"/>
              </w:rPr>
              <w:t>−</w:t>
            </w:r>
            <w:r w:rsidRPr="00060311">
              <w:rPr>
                <w:rFonts w:ascii="Arial" w:hAnsi="Arial" w:cs="Arial"/>
                <w:color w:val="000000"/>
                <w:sz w:val="18"/>
                <w:szCs w:val="18"/>
              </w:rPr>
              <w:t>86,462</w:t>
            </w:r>
          </w:p>
        </w:tc>
        <w:tc>
          <w:tcPr>
            <w:tcW w:w="1206" w:type="dxa"/>
            <w:tcBorders>
              <w:top w:val="nil"/>
              <w:left w:val="nil"/>
              <w:bottom w:val="nil"/>
              <w:right w:val="nil"/>
            </w:tcBorders>
            <w:shd w:val="clear" w:color="auto" w:fill="auto"/>
            <w:noWrap/>
            <w:vAlign w:val="bottom"/>
            <w:hideMark/>
          </w:tcPr>
          <w:p w14:paraId="1EC39F20" w14:textId="2A05CFB8" w:rsidR="000F5D1D" w:rsidRPr="00060311" w:rsidRDefault="000F5D1D">
            <w:pPr>
              <w:jc w:val="right"/>
              <w:rPr>
                <w:rFonts w:ascii="Arial" w:hAnsi="Arial" w:cs="Arial"/>
                <w:color w:val="000000"/>
                <w:sz w:val="18"/>
                <w:szCs w:val="18"/>
              </w:rPr>
            </w:pPr>
            <w:r w:rsidRPr="008671C0">
              <w:rPr>
                <w:rFonts w:ascii="Arial" w:hAnsi="Arial" w:cs="Arial"/>
                <w:color w:val="000000"/>
                <w:sz w:val="18"/>
                <w:szCs w:val="18"/>
              </w:rPr>
              <w:t>−</w:t>
            </w:r>
            <w:r w:rsidRPr="00060311">
              <w:rPr>
                <w:rFonts w:ascii="Arial" w:hAnsi="Arial" w:cs="Arial"/>
                <w:color w:val="000000"/>
                <w:sz w:val="18"/>
                <w:szCs w:val="18"/>
              </w:rPr>
              <w:t>265,907</w:t>
            </w:r>
          </w:p>
        </w:tc>
        <w:tc>
          <w:tcPr>
            <w:tcW w:w="1206" w:type="dxa"/>
            <w:tcBorders>
              <w:top w:val="nil"/>
              <w:left w:val="nil"/>
              <w:bottom w:val="nil"/>
              <w:right w:val="nil"/>
            </w:tcBorders>
            <w:shd w:val="clear" w:color="auto" w:fill="auto"/>
            <w:noWrap/>
            <w:vAlign w:val="bottom"/>
            <w:hideMark/>
          </w:tcPr>
          <w:p w14:paraId="51BC4CD1" w14:textId="2E63FABC" w:rsidR="000F5D1D" w:rsidRPr="00060311" w:rsidRDefault="000F5D1D">
            <w:pPr>
              <w:jc w:val="right"/>
              <w:rPr>
                <w:rFonts w:ascii="Arial" w:hAnsi="Arial" w:cs="Arial"/>
                <w:color w:val="000000"/>
                <w:sz w:val="18"/>
                <w:szCs w:val="18"/>
              </w:rPr>
            </w:pPr>
            <w:r w:rsidRPr="008671C0">
              <w:rPr>
                <w:rFonts w:ascii="Arial" w:hAnsi="Arial" w:cs="Arial"/>
                <w:color w:val="000000"/>
                <w:sz w:val="18"/>
                <w:szCs w:val="18"/>
              </w:rPr>
              <w:t>−</w:t>
            </w:r>
            <w:r w:rsidRPr="00060311">
              <w:rPr>
                <w:rFonts w:ascii="Arial" w:hAnsi="Arial" w:cs="Arial"/>
                <w:color w:val="000000"/>
                <w:sz w:val="18"/>
                <w:szCs w:val="18"/>
              </w:rPr>
              <w:t>190,884</w:t>
            </w:r>
          </w:p>
        </w:tc>
        <w:tc>
          <w:tcPr>
            <w:tcW w:w="1206" w:type="dxa"/>
            <w:tcBorders>
              <w:top w:val="nil"/>
              <w:left w:val="nil"/>
              <w:bottom w:val="nil"/>
              <w:right w:val="nil"/>
            </w:tcBorders>
            <w:shd w:val="clear" w:color="auto" w:fill="auto"/>
            <w:vAlign w:val="bottom"/>
            <w:hideMark/>
          </w:tcPr>
          <w:p w14:paraId="3FDBBEA0" w14:textId="51984C44" w:rsidR="000F5D1D" w:rsidRPr="00060311" w:rsidRDefault="000F5D1D">
            <w:pPr>
              <w:jc w:val="right"/>
              <w:rPr>
                <w:rFonts w:ascii="Arial" w:hAnsi="Arial" w:cs="Arial"/>
                <w:color w:val="000000"/>
                <w:sz w:val="18"/>
                <w:szCs w:val="18"/>
              </w:rPr>
            </w:pPr>
            <w:r w:rsidRPr="008671C0">
              <w:rPr>
                <w:rFonts w:ascii="Arial" w:hAnsi="Arial" w:cs="Arial"/>
                <w:color w:val="000000"/>
                <w:sz w:val="18"/>
                <w:szCs w:val="18"/>
              </w:rPr>
              <w:t>−</w:t>
            </w:r>
            <w:r w:rsidRPr="00060311">
              <w:rPr>
                <w:rFonts w:ascii="Arial" w:hAnsi="Arial" w:cs="Arial"/>
                <w:color w:val="000000"/>
                <w:sz w:val="18"/>
                <w:szCs w:val="18"/>
              </w:rPr>
              <w:t>201,907</w:t>
            </w:r>
          </w:p>
        </w:tc>
        <w:tc>
          <w:tcPr>
            <w:tcW w:w="1206" w:type="dxa"/>
            <w:tcBorders>
              <w:top w:val="nil"/>
              <w:left w:val="nil"/>
              <w:bottom w:val="nil"/>
              <w:right w:val="nil"/>
            </w:tcBorders>
            <w:shd w:val="clear" w:color="auto" w:fill="auto"/>
            <w:vAlign w:val="bottom"/>
            <w:hideMark/>
          </w:tcPr>
          <w:p w14:paraId="6C2CCBA6" w14:textId="13E26634" w:rsidR="000F5D1D" w:rsidRPr="00060311" w:rsidRDefault="000F5D1D">
            <w:pPr>
              <w:jc w:val="right"/>
              <w:rPr>
                <w:rFonts w:ascii="Arial" w:hAnsi="Arial" w:cs="Arial"/>
                <w:color w:val="272625"/>
                <w:sz w:val="18"/>
                <w:szCs w:val="18"/>
              </w:rPr>
            </w:pPr>
            <w:r w:rsidRPr="008671C0">
              <w:rPr>
                <w:rFonts w:ascii="Arial" w:hAnsi="Arial" w:cs="Arial"/>
                <w:color w:val="272625"/>
                <w:sz w:val="18"/>
                <w:szCs w:val="18"/>
              </w:rPr>
              <w:t>−</w:t>
            </w:r>
            <w:r w:rsidRPr="00060311">
              <w:rPr>
                <w:rFonts w:ascii="Arial" w:hAnsi="Arial" w:cs="Arial"/>
                <w:color w:val="272625"/>
                <w:sz w:val="18"/>
                <w:szCs w:val="18"/>
              </w:rPr>
              <w:t>168,908</w:t>
            </w:r>
          </w:p>
        </w:tc>
      </w:tr>
      <w:tr w:rsidR="000F5D1D" w:rsidRPr="00060311" w14:paraId="01644825" w14:textId="77777777" w:rsidTr="000F5D1D">
        <w:trPr>
          <w:trHeight w:val="285"/>
          <w:jc w:val="center"/>
        </w:trPr>
        <w:tc>
          <w:tcPr>
            <w:tcW w:w="3330" w:type="dxa"/>
            <w:tcBorders>
              <w:top w:val="single" w:sz="4" w:space="0" w:color="auto"/>
              <w:left w:val="nil"/>
              <w:bottom w:val="nil"/>
              <w:right w:val="nil"/>
            </w:tcBorders>
            <w:shd w:val="clear" w:color="auto" w:fill="auto"/>
            <w:vAlign w:val="bottom"/>
          </w:tcPr>
          <w:p w14:paraId="0DB709C5" w14:textId="0FAC7196" w:rsidR="000F5D1D" w:rsidRPr="00060311" w:rsidRDefault="000F5D1D" w:rsidP="00C1248F">
            <w:pPr>
              <w:rPr>
                <w:rFonts w:ascii="Arial" w:hAnsi="Arial" w:cs="Arial"/>
                <w:b/>
                <w:sz w:val="18"/>
                <w:szCs w:val="18"/>
              </w:rPr>
            </w:pPr>
            <w:r w:rsidRPr="00060311">
              <w:rPr>
                <w:rFonts w:ascii="Arial" w:hAnsi="Arial" w:cs="Arial"/>
                <w:b/>
                <w:sz w:val="18"/>
                <w:szCs w:val="18"/>
              </w:rPr>
              <w:t xml:space="preserve">Profit from </w:t>
            </w:r>
            <w:r>
              <w:rPr>
                <w:rFonts w:ascii="Arial" w:hAnsi="Arial" w:cs="Arial"/>
                <w:b/>
                <w:sz w:val="18"/>
                <w:szCs w:val="18"/>
              </w:rPr>
              <w:t>C</w:t>
            </w:r>
            <w:r w:rsidRPr="00060311">
              <w:rPr>
                <w:rFonts w:ascii="Arial" w:hAnsi="Arial" w:cs="Arial"/>
                <w:b/>
                <w:sz w:val="18"/>
                <w:szCs w:val="18"/>
              </w:rPr>
              <w:t xml:space="preserve">ontinuing </w:t>
            </w:r>
            <w:r>
              <w:rPr>
                <w:rFonts w:ascii="Arial" w:hAnsi="Arial" w:cs="Arial"/>
                <w:b/>
                <w:sz w:val="18"/>
                <w:szCs w:val="18"/>
              </w:rPr>
              <w:t>O</w:t>
            </w:r>
            <w:r w:rsidRPr="00060311">
              <w:rPr>
                <w:rFonts w:ascii="Arial" w:hAnsi="Arial" w:cs="Arial"/>
                <w:b/>
                <w:sz w:val="18"/>
                <w:szCs w:val="18"/>
              </w:rPr>
              <w:t xml:space="preserve">perations, </w:t>
            </w:r>
            <w:r>
              <w:rPr>
                <w:rFonts w:ascii="Arial" w:hAnsi="Arial" w:cs="Arial"/>
                <w:b/>
                <w:sz w:val="18"/>
                <w:szCs w:val="18"/>
              </w:rPr>
              <w:t>N</w:t>
            </w:r>
            <w:r w:rsidRPr="00060311">
              <w:rPr>
                <w:rFonts w:ascii="Arial" w:hAnsi="Arial" w:cs="Arial"/>
                <w:b/>
                <w:sz w:val="18"/>
                <w:szCs w:val="18"/>
              </w:rPr>
              <w:t xml:space="preserve">et </w:t>
            </w:r>
            <w:r>
              <w:rPr>
                <w:rFonts w:ascii="Arial" w:hAnsi="Arial" w:cs="Arial"/>
                <w:b/>
                <w:sz w:val="18"/>
                <w:szCs w:val="18"/>
              </w:rPr>
              <w:t>T</w:t>
            </w:r>
            <w:r w:rsidRPr="00060311">
              <w:rPr>
                <w:rFonts w:ascii="Arial" w:hAnsi="Arial" w:cs="Arial"/>
                <w:b/>
                <w:sz w:val="18"/>
                <w:szCs w:val="18"/>
              </w:rPr>
              <w:t>ax</w:t>
            </w:r>
          </w:p>
        </w:tc>
        <w:tc>
          <w:tcPr>
            <w:tcW w:w="1206" w:type="dxa"/>
            <w:tcBorders>
              <w:top w:val="single" w:sz="4" w:space="0" w:color="auto"/>
              <w:left w:val="nil"/>
              <w:bottom w:val="nil"/>
              <w:right w:val="nil"/>
            </w:tcBorders>
            <w:shd w:val="clear" w:color="auto" w:fill="auto"/>
            <w:noWrap/>
            <w:vAlign w:val="bottom"/>
            <w:hideMark/>
          </w:tcPr>
          <w:p w14:paraId="5B4A5CC3" w14:textId="77777777" w:rsidR="000F5D1D" w:rsidRPr="00060311" w:rsidRDefault="000F5D1D" w:rsidP="006A3328">
            <w:pPr>
              <w:jc w:val="right"/>
              <w:rPr>
                <w:rFonts w:ascii="Arial" w:hAnsi="Arial" w:cs="Arial"/>
                <w:b/>
                <w:bCs/>
                <w:color w:val="000000"/>
                <w:sz w:val="18"/>
                <w:szCs w:val="18"/>
              </w:rPr>
            </w:pPr>
            <w:r w:rsidRPr="00060311">
              <w:rPr>
                <w:rFonts w:ascii="Arial" w:hAnsi="Arial" w:cs="Arial"/>
                <w:b/>
                <w:bCs/>
                <w:color w:val="000000"/>
                <w:sz w:val="18"/>
                <w:szCs w:val="18"/>
              </w:rPr>
              <w:t xml:space="preserve">1,008,634 </w:t>
            </w:r>
          </w:p>
        </w:tc>
        <w:tc>
          <w:tcPr>
            <w:tcW w:w="1206" w:type="dxa"/>
            <w:tcBorders>
              <w:top w:val="single" w:sz="4" w:space="0" w:color="auto"/>
              <w:left w:val="nil"/>
              <w:bottom w:val="nil"/>
              <w:right w:val="nil"/>
            </w:tcBorders>
            <w:shd w:val="clear" w:color="auto" w:fill="auto"/>
            <w:noWrap/>
            <w:vAlign w:val="bottom"/>
            <w:hideMark/>
          </w:tcPr>
          <w:p w14:paraId="4ED587BF" w14:textId="77777777" w:rsidR="000F5D1D" w:rsidRPr="00060311" w:rsidRDefault="000F5D1D" w:rsidP="006A3328">
            <w:pPr>
              <w:jc w:val="right"/>
              <w:rPr>
                <w:rFonts w:ascii="Arial" w:hAnsi="Arial" w:cs="Arial"/>
                <w:b/>
                <w:bCs/>
                <w:color w:val="000000"/>
                <w:sz w:val="18"/>
                <w:szCs w:val="18"/>
              </w:rPr>
            </w:pPr>
            <w:r w:rsidRPr="00060311">
              <w:rPr>
                <w:rFonts w:ascii="Arial" w:hAnsi="Arial" w:cs="Arial"/>
                <w:b/>
                <w:bCs/>
                <w:color w:val="000000"/>
                <w:sz w:val="18"/>
                <w:szCs w:val="18"/>
              </w:rPr>
              <w:t xml:space="preserve">1,670,107 </w:t>
            </w:r>
          </w:p>
        </w:tc>
        <w:tc>
          <w:tcPr>
            <w:tcW w:w="1206" w:type="dxa"/>
            <w:tcBorders>
              <w:top w:val="single" w:sz="4" w:space="0" w:color="auto"/>
              <w:left w:val="nil"/>
              <w:bottom w:val="nil"/>
              <w:right w:val="nil"/>
            </w:tcBorders>
            <w:shd w:val="clear" w:color="auto" w:fill="auto"/>
            <w:noWrap/>
            <w:vAlign w:val="bottom"/>
            <w:hideMark/>
          </w:tcPr>
          <w:p w14:paraId="70C57B3B" w14:textId="77777777" w:rsidR="000F5D1D" w:rsidRPr="00060311" w:rsidRDefault="000F5D1D" w:rsidP="006A3328">
            <w:pPr>
              <w:jc w:val="right"/>
              <w:rPr>
                <w:rFonts w:ascii="Arial" w:hAnsi="Arial" w:cs="Arial"/>
                <w:b/>
                <w:bCs/>
                <w:color w:val="000000"/>
                <w:sz w:val="18"/>
                <w:szCs w:val="18"/>
              </w:rPr>
            </w:pPr>
            <w:r w:rsidRPr="00060311">
              <w:rPr>
                <w:rFonts w:ascii="Arial" w:hAnsi="Arial" w:cs="Arial"/>
                <w:b/>
                <w:bCs/>
                <w:color w:val="000000"/>
                <w:sz w:val="18"/>
                <w:szCs w:val="18"/>
              </w:rPr>
              <w:t xml:space="preserve">1,422,920 </w:t>
            </w:r>
          </w:p>
        </w:tc>
        <w:tc>
          <w:tcPr>
            <w:tcW w:w="1206" w:type="dxa"/>
            <w:tcBorders>
              <w:top w:val="single" w:sz="4" w:space="0" w:color="auto"/>
              <w:left w:val="nil"/>
              <w:bottom w:val="nil"/>
              <w:right w:val="nil"/>
            </w:tcBorders>
            <w:shd w:val="clear" w:color="auto" w:fill="auto"/>
            <w:noWrap/>
            <w:vAlign w:val="bottom"/>
            <w:hideMark/>
          </w:tcPr>
          <w:p w14:paraId="63158642" w14:textId="77777777" w:rsidR="000F5D1D" w:rsidRPr="00060311" w:rsidRDefault="000F5D1D" w:rsidP="006A3328">
            <w:pPr>
              <w:jc w:val="right"/>
              <w:rPr>
                <w:rFonts w:ascii="Arial" w:hAnsi="Arial" w:cs="Arial"/>
                <w:b/>
                <w:bCs/>
                <w:color w:val="000000"/>
                <w:sz w:val="18"/>
                <w:szCs w:val="18"/>
              </w:rPr>
            </w:pPr>
            <w:r w:rsidRPr="00060311">
              <w:rPr>
                <w:rFonts w:ascii="Arial" w:hAnsi="Arial" w:cs="Arial"/>
                <w:b/>
                <w:bCs/>
                <w:color w:val="000000"/>
                <w:sz w:val="18"/>
                <w:szCs w:val="18"/>
              </w:rPr>
              <w:t xml:space="preserve">1,316,571 </w:t>
            </w:r>
          </w:p>
        </w:tc>
        <w:tc>
          <w:tcPr>
            <w:tcW w:w="1206" w:type="dxa"/>
            <w:tcBorders>
              <w:top w:val="single" w:sz="4" w:space="0" w:color="auto"/>
              <w:left w:val="nil"/>
              <w:bottom w:val="nil"/>
              <w:right w:val="nil"/>
            </w:tcBorders>
            <w:shd w:val="clear" w:color="auto" w:fill="auto"/>
            <w:noWrap/>
            <w:vAlign w:val="bottom"/>
            <w:hideMark/>
          </w:tcPr>
          <w:p w14:paraId="4BCC8DAF" w14:textId="77777777" w:rsidR="000F5D1D" w:rsidRPr="00060311" w:rsidRDefault="000F5D1D" w:rsidP="006A3328">
            <w:pPr>
              <w:jc w:val="right"/>
              <w:rPr>
                <w:rFonts w:ascii="Arial" w:hAnsi="Arial" w:cs="Arial"/>
                <w:b/>
                <w:bCs/>
                <w:color w:val="000000"/>
                <w:sz w:val="18"/>
                <w:szCs w:val="18"/>
              </w:rPr>
            </w:pPr>
            <w:r w:rsidRPr="00060311">
              <w:rPr>
                <w:rFonts w:ascii="Arial" w:hAnsi="Arial" w:cs="Arial"/>
                <w:b/>
                <w:bCs/>
                <w:color w:val="000000"/>
                <w:sz w:val="18"/>
                <w:szCs w:val="18"/>
              </w:rPr>
              <w:t xml:space="preserve">1,184,613 </w:t>
            </w:r>
          </w:p>
        </w:tc>
      </w:tr>
      <w:tr w:rsidR="000F5D1D" w:rsidRPr="00060311" w14:paraId="722F976D" w14:textId="77777777" w:rsidTr="000F5D1D">
        <w:trPr>
          <w:trHeight w:val="285"/>
          <w:jc w:val="center"/>
        </w:trPr>
        <w:tc>
          <w:tcPr>
            <w:tcW w:w="3330" w:type="dxa"/>
            <w:tcBorders>
              <w:top w:val="single" w:sz="4" w:space="0" w:color="auto"/>
              <w:left w:val="nil"/>
              <w:bottom w:val="nil"/>
              <w:right w:val="nil"/>
            </w:tcBorders>
            <w:shd w:val="clear" w:color="auto" w:fill="auto"/>
            <w:vAlign w:val="bottom"/>
          </w:tcPr>
          <w:p w14:paraId="7F30778C" w14:textId="658E4CA6" w:rsidR="000F5D1D" w:rsidRPr="00060311" w:rsidRDefault="000F5D1D" w:rsidP="00C1248F">
            <w:pPr>
              <w:rPr>
                <w:rFonts w:ascii="Arial" w:hAnsi="Arial" w:cs="Arial"/>
                <w:sz w:val="18"/>
                <w:szCs w:val="18"/>
              </w:rPr>
            </w:pPr>
            <w:r w:rsidRPr="00060311">
              <w:rPr>
                <w:rFonts w:ascii="Arial" w:hAnsi="Arial" w:cs="Arial"/>
                <w:sz w:val="18"/>
                <w:szCs w:val="18"/>
              </w:rPr>
              <w:t xml:space="preserve">Net </w:t>
            </w:r>
            <w:r>
              <w:rPr>
                <w:rFonts w:ascii="Arial" w:hAnsi="Arial" w:cs="Arial"/>
                <w:sz w:val="18"/>
                <w:szCs w:val="18"/>
              </w:rPr>
              <w:t>I</w:t>
            </w:r>
            <w:r w:rsidRPr="00060311">
              <w:rPr>
                <w:rFonts w:ascii="Arial" w:hAnsi="Arial" w:cs="Arial"/>
                <w:sz w:val="18"/>
                <w:szCs w:val="18"/>
              </w:rPr>
              <w:t xml:space="preserve">ncome </w:t>
            </w:r>
          </w:p>
        </w:tc>
        <w:tc>
          <w:tcPr>
            <w:tcW w:w="1206" w:type="dxa"/>
            <w:tcBorders>
              <w:top w:val="single" w:sz="4" w:space="0" w:color="auto"/>
              <w:left w:val="nil"/>
              <w:bottom w:val="nil"/>
              <w:right w:val="nil"/>
            </w:tcBorders>
            <w:shd w:val="clear" w:color="auto" w:fill="auto"/>
            <w:noWrap/>
            <w:vAlign w:val="bottom"/>
            <w:hideMark/>
          </w:tcPr>
          <w:p w14:paraId="7035B9A6" w14:textId="77777777" w:rsidR="000F5D1D" w:rsidRPr="00060311" w:rsidRDefault="000F5D1D" w:rsidP="006A3328">
            <w:pPr>
              <w:jc w:val="right"/>
              <w:rPr>
                <w:rFonts w:ascii="Arial" w:hAnsi="Arial" w:cs="Arial"/>
                <w:b/>
                <w:bCs/>
                <w:color w:val="000000"/>
                <w:sz w:val="18"/>
                <w:szCs w:val="18"/>
              </w:rPr>
            </w:pPr>
            <w:r w:rsidRPr="00060311">
              <w:rPr>
                <w:rFonts w:ascii="Arial" w:hAnsi="Arial" w:cs="Arial"/>
                <w:b/>
                <w:bCs/>
                <w:color w:val="000000"/>
                <w:sz w:val="18"/>
                <w:szCs w:val="18"/>
              </w:rPr>
              <w:t xml:space="preserve">1,008,634 </w:t>
            </w:r>
          </w:p>
        </w:tc>
        <w:tc>
          <w:tcPr>
            <w:tcW w:w="1206" w:type="dxa"/>
            <w:tcBorders>
              <w:top w:val="single" w:sz="4" w:space="0" w:color="auto"/>
              <w:left w:val="nil"/>
              <w:bottom w:val="nil"/>
              <w:right w:val="nil"/>
            </w:tcBorders>
            <w:shd w:val="clear" w:color="auto" w:fill="auto"/>
            <w:noWrap/>
            <w:vAlign w:val="bottom"/>
            <w:hideMark/>
          </w:tcPr>
          <w:p w14:paraId="58200F4A" w14:textId="77777777" w:rsidR="000F5D1D" w:rsidRPr="00060311" w:rsidRDefault="000F5D1D" w:rsidP="006A3328">
            <w:pPr>
              <w:jc w:val="right"/>
              <w:rPr>
                <w:rFonts w:ascii="Arial" w:hAnsi="Arial" w:cs="Arial"/>
                <w:b/>
                <w:bCs/>
                <w:color w:val="000000"/>
                <w:sz w:val="18"/>
                <w:szCs w:val="18"/>
              </w:rPr>
            </w:pPr>
            <w:r w:rsidRPr="00060311">
              <w:rPr>
                <w:rFonts w:ascii="Arial" w:hAnsi="Arial" w:cs="Arial"/>
                <w:b/>
                <w:bCs/>
                <w:color w:val="000000"/>
                <w:sz w:val="18"/>
                <w:szCs w:val="18"/>
              </w:rPr>
              <w:t xml:space="preserve">1,670,107 </w:t>
            </w:r>
          </w:p>
        </w:tc>
        <w:tc>
          <w:tcPr>
            <w:tcW w:w="1206" w:type="dxa"/>
            <w:tcBorders>
              <w:top w:val="single" w:sz="4" w:space="0" w:color="auto"/>
              <w:left w:val="nil"/>
              <w:bottom w:val="nil"/>
              <w:right w:val="nil"/>
            </w:tcBorders>
            <w:shd w:val="clear" w:color="auto" w:fill="auto"/>
            <w:noWrap/>
            <w:vAlign w:val="bottom"/>
            <w:hideMark/>
          </w:tcPr>
          <w:p w14:paraId="60F7642B" w14:textId="77777777" w:rsidR="000F5D1D" w:rsidRPr="00060311" w:rsidRDefault="000F5D1D" w:rsidP="006A3328">
            <w:pPr>
              <w:jc w:val="right"/>
              <w:rPr>
                <w:rFonts w:ascii="Arial" w:hAnsi="Arial" w:cs="Arial"/>
                <w:b/>
                <w:bCs/>
                <w:color w:val="000000"/>
                <w:sz w:val="18"/>
                <w:szCs w:val="18"/>
              </w:rPr>
            </w:pPr>
            <w:r w:rsidRPr="00060311">
              <w:rPr>
                <w:rFonts w:ascii="Arial" w:hAnsi="Arial" w:cs="Arial"/>
                <w:b/>
                <w:bCs/>
                <w:color w:val="000000"/>
                <w:sz w:val="18"/>
                <w:szCs w:val="18"/>
              </w:rPr>
              <w:t xml:space="preserve">1,422,920 </w:t>
            </w:r>
          </w:p>
        </w:tc>
        <w:tc>
          <w:tcPr>
            <w:tcW w:w="1206" w:type="dxa"/>
            <w:tcBorders>
              <w:top w:val="single" w:sz="4" w:space="0" w:color="auto"/>
              <w:left w:val="nil"/>
              <w:bottom w:val="nil"/>
              <w:right w:val="nil"/>
            </w:tcBorders>
            <w:shd w:val="clear" w:color="auto" w:fill="auto"/>
            <w:noWrap/>
            <w:vAlign w:val="bottom"/>
            <w:hideMark/>
          </w:tcPr>
          <w:p w14:paraId="0DCAC11B" w14:textId="77777777" w:rsidR="000F5D1D" w:rsidRPr="00060311" w:rsidRDefault="000F5D1D" w:rsidP="006A3328">
            <w:pPr>
              <w:jc w:val="right"/>
              <w:rPr>
                <w:rFonts w:ascii="Arial" w:hAnsi="Arial" w:cs="Arial"/>
                <w:b/>
                <w:bCs/>
                <w:color w:val="000000"/>
                <w:sz w:val="18"/>
                <w:szCs w:val="18"/>
              </w:rPr>
            </w:pPr>
            <w:r w:rsidRPr="00060311">
              <w:rPr>
                <w:rFonts w:ascii="Arial" w:hAnsi="Arial" w:cs="Arial"/>
                <w:b/>
                <w:bCs/>
                <w:color w:val="000000"/>
                <w:sz w:val="18"/>
                <w:szCs w:val="18"/>
              </w:rPr>
              <w:t xml:space="preserve">1,316,571 </w:t>
            </w:r>
          </w:p>
        </w:tc>
        <w:tc>
          <w:tcPr>
            <w:tcW w:w="1206" w:type="dxa"/>
            <w:tcBorders>
              <w:top w:val="single" w:sz="4" w:space="0" w:color="auto"/>
              <w:left w:val="nil"/>
              <w:bottom w:val="nil"/>
              <w:right w:val="nil"/>
            </w:tcBorders>
            <w:shd w:val="clear" w:color="auto" w:fill="auto"/>
            <w:noWrap/>
            <w:vAlign w:val="bottom"/>
            <w:hideMark/>
          </w:tcPr>
          <w:p w14:paraId="365EE979" w14:textId="77777777" w:rsidR="000F5D1D" w:rsidRPr="00060311" w:rsidRDefault="000F5D1D" w:rsidP="006A3328">
            <w:pPr>
              <w:jc w:val="right"/>
              <w:rPr>
                <w:rFonts w:ascii="Arial" w:hAnsi="Arial" w:cs="Arial"/>
                <w:b/>
                <w:bCs/>
                <w:color w:val="000000"/>
                <w:sz w:val="18"/>
                <w:szCs w:val="18"/>
              </w:rPr>
            </w:pPr>
            <w:r w:rsidRPr="00060311">
              <w:rPr>
                <w:rFonts w:ascii="Arial" w:hAnsi="Arial" w:cs="Arial"/>
                <w:b/>
                <w:bCs/>
                <w:color w:val="000000"/>
                <w:sz w:val="18"/>
                <w:szCs w:val="18"/>
              </w:rPr>
              <w:t xml:space="preserve">1,184,613 </w:t>
            </w:r>
          </w:p>
        </w:tc>
      </w:tr>
      <w:tr w:rsidR="000F5D1D" w:rsidRPr="00060311" w14:paraId="1E4F9026" w14:textId="77777777" w:rsidTr="000F5D1D">
        <w:trPr>
          <w:trHeight w:val="285"/>
          <w:jc w:val="center"/>
        </w:trPr>
        <w:tc>
          <w:tcPr>
            <w:tcW w:w="3330" w:type="dxa"/>
            <w:tcBorders>
              <w:top w:val="nil"/>
              <w:left w:val="nil"/>
              <w:bottom w:val="nil"/>
              <w:right w:val="nil"/>
            </w:tcBorders>
            <w:shd w:val="clear" w:color="auto" w:fill="auto"/>
            <w:vAlign w:val="bottom"/>
          </w:tcPr>
          <w:p w14:paraId="26D133F3" w14:textId="77777777" w:rsidR="000F5D1D" w:rsidRPr="00060311" w:rsidRDefault="000F5D1D" w:rsidP="006A3328">
            <w:pPr>
              <w:rPr>
                <w:rFonts w:ascii="Arial" w:hAnsi="Arial" w:cs="Arial"/>
                <w:b/>
                <w:color w:val="000000"/>
                <w:sz w:val="18"/>
                <w:szCs w:val="18"/>
                <w:lang w:eastAsia="en-SG"/>
              </w:rPr>
            </w:pPr>
            <w:r w:rsidRPr="00060311">
              <w:rPr>
                <w:rFonts w:ascii="Arial" w:hAnsi="Arial" w:cs="Arial"/>
                <w:b/>
                <w:color w:val="000000"/>
                <w:sz w:val="18"/>
                <w:szCs w:val="18"/>
                <w:lang w:eastAsia="en-SG"/>
              </w:rPr>
              <w:t>Attributable to:</w:t>
            </w:r>
          </w:p>
        </w:tc>
        <w:tc>
          <w:tcPr>
            <w:tcW w:w="1206" w:type="dxa"/>
            <w:tcBorders>
              <w:top w:val="nil"/>
              <w:left w:val="nil"/>
              <w:bottom w:val="nil"/>
              <w:right w:val="nil"/>
            </w:tcBorders>
            <w:shd w:val="clear" w:color="auto" w:fill="auto"/>
            <w:noWrap/>
            <w:vAlign w:val="bottom"/>
            <w:hideMark/>
          </w:tcPr>
          <w:p w14:paraId="429E761C" w14:textId="352C676E" w:rsidR="000F5D1D" w:rsidRPr="00060311" w:rsidRDefault="000F5D1D" w:rsidP="006A3328">
            <w:pPr>
              <w:jc w:val="right"/>
              <w:rPr>
                <w:rFonts w:ascii="Arial" w:hAnsi="Arial" w:cs="Arial"/>
                <w:color w:val="000000"/>
                <w:sz w:val="18"/>
                <w:szCs w:val="18"/>
              </w:rPr>
            </w:pPr>
            <w:r>
              <w:rPr>
                <w:rFonts w:ascii="Arial" w:hAnsi="Arial" w:cs="Arial"/>
                <w:color w:val="000000"/>
                <w:sz w:val="18"/>
                <w:szCs w:val="18"/>
              </w:rPr>
              <w:t xml:space="preserve"> </w:t>
            </w:r>
          </w:p>
        </w:tc>
        <w:tc>
          <w:tcPr>
            <w:tcW w:w="1206" w:type="dxa"/>
            <w:tcBorders>
              <w:top w:val="nil"/>
              <w:left w:val="nil"/>
              <w:bottom w:val="nil"/>
              <w:right w:val="nil"/>
            </w:tcBorders>
            <w:shd w:val="clear" w:color="auto" w:fill="auto"/>
            <w:noWrap/>
            <w:vAlign w:val="bottom"/>
            <w:hideMark/>
          </w:tcPr>
          <w:p w14:paraId="5425EA03" w14:textId="0388A83A" w:rsidR="000F5D1D" w:rsidRPr="00060311" w:rsidRDefault="000F5D1D" w:rsidP="006A3328">
            <w:pPr>
              <w:jc w:val="right"/>
              <w:rPr>
                <w:rFonts w:ascii="Arial" w:hAnsi="Arial" w:cs="Arial"/>
                <w:color w:val="000000"/>
                <w:sz w:val="18"/>
                <w:szCs w:val="18"/>
              </w:rPr>
            </w:pPr>
            <w:r>
              <w:rPr>
                <w:rFonts w:ascii="Arial" w:hAnsi="Arial" w:cs="Arial"/>
                <w:color w:val="000000"/>
                <w:sz w:val="18"/>
                <w:szCs w:val="18"/>
              </w:rPr>
              <w:t xml:space="preserve"> </w:t>
            </w:r>
          </w:p>
        </w:tc>
        <w:tc>
          <w:tcPr>
            <w:tcW w:w="1206" w:type="dxa"/>
            <w:tcBorders>
              <w:top w:val="nil"/>
              <w:left w:val="nil"/>
              <w:bottom w:val="nil"/>
              <w:right w:val="nil"/>
            </w:tcBorders>
            <w:shd w:val="clear" w:color="auto" w:fill="auto"/>
            <w:noWrap/>
            <w:vAlign w:val="bottom"/>
            <w:hideMark/>
          </w:tcPr>
          <w:p w14:paraId="4D8F46C3" w14:textId="2CAA7491" w:rsidR="000F5D1D" w:rsidRPr="00060311" w:rsidRDefault="000F5D1D" w:rsidP="006A3328">
            <w:pPr>
              <w:jc w:val="right"/>
              <w:rPr>
                <w:rFonts w:ascii="Arial" w:hAnsi="Arial" w:cs="Arial"/>
                <w:color w:val="000000"/>
                <w:sz w:val="18"/>
                <w:szCs w:val="18"/>
              </w:rPr>
            </w:pPr>
            <w:r>
              <w:rPr>
                <w:rFonts w:ascii="Arial" w:hAnsi="Arial" w:cs="Arial"/>
                <w:color w:val="000000"/>
                <w:sz w:val="18"/>
                <w:szCs w:val="18"/>
              </w:rPr>
              <w:t xml:space="preserve"> </w:t>
            </w:r>
          </w:p>
        </w:tc>
        <w:tc>
          <w:tcPr>
            <w:tcW w:w="1206" w:type="dxa"/>
            <w:tcBorders>
              <w:top w:val="nil"/>
              <w:left w:val="nil"/>
              <w:bottom w:val="nil"/>
              <w:right w:val="nil"/>
            </w:tcBorders>
            <w:shd w:val="clear" w:color="auto" w:fill="auto"/>
            <w:noWrap/>
            <w:vAlign w:val="bottom"/>
            <w:hideMark/>
          </w:tcPr>
          <w:p w14:paraId="0C9A803C" w14:textId="22469AB2" w:rsidR="000F5D1D" w:rsidRPr="00060311" w:rsidRDefault="000F5D1D" w:rsidP="006A3328">
            <w:pPr>
              <w:jc w:val="right"/>
              <w:rPr>
                <w:rFonts w:ascii="Arial" w:hAnsi="Arial" w:cs="Arial"/>
                <w:color w:val="000000"/>
                <w:sz w:val="18"/>
                <w:szCs w:val="18"/>
              </w:rPr>
            </w:pPr>
            <w:r>
              <w:rPr>
                <w:rFonts w:ascii="Arial" w:hAnsi="Arial" w:cs="Arial"/>
                <w:color w:val="000000"/>
                <w:sz w:val="18"/>
                <w:szCs w:val="18"/>
              </w:rPr>
              <w:t xml:space="preserve"> </w:t>
            </w:r>
          </w:p>
        </w:tc>
        <w:tc>
          <w:tcPr>
            <w:tcW w:w="1206" w:type="dxa"/>
            <w:tcBorders>
              <w:top w:val="nil"/>
              <w:left w:val="nil"/>
              <w:bottom w:val="nil"/>
              <w:right w:val="nil"/>
            </w:tcBorders>
            <w:shd w:val="clear" w:color="auto" w:fill="auto"/>
            <w:noWrap/>
            <w:vAlign w:val="bottom"/>
            <w:hideMark/>
          </w:tcPr>
          <w:p w14:paraId="1E3625A9" w14:textId="09A9651A" w:rsidR="000F5D1D" w:rsidRPr="00060311" w:rsidRDefault="000F5D1D" w:rsidP="006A3328">
            <w:pPr>
              <w:jc w:val="right"/>
              <w:rPr>
                <w:rFonts w:ascii="Arial" w:hAnsi="Arial" w:cs="Arial"/>
                <w:color w:val="000000"/>
                <w:sz w:val="18"/>
                <w:szCs w:val="18"/>
              </w:rPr>
            </w:pPr>
            <w:r>
              <w:rPr>
                <w:rFonts w:ascii="Arial" w:hAnsi="Arial" w:cs="Arial"/>
                <w:color w:val="000000"/>
                <w:sz w:val="18"/>
                <w:szCs w:val="18"/>
              </w:rPr>
              <w:t xml:space="preserve"> </w:t>
            </w:r>
          </w:p>
        </w:tc>
      </w:tr>
      <w:tr w:rsidR="000F5D1D" w:rsidRPr="00060311" w14:paraId="56AF28E3" w14:textId="77777777" w:rsidTr="000F5D1D">
        <w:trPr>
          <w:trHeight w:val="285"/>
          <w:jc w:val="center"/>
        </w:trPr>
        <w:tc>
          <w:tcPr>
            <w:tcW w:w="3330" w:type="dxa"/>
            <w:tcBorders>
              <w:top w:val="nil"/>
              <w:left w:val="nil"/>
              <w:bottom w:val="nil"/>
              <w:right w:val="nil"/>
            </w:tcBorders>
            <w:shd w:val="clear" w:color="auto" w:fill="auto"/>
            <w:vAlign w:val="bottom"/>
          </w:tcPr>
          <w:p w14:paraId="6D59CDC8" w14:textId="63237AD4" w:rsidR="000F5D1D" w:rsidRPr="00060311" w:rsidRDefault="000F5D1D" w:rsidP="00104BC4">
            <w:pPr>
              <w:rPr>
                <w:rFonts w:ascii="Arial" w:hAnsi="Arial" w:cs="Arial"/>
                <w:color w:val="000000"/>
                <w:sz w:val="18"/>
                <w:szCs w:val="18"/>
                <w:lang w:eastAsia="en-SG"/>
              </w:rPr>
            </w:pPr>
            <w:r w:rsidRPr="00060311">
              <w:rPr>
                <w:rFonts w:ascii="Arial" w:hAnsi="Arial" w:cs="Arial"/>
                <w:color w:val="000000"/>
                <w:sz w:val="18"/>
                <w:szCs w:val="18"/>
                <w:lang w:eastAsia="en-SG"/>
              </w:rPr>
              <w:t xml:space="preserve">  </w:t>
            </w:r>
            <w:r>
              <w:rPr>
                <w:rFonts w:ascii="Arial" w:hAnsi="Arial" w:cs="Arial"/>
                <w:color w:val="000000"/>
                <w:sz w:val="18"/>
                <w:szCs w:val="18"/>
                <w:lang w:eastAsia="en-SG"/>
              </w:rPr>
              <w:t xml:space="preserve"> </w:t>
            </w:r>
            <w:r w:rsidRPr="00060311">
              <w:rPr>
                <w:rFonts w:ascii="Arial" w:hAnsi="Arial" w:cs="Arial"/>
                <w:color w:val="000000"/>
                <w:sz w:val="18"/>
                <w:szCs w:val="18"/>
                <w:lang w:eastAsia="en-SG"/>
              </w:rPr>
              <w:t xml:space="preserve">Owners of the </w:t>
            </w:r>
            <w:r>
              <w:rPr>
                <w:rFonts w:ascii="Arial" w:hAnsi="Arial" w:cs="Arial"/>
                <w:color w:val="000000"/>
                <w:sz w:val="18"/>
                <w:szCs w:val="18"/>
                <w:lang w:eastAsia="en-SG"/>
              </w:rPr>
              <w:t>Company</w:t>
            </w:r>
          </w:p>
        </w:tc>
        <w:tc>
          <w:tcPr>
            <w:tcW w:w="1206" w:type="dxa"/>
            <w:tcBorders>
              <w:top w:val="nil"/>
              <w:left w:val="nil"/>
              <w:bottom w:val="nil"/>
              <w:right w:val="nil"/>
            </w:tcBorders>
            <w:shd w:val="clear" w:color="auto" w:fill="auto"/>
            <w:noWrap/>
            <w:vAlign w:val="bottom"/>
            <w:hideMark/>
          </w:tcPr>
          <w:p w14:paraId="70C34CB9" w14:textId="77777777" w:rsidR="000F5D1D" w:rsidRPr="00060311" w:rsidRDefault="000F5D1D" w:rsidP="006A3328">
            <w:pPr>
              <w:jc w:val="right"/>
              <w:rPr>
                <w:rFonts w:ascii="Arial" w:hAnsi="Arial" w:cs="Arial"/>
                <w:color w:val="000000"/>
                <w:sz w:val="18"/>
                <w:szCs w:val="18"/>
              </w:rPr>
            </w:pPr>
            <w:r w:rsidRPr="00060311">
              <w:rPr>
                <w:rFonts w:ascii="Arial" w:hAnsi="Arial" w:cs="Arial"/>
                <w:color w:val="000000"/>
                <w:sz w:val="18"/>
                <w:szCs w:val="18"/>
              </w:rPr>
              <w:t xml:space="preserve">1,052,959 </w:t>
            </w:r>
          </w:p>
        </w:tc>
        <w:tc>
          <w:tcPr>
            <w:tcW w:w="1206" w:type="dxa"/>
            <w:tcBorders>
              <w:top w:val="nil"/>
              <w:left w:val="nil"/>
              <w:bottom w:val="nil"/>
              <w:right w:val="nil"/>
            </w:tcBorders>
            <w:shd w:val="clear" w:color="auto" w:fill="auto"/>
            <w:noWrap/>
            <w:vAlign w:val="bottom"/>
            <w:hideMark/>
          </w:tcPr>
          <w:p w14:paraId="0F63582F" w14:textId="77777777" w:rsidR="000F5D1D" w:rsidRPr="00060311" w:rsidRDefault="000F5D1D" w:rsidP="006A3328">
            <w:pPr>
              <w:jc w:val="right"/>
              <w:rPr>
                <w:rFonts w:ascii="Arial" w:hAnsi="Arial" w:cs="Arial"/>
                <w:color w:val="000000"/>
                <w:sz w:val="18"/>
                <w:szCs w:val="18"/>
              </w:rPr>
            </w:pPr>
            <w:r w:rsidRPr="00060311">
              <w:rPr>
                <w:rFonts w:ascii="Arial" w:hAnsi="Arial" w:cs="Arial"/>
                <w:color w:val="000000"/>
                <w:sz w:val="18"/>
                <w:szCs w:val="18"/>
              </w:rPr>
              <w:t xml:space="preserve">1,273,139 </w:t>
            </w:r>
          </w:p>
        </w:tc>
        <w:tc>
          <w:tcPr>
            <w:tcW w:w="1206" w:type="dxa"/>
            <w:tcBorders>
              <w:top w:val="nil"/>
              <w:left w:val="nil"/>
              <w:bottom w:val="nil"/>
              <w:right w:val="nil"/>
            </w:tcBorders>
            <w:shd w:val="clear" w:color="auto" w:fill="auto"/>
            <w:noWrap/>
            <w:vAlign w:val="bottom"/>
            <w:hideMark/>
          </w:tcPr>
          <w:p w14:paraId="713ACA07" w14:textId="77777777" w:rsidR="000F5D1D" w:rsidRPr="00060311" w:rsidRDefault="000F5D1D" w:rsidP="006A3328">
            <w:pPr>
              <w:jc w:val="right"/>
              <w:rPr>
                <w:rFonts w:ascii="Arial" w:hAnsi="Arial" w:cs="Arial"/>
                <w:color w:val="000000"/>
                <w:sz w:val="18"/>
                <w:szCs w:val="18"/>
              </w:rPr>
            </w:pPr>
            <w:r w:rsidRPr="00060311">
              <w:rPr>
                <w:rFonts w:ascii="Arial" w:hAnsi="Arial" w:cs="Arial"/>
                <w:color w:val="000000"/>
                <w:sz w:val="18"/>
                <w:szCs w:val="18"/>
              </w:rPr>
              <w:t xml:space="preserve">1,057,311 </w:t>
            </w:r>
          </w:p>
        </w:tc>
        <w:tc>
          <w:tcPr>
            <w:tcW w:w="1206" w:type="dxa"/>
            <w:tcBorders>
              <w:top w:val="nil"/>
              <w:left w:val="nil"/>
              <w:bottom w:val="nil"/>
              <w:right w:val="nil"/>
            </w:tcBorders>
            <w:shd w:val="clear" w:color="auto" w:fill="auto"/>
            <w:noWrap/>
            <w:vAlign w:val="bottom"/>
            <w:hideMark/>
          </w:tcPr>
          <w:p w14:paraId="77656F44" w14:textId="77777777" w:rsidR="000F5D1D" w:rsidRPr="00060311" w:rsidRDefault="000F5D1D" w:rsidP="006A3328">
            <w:pPr>
              <w:jc w:val="right"/>
              <w:rPr>
                <w:rFonts w:ascii="Arial" w:hAnsi="Arial" w:cs="Arial"/>
                <w:color w:val="000000"/>
                <w:sz w:val="18"/>
                <w:szCs w:val="18"/>
              </w:rPr>
            </w:pPr>
            <w:r w:rsidRPr="00060311">
              <w:rPr>
                <w:rFonts w:ascii="Arial" w:hAnsi="Arial" w:cs="Arial"/>
                <w:color w:val="000000"/>
                <w:sz w:val="18"/>
                <w:szCs w:val="18"/>
              </w:rPr>
              <w:t xml:space="preserve">930,347 </w:t>
            </w:r>
          </w:p>
        </w:tc>
        <w:tc>
          <w:tcPr>
            <w:tcW w:w="1206" w:type="dxa"/>
            <w:tcBorders>
              <w:top w:val="nil"/>
              <w:left w:val="nil"/>
              <w:bottom w:val="nil"/>
              <w:right w:val="nil"/>
            </w:tcBorders>
            <w:shd w:val="clear" w:color="auto" w:fill="auto"/>
            <w:noWrap/>
            <w:vAlign w:val="bottom"/>
            <w:hideMark/>
          </w:tcPr>
          <w:p w14:paraId="096A864F" w14:textId="77777777" w:rsidR="000F5D1D" w:rsidRPr="00060311" w:rsidRDefault="000F5D1D" w:rsidP="006A3328">
            <w:pPr>
              <w:jc w:val="right"/>
              <w:rPr>
                <w:rFonts w:ascii="Arial" w:hAnsi="Arial" w:cs="Arial"/>
                <w:color w:val="000000"/>
                <w:sz w:val="18"/>
                <w:szCs w:val="18"/>
              </w:rPr>
            </w:pPr>
            <w:r w:rsidRPr="00060311">
              <w:rPr>
                <w:rFonts w:ascii="Arial" w:hAnsi="Arial" w:cs="Arial"/>
                <w:color w:val="000000"/>
                <w:sz w:val="18"/>
                <w:szCs w:val="18"/>
              </w:rPr>
              <w:t xml:space="preserve">849,795 </w:t>
            </w:r>
          </w:p>
        </w:tc>
      </w:tr>
      <w:tr w:rsidR="000F5D1D" w:rsidRPr="00060311" w14:paraId="36CDC5E6" w14:textId="77777777" w:rsidTr="000F5D1D">
        <w:trPr>
          <w:trHeight w:val="285"/>
          <w:jc w:val="center"/>
        </w:trPr>
        <w:tc>
          <w:tcPr>
            <w:tcW w:w="3330" w:type="dxa"/>
            <w:tcBorders>
              <w:top w:val="nil"/>
              <w:left w:val="nil"/>
              <w:bottom w:val="nil"/>
              <w:right w:val="nil"/>
            </w:tcBorders>
            <w:shd w:val="clear" w:color="auto" w:fill="auto"/>
            <w:vAlign w:val="bottom"/>
          </w:tcPr>
          <w:p w14:paraId="18C08268" w14:textId="632C0742" w:rsidR="000F5D1D" w:rsidRPr="00060311" w:rsidRDefault="000F5D1D" w:rsidP="00104BC4">
            <w:pPr>
              <w:rPr>
                <w:rFonts w:ascii="Arial" w:hAnsi="Arial" w:cs="Arial"/>
                <w:color w:val="000000"/>
                <w:sz w:val="18"/>
                <w:szCs w:val="18"/>
                <w:lang w:eastAsia="en-SG"/>
              </w:rPr>
            </w:pPr>
            <w:r w:rsidRPr="00060311">
              <w:rPr>
                <w:rFonts w:ascii="Arial" w:hAnsi="Arial" w:cs="Arial"/>
                <w:color w:val="000000"/>
                <w:sz w:val="18"/>
                <w:szCs w:val="18"/>
                <w:lang w:eastAsia="en-SG"/>
              </w:rPr>
              <w:t xml:space="preserve">   Non-Controlling</w:t>
            </w:r>
            <w:r>
              <w:rPr>
                <w:rFonts w:ascii="Arial" w:hAnsi="Arial" w:cs="Arial"/>
                <w:color w:val="000000"/>
                <w:sz w:val="18"/>
                <w:szCs w:val="18"/>
                <w:lang w:eastAsia="en-SG"/>
              </w:rPr>
              <w:t xml:space="preserve"> </w:t>
            </w:r>
            <w:r w:rsidRPr="00060311">
              <w:rPr>
                <w:rFonts w:ascii="Arial" w:hAnsi="Arial" w:cs="Arial"/>
                <w:color w:val="000000"/>
                <w:sz w:val="18"/>
                <w:szCs w:val="18"/>
                <w:lang w:eastAsia="en-SG"/>
              </w:rPr>
              <w:t>Interests</w:t>
            </w:r>
          </w:p>
        </w:tc>
        <w:tc>
          <w:tcPr>
            <w:tcW w:w="1206" w:type="dxa"/>
            <w:tcBorders>
              <w:top w:val="nil"/>
              <w:left w:val="nil"/>
              <w:bottom w:val="nil"/>
              <w:right w:val="nil"/>
            </w:tcBorders>
            <w:shd w:val="clear" w:color="auto" w:fill="auto"/>
            <w:noWrap/>
            <w:vAlign w:val="bottom"/>
            <w:hideMark/>
          </w:tcPr>
          <w:p w14:paraId="33C3931E" w14:textId="37E53D16" w:rsidR="000F5D1D" w:rsidRPr="00060311" w:rsidRDefault="000F5D1D" w:rsidP="00C1248F">
            <w:pPr>
              <w:jc w:val="right"/>
              <w:rPr>
                <w:rFonts w:ascii="Arial" w:hAnsi="Arial" w:cs="Arial"/>
                <w:color w:val="000000"/>
                <w:sz w:val="18"/>
                <w:szCs w:val="18"/>
              </w:rPr>
            </w:pPr>
            <w:r w:rsidRPr="008671C0">
              <w:rPr>
                <w:rFonts w:ascii="Arial" w:hAnsi="Arial" w:cs="Arial"/>
                <w:color w:val="000000"/>
                <w:sz w:val="18"/>
                <w:szCs w:val="18"/>
              </w:rPr>
              <w:t>−</w:t>
            </w:r>
            <w:r w:rsidRPr="00060311">
              <w:rPr>
                <w:rFonts w:ascii="Arial" w:hAnsi="Arial" w:cs="Arial"/>
                <w:color w:val="000000"/>
                <w:sz w:val="18"/>
                <w:szCs w:val="18"/>
              </w:rPr>
              <w:t>44,325</w:t>
            </w:r>
          </w:p>
        </w:tc>
        <w:tc>
          <w:tcPr>
            <w:tcW w:w="1206" w:type="dxa"/>
            <w:tcBorders>
              <w:top w:val="nil"/>
              <w:left w:val="nil"/>
              <w:bottom w:val="nil"/>
              <w:right w:val="nil"/>
            </w:tcBorders>
            <w:shd w:val="clear" w:color="auto" w:fill="auto"/>
            <w:noWrap/>
            <w:vAlign w:val="bottom"/>
            <w:hideMark/>
          </w:tcPr>
          <w:p w14:paraId="70EFA729" w14:textId="77777777" w:rsidR="000F5D1D" w:rsidRPr="00060311" w:rsidRDefault="000F5D1D" w:rsidP="006A3328">
            <w:pPr>
              <w:jc w:val="right"/>
              <w:rPr>
                <w:rFonts w:ascii="Arial" w:hAnsi="Arial" w:cs="Arial"/>
                <w:color w:val="000000"/>
                <w:sz w:val="18"/>
                <w:szCs w:val="18"/>
              </w:rPr>
            </w:pPr>
            <w:r w:rsidRPr="00060311">
              <w:rPr>
                <w:rFonts w:ascii="Arial" w:hAnsi="Arial" w:cs="Arial"/>
                <w:color w:val="000000"/>
                <w:sz w:val="18"/>
                <w:szCs w:val="18"/>
              </w:rPr>
              <w:t xml:space="preserve">396,968 </w:t>
            </w:r>
          </w:p>
        </w:tc>
        <w:tc>
          <w:tcPr>
            <w:tcW w:w="1206" w:type="dxa"/>
            <w:tcBorders>
              <w:top w:val="nil"/>
              <w:left w:val="nil"/>
              <w:bottom w:val="nil"/>
              <w:right w:val="nil"/>
            </w:tcBorders>
            <w:shd w:val="clear" w:color="auto" w:fill="auto"/>
            <w:noWrap/>
            <w:vAlign w:val="bottom"/>
            <w:hideMark/>
          </w:tcPr>
          <w:p w14:paraId="34ECB1C0" w14:textId="77777777" w:rsidR="000F5D1D" w:rsidRPr="00060311" w:rsidRDefault="000F5D1D" w:rsidP="006A3328">
            <w:pPr>
              <w:jc w:val="right"/>
              <w:rPr>
                <w:rFonts w:ascii="Arial" w:hAnsi="Arial" w:cs="Arial"/>
                <w:color w:val="000000"/>
                <w:sz w:val="18"/>
                <w:szCs w:val="18"/>
              </w:rPr>
            </w:pPr>
            <w:r w:rsidRPr="00060311">
              <w:rPr>
                <w:rFonts w:ascii="Arial" w:hAnsi="Arial" w:cs="Arial"/>
                <w:color w:val="000000"/>
                <w:sz w:val="18"/>
                <w:szCs w:val="18"/>
              </w:rPr>
              <w:t xml:space="preserve">365,609 </w:t>
            </w:r>
          </w:p>
        </w:tc>
        <w:tc>
          <w:tcPr>
            <w:tcW w:w="1206" w:type="dxa"/>
            <w:tcBorders>
              <w:top w:val="nil"/>
              <w:left w:val="nil"/>
              <w:bottom w:val="nil"/>
              <w:right w:val="nil"/>
            </w:tcBorders>
            <w:shd w:val="clear" w:color="auto" w:fill="auto"/>
            <w:noWrap/>
            <w:vAlign w:val="bottom"/>
            <w:hideMark/>
          </w:tcPr>
          <w:p w14:paraId="776BF547" w14:textId="77777777" w:rsidR="000F5D1D" w:rsidRPr="00060311" w:rsidRDefault="000F5D1D" w:rsidP="006A3328">
            <w:pPr>
              <w:jc w:val="right"/>
              <w:rPr>
                <w:rFonts w:ascii="Arial" w:hAnsi="Arial" w:cs="Arial"/>
                <w:color w:val="000000"/>
                <w:sz w:val="18"/>
                <w:szCs w:val="18"/>
              </w:rPr>
            </w:pPr>
            <w:r w:rsidRPr="00060311">
              <w:rPr>
                <w:rFonts w:ascii="Arial" w:hAnsi="Arial" w:cs="Arial"/>
                <w:color w:val="000000"/>
                <w:sz w:val="18"/>
                <w:szCs w:val="18"/>
              </w:rPr>
              <w:t xml:space="preserve">386,224 </w:t>
            </w:r>
          </w:p>
        </w:tc>
        <w:tc>
          <w:tcPr>
            <w:tcW w:w="1206" w:type="dxa"/>
            <w:tcBorders>
              <w:top w:val="nil"/>
              <w:left w:val="nil"/>
              <w:bottom w:val="nil"/>
              <w:right w:val="nil"/>
            </w:tcBorders>
            <w:shd w:val="clear" w:color="auto" w:fill="auto"/>
            <w:noWrap/>
            <w:vAlign w:val="bottom"/>
            <w:hideMark/>
          </w:tcPr>
          <w:p w14:paraId="03AD9F88" w14:textId="77777777" w:rsidR="000F5D1D" w:rsidRPr="00060311" w:rsidRDefault="000F5D1D" w:rsidP="006A3328">
            <w:pPr>
              <w:jc w:val="right"/>
              <w:rPr>
                <w:rFonts w:ascii="Arial" w:hAnsi="Arial" w:cs="Arial"/>
                <w:color w:val="000000"/>
                <w:sz w:val="18"/>
                <w:szCs w:val="18"/>
              </w:rPr>
            </w:pPr>
            <w:r w:rsidRPr="00060311">
              <w:rPr>
                <w:rFonts w:ascii="Arial" w:hAnsi="Arial" w:cs="Arial"/>
                <w:color w:val="000000"/>
                <w:sz w:val="18"/>
                <w:szCs w:val="18"/>
              </w:rPr>
              <w:t xml:space="preserve">334,818 </w:t>
            </w:r>
          </w:p>
        </w:tc>
      </w:tr>
      <w:tr w:rsidR="000F5D1D" w:rsidRPr="00060311" w14:paraId="2820E115" w14:textId="77777777" w:rsidTr="000F5D1D">
        <w:trPr>
          <w:trHeight w:val="285"/>
          <w:jc w:val="center"/>
        </w:trPr>
        <w:tc>
          <w:tcPr>
            <w:tcW w:w="3330" w:type="dxa"/>
            <w:tcBorders>
              <w:top w:val="nil"/>
              <w:left w:val="nil"/>
              <w:bottom w:val="double" w:sz="4" w:space="0" w:color="auto"/>
              <w:right w:val="nil"/>
            </w:tcBorders>
            <w:shd w:val="clear" w:color="auto" w:fill="auto"/>
            <w:vAlign w:val="bottom"/>
          </w:tcPr>
          <w:p w14:paraId="0F2DE9D1" w14:textId="67F24A6E" w:rsidR="000F5D1D" w:rsidRPr="00060311" w:rsidRDefault="000F5D1D" w:rsidP="00C1248F">
            <w:pPr>
              <w:rPr>
                <w:rFonts w:ascii="Arial" w:hAnsi="Arial" w:cs="Arial"/>
                <w:b/>
                <w:color w:val="000000"/>
                <w:sz w:val="18"/>
                <w:szCs w:val="18"/>
                <w:lang w:eastAsia="en-SG"/>
              </w:rPr>
            </w:pPr>
            <w:r w:rsidRPr="00060311">
              <w:rPr>
                <w:rFonts w:ascii="Arial" w:hAnsi="Arial" w:cs="Arial"/>
                <w:b/>
                <w:color w:val="000000"/>
                <w:sz w:val="18"/>
                <w:szCs w:val="18"/>
                <w:lang w:eastAsia="en-SG"/>
              </w:rPr>
              <w:t>E</w:t>
            </w:r>
            <w:r>
              <w:rPr>
                <w:rFonts w:ascii="Arial" w:hAnsi="Arial" w:cs="Arial"/>
                <w:b/>
                <w:color w:val="000000"/>
                <w:sz w:val="18"/>
                <w:szCs w:val="18"/>
                <w:lang w:eastAsia="en-SG"/>
              </w:rPr>
              <w:t>arnings per Share</w:t>
            </w:r>
          </w:p>
        </w:tc>
        <w:tc>
          <w:tcPr>
            <w:tcW w:w="1206" w:type="dxa"/>
            <w:tcBorders>
              <w:top w:val="nil"/>
              <w:left w:val="nil"/>
              <w:bottom w:val="double" w:sz="4" w:space="0" w:color="auto"/>
              <w:right w:val="nil"/>
            </w:tcBorders>
            <w:shd w:val="clear" w:color="auto" w:fill="auto"/>
            <w:noWrap/>
            <w:vAlign w:val="bottom"/>
            <w:hideMark/>
          </w:tcPr>
          <w:p w14:paraId="2895D25A" w14:textId="77777777" w:rsidR="000F5D1D" w:rsidRPr="00060311" w:rsidRDefault="000F5D1D" w:rsidP="006A3328">
            <w:pPr>
              <w:jc w:val="right"/>
              <w:rPr>
                <w:rFonts w:ascii="Arial" w:hAnsi="Arial" w:cs="Arial"/>
                <w:color w:val="000000"/>
                <w:sz w:val="18"/>
                <w:szCs w:val="18"/>
              </w:rPr>
            </w:pPr>
            <w:r w:rsidRPr="00060311">
              <w:rPr>
                <w:rFonts w:ascii="Arial" w:hAnsi="Arial" w:cs="Arial"/>
                <w:color w:val="000000"/>
                <w:sz w:val="18"/>
                <w:szCs w:val="18"/>
              </w:rPr>
              <w:t xml:space="preserve">0.2620 </w:t>
            </w:r>
          </w:p>
        </w:tc>
        <w:tc>
          <w:tcPr>
            <w:tcW w:w="1206" w:type="dxa"/>
            <w:tcBorders>
              <w:top w:val="nil"/>
              <w:left w:val="nil"/>
              <w:bottom w:val="double" w:sz="4" w:space="0" w:color="auto"/>
              <w:right w:val="nil"/>
            </w:tcBorders>
            <w:shd w:val="clear" w:color="auto" w:fill="auto"/>
            <w:noWrap/>
            <w:vAlign w:val="bottom"/>
            <w:hideMark/>
          </w:tcPr>
          <w:p w14:paraId="16B393A6" w14:textId="77777777" w:rsidR="000F5D1D" w:rsidRPr="00060311" w:rsidRDefault="000F5D1D" w:rsidP="006A3328">
            <w:pPr>
              <w:jc w:val="right"/>
              <w:rPr>
                <w:rFonts w:ascii="Arial" w:hAnsi="Arial" w:cs="Arial"/>
                <w:color w:val="000000"/>
                <w:sz w:val="18"/>
                <w:szCs w:val="18"/>
              </w:rPr>
            </w:pPr>
            <w:r w:rsidRPr="00060311">
              <w:rPr>
                <w:rFonts w:ascii="Arial" w:hAnsi="Arial" w:cs="Arial"/>
                <w:color w:val="000000"/>
                <w:sz w:val="18"/>
                <w:szCs w:val="18"/>
              </w:rPr>
              <w:t xml:space="preserve">0.2990 </w:t>
            </w:r>
          </w:p>
        </w:tc>
        <w:tc>
          <w:tcPr>
            <w:tcW w:w="1206" w:type="dxa"/>
            <w:tcBorders>
              <w:top w:val="nil"/>
              <w:left w:val="nil"/>
              <w:bottom w:val="double" w:sz="4" w:space="0" w:color="auto"/>
              <w:right w:val="nil"/>
            </w:tcBorders>
            <w:shd w:val="clear" w:color="auto" w:fill="auto"/>
            <w:noWrap/>
            <w:vAlign w:val="bottom"/>
            <w:hideMark/>
          </w:tcPr>
          <w:p w14:paraId="02340FB1" w14:textId="77777777" w:rsidR="000F5D1D" w:rsidRPr="00060311" w:rsidRDefault="000F5D1D" w:rsidP="006A3328">
            <w:pPr>
              <w:jc w:val="right"/>
              <w:rPr>
                <w:rFonts w:ascii="Arial" w:hAnsi="Arial" w:cs="Arial"/>
                <w:color w:val="000000"/>
                <w:sz w:val="18"/>
                <w:szCs w:val="18"/>
              </w:rPr>
            </w:pPr>
            <w:r w:rsidRPr="00060311">
              <w:rPr>
                <w:rFonts w:ascii="Arial" w:hAnsi="Arial" w:cs="Arial"/>
                <w:color w:val="000000"/>
                <w:sz w:val="18"/>
                <w:szCs w:val="18"/>
              </w:rPr>
              <w:t xml:space="preserve">0.2480 </w:t>
            </w:r>
          </w:p>
        </w:tc>
        <w:tc>
          <w:tcPr>
            <w:tcW w:w="1206" w:type="dxa"/>
            <w:tcBorders>
              <w:top w:val="nil"/>
              <w:left w:val="nil"/>
              <w:bottom w:val="double" w:sz="4" w:space="0" w:color="auto"/>
              <w:right w:val="nil"/>
            </w:tcBorders>
            <w:shd w:val="clear" w:color="auto" w:fill="auto"/>
            <w:noWrap/>
            <w:vAlign w:val="bottom"/>
            <w:hideMark/>
          </w:tcPr>
          <w:p w14:paraId="224A9840" w14:textId="77777777" w:rsidR="000F5D1D" w:rsidRPr="00060311" w:rsidRDefault="000F5D1D" w:rsidP="006A3328">
            <w:pPr>
              <w:jc w:val="right"/>
              <w:rPr>
                <w:rFonts w:ascii="Arial" w:hAnsi="Arial" w:cs="Arial"/>
                <w:color w:val="000000"/>
                <w:sz w:val="18"/>
                <w:szCs w:val="18"/>
              </w:rPr>
            </w:pPr>
            <w:r w:rsidRPr="00060311">
              <w:rPr>
                <w:rFonts w:ascii="Arial" w:hAnsi="Arial" w:cs="Arial"/>
                <w:color w:val="000000"/>
                <w:sz w:val="18"/>
                <w:szCs w:val="18"/>
              </w:rPr>
              <w:t xml:space="preserve">0.2190 </w:t>
            </w:r>
          </w:p>
        </w:tc>
        <w:tc>
          <w:tcPr>
            <w:tcW w:w="1206" w:type="dxa"/>
            <w:tcBorders>
              <w:top w:val="nil"/>
              <w:left w:val="nil"/>
              <w:bottom w:val="double" w:sz="4" w:space="0" w:color="auto"/>
              <w:right w:val="nil"/>
            </w:tcBorders>
            <w:shd w:val="clear" w:color="auto" w:fill="auto"/>
            <w:noWrap/>
            <w:vAlign w:val="bottom"/>
            <w:hideMark/>
          </w:tcPr>
          <w:p w14:paraId="22BF8368" w14:textId="77777777" w:rsidR="000F5D1D" w:rsidRPr="00060311" w:rsidRDefault="000F5D1D" w:rsidP="006A3328">
            <w:pPr>
              <w:jc w:val="right"/>
              <w:rPr>
                <w:rFonts w:ascii="Arial" w:hAnsi="Arial" w:cs="Arial"/>
                <w:color w:val="000000"/>
                <w:sz w:val="18"/>
                <w:szCs w:val="18"/>
              </w:rPr>
            </w:pPr>
            <w:r w:rsidRPr="00060311">
              <w:rPr>
                <w:rFonts w:ascii="Arial" w:hAnsi="Arial" w:cs="Arial"/>
                <w:color w:val="000000"/>
                <w:sz w:val="18"/>
                <w:szCs w:val="18"/>
              </w:rPr>
              <w:t xml:space="preserve">0.2000 </w:t>
            </w:r>
          </w:p>
        </w:tc>
      </w:tr>
    </w:tbl>
    <w:p w14:paraId="6B33FFE5" w14:textId="671C5FE4" w:rsidR="00EF5BC1" w:rsidRDefault="00EF5BC1" w:rsidP="008A500E">
      <w:pPr>
        <w:pStyle w:val="ExhibitText"/>
        <w:rPr>
          <w:lang w:val="en-CA"/>
        </w:rPr>
      </w:pPr>
    </w:p>
    <w:p w14:paraId="4697A15E" w14:textId="77777777" w:rsidR="008A500E" w:rsidRPr="00060311" w:rsidRDefault="008A500E" w:rsidP="00BD644A">
      <w:pPr>
        <w:pStyle w:val="ExhibitText"/>
        <w:rPr>
          <w:lang w:val="en-CA"/>
        </w:rPr>
      </w:pPr>
    </w:p>
    <w:p w14:paraId="7579E77D" w14:textId="35909915" w:rsidR="004F4C5A" w:rsidRDefault="004F4C5A" w:rsidP="004F4C5A">
      <w:pPr>
        <w:pStyle w:val="ExhibitHeading"/>
        <w:rPr>
          <w:lang w:val="en-CA"/>
        </w:rPr>
      </w:pPr>
      <w:r>
        <w:rPr>
          <w:lang w:val="en-CA"/>
        </w:rPr>
        <w:t>breakdown of capit</w:t>
      </w:r>
      <w:r w:rsidRPr="00BD644A">
        <w:rPr>
          <w:spacing w:val="20"/>
          <w:lang w:val="en-CA"/>
        </w:rPr>
        <w:t>a</w:t>
      </w:r>
      <w:r>
        <w:rPr>
          <w:lang w:val="en-CA"/>
        </w:rPr>
        <w:t xml:space="preserve">land’s revenue </w:t>
      </w:r>
    </w:p>
    <w:p w14:paraId="60B29F1E" w14:textId="2CDCC080" w:rsidR="004F4C5A" w:rsidRDefault="004F4C5A" w:rsidP="004F4C5A">
      <w:pPr>
        <w:pStyle w:val="ExhibitHeading"/>
        <w:rPr>
          <w:lang w:val="en-CA"/>
        </w:rPr>
      </w:pPr>
      <w:r>
        <w:rPr>
          <w:lang w:val="en-CA"/>
        </w:rPr>
        <w:t>by geographical segments</w:t>
      </w:r>
      <w:r w:rsidR="00C85DF7">
        <w:rPr>
          <w:lang w:val="en-CA"/>
        </w:rPr>
        <w:t xml:space="preserve"> (IN </w:t>
      </w:r>
      <w:r w:rsidR="008671C0">
        <w:rPr>
          <w:lang w:val="en-CA"/>
        </w:rPr>
        <w:t xml:space="preserve">SG$ </w:t>
      </w:r>
      <w:r w:rsidR="00C85DF7">
        <w:rPr>
          <w:lang w:val="en-CA"/>
        </w:rPr>
        <w:t>THOUSAND</w:t>
      </w:r>
      <w:r w:rsidR="008671C0">
        <w:rPr>
          <w:lang w:val="en-CA"/>
        </w:rPr>
        <w:t>s</w:t>
      </w:r>
      <w:r w:rsidR="00C85DF7">
        <w:rPr>
          <w:lang w:val="en-CA"/>
        </w:rPr>
        <w:t>)</w:t>
      </w:r>
    </w:p>
    <w:p w14:paraId="3F8F33B7" w14:textId="341EF675" w:rsidR="004F4C5A" w:rsidRPr="00060311" w:rsidRDefault="004F4C5A" w:rsidP="00BD644A">
      <w:pPr>
        <w:pStyle w:val="ExhibitText"/>
        <w:rPr>
          <w:lang w:val="en-CA"/>
        </w:rPr>
      </w:pPr>
    </w:p>
    <w:tbl>
      <w:tblPr>
        <w:tblW w:w="5000" w:type="pct"/>
        <w:tblBorders>
          <w:top w:val="double" w:sz="4" w:space="0" w:color="auto"/>
          <w:bottom w:val="double" w:sz="4" w:space="0" w:color="auto"/>
        </w:tblBorders>
        <w:tblLayout w:type="fixed"/>
        <w:tblLook w:val="04A0" w:firstRow="1" w:lastRow="0" w:firstColumn="1" w:lastColumn="0" w:noHBand="0" w:noVBand="1"/>
      </w:tblPr>
      <w:tblGrid>
        <w:gridCol w:w="3150"/>
        <w:gridCol w:w="269"/>
        <w:gridCol w:w="1189"/>
        <w:gridCol w:w="1189"/>
        <w:gridCol w:w="1189"/>
        <w:gridCol w:w="1189"/>
        <w:gridCol w:w="1185"/>
      </w:tblGrid>
      <w:tr w:rsidR="004F4C5A" w:rsidRPr="00060311" w14:paraId="58F39A63" w14:textId="77777777" w:rsidTr="002561DB">
        <w:trPr>
          <w:trHeight w:val="285"/>
        </w:trPr>
        <w:tc>
          <w:tcPr>
            <w:tcW w:w="1683" w:type="pct"/>
            <w:shd w:val="clear" w:color="auto" w:fill="auto"/>
            <w:noWrap/>
            <w:vAlign w:val="bottom"/>
          </w:tcPr>
          <w:p w14:paraId="73BFC9F2" w14:textId="77777777" w:rsidR="004F4C5A" w:rsidRPr="00060311" w:rsidRDefault="004F4C5A" w:rsidP="004F4C5A">
            <w:pPr>
              <w:rPr>
                <w:rFonts w:ascii="Arial" w:hAnsi="Arial" w:cs="Arial"/>
                <w:color w:val="000000"/>
                <w:sz w:val="18"/>
                <w:szCs w:val="18"/>
                <w:lang w:val="en-SG" w:eastAsia="en-SG"/>
              </w:rPr>
            </w:pPr>
          </w:p>
        </w:tc>
        <w:tc>
          <w:tcPr>
            <w:tcW w:w="144" w:type="pct"/>
            <w:shd w:val="clear" w:color="auto" w:fill="auto"/>
            <w:noWrap/>
            <w:vAlign w:val="bottom"/>
          </w:tcPr>
          <w:p w14:paraId="1FB33A48" w14:textId="77777777" w:rsidR="004F4C5A" w:rsidRPr="00060311" w:rsidRDefault="004F4C5A" w:rsidP="004F4C5A">
            <w:pPr>
              <w:rPr>
                <w:rFonts w:ascii="Arial" w:hAnsi="Arial" w:cs="Arial"/>
                <w:color w:val="000000"/>
                <w:sz w:val="18"/>
                <w:szCs w:val="18"/>
                <w:lang w:val="en-SG" w:eastAsia="en-SG"/>
              </w:rPr>
            </w:pPr>
          </w:p>
        </w:tc>
        <w:tc>
          <w:tcPr>
            <w:tcW w:w="635" w:type="pct"/>
            <w:tcBorders>
              <w:top w:val="double" w:sz="4" w:space="0" w:color="auto"/>
              <w:bottom w:val="single" w:sz="2" w:space="0" w:color="auto"/>
            </w:tcBorders>
            <w:shd w:val="clear" w:color="auto" w:fill="auto"/>
            <w:noWrap/>
            <w:vAlign w:val="bottom"/>
          </w:tcPr>
          <w:p w14:paraId="39CFAF41" w14:textId="77777777" w:rsidR="004F4C5A" w:rsidRPr="00060311" w:rsidRDefault="005270E7" w:rsidP="005F30D2">
            <w:pPr>
              <w:ind w:left="-213"/>
              <w:jc w:val="center"/>
              <w:rPr>
                <w:rFonts w:ascii="Arial" w:hAnsi="Arial" w:cs="Arial"/>
                <w:b/>
                <w:bCs/>
                <w:color w:val="000000"/>
                <w:sz w:val="18"/>
                <w:szCs w:val="18"/>
                <w:lang w:eastAsia="en-SG"/>
              </w:rPr>
            </w:pPr>
            <w:r w:rsidRPr="00060311">
              <w:rPr>
                <w:rFonts w:ascii="Arial" w:hAnsi="Arial" w:cs="Arial"/>
                <w:b/>
                <w:bCs/>
                <w:color w:val="000000"/>
                <w:sz w:val="18"/>
                <w:szCs w:val="18"/>
                <w:lang w:eastAsia="en-SG"/>
              </w:rPr>
              <w:t>2009</w:t>
            </w:r>
          </w:p>
        </w:tc>
        <w:tc>
          <w:tcPr>
            <w:tcW w:w="635" w:type="pct"/>
            <w:tcBorders>
              <w:top w:val="double" w:sz="4" w:space="0" w:color="auto"/>
              <w:bottom w:val="single" w:sz="2" w:space="0" w:color="auto"/>
            </w:tcBorders>
            <w:shd w:val="clear" w:color="auto" w:fill="auto"/>
            <w:noWrap/>
            <w:vAlign w:val="bottom"/>
          </w:tcPr>
          <w:p w14:paraId="6F8314F2" w14:textId="77777777" w:rsidR="004F4C5A" w:rsidRPr="00060311" w:rsidRDefault="005270E7" w:rsidP="005F30D2">
            <w:pPr>
              <w:ind w:left="-213"/>
              <w:jc w:val="center"/>
              <w:rPr>
                <w:rFonts w:ascii="Arial" w:hAnsi="Arial" w:cs="Arial"/>
                <w:b/>
                <w:bCs/>
                <w:color w:val="000000"/>
                <w:sz w:val="18"/>
                <w:szCs w:val="18"/>
                <w:lang w:eastAsia="en-SG"/>
              </w:rPr>
            </w:pPr>
            <w:r w:rsidRPr="00060311">
              <w:rPr>
                <w:rFonts w:ascii="Arial" w:hAnsi="Arial" w:cs="Arial"/>
                <w:b/>
                <w:bCs/>
                <w:color w:val="000000"/>
                <w:sz w:val="18"/>
                <w:szCs w:val="18"/>
                <w:lang w:eastAsia="en-SG"/>
              </w:rPr>
              <w:t>2010</w:t>
            </w:r>
          </w:p>
        </w:tc>
        <w:tc>
          <w:tcPr>
            <w:tcW w:w="635" w:type="pct"/>
            <w:tcBorders>
              <w:top w:val="double" w:sz="4" w:space="0" w:color="auto"/>
              <w:bottom w:val="single" w:sz="2" w:space="0" w:color="auto"/>
            </w:tcBorders>
            <w:shd w:val="clear" w:color="auto" w:fill="auto"/>
            <w:noWrap/>
            <w:vAlign w:val="bottom"/>
          </w:tcPr>
          <w:p w14:paraId="12C77AEF" w14:textId="77777777" w:rsidR="004F4C5A" w:rsidRPr="00060311" w:rsidRDefault="005270E7" w:rsidP="005F30D2">
            <w:pPr>
              <w:ind w:left="-213"/>
              <w:jc w:val="center"/>
              <w:rPr>
                <w:rFonts w:ascii="Arial" w:hAnsi="Arial" w:cs="Arial"/>
                <w:b/>
                <w:bCs/>
                <w:color w:val="000000"/>
                <w:sz w:val="18"/>
                <w:szCs w:val="18"/>
                <w:lang w:eastAsia="en-SG"/>
              </w:rPr>
            </w:pPr>
            <w:r w:rsidRPr="00060311">
              <w:rPr>
                <w:rFonts w:ascii="Arial" w:hAnsi="Arial" w:cs="Arial"/>
                <w:b/>
                <w:bCs/>
                <w:color w:val="000000"/>
                <w:sz w:val="18"/>
                <w:szCs w:val="18"/>
                <w:lang w:eastAsia="en-SG"/>
              </w:rPr>
              <w:t>2011</w:t>
            </w:r>
          </w:p>
        </w:tc>
        <w:tc>
          <w:tcPr>
            <w:tcW w:w="635" w:type="pct"/>
            <w:tcBorders>
              <w:top w:val="double" w:sz="4" w:space="0" w:color="auto"/>
              <w:bottom w:val="single" w:sz="2" w:space="0" w:color="auto"/>
            </w:tcBorders>
            <w:shd w:val="clear" w:color="auto" w:fill="auto"/>
            <w:noWrap/>
            <w:vAlign w:val="bottom"/>
          </w:tcPr>
          <w:p w14:paraId="09C3CF69" w14:textId="77777777" w:rsidR="004F4C5A" w:rsidRPr="00060311" w:rsidRDefault="005270E7" w:rsidP="005F30D2">
            <w:pPr>
              <w:ind w:left="-213"/>
              <w:jc w:val="center"/>
              <w:rPr>
                <w:rFonts w:ascii="Arial" w:hAnsi="Arial" w:cs="Arial"/>
                <w:b/>
                <w:bCs/>
                <w:color w:val="272625"/>
                <w:sz w:val="18"/>
                <w:szCs w:val="18"/>
                <w:lang w:eastAsia="en-SG"/>
              </w:rPr>
            </w:pPr>
            <w:r w:rsidRPr="00060311">
              <w:rPr>
                <w:rFonts w:ascii="Arial" w:hAnsi="Arial" w:cs="Arial"/>
                <w:b/>
                <w:bCs/>
                <w:color w:val="272625"/>
                <w:sz w:val="18"/>
                <w:szCs w:val="18"/>
                <w:lang w:eastAsia="en-SG"/>
              </w:rPr>
              <w:t>2012</w:t>
            </w:r>
          </w:p>
        </w:tc>
        <w:tc>
          <w:tcPr>
            <w:tcW w:w="635" w:type="pct"/>
            <w:tcBorders>
              <w:top w:val="double" w:sz="4" w:space="0" w:color="auto"/>
              <w:bottom w:val="single" w:sz="2" w:space="0" w:color="auto"/>
            </w:tcBorders>
            <w:shd w:val="clear" w:color="auto" w:fill="auto"/>
            <w:noWrap/>
            <w:vAlign w:val="bottom"/>
          </w:tcPr>
          <w:p w14:paraId="37F8A58B" w14:textId="77777777" w:rsidR="004F4C5A" w:rsidRPr="00060311" w:rsidRDefault="005270E7" w:rsidP="005F30D2">
            <w:pPr>
              <w:ind w:left="-213"/>
              <w:jc w:val="center"/>
              <w:rPr>
                <w:rFonts w:ascii="Arial" w:hAnsi="Arial" w:cs="Arial"/>
                <w:b/>
                <w:bCs/>
                <w:color w:val="000000"/>
                <w:sz w:val="18"/>
                <w:szCs w:val="18"/>
                <w:lang w:eastAsia="en-SG"/>
              </w:rPr>
            </w:pPr>
            <w:r w:rsidRPr="00060311">
              <w:rPr>
                <w:rFonts w:ascii="Arial" w:hAnsi="Arial" w:cs="Arial"/>
                <w:b/>
                <w:bCs/>
                <w:color w:val="000000"/>
                <w:sz w:val="18"/>
                <w:szCs w:val="18"/>
                <w:lang w:eastAsia="en-SG"/>
              </w:rPr>
              <w:t>2013</w:t>
            </w:r>
          </w:p>
        </w:tc>
      </w:tr>
      <w:tr w:rsidR="005270E7" w:rsidRPr="00060311" w14:paraId="74A54ADA" w14:textId="77777777" w:rsidTr="002561DB">
        <w:trPr>
          <w:trHeight w:val="285"/>
        </w:trPr>
        <w:tc>
          <w:tcPr>
            <w:tcW w:w="1683" w:type="pct"/>
            <w:shd w:val="clear" w:color="auto" w:fill="auto"/>
            <w:noWrap/>
            <w:vAlign w:val="bottom"/>
            <w:hideMark/>
          </w:tcPr>
          <w:p w14:paraId="1476C074" w14:textId="77777777" w:rsidR="005270E7" w:rsidRPr="00060311" w:rsidRDefault="005270E7" w:rsidP="005270E7">
            <w:pPr>
              <w:rPr>
                <w:rFonts w:ascii="Arial" w:hAnsi="Arial" w:cs="Arial"/>
                <w:color w:val="000000"/>
                <w:sz w:val="18"/>
                <w:szCs w:val="18"/>
                <w:lang w:val="en-SG" w:eastAsia="en-SG"/>
              </w:rPr>
            </w:pPr>
            <w:r w:rsidRPr="00060311">
              <w:rPr>
                <w:rFonts w:ascii="Arial" w:hAnsi="Arial" w:cs="Arial"/>
                <w:color w:val="000000"/>
                <w:sz w:val="18"/>
                <w:szCs w:val="18"/>
                <w:lang w:val="en-SG" w:eastAsia="en-SG"/>
              </w:rPr>
              <w:t xml:space="preserve">Singapore </w:t>
            </w:r>
          </w:p>
        </w:tc>
        <w:tc>
          <w:tcPr>
            <w:tcW w:w="144" w:type="pct"/>
            <w:shd w:val="clear" w:color="auto" w:fill="auto"/>
            <w:noWrap/>
            <w:vAlign w:val="bottom"/>
            <w:hideMark/>
          </w:tcPr>
          <w:p w14:paraId="2AC1D89D" w14:textId="77777777" w:rsidR="005270E7" w:rsidRPr="00060311" w:rsidRDefault="005270E7" w:rsidP="005270E7">
            <w:pPr>
              <w:rPr>
                <w:rFonts w:ascii="Arial" w:hAnsi="Arial" w:cs="Arial"/>
                <w:color w:val="000000"/>
                <w:sz w:val="18"/>
                <w:szCs w:val="18"/>
                <w:lang w:val="en-SG" w:eastAsia="en-SG"/>
              </w:rPr>
            </w:pPr>
          </w:p>
        </w:tc>
        <w:tc>
          <w:tcPr>
            <w:tcW w:w="635" w:type="pct"/>
            <w:shd w:val="clear" w:color="auto" w:fill="auto"/>
            <w:noWrap/>
            <w:vAlign w:val="bottom"/>
            <w:hideMark/>
          </w:tcPr>
          <w:p w14:paraId="699FDAE5" w14:textId="77777777" w:rsidR="005270E7" w:rsidRPr="00060311" w:rsidRDefault="005270E7" w:rsidP="005F30D2">
            <w:pPr>
              <w:ind w:left="-213"/>
              <w:jc w:val="right"/>
              <w:rPr>
                <w:rFonts w:ascii="Arial" w:hAnsi="Arial" w:cs="Arial"/>
                <w:color w:val="000000"/>
                <w:sz w:val="18"/>
                <w:szCs w:val="18"/>
              </w:rPr>
            </w:pPr>
            <w:r w:rsidRPr="00060311">
              <w:rPr>
                <w:rFonts w:ascii="Arial" w:hAnsi="Arial" w:cs="Arial"/>
                <w:color w:val="000000"/>
                <w:sz w:val="18"/>
                <w:szCs w:val="18"/>
              </w:rPr>
              <w:t>978,996.0</w:t>
            </w:r>
          </w:p>
        </w:tc>
        <w:tc>
          <w:tcPr>
            <w:tcW w:w="635" w:type="pct"/>
            <w:shd w:val="clear" w:color="auto" w:fill="auto"/>
            <w:noWrap/>
            <w:vAlign w:val="bottom"/>
            <w:hideMark/>
          </w:tcPr>
          <w:p w14:paraId="349D778E" w14:textId="77777777" w:rsidR="005270E7" w:rsidRPr="00060311" w:rsidRDefault="005270E7" w:rsidP="005F30D2">
            <w:pPr>
              <w:ind w:left="-213"/>
              <w:jc w:val="right"/>
              <w:rPr>
                <w:rFonts w:ascii="Arial" w:hAnsi="Arial" w:cs="Arial"/>
                <w:color w:val="000000"/>
                <w:sz w:val="18"/>
                <w:szCs w:val="18"/>
              </w:rPr>
            </w:pPr>
            <w:r w:rsidRPr="00060311">
              <w:rPr>
                <w:rFonts w:ascii="Arial" w:hAnsi="Arial" w:cs="Arial"/>
                <w:color w:val="000000"/>
                <w:sz w:val="18"/>
                <w:szCs w:val="18"/>
              </w:rPr>
              <w:t>1,200,843.0</w:t>
            </w:r>
          </w:p>
        </w:tc>
        <w:tc>
          <w:tcPr>
            <w:tcW w:w="635" w:type="pct"/>
            <w:shd w:val="clear" w:color="auto" w:fill="auto"/>
            <w:noWrap/>
            <w:vAlign w:val="bottom"/>
            <w:hideMark/>
          </w:tcPr>
          <w:p w14:paraId="18005FCD" w14:textId="77777777" w:rsidR="005270E7" w:rsidRPr="00060311" w:rsidRDefault="005270E7" w:rsidP="005F30D2">
            <w:pPr>
              <w:ind w:left="-213"/>
              <w:jc w:val="right"/>
              <w:rPr>
                <w:rFonts w:ascii="Arial" w:hAnsi="Arial" w:cs="Arial"/>
                <w:color w:val="000000"/>
                <w:sz w:val="18"/>
                <w:szCs w:val="18"/>
              </w:rPr>
            </w:pPr>
            <w:r w:rsidRPr="00060311">
              <w:rPr>
                <w:rFonts w:ascii="Arial" w:hAnsi="Arial" w:cs="Arial"/>
                <w:color w:val="000000"/>
                <w:sz w:val="18"/>
                <w:szCs w:val="18"/>
              </w:rPr>
              <w:t>1,074,765.0</w:t>
            </w:r>
          </w:p>
        </w:tc>
        <w:tc>
          <w:tcPr>
            <w:tcW w:w="635" w:type="pct"/>
            <w:shd w:val="clear" w:color="auto" w:fill="auto"/>
            <w:noWrap/>
            <w:vAlign w:val="bottom"/>
            <w:hideMark/>
          </w:tcPr>
          <w:p w14:paraId="6167ED73" w14:textId="77777777" w:rsidR="005270E7" w:rsidRPr="00060311" w:rsidRDefault="005270E7" w:rsidP="005F30D2">
            <w:pPr>
              <w:ind w:left="-213"/>
              <w:jc w:val="right"/>
              <w:rPr>
                <w:rFonts w:ascii="Arial" w:hAnsi="Arial" w:cs="Arial"/>
                <w:color w:val="000000"/>
                <w:sz w:val="18"/>
                <w:szCs w:val="18"/>
              </w:rPr>
            </w:pPr>
            <w:r w:rsidRPr="00060311">
              <w:rPr>
                <w:rFonts w:ascii="Arial" w:hAnsi="Arial" w:cs="Arial"/>
                <w:color w:val="000000"/>
                <w:sz w:val="18"/>
                <w:szCs w:val="18"/>
              </w:rPr>
              <w:t>1,169,706.0</w:t>
            </w:r>
          </w:p>
        </w:tc>
        <w:tc>
          <w:tcPr>
            <w:tcW w:w="635" w:type="pct"/>
            <w:shd w:val="clear" w:color="auto" w:fill="auto"/>
            <w:noWrap/>
            <w:vAlign w:val="bottom"/>
            <w:hideMark/>
          </w:tcPr>
          <w:p w14:paraId="6B0D3489" w14:textId="77777777" w:rsidR="005270E7" w:rsidRPr="00060311" w:rsidRDefault="005270E7" w:rsidP="005F30D2">
            <w:pPr>
              <w:ind w:left="-213"/>
              <w:jc w:val="right"/>
              <w:rPr>
                <w:rFonts w:ascii="Arial" w:hAnsi="Arial" w:cs="Arial"/>
                <w:color w:val="000000"/>
                <w:sz w:val="18"/>
                <w:szCs w:val="18"/>
              </w:rPr>
            </w:pPr>
            <w:r w:rsidRPr="00060311">
              <w:rPr>
                <w:rFonts w:ascii="Arial" w:hAnsi="Arial" w:cs="Arial"/>
                <w:color w:val="000000"/>
                <w:sz w:val="18"/>
                <w:szCs w:val="18"/>
              </w:rPr>
              <w:t>1,396,718.0</w:t>
            </w:r>
          </w:p>
        </w:tc>
      </w:tr>
      <w:tr w:rsidR="005270E7" w:rsidRPr="00060311" w14:paraId="43814E54" w14:textId="77777777" w:rsidTr="002561DB">
        <w:trPr>
          <w:trHeight w:val="285"/>
        </w:trPr>
        <w:tc>
          <w:tcPr>
            <w:tcW w:w="1683" w:type="pct"/>
            <w:shd w:val="clear" w:color="auto" w:fill="auto"/>
            <w:noWrap/>
            <w:vAlign w:val="bottom"/>
            <w:hideMark/>
          </w:tcPr>
          <w:p w14:paraId="04357A5F" w14:textId="77777777" w:rsidR="005270E7" w:rsidRPr="00060311" w:rsidRDefault="005270E7" w:rsidP="005270E7">
            <w:pPr>
              <w:rPr>
                <w:rFonts w:ascii="Arial" w:hAnsi="Arial" w:cs="Arial"/>
                <w:color w:val="000000"/>
                <w:sz w:val="18"/>
                <w:szCs w:val="18"/>
                <w:lang w:val="en-SG" w:eastAsia="en-SG"/>
              </w:rPr>
            </w:pPr>
            <w:r w:rsidRPr="00060311">
              <w:rPr>
                <w:rFonts w:ascii="Arial" w:hAnsi="Arial" w:cs="Arial"/>
                <w:color w:val="000000"/>
                <w:sz w:val="18"/>
                <w:szCs w:val="18"/>
                <w:lang w:val="en-SG" w:eastAsia="en-SG"/>
              </w:rPr>
              <w:t>China</w:t>
            </w:r>
          </w:p>
        </w:tc>
        <w:tc>
          <w:tcPr>
            <w:tcW w:w="144" w:type="pct"/>
            <w:shd w:val="clear" w:color="auto" w:fill="auto"/>
            <w:noWrap/>
            <w:vAlign w:val="bottom"/>
            <w:hideMark/>
          </w:tcPr>
          <w:p w14:paraId="12A434A7" w14:textId="77777777" w:rsidR="005270E7" w:rsidRPr="00060311" w:rsidRDefault="005270E7" w:rsidP="005270E7">
            <w:pPr>
              <w:rPr>
                <w:rFonts w:ascii="Arial" w:hAnsi="Arial" w:cs="Arial"/>
                <w:color w:val="000000"/>
                <w:sz w:val="18"/>
                <w:szCs w:val="18"/>
                <w:lang w:val="en-SG" w:eastAsia="en-SG"/>
              </w:rPr>
            </w:pPr>
          </w:p>
        </w:tc>
        <w:tc>
          <w:tcPr>
            <w:tcW w:w="635" w:type="pct"/>
            <w:shd w:val="clear" w:color="auto" w:fill="auto"/>
            <w:noWrap/>
            <w:vAlign w:val="bottom"/>
            <w:hideMark/>
          </w:tcPr>
          <w:p w14:paraId="4084AF9A" w14:textId="77777777" w:rsidR="005270E7" w:rsidRPr="00060311" w:rsidRDefault="005270E7" w:rsidP="005F30D2">
            <w:pPr>
              <w:ind w:left="-213"/>
              <w:jc w:val="right"/>
              <w:rPr>
                <w:rFonts w:ascii="Arial" w:hAnsi="Arial" w:cs="Arial"/>
                <w:color w:val="000000"/>
                <w:sz w:val="18"/>
                <w:szCs w:val="18"/>
              </w:rPr>
            </w:pPr>
            <w:r w:rsidRPr="00060311">
              <w:rPr>
                <w:rFonts w:ascii="Arial" w:hAnsi="Arial" w:cs="Arial"/>
                <w:color w:val="000000"/>
                <w:sz w:val="18"/>
                <w:szCs w:val="18"/>
              </w:rPr>
              <w:t>773,914.0</w:t>
            </w:r>
          </w:p>
        </w:tc>
        <w:tc>
          <w:tcPr>
            <w:tcW w:w="635" w:type="pct"/>
            <w:shd w:val="clear" w:color="auto" w:fill="auto"/>
            <w:noWrap/>
            <w:vAlign w:val="bottom"/>
            <w:hideMark/>
          </w:tcPr>
          <w:p w14:paraId="3D5184FB" w14:textId="77777777" w:rsidR="005270E7" w:rsidRPr="00060311" w:rsidRDefault="005270E7" w:rsidP="005F30D2">
            <w:pPr>
              <w:ind w:left="-213"/>
              <w:jc w:val="right"/>
              <w:rPr>
                <w:rFonts w:ascii="Arial" w:hAnsi="Arial" w:cs="Arial"/>
                <w:color w:val="000000"/>
                <w:sz w:val="18"/>
                <w:szCs w:val="18"/>
              </w:rPr>
            </w:pPr>
            <w:r w:rsidRPr="00060311">
              <w:rPr>
                <w:rFonts w:ascii="Arial" w:hAnsi="Arial" w:cs="Arial"/>
                <w:color w:val="000000"/>
                <w:sz w:val="18"/>
                <w:szCs w:val="18"/>
              </w:rPr>
              <w:t>711,336.0</w:t>
            </w:r>
          </w:p>
        </w:tc>
        <w:tc>
          <w:tcPr>
            <w:tcW w:w="635" w:type="pct"/>
            <w:shd w:val="clear" w:color="auto" w:fill="auto"/>
            <w:noWrap/>
            <w:vAlign w:val="bottom"/>
            <w:hideMark/>
          </w:tcPr>
          <w:p w14:paraId="7B676972" w14:textId="77777777" w:rsidR="005270E7" w:rsidRPr="00060311" w:rsidRDefault="005270E7" w:rsidP="005F30D2">
            <w:pPr>
              <w:ind w:left="-213"/>
              <w:jc w:val="right"/>
              <w:rPr>
                <w:rFonts w:ascii="Arial" w:hAnsi="Arial" w:cs="Arial"/>
                <w:color w:val="000000"/>
                <w:sz w:val="18"/>
                <w:szCs w:val="18"/>
              </w:rPr>
            </w:pPr>
            <w:r w:rsidRPr="00060311">
              <w:rPr>
                <w:rFonts w:ascii="Arial" w:hAnsi="Arial" w:cs="Arial"/>
                <w:color w:val="000000"/>
                <w:sz w:val="18"/>
                <w:szCs w:val="18"/>
              </w:rPr>
              <w:t>665,599.0</w:t>
            </w:r>
          </w:p>
        </w:tc>
        <w:tc>
          <w:tcPr>
            <w:tcW w:w="635" w:type="pct"/>
            <w:shd w:val="clear" w:color="auto" w:fill="auto"/>
            <w:noWrap/>
            <w:vAlign w:val="bottom"/>
            <w:hideMark/>
          </w:tcPr>
          <w:p w14:paraId="49453991" w14:textId="77777777" w:rsidR="005270E7" w:rsidRPr="00060311" w:rsidRDefault="005270E7" w:rsidP="005F30D2">
            <w:pPr>
              <w:ind w:left="-213"/>
              <w:jc w:val="right"/>
              <w:rPr>
                <w:rFonts w:ascii="Arial" w:hAnsi="Arial" w:cs="Arial"/>
                <w:color w:val="000000"/>
                <w:sz w:val="18"/>
                <w:szCs w:val="18"/>
              </w:rPr>
            </w:pPr>
            <w:r w:rsidRPr="00060311">
              <w:rPr>
                <w:rFonts w:ascii="Arial" w:hAnsi="Arial" w:cs="Arial"/>
                <w:color w:val="000000"/>
                <w:sz w:val="18"/>
                <w:szCs w:val="18"/>
              </w:rPr>
              <w:t>587,933.0</w:t>
            </w:r>
          </w:p>
        </w:tc>
        <w:tc>
          <w:tcPr>
            <w:tcW w:w="635" w:type="pct"/>
            <w:shd w:val="clear" w:color="auto" w:fill="auto"/>
            <w:noWrap/>
            <w:vAlign w:val="bottom"/>
            <w:hideMark/>
          </w:tcPr>
          <w:p w14:paraId="7FBE52F4" w14:textId="77777777" w:rsidR="005270E7" w:rsidRPr="00060311" w:rsidRDefault="005270E7" w:rsidP="005F30D2">
            <w:pPr>
              <w:ind w:left="-213"/>
              <w:jc w:val="right"/>
              <w:rPr>
                <w:rFonts w:ascii="Arial" w:hAnsi="Arial" w:cs="Arial"/>
                <w:color w:val="000000"/>
                <w:sz w:val="18"/>
                <w:szCs w:val="18"/>
              </w:rPr>
            </w:pPr>
            <w:r w:rsidRPr="00060311">
              <w:rPr>
                <w:rFonts w:ascii="Arial" w:hAnsi="Arial" w:cs="Arial"/>
                <w:color w:val="000000"/>
                <w:sz w:val="18"/>
                <w:szCs w:val="18"/>
              </w:rPr>
              <w:t>1,070,435.0</w:t>
            </w:r>
          </w:p>
        </w:tc>
      </w:tr>
      <w:tr w:rsidR="005270E7" w:rsidRPr="00060311" w14:paraId="4DCFA7EC" w14:textId="77777777" w:rsidTr="002561DB">
        <w:trPr>
          <w:trHeight w:val="285"/>
        </w:trPr>
        <w:tc>
          <w:tcPr>
            <w:tcW w:w="1683" w:type="pct"/>
            <w:shd w:val="clear" w:color="auto" w:fill="auto"/>
            <w:noWrap/>
            <w:vAlign w:val="bottom"/>
            <w:hideMark/>
          </w:tcPr>
          <w:p w14:paraId="52A6D7BD" w14:textId="39D254A3" w:rsidR="005270E7" w:rsidRPr="00060311" w:rsidRDefault="005270E7" w:rsidP="005270E7">
            <w:pPr>
              <w:rPr>
                <w:rFonts w:ascii="Arial" w:hAnsi="Arial" w:cs="Arial"/>
                <w:color w:val="000000"/>
                <w:sz w:val="18"/>
                <w:szCs w:val="18"/>
                <w:lang w:val="en-SG" w:eastAsia="en-SG"/>
              </w:rPr>
            </w:pPr>
            <w:r w:rsidRPr="00060311">
              <w:rPr>
                <w:rFonts w:ascii="Arial" w:hAnsi="Arial" w:cs="Arial"/>
                <w:color w:val="000000"/>
                <w:sz w:val="18"/>
                <w:szCs w:val="18"/>
                <w:lang w:val="en-SG" w:eastAsia="en-SG"/>
              </w:rPr>
              <w:t>Other Asia</w:t>
            </w:r>
            <w:r w:rsidR="008671C0">
              <w:rPr>
                <w:rFonts w:ascii="Arial" w:hAnsi="Arial" w:cs="Arial"/>
                <w:color w:val="000000"/>
                <w:sz w:val="18"/>
                <w:szCs w:val="18"/>
                <w:lang w:val="en-SG" w:eastAsia="en-SG"/>
              </w:rPr>
              <w:t>n Countries</w:t>
            </w:r>
          </w:p>
        </w:tc>
        <w:tc>
          <w:tcPr>
            <w:tcW w:w="144" w:type="pct"/>
            <w:shd w:val="clear" w:color="auto" w:fill="auto"/>
            <w:noWrap/>
            <w:vAlign w:val="bottom"/>
            <w:hideMark/>
          </w:tcPr>
          <w:p w14:paraId="65AF44BA" w14:textId="77777777" w:rsidR="005270E7" w:rsidRPr="00060311" w:rsidRDefault="005270E7" w:rsidP="005270E7">
            <w:pPr>
              <w:rPr>
                <w:rFonts w:ascii="Arial" w:hAnsi="Arial" w:cs="Arial"/>
                <w:color w:val="000000"/>
                <w:sz w:val="18"/>
                <w:szCs w:val="18"/>
                <w:lang w:val="en-SG" w:eastAsia="en-SG"/>
              </w:rPr>
            </w:pPr>
          </w:p>
        </w:tc>
        <w:tc>
          <w:tcPr>
            <w:tcW w:w="635" w:type="pct"/>
            <w:shd w:val="clear" w:color="auto" w:fill="auto"/>
            <w:noWrap/>
            <w:vAlign w:val="bottom"/>
            <w:hideMark/>
          </w:tcPr>
          <w:p w14:paraId="0FEC6FF6" w14:textId="77777777" w:rsidR="005270E7" w:rsidRPr="00060311" w:rsidRDefault="005270E7" w:rsidP="005F30D2">
            <w:pPr>
              <w:ind w:left="-213"/>
              <w:jc w:val="right"/>
              <w:rPr>
                <w:rFonts w:ascii="Arial" w:hAnsi="Arial" w:cs="Arial"/>
                <w:color w:val="000000"/>
                <w:sz w:val="18"/>
                <w:szCs w:val="18"/>
              </w:rPr>
            </w:pPr>
            <w:r w:rsidRPr="00060311">
              <w:rPr>
                <w:rFonts w:ascii="Arial" w:hAnsi="Arial" w:cs="Arial"/>
                <w:color w:val="000000"/>
                <w:sz w:val="18"/>
                <w:szCs w:val="18"/>
              </w:rPr>
              <w:t>163,291.0</w:t>
            </w:r>
          </w:p>
        </w:tc>
        <w:tc>
          <w:tcPr>
            <w:tcW w:w="635" w:type="pct"/>
            <w:shd w:val="clear" w:color="auto" w:fill="auto"/>
            <w:noWrap/>
            <w:vAlign w:val="bottom"/>
            <w:hideMark/>
          </w:tcPr>
          <w:p w14:paraId="7C8FE26A" w14:textId="77777777" w:rsidR="005270E7" w:rsidRPr="00060311" w:rsidRDefault="005270E7" w:rsidP="005F30D2">
            <w:pPr>
              <w:ind w:left="-213"/>
              <w:jc w:val="right"/>
              <w:rPr>
                <w:rFonts w:ascii="Arial" w:hAnsi="Arial" w:cs="Arial"/>
                <w:color w:val="000000"/>
                <w:sz w:val="18"/>
                <w:szCs w:val="18"/>
              </w:rPr>
            </w:pPr>
            <w:r w:rsidRPr="00060311">
              <w:rPr>
                <w:rFonts w:ascii="Arial" w:hAnsi="Arial" w:cs="Arial"/>
                <w:color w:val="000000"/>
                <w:sz w:val="18"/>
                <w:szCs w:val="18"/>
              </w:rPr>
              <w:t>291,706.0</w:t>
            </w:r>
          </w:p>
        </w:tc>
        <w:tc>
          <w:tcPr>
            <w:tcW w:w="635" w:type="pct"/>
            <w:shd w:val="clear" w:color="auto" w:fill="auto"/>
            <w:noWrap/>
            <w:vAlign w:val="bottom"/>
            <w:hideMark/>
          </w:tcPr>
          <w:p w14:paraId="36EE0999" w14:textId="77777777" w:rsidR="005270E7" w:rsidRPr="00060311" w:rsidRDefault="005270E7" w:rsidP="005F30D2">
            <w:pPr>
              <w:ind w:left="-213"/>
              <w:jc w:val="right"/>
              <w:rPr>
                <w:rFonts w:ascii="Arial" w:hAnsi="Arial" w:cs="Arial"/>
                <w:color w:val="000000"/>
                <w:sz w:val="18"/>
                <w:szCs w:val="18"/>
              </w:rPr>
            </w:pPr>
            <w:r w:rsidRPr="00060311">
              <w:rPr>
                <w:rFonts w:ascii="Arial" w:hAnsi="Arial" w:cs="Arial"/>
                <w:color w:val="000000"/>
                <w:sz w:val="18"/>
                <w:szCs w:val="18"/>
              </w:rPr>
              <w:t>156,354.0</w:t>
            </w:r>
          </w:p>
        </w:tc>
        <w:tc>
          <w:tcPr>
            <w:tcW w:w="635" w:type="pct"/>
            <w:shd w:val="clear" w:color="auto" w:fill="auto"/>
            <w:noWrap/>
            <w:vAlign w:val="bottom"/>
            <w:hideMark/>
          </w:tcPr>
          <w:p w14:paraId="64F30D9E" w14:textId="77777777" w:rsidR="005270E7" w:rsidRPr="00060311" w:rsidRDefault="005270E7" w:rsidP="005F30D2">
            <w:pPr>
              <w:ind w:left="-213"/>
              <w:jc w:val="right"/>
              <w:rPr>
                <w:rFonts w:ascii="Arial" w:hAnsi="Arial" w:cs="Arial"/>
                <w:color w:val="000000"/>
                <w:sz w:val="18"/>
                <w:szCs w:val="18"/>
              </w:rPr>
            </w:pPr>
            <w:r w:rsidRPr="00060311">
              <w:rPr>
                <w:rFonts w:ascii="Arial" w:hAnsi="Arial" w:cs="Arial"/>
                <w:color w:val="000000"/>
                <w:sz w:val="18"/>
                <w:szCs w:val="18"/>
              </w:rPr>
              <w:t>139,896.0</w:t>
            </w:r>
          </w:p>
        </w:tc>
        <w:tc>
          <w:tcPr>
            <w:tcW w:w="635" w:type="pct"/>
            <w:shd w:val="clear" w:color="auto" w:fill="auto"/>
            <w:noWrap/>
            <w:vAlign w:val="bottom"/>
            <w:hideMark/>
          </w:tcPr>
          <w:p w14:paraId="5B5E5AD6" w14:textId="77777777" w:rsidR="005270E7" w:rsidRPr="00060311" w:rsidRDefault="005270E7" w:rsidP="005F30D2">
            <w:pPr>
              <w:ind w:left="-213"/>
              <w:jc w:val="right"/>
              <w:rPr>
                <w:rFonts w:ascii="Arial" w:hAnsi="Arial" w:cs="Arial"/>
                <w:color w:val="000000"/>
                <w:sz w:val="18"/>
                <w:szCs w:val="18"/>
              </w:rPr>
            </w:pPr>
            <w:r w:rsidRPr="00060311">
              <w:rPr>
                <w:rFonts w:ascii="Arial" w:hAnsi="Arial" w:cs="Arial"/>
                <w:color w:val="000000"/>
                <w:sz w:val="18"/>
                <w:szCs w:val="18"/>
              </w:rPr>
              <w:t>222,902.0</w:t>
            </w:r>
          </w:p>
        </w:tc>
      </w:tr>
      <w:tr w:rsidR="005270E7" w:rsidRPr="00060311" w14:paraId="0073773C" w14:textId="77777777" w:rsidTr="002561DB">
        <w:trPr>
          <w:trHeight w:val="285"/>
        </w:trPr>
        <w:tc>
          <w:tcPr>
            <w:tcW w:w="1683" w:type="pct"/>
            <w:shd w:val="clear" w:color="auto" w:fill="auto"/>
            <w:noWrap/>
            <w:vAlign w:val="bottom"/>
            <w:hideMark/>
          </w:tcPr>
          <w:p w14:paraId="3269DCF4" w14:textId="77777777" w:rsidR="005270E7" w:rsidRPr="00060311" w:rsidRDefault="005270E7" w:rsidP="005270E7">
            <w:pPr>
              <w:rPr>
                <w:rFonts w:ascii="Arial" w:hAnsi="Arial" w:cs="Arial"/>
                <w:color w:val="000000"/>
                <w:sz w:val="18"/>
                <w:szCs w:val="18"/>
                <w:lang w:val="en-SG" w:eastAsia="en-SG"/>
              </w:rPr>
            </w:pPr>
            <w:r w:rsidRPr="00060311">
              <w:rPr>
                <w:rFonts w:ascii="Arial" w:hAnsi="Arial" w:cs="Arial"/>
                <w:color w:val="000000"/>
                <w:sz w:val="18"/>
                <w:szCs w:val="18"/>
                <w:lang w:val="en-SG" w:eastAsia="en-SG"/>
              </w:rPr>
              <w:t>Australia</w:t>
            </w:r>
          </w:p>
        </w:tc>
        <w:tc>
          <w:tcPr>
            <w:tcW w:w="144" w:type="pct"/>
            <w:shd w:val="clear" w:color="auto" w:fill="auto"/>
            <w:noWrap/>
            <w:vAlign w:val="bottom"/>
            <w:hideMark/>
          </w:tcPr>
          <w:p w14:paraId="224E5CC7" w14:textId="77777777" w:rsidR="005270E7" w:rsidRPr="00060311" w:rsidRDefault="005270E7" w:rsidP="005270E7">
            <w:pPr>
              <w:rPr>
                <w:rFonts w:ascii="Arial" w:hAnsi="Arial" w:cs="Arial"/>
                <w:color w:val="000000"/>
                <w:sz w:val="18"/>
                <w:szCs w:val="18"/>
                <w:lang w:val="en-SG" w:eastAsia="en-SG"/>
              </w:rPr>
            </w:pPr>
          </w:p>
        </w:tc>
        <w:tc>
          <w:tcPr>
            <w:tcW w:w="635" w:type="pct"/>
            <w:shd w:val="clear" w:color="auto" w:fill="auto"/>
            <w:noWrap/>
            <w:vAlign w:val="bottom"/>
            <w:hideMark/>
          </w:tcPr>
          <w:p w14:paraId="3349F37E" w14:textId="77777777" w:rsidR="005270E7" w:rsidRPr="00060311" w:rsidRDefault="005270E7" w:rsidP="005F30D2">
            <w:pPr>
              <w:ind w:left="-213"/>
              <w:jc w:val="right"/>
              <w:rPr>
                <w:rFonts w:ascii="Arial" w:hAnsi="Arial" w:cs="Arial"/>
                <w:color w:val="000000"/>
                <w:sz w:val="18"/>
                <w:szCs w:val="18"/>
              </w:rPr>
            </w:pPr>
            <w:r w:rsidRPr="00060311">
              <w:rPr>
                <w:rFonts w:ascii="Arial" w:hAnsi="Arial" w:cs="Arial"/>
                <w:color w:val="000000"/>
                <w:sz w:val="18"/>
                <w:szCs w:val="18"/>
              </w:rPr>
              <w:t>755,789.0</w:t>
            </w:r>
          </w:p>
        </w:tc>
        <w:tc>
          <w:tcPr>
            <w:tcW w:w="635" w:type="pct"/>
            <w:shd w:val="clear" w:color="auto" w:fill="auto"/>
            <w:noWrap/>
            <w:vAlign w:val="bottom"/>
            <w:hideMark/>
          </w:tcPr>
          <w:p w14:paraId="370F0144" w14:textId="77777777" w:rsidR="005270E7" w:rsidRPr="00060311" w:rsidRDefault="005270E7" w:rsidP="005F30D2">
            <w:pPr>
              <w:ind w:left="-213"/>
              <w:jc w:val="right"/>
              <w:rPr>
                <w:rFonts w:ascii="Arial" w:hAnsi="Arial" w:cs="Arial"/>
                <w:color w:val="000000"/>
                <w:sz w:val="18"/>
                <w:szCs w:val="18"/>
              </w:rPr>
            </w:pPr>
            <w:r w:rsidRPr="00060311">
              <w:rPr>
                <w:rFonts w:ascii="Arial" w:hAnsi="Arial" w:cs="Arial"/>
                <w:color w:val="000000"/>
                <w:sz w:val="18"/>
                <w:szCs w:val="18"/>
              </w:rPr>
              <w:t>916,159.0</w:t>
            </w:r>
          </w:p>
        </w:tc>
        <w:tc>
          <w:tcPr>
            <w:tcW w:w="635" w:type="pct"/>
            <w:shd w:val="clear" w:color="auto" w:fill="auto"/>
            <w:noWrap/>
            <w:vAlign w:val="bottom"/>
            <w:hideMark/>
          </w:tcPr>
          <w:p w14:paraId="55B05509" w14:textId="77777777" w:rsidR="005270E7" w:rsidRPr="00060311" w:rsidRDefault="005270E7" w:rsidP="005F30D2">
            <w:pPr>
              <w:ind w:left="-213"/>
              <w:jc w:val="right"/>
              <w:rPr>
                <w:rFonts w:ascii="Arial" w:hAnsi="Arial" w:cs="Arial"/>
                <w:color w:val="000000"/>
                <w:sz w:val="18"/>
                <w:szCs w:val="18"/>
              </w:rPr>
            </w:pPr>
            <w:r w:rsidRPr="00060311">
              <w:rPr>
                <w:rFonts w:ascii="Arial" w:hAnsi="Arial" w:cs="Arial"/>
                <w:color w:val="000000"/>
                <w:sz w:val="18"/>
                <w:szCs w:val="18"/>
              </w:rPr>
              <w:t>890,213.0</w:t>
            </w:r>
          </w:p>
        </w:tc>
        <w:tc>
          <w:tcPr>
            <w:tcW w:w="635" w:type="pct"/>
            <w:shd w:val="clear" w:color="auto" w:fill="auto"/>
            <w:noWrap/>
            <w:vAlign w:val="bottom"/>
            <w:hideMark/>
          </w:tcPr>
          <w:p w14:paraId="68BB111C" w14:textId="77777777" w:rsidR="005270E7" w:rsidRPr="00060311" w:rsidRDefault="005270E7" w:rsidP="005F30D2">
            <w:pPr>
              <w:ind w:left="-213"/>
              <w:jc w:val="right"/>
              <w:rPr>
                <w:rFonts w:ascii="Arial" w:hAnsi="Arial" w:cs="Arial"/>
                <w:color w:val="000000"/>
                <w:sz w:val="18"/>
                <w:szCs w:val="18"/>
              </w:rPr>
            </w:pPr>
            <w:r w:rsidRPr="00060311">
              <w:rPr>
                <w:rFonts w:ascii="Arial" w:hAnsi="Arial" w:cs="Arial"/>
                <w:color w:val="000000"/>
                <w:sz w:val="18"/>
                <w:szCs w:val="18"/>
              </w:rPr>
              <w:t>1,182,289.0</w:t>
            </w:r>
          </w:p>
        </w:tc>
        <w:tc>
          <w:tcPr>
            <w:tcW w:w="635" w:type="pct"/>
            <w:shd w:val="clear" w:color="auto" w:fill="auto"/>
            <w:noWrap/>
            <w:vAlign w:val="bottom"/>
            <w:hideMark/>
          </w:tcPr>
          <w:p w14:paraId="6B8C4D04" w14:textId="77777777" w:rsidR="005270E7" w:rsidRPr="00060311" w:rsidRDefault="005270E7" w:rsidP="005F30D2">
            <w:pPr>
              <w:ind w:left="-213"/>
              <w:jc w:val="right"/>
              <w:rPr>
                <w:rFonts w:ascii="Arial" w:hAnsi="Arial" w:cs="Arial"/>
                <w:color w:val="000000"/>
                <w:sz w:val="18"/>
                <w:szCs w:val="18"/>
              </w:rPr>
            </w:pPr>
            <w:r w:rsidRPr="00060311">
              <w:rPr>
                <w:rFonts w:ascii="Arial" w:hAnsi="Arial" w:cs="Arial"/>
                <w:color w:val="000000"/>
                <w:sz w:val="18"/>
                <w:szCs w:val="18"/>
              </w:rPr>
              <w:t>1,065,689.0</w:t>
            </w:r>
          </w:p>
        </w:tc>
      </w:tr>
      <w:tr w:rsidR="005270E7" w:rsidRPr="00060311" w14:paraId="6A7F0AAE" w14:textId="77777777" w:rsidTr="008A500E">
        <w:trPr>
          <w:trHeight w:val="285"/>
        </w:trPr>
        <w:tc>
          <w:tcPr>
            <w:tcW w:w="1827" w:type="pct"/>
            <w:gridSpan w:val="2"/>
            <w:tcBorders>
              <w:bottom w:val="single" w:sz="2" w:space="0" w:color="auto"/>
            </w:tcBorders>
            <w:shd w:val="clear" w:color="auto" w:fill="auto"/>
            <w:noWrap/>
            <w:vAlign w:val="bottom"/>
            <w:hideMark/>
          </w:tcPr>
          <w:p w14:paraId="68B1F81C" w14:textId="77777777" w:rsidR="005270E7" w:rsidRPr="00060311" w:rsidRDefault="005270E7" w:rsidP="005270E7">
            <w:pPr>
              <w:rPr>
                <w:rFonts w:ascii="Arial" w:hAnsi="Arial" w:cs="Arial"/>
                <w:color w:val="000000"/>
                <w:sz w:val="18"/>
                <w:szCs w:val="18"/>
                <w:lang w:val="en-SG" w:eastAsia="en-SG"/>
              </w:rPr>
            </w:pPr>
            <w:r w:rsidRPr="00060311">
              <w:rPr>
                <w:rFonts w:ascii="Arial" w:hAnsi="Arial" w:cs="Arial"/>
                <w:color w:val="000000"/>
                <w:sz w:val="18"/>
                <w:szCs w:val="18"/>
                <w:lang w:val="en-SG" w:eastAsia="en-SG"/>
              </w:rPr>
              <w:t>Europe and Others</w:t>
            </w:r>
          </w:p>
        </w:tc>
        <w:tc>
          <w:tcPr>
            <w:tcW w:w="635" w:type="pct"/>
            <w:tcBorders>
              <w:bottom w:val="single" w:sz="2" w:space="0" w:color="auto"/>
            </w:tcBorders>
            <w:shd w:val="clear" w:color="auto" w:fill="auto"/>
            <w:noWrap/>
            <w:vAlign w:val="bottom"/>
            <w:hideMark/>
          </w:tcPr>
          <w:p w14:paraId="0E8836AC" w14:textId="77777777" w:rsidR="005270E7" w:rsidRPr="00060311" w:rsidRDefault="005270E7" w:rsidP="005F30D2">
            <w:pPr>
              <w:ind w:left="-213"/>
              <w:jc w:val="right"/>
              <w:rPr>
                <w:rFonts w:ascii="Arial" w:hAnsi="Arial" w:cs="Arial"/>
                <w:color w:val="000000"/>
                <w:sz w:val="18"/>
                <w:szCs w:val="18"/>
                <w:lang w:val="en-SG" w:eastAsia="en-SG"/>
              </w:rPr>
            </w:pPr>
            <w:r w:rsidRPr="00060311">
              <w:rPr>
                <w:rFonts w:ascii="Arial" w:hAnsi="Arial" w:cs="Arial"/>
                <w:color w:val="000000"/>
                <w:sz w:val="18"/>
                <w:szCs w:val="18"/>
                <w:lang w:val="en-SG" w:eastAsia="en-SG"/>
              </w:rPr>
              <w:t>262,698.0</w:t>
            </w:r>
          </w:p>
        </w:tc>
        <w:tc>
          <w:tcPr>
            <w:tcW w:w="635" w:type="pct"/>
            <w:tcBorders>
              <w:bottom w:val="single" w:sz="2" w:space="0" w:color="auto"/>
            </w:tcBorders>
            <w:shd w:val="clear" w:color="auto" w:fill="auto"/>
            <w:noWrap/>
            <w:vAlign w:val="bottom"/>
            <w:hideMark/>
          </w:tcPr>
          <w:p w14:paraId="1AA62407" w14:textId="77777777" w:rsidR="005270E7" w:rsidRPr="00060311" w:rsidRDefault="005270E7" w:rsidP="005F30D2">
            <w:pPr>
              <w:ind w:left="-213"/>
              <w:jc w:val="right"/>
              <w:rPr>
                <w:rFonts w:ascii="Arial" w:hAnsi="Arial" w:cs="Arial"/>
                <w:color w:val="000000"/>
                <w:sz w:val="18"/>
                <w:szCs w:val="18"/>
              </w:rPr>
            </w:pPr>
            <w:r w:rsidRPr="00060311">
              <w:rPr>
                <w:rFonts w:ascii="Arial" w:hAnsi="Arial" w:cs="Arial"/>
                <w:color w:val="000000"/>
                <w:sz w:val="18"/>
                <w:szCs w:val="18"/>
              </w:rPr>
              <w:t>285,469.0</w:t>
            </w:r>
          </w:p>
        </w:tc>
        <w:tc>
          <w:tcPr>
            <w:tcW w:w="635" w:type="pct"/>
            <w:tcBorders>
              <w:bottom w:val="single" w:sz="2" w:space="0" w:color="auto"/>
            </w:tcBorders>
            <w:shd w:val="clear" w:color="auto" w:fill="auto"/>
            <w:noWrap/>
            <w:vAlign w:val="bottom"/>
            <w:hideMark/>
          </w:tcPr>
          <w:p w14:paraId="72C0D537" w14:textId="77777777" w:rsidR="005270E7" w:rsidRPr="00060311" w:rsidRDefault="005270E7" w:rsidP="005F30D2">
            <w:pPr>
              <w:ind w:left="-213"/>
              <w:jc w:val="right"/>
              <w:rPr>
                <w:rFonts w:ascii="Arial" w:hAnsi="Arial" w:cs="Arial"/>
                <w:color w:val="000000"/>
                <w:sz w:val="18"/>
                <w:szCs w:val="18"/>
              </w:rPr>
            </w:pPr>
            <w:r w:rsidRPr="00060311">
              <w:rPr>
                <w:rFonts w:ascii="Arial" w:hAnsi="Arial" w:cs="Arial"/>
                <w:color w:val="000000"/>
                <w:sz w:val="18"/>
                <w:szCs w:val="18"/>
              </w:rPr>
              <w:t>262,698.0</w:t>
            </w:r>
          </w:p>
        </w:tc>
        <w:tc>
          <w:tcPr>
            <w:tcW w:w="635" w:type="pct"/>
            <w:tcBorders>
              <w:bottom w:val="single" w:sz="2" w:space="0" w:color="auto"/>
            </w:tcBorders>
            <w:shd w:val="clear" w:color="auto" w:fill="auto"/>
            <w:noWrap/>
            <w:vAlign w:val="bottom"/>
            <w:hideMark/>
          </w:tcPr>
          <w:p w14:paraId="6AC0936B" w14:textId="77777777" w:rsidR="005270E7" w:rsidRPr="00060311" w:rsidRDefault="005270E7" w:rsidP="005F30D2">
            <w:pPr>
              <w:ind w:left="-213"/>
              <w:jc w:val="right"/>
              <w:rPr>
                <w:rFonts w:ascii="Arial" w:hAnsi="Arial" w:cs="Arial"/>
                <w:color w:val="000000"/>
                <w:sz w:val="18"/>
                <w:szCs w:val="18"/>
              </w:rPr>
            </w:pPr>
            <w:r w:rsidRPr="00060311">
              <w:rPr>
                <w:rFonts w:ascii="Arial" w:hAnsi="Arial" w:cs="Arial"/>
                <w:color w:val="000000"/>
                <w:sz w:val="18"/>
                <w:szCs w:val="18"/>
              </w:rPr>
              <w:t>232,638.0</w:t>
            </w:r>
          </w:p>
        </w:tc>
        <w:tc>
          <w:tcPr>
            <w:tcW w:w="635" w:type="pct"/>
            <w:tcBorders>
              <w:bottom w:val="single" w:sz="2" w:space="0" w:color="auto"/>
            </w:tcBorders>
            <w:shd w:val="clear" w:color="auto" w:fill="auto"/>
            <w:noWrap/>
            <w:vAlign w:val="bottom"/>
            <w:hideMark/>
          </w:tcPr>
          <w:p w14:paraId="78E45432" w14:textId="77777777" w:rsidR="005270E7" w:rsidRPr="00060311" w:rsidRDefault="005270E7" w:rsidP="005F30D2">
            <w:pPr>
              <w:ind w:left="-213"/>
              <w:jc w:val="right"/>
              <w:rPr>
                <w:rFonts w:ascii="Arial" w:hAnsi="Arial" w:cs="Arial"/>
                <w:color w:val="000000"/>
                <w:sz w:val="18"/>
                <w:szCs w:val="18"/>
              </w:rPr>
            </w:pPr>
            <w:r w:rsidRPr="00060311">
              <w:rPr>
                <w:rFonts w:ascii="Arial" w:hAnsi="Arial" w:cs="Arial"/>
                <w:color w:val="000000"/>
                <w:sz w:val="18"/>
                <w:szCs w:val="18"/>
              </w:rPr>
              <w:t>221,539.0</w:t>
            </w:r>
          </w:p>
        </w:tc>
      </w:tr>
      <w:tr w:rsidR="005270E7" w:rsidRPr="00060311" w14:paraId="6CFF8EF2" w14:textId="77777777" w:rsidTr="008A500E">
        <w:trPr>
          <w:trHeight w:val="319"/>
        </w:trPr>
        <w:tc>
          <w:tcPr>
            <w:tcW w:w="1683" w:type="pct"/>
            <w:tcBorders>
              <w:top w:val="single" w:sz="2" w:space="0" w:color="auto"/>
              <w:bottom w:val="double" w:sz="4" w:space="0" w:color="auto"/>
            </w:tcBorders>
            <w:shd w:val="clear" w:color="auto" w:fill="auto"/>
            <w:noWrap/>
            <w:vAlign w:val="bottom"/>
            <w:hideMark/>
          </w:tcPr>
          <w:p w14:paraId="26C9B39E" w14:textId="77777777" w:rsidR="005270E7" w:rsidRPr="00060311" w:rsidRDefault="005270E7" w:rsidP="005270E7">
            <w:pPr>
              <w:rPr>
                <w:rFonts w:ascii="Arial" w:hAnsi="Arial" w:cs="Arial"/>
                <w:b/>
                <w:bCs/>
                <w:color w:val="000000"/>
                <w:sz w:val="18"/>
                <w:szCs w:val="18"/>
                <w:lang w:val="en-SG" w:eastAsia="en-SG"/>
              </w:rPr>
            </w:pPr>
            <w:r w:rsidRPr="00060311">
              <w:rPr>
                <w:rFonts w:ascii="Arial" w:hAnsi="Arial" w:cs="Arial"/>
                <w:b/>
                <w:bCs/>
                <w:color w:val="000000"/>
                <w:sz w:val="18"/>
                <w:szCs w:val="18"/>
                <w:lang w:val="en-SG" w:eastAsia="en-SG"/>
              </w:rPr>
              <w:t>Total</w:t>
            </w:r>
          </w:p>
        </w:tc>
        <w:tc>
          <w:tcPr>
            <w:tcW w:w="144" w:type="pct"/>
            <w:tcBorders>
              <w:top w:val="single" w:sz="2" w:space="0" w:color="auto"/>
              <w:bottom w:val="double" w:sz="4" w:space="0" w:color="auto"/>
            </w:tcBorders>
            <w:shd w:val="clear" w:color="auto" w:fill="auto"/>
            <w:noWrap/>
            <w:vAlign w:val="bottom"/>
            <w:hideMark/>
          </w:tcPr>
          <w:p w14:paraId="22FC7849" w14:textId="77777777" w:rsidR="005270E7" w:rsidRPr="00060311" w:rsidRDefault="005270E7" w:rsidP="005270E7">
            <w:pPr>
              <w:rPr>
                <w:rFonts w:ascii="Arial" w:hAnsi="Arial" w:cs="Arial"/>
                <w:b/>
                <w:bCs/>
                <w:color w:val="000000"/>
                <w:sz w:val="18"/>
                <w:szCs w:val="18"/>
                <w:lang w:val="en-SG" w:eastAsia="en-SG"/>
              </w:rPr>
            </w:pPr>
          </w:p>
        </w:tc>
        <w:tc>
          <w:tcPr>
            <w:tcW w:w="635" w:type="pct"/>
            <w:tcBorders>
              <w:top w:val="single" w:sz="2" w:space="0" w:color="auto"/>
              <w:bottom w:val="double" w:sz="4" w:space="0" w:color="auto"/>
            </w:tcBorders>
            <w:shd w:val="clear" w:color="auto" w:fill="auto"/>
            <w:noWrap/>
            <w:vAlign w:val="bottom"/>
            <w:hideMark/>
          </w:tcPr>
          <w:p w14:paraId="4A9F51B9" w14:textId="77777777" w:rsidR="005270E7" w:rsidRPr="00060311" w:rsidRDefault="005270E7" w:rsidP="005F30D2">
            <w:pPr>
              <w:ind w:left="-213"/>
              <w:jc w:val="right"/>
              <w:rPr>
                <w:rFonts w:ascii="Arial" w:hAnsi="Arial" w:cs="Arial"/>
                <w:b/>
                <w:bCs/>
                <w:color w:val="000000"/>
                <w:sz w:val="18"/>
                <w:szCs w:val="18"/>
              </w:rPr>
            </w:pPr>
            <w:r w:rsidRPr="00060311">
              <w:rPr>
                <w:rFonts w:ascii="Arial" w:hAnsi="Arial" w:cs="Arial"/>
                <w:b/>
                <w:bCs/>
                <w:color w:val="000000"/>
                <w:sz w:val="18"/>
                <w:szCs w:val="18"/>
              </w:rPr>
              <w:t>2,957,459.0</w:t>
            </w:r>
          </w:p>
        </w:tc>
        <w:tc>
          <w:tcPr>
            <w:tcW w:w="635" w:type="pct"/>
            <w:tcBorders>
              <w:top w:val="single" w:sz="2" w:space="0" w:color="auto"/>
              <w:bottom w:val="double" w:sz="4" w:space="0" w:color="auto"/>
            </w:tcBorders>
            <w:shd w:val="clear" w:color="auto" w:fill="auto"/>
            <w:noWrap/>
            <w:vAlign w:val="bottom"/>
            <w:hideMark/>
          </w:tcPr>
          <w:p w14:paraId="5D0F11CD" w14:textId="77777777" w:rsidR="005270E7" w:rsidRPr="00060311" w:rsidRDefault="005270E7" w:rsidP="005F30D2">
            <w:pPr>
              <w:ind w:left="-213"/>
              <w:jc w:val="right"/>
              <w:rPr>
                <w:rFonts w:ascii="Arial" w:hAnsi="Arial" w:cs="Arial"/>
                <w:b/>
                <w:bCs/>
                <w:color w:val="000000"/>
                <w:sz w:val="18"/>
                <w:szCs w:val="18"/>
              </w:rPr>
            </w:pPr>
            <w:r w:rsidRPr="00060311">
              <w:rPr>
                <w:rFonts w:ascii="Arial" w:hAnsi="Arial" w:cs="Arial"/>
                <w:b/>
                <w:bCs/>
                <w:color w:val="000000"/>
                <w:sz w:val="18"/>
                <w:szCs w:val="18"/>
              </w:rPr>
              <w:t>3,382,742.0</w:t>
            </w:r>
          </w:p>
        </w:tc>
        <w:tc>
          <w:tcPr>
            <w:tcW w:w="635" w:type="pct"/>
            <w:tcBorders>
              <w:top w:val="single" w:sz="2" w:space="0" w:color="auto"/>
              <w:bottom w:val="double" w:sz="4" w:space="0" w:color="auto"/>
            </w:tcBorders>
            <w:shd w:val="clear" w:color="auto" w:fill="auto"/>
            <w:noWrap/>
            <w:vAlign w:val="bottom"/>
            <w:hideMark/>
          </w:tcPr>
          <w:p w14:paraId="262ADF62" w14:textId="77777777" w:rsidR="005270E7" w:rsidRPr="00060311" w:rsidRDefault="005270E7" w:rsidP="005F30D2">
            <w:pPr>
              <w:ind w:left="-213"/>
              <w:jc w:val="right"/>
              <w:rPr>
                <w:rFonts w:ascii="Arial" w:hAnsi="Arial" w:cs="Arial"/>
                <w:b/>
                <w:bCs/>
                <w:color w:val="000000"/>
                <w:sz w:val="18"/>
                <w:szCs w:val="18"/>
              </w:rPr>
            </w:pPr>
            <w:r w:rsidRPr="00060311">
              <w:rPr>
                <w:rFonts w:ascii="Arial" w:hAnsi="Arial" w:cs="Arial"/>
                <w:b/>
                <w:bCs/>
                <w:color w:val="000000"/>
                <w:sz w:val="18"/>
                <w:szCs w:val="18"/>
              </w:rPr>
              <w:t>3,019,569.0</w:t>
            </w:r>
          </w:p>
        </w:tc>
        <w:tc>
          <w:tcPr>
            <w:tcW w:w="635" w:type="pct"/>
            <w:tcBorders>
              <w:top w:val="single" w:sz="2" w:space="0" w:color="auto"/>
              <w:bottom w:val="double" w:sz="4" w:space="0" w:color="auto"/>
            </w:tcBorders>
            <w:shd w:val="clear" w:color="auto" w:fill="auto"/>
            <w:noWrap/>
            <w:vAlign w:val="bottom"/>
            <w:hideMark/>
          </w:tcPr>
          <w:p w14:paraId="55C87A62" w14:textId="77777777" w:rsidR="005270E7" w:rsidRPr="00060311" w:rsidRDefault="005270E7" w:rsidP="005F30D2">
            <w:pPr>
              <w:ind w:left="-213"/>
              <w:jc w:val="right"/>
              <w:rPr>
                <w:rFonts w:ascii="Arial" w:hAnsi="Arial" w:cs="Arial"/>
                <w:b/>
                <w:bCs/>
                <w:color w:val="000000"/>
                <w:sz w:val="18"/>
                <w:szCs w:val="18"/>
              </w:rPr>
            </w:pPr>
            <w:r w:rsidRPr="00060311">
              <w:rPr>
                <w:rFonts w:ascii="Arial" w:hAnsi="Arial" w:cs="Arial"/>
                <w:b/>
                <w:bCs/>
                <w:color w:val="000000"/>
                <w:sz w:val="18"/>
                <w:szCs w:val="18"/>
              </w:rPr>
              <w:t>3,301,363.0</w:t>
            </w:r>
          </w:p>
        </w:tc>
        <w:tc>
          <w:tcPr>
            <w:tcW w:w="635" w:type="pct"/>
            <w:tcBorders>
              <w:top w:val="single" w:sz="2" w:space="0" w:color="auto"/>
              <w:bottom w:val="double" w:sz="4" w:space="0" w:color="auto"/>
            </w:tcBorders>
            <w:shd w:val="clear" w:color="auto" w:fill="auto"/>
            <w:noWrap/>
            <w:vAlign w:val="bottom"/>
            <w:hideMark/>
          </w:tcPr>
          <w:p w14:paraId="070BDBE5" w14:textId="77777777" w:rsidR="005270E7" w:rsidRPr="00060311" w:rsidRDefault="005270E7" w:rsidP="005F30D2">
            <w:pPr>
              <w:ind w:left="-213"/>
              <w:jc w:val="right"/>
              <w:rPr>
                <w:rFonts w:ascii="Arial" w:hAnsi="Arial" w:cs="Arial"/>
                <w:b/>
                <w:bCs/>
                <w:color w:val="000000"/>
                <w:sz w:val="18"/>
                <w:szCs w:val="18"/>
              </w:rPr>
            </w:pPr>
            <w:r w:rsidRPr="00060311">
              <w:rPr>
                <w:rFonts w:ascii="Arial" w:hAnsi="Arial" w:cs="Arial"/>
                <w:b/>
                <w:bCs/>
                <w:color w:val="000000"/>
                <w:sz w:val="18"/>
                <w:szCs w:val="18"/>
              </w:rPr>
              <w:t>3,977,487.0</w:t>
            </w:r>
          </w:p>
        </w:tc>
      </w:tr>
    </w:tbl>
    <w:p w14:paraId="231BC0F1" w14:textId="77777777" w:rsidR="004F4C5A" w:rsidRPr="00060311" w:rsidRDefault="004F4C5A" w:rsidP="00BD644A">
      <w:pPr>
        <w:pStyle w:val="ExhibitText"/>
        <w:rPr>
          <w:lang w:val="en-CA"/>
        </w:rPr>
      </w:pPr>
    </w:p>
    <w:p w14:paraId="6FE64323" w14:textId="6959472C" w:rsidR="000F5D1D" w:rsidRDefault="000F5D1D" w:rsidP="005F30D2">
      <w:pPr>
        <w:pStyle w:val="Footnote"/>
        <w:rPr>
          <w:lang w:val="en-CA"/>
        </w:rPr>
      </w:pPr>
      <w:r>
        <w:rPr>
          <w:lang w:val="en-CA"/>
        </w:rPr>
        <w:t xml:space="preserve">Note: JV = </w:t>
      </w:r>
      <w:r w:rsidR="0082332E">
        <w:rPr>
          <w:lang w:val="en-CA"/>
        </w:rPr>
        <w:t>joint ventures</w:t>
      </w:r>
      <w:r>
        <w:rPr>
          <w:lang w:val="en-CA"/>
        </w:rPr>
        <w:t>.</w:t>
      </w:r>
    </w:p>
    <w:p w14:paraId="40706098" w14:textId="42984008" w:rsidR="007660DA" w:rsidRDefault="007660DA" w:rsidP="0052696C">
      <w:pPr>
        <w:pStyle w:val="Footnote"/>
        <w:jc w:val="both"/>
        <w:rPr>
          <w:lang w:val="en-CA"/>
        </w:rPr>
      </w:pPr>
      <w:r w:rsidRPr="00C85DF7">
        <w:rPr>
          <w:lang w:val="en-CA"/>
        </w:rPr>
        <w:t xml:space="preserve">Source: Created by the </w:t>
      </w:r>
      <w:r w:rsidR="008A500E">
        <w:rPr>
          <w:lang w:val="en-CA"/>
        </w:rPr>
        <w:t xml:space="preserve">case </w:t>
      </w:r>
      <w:r w:rsidRPr="00C85DF7">
        <w:rPr>
          <w:lang w:val="en-CA"/>
        </w:rPr>
        <w:t>authors using information from CapitaLand</w:t>
      </w:r>
      <w:r w:rsidR="005D1A13">
        <w:rPr>
          <w:lang w:val="en-CA"/>
        </w:rPr>
        <w:t xml:space="preserve"> Limited</w:t>
      </w:r>
      <w:r w:rsidRPr="00C85DF7">
        <w:rPr>
          <w:lang w:val="en-CA"/>
        </w:rPr>
        <w:t xml:space="preserve">, </w:t>
      </w:r>
      <w:r w:rsidR="00B13FAE" w:rsidRPr="0052560A">
        <w:rPr>
          <w:i/>
          <w:lang w:val="en-CA"/>
        </w:rPr>
        <w:t>Clarity Insight and Foresight</w:t>
      </w:r>
      <w:r w:rsidR="005D1A13">
        <w:rPr>
          <w:i/>
          <w:lang w:val="en-CA"/>
        </w:rPr>
        <w:t>:</w:t>
      </w:r>
      <w:r w:rsidRPr="005F30D2">
        <w:rPr>
          <w:i/>
          <w:lang w:val="en-CA"/>
        </w:rPr>
        <w:t xml:space="preserve"> Annual Report 201</w:t>
      </w:r>
      <w:r w:rsidR="00B13FAE">
        <w:rPr>
          <w:i/>
          <w:lang w:val="en-CA"/>
        </w:rPr>
        <w:t>3</w:t>
      </w:r>
      <w:r w:rsidRPr="00C85DF7">
        <w:rPr>
          <w:lang w:val="en-CA"/>
        </w:rPr>
        <w:t xml:space="preserve">, accessed January </w:t>
      </w:r>
      <w:r w:rsidR="005D1A13" w:rsidRPr="00C85DF7">
        <w:rPr>
          <w:lang w:val="en-CA"/>
        </w:rPr>
        <w:t>27</w:t>
      </w:r>
      <w:r w:rsidR="005D1A13">
        <w:rPr>
          <w:lang w:val="en-CA"/>
        </w:rPr>
        <w:t>,</w:t>
      </w:r>
      <w:r w:rsidR="005D1A13" w:rsidRPr="00C85DF7">
        <w:rPr>
          <w:lang w:val="en-CA"/>
        </w:rPr>
        <w:t xml:space="preserve"> </w:t>
      </w:r>
      <w:r w:rsidRPr="00C85DF7">
        <w:rPr>
          <w:lang w:val="en-CA"/>
        </w:rPr>
        <w:t>2017</w:t>
      </w:r>
      <w:r w:rsidR="005D1A13">
        <w:rPr>
          <w:lang w:val="en-CA"/>
        </w:rPr>
        <w:t xml:space="preserve">, </w:t>
      </w:r>
      <w:r w:rsidR="00B13FAE" w:rsidRPr="00B13FAE">
        <w:rPr>
          <w:lang w:val="en-CA"/>
        </w:rPr>
        <w:t>https://investor.capitaland.com/misc/ar2013.pdf</w:t>
      </w:r>
      <w:r w:rsidR="008671C0">
        <w:rPr>
          <w:lang w:val="en-CA"/>
        </w:rPr>
        <w:t xml:space="preserve">; </w:t>
      </w:r>
      <w:r w:rsidR="005D1A13" w:rsidRPr="005D1A13">
        <w:rPr>
          <w:lang w:val="en-CA"/>
        </w:rPr>
        <w:t>CapitaLand Limited,</w:t>
      </w:r>
      <w:r w:rsidR="005D1A13">
        <w:rPr>
          <w:lang w:val="en-CA"/>
        </w:rPr>
        <w:t xml:space="preserve"> </w:t>
      </w:r>
      <w:r w:rsidRPr="005F30D2">
        <w:rPr>
          <w:i/>
          <w:lang w:val="en-CA"/>
        </w:rPr>
        <w:t>Focus, Balance, Scale, Positioned for Growth: Annual Report 2012,</w:t>
      </w:r>
      <w:r w:rsidRPr="00C85DF7">
        <w:rPr>
          <w:lang w:val="en-CA"/>
        </w:rPr>
        <w:t xml:space="preserve"> accessed January </w:t>
      </w:r>
      <w:r w:rsidR="005D1A13" w:rsidRPr="00C85DF7">
        <w:rPr>
          <w:lang w:val="en-CA"/>
        </w:rPr>
        <w:t>27</w:t>
      </w:r>
      <w:r w:rsidR="005D1A13" w:rsidRPr="005F30D2">
        <w:rPr>
          <w:lang w:val="en-CA"/>
        </w:rPr>
        <w:t>,</w:t>
      </w:r>
      <w:r w:rsidR="005D1A13" w:rsidRPr="00C1248F">
        <w:rPr>
          <w:lang w:val="en-CA"/>
        </w:rPr>
        <w:t xml:space="preserve"> </w:t>
      </w:r>
      <w:r w:rsidRPr="00C85DF7">
        <w:rPr>
          <w:lang w:val="en-CA"/>
        </w:rPr>
        <w:t>2017</w:t>
      </w:r>
      <w:r w:rsidR="005D1A13">
        <w:rPr>
          <w:lang w:val="en-CA"/>
        </w:rPr>
        <w:t xml:space="preserve">, </w:t>
      </w:r>
      <w:r w:rsidR="005D1A13" w:rsidRPr="005D1A13">
        <w:rPr>
          <w:lang w:val="en-CA"/>
        </w:rPr>
        <w:t>http://investor.capitaland.com/misc/ar2012.pdf</w:t>
      </w:r>
      <w:r w:rsidR="008671C0">
        <w:rPr>
          <w:lang w:val="en-CA"/>
        </w:rPr>
        <w:t xml:space="preserve">; </w:t>
      </w:r>
      <w:r w:rsidR="005D1A13" w:rsidRPr="005D1A13">
        <w:rPr>
          <w:lang w:val="en-CA"/>
        </w:rPr>
        <w:t>CapitaLand Limited,</w:t>
      </w:r>
      <w:r w:rsidR="005D1A13">
        <w:rPr>
          <w:lang w:val="en-CA"/>
        </w:rPr>
        <w:t xml:space="preserve"> </w:t>
      </w:r>
      <w:r w:rsidRPr="005F30D2">
        <w:rPr>
          <w:i/>
          <w:lang w:val="en-CA"/>
        </w:rPr>
        <w:t>The Art of Building</w:t>
      </w:r>
      <w:r w:rsidR="005D1A13">
        <w:rPr>
          <w:i/>
          <w:lang w:val="en-CA"/>
        </w:rPr>
        <w:t>:</w:t>
      </w:r>
      <w:r w:rsidR="005D1A13" w:rsidRPr="005F30D2">
        <w:rPr>
          <w:i/>
          <w:lang w:val="en-CA"/>
        </w:rPr>
        <w:t xml:space="preserve"> </w:t>
      </w:r>
      <w:r w:rsidRPr="005F30D2">
        <w:rPr>
          <w:i/>
          <w:lang w:val="en-CA"/>
        </w:rPr>
        <w:t>Annual Report 2011</w:t>
      </w:r>
      <w:r w:rsidRPr="00C85DF7">
        <w:rPr>
          <w:lang w:val="en-CA"/>
        </w:rPr>
        <w:t xml:space="preserve">, accessed January </w:t>
      </w:r>
      <w:r w:rsidR="005D1A13" w:rsidRPr="00C85DF7">
        <w:rPr>
          <w:lang w:val="en-CA"/>
        </w:rPr>
        <w:t>27</w:t>
      </w:r>
      <w:r w:rsidR="005D1A13">
        <w:rPr>
          <w:lang w:val="en-CA"/>
        </w:rPr>
        <w:t>,</w:t>
      </w:r>
      <w:r w:rsidR="005D1A13" w:rsidRPr="00C85DF7">
        <w:rPr>
          <w:lang w:val="en-CA"/>
        </w:rPr>
        <w:t xml:space="preserve"> </w:t>
      </w:r>
      <w:r w:rsidRPr="00C85DF7">
        <w:rPr>
          <w:lang w:val="en-CA"/>
        </w:rPr>
        <w:t>2017,</w:t>
      </w:r>
      <w:r w:rsidR="005D1A13">
        <w:rPr>
          <w:lang w:val="en-CA"/>
        </w:rPr>
        <w:t xml:space="preserve"> </w:t>
      </w:r>
      <w:r w:rsidR="005D1A13" w:rsidRPr="005D1A13">
        <w:rPr>
          <w:lang w:val="en-CA"/>
        </w:rPr>
        <w:t>http://investor.capitaland.com/misc/ar2011.pdf</w:t>
      </w:r>
      <w:r w:rsidR="008671C0">
        <w:rPr>
          <w:lang w:val="en-CA"/>
        </w:rPr>
        <w:t xml:space="preserve">; </w:t>
      </w:r>
      <w:r w:rsidR="005D1A13" w:rsidRPr="005D1A13">
        <w:rPr>
          <w:lang w:val="en-CA"/>
        </w:rPr>
        <w:t>CapitaLand Limited,</w:t>
      </w:r>
      <w:r w:rsidR="005D1A13">
        <w:rPr>
          <w:lang w:val="en-CA"/>
        </w:rPr>
        <w:t xml:space="preserve"> </w:t>
      </w:r>
      <w:r w:rsidRPr="005F30D2">
        <w:rPr>
          <w:i/>
          <w:lang w:val="en-CA"/>
        </w:rPr>
        <w:t>Firm Foundation</w:t>
      </w:r>
      <w:r w:rsidR="005D1A13">
        <w:rPr>
          <w:i/>
          <w:lang w:val="en-CA"/>
        </w:rPr>
        <w:t>:</w:t>
      </w:r>
      <w:r w:rsidRPr="005F30D2">
        <w:rPr>
          <w:i/>
          <w:lang w:val="en-CA"/>
        </w:rPr>
        <w:t xml:space="preserve"> Leading Edge Innovation in the First 10 Years, Ready for the Next 10 Years</w:t>
      </w:r>
      <w:r w:rsidR="005D1A13">
        <w:rPr>
          <w:i/>
          <w:lang w:val="en-CA"/>
        </w:rPr>
        <w:t>—</w:t>
      </w:r>
      <w:r w:rsidRPr="005F30D2">
        <w:rPr>
          <w:i/>
          <w:lang w:val="en-CA"/>
        </w:rPr>
        <w:t>Annual Report 2010</w:t>
      </w:r>
      <w:r w:rsidR="005D1A13">
        <w:rPr>
          <w:i/>
          <w:lang w:val="en-CA"/>
        </w:rPr>
        <w:t>,</w:t>
      </w:r>
      <w:r w:rsidRPr="00C85DF7">
        <w:rPr>
          <w:lang w:val="en-CA"/>
        </w:rPr>
        <w:t xml:space="preserve"> accessed January </w:t>
      </w:r>
      <w:r w:rsidR="005D1A13" w:rsidRPr="00C85DF7">
        <w:rPr>
          <w:lang w:val="en-CA"/>
        </w:rPr>
        <w:t>27</w:t>
      </w:r>
      <w:r w:rsidR="005D1A13">
        <w:rPr>
          <w:lang w:val="en-CA"/>
        </w:rPr>
        <w:t>,</w:t>
      </w:r>
      <w:r w:rsidR="005D1A13" w:rsidRPr="00C85DF7">
        <w:rPr>
          <w:lang w:val="en-CA"/>
        </w:rPr>
        <w:t xml:space="preserve"> </w:t>
      </w:r>
      <w:r w:rsidRPr="00C85DF7">
        <w:rPr>
          <w:lang w:val="en-CA"/>
        </w:rPr>
        <w:t>2017</w:t>
      </w:r>
      <w:r w:rsidR="005D1A13">
        <w:rPr>
          <w:lang w:val="en-CA"/>
        </w:rPr>
        <w:t>,</w:t>
      </w:r>
      <w:r w:rsidRPr="00C85DF7">
        <w:rPr>
          <w:lang w:val="en-CA"/>
        </w:rPr>
        <w:t xml:space="preserve"> </w:t>
      </w:r>
      <w:r w:rsidR="005D1A13" w:rsidRPr="005D1A13">
        <w:rPr>
          <w:lang w:val="en-CA"/>
        </w:rPr>
        <w:t>http://investor.capitaland.com/misc/ar2010.pdf</w:t>
      </w:r>
      <w:r w:rsidR="008671C0">
        <w:rPr>
          <w:lang w:val="en-CA"/>
        </w:rPr>
        <w:t xml:space="preserve">; </w:t>
      </w:r>
      <w:r w:rsidR="005D1A13" w:rsidRPr="005D1A13">
        <w:rPr>
          <w:lang w:val="en-CA"/>
        </w:rPr>
        <w:t>CapitaLand Limited,</w:t>
      </w:r>
      <w:r w:rsidR="005D1A13">
        <w:rPr>
          <w:lang w:val="en-CA"/>
        </w:rPr>
        <w:t xml:space="preserve"> </w:t>
      </w:r>
      <w:r w:rsidRPr="005F30D2">
        <w:rPr>
          <w:i/>
          <w:lang w:val="en-CA"/>
        </w:rPr>
        <w:t>Ahead of the Curve, Growth during Global Crisis</w:t>
      </w:r>
      <w:r w:rsidR="005D1A13" w:rsidRPr="005F30D2">
        <w:rPr>
          <w:i/>
          <w:lang w:val="en-CA"/>
        </w:rPr>
        <w:t xml:space="preserve">: </w:t>
      </w:r>
      <w:r w:rsidRPr="005F30D2">
        <w:rPr>
          <w:i/>
          <w:lang w:val="en-CA"/>
        </w:rPr>
        <w:t>Annual Report 2009</w:t>
      </w:r>
      <w:r w:rsidRPr="00C85DF7">
        <w:rPr>
          <w:lang w:val="en-CA"/>
        </w:rPr>
        <w:t xml:space="preserve">, accessed January </w:t>
      </w:r>
      <w:r w:rsidR="005D1A13" w:rsidRPr="00C85DF7">
        <w:rPr>
          <w:lang w:val="en-CA"/>
        </w:rPr>
        <w:t>27</w:t>
      </w:r>
      <w:r w:rsidR="005D1A13">
        <w:rPr>
          <w:lang w:val="en-CA"/>
        </w:rPr>
        <w:t>,</w:t>
      </w:r>
      <w:r w:rsidR="005D1A13" w:rsidRPr="00C85DF7">
        <w:rPr>
          <w:lang w:val="en-CA"/>
        </w:rPr>
        <w:t xml:space="preserve"> </w:t>
      </w:r>
      <w:r w:rsidRPr="00C85DF7">
        <w:rPr>
          <w:lang w:val="en-CA"/>
        </w:rPr>
        <w:t>2017</w:t>
      </w:r>
      <w:r w:rsidR="005D1A13">
        <w:rPr>
          <w:lang w:val="en-CA"/>
        </w:rPr>
        <w:t xml:space="preserve">, </w:t>
      </w:r>
      <w:r w:rsidR="005D1A13" w:rsidRPr="005D1A13">
        <w:rPr>
          <w:lang w:val="en-CA"/>
        </w:rPr>
        <w:t>http://investor.capitaland.com/misc/ar2009.pdf</w:t>
      </w:r>
      <w:r w:rsidR="008671C0">
        <w:rPr>
          <w:lang w:val="en-CA"/>
        </w:rPr>
        <w:t>.</w:t>
      </w:r>
    </w:p>
    <w:p w14:paraId="1D4A4A3F" w14:textId="77777777" w:rsidR="005F30D2" w:rsidRDefault="005F30D2" w:rsidP="0052696C">
      <w:pPr>
        <w:spacing w:after="200" w:line="276" w:lineRule="auto"/>
        <w:jc w:val="both"/>
        <w:rPr>
          <w:rFonts w:ascii="Arial" w:hAnsi="Arial" w:cs="Arial"/>
          <w:b/>
          <w:caps/>
          <w:lang w:val="en-CA"/>
        </w:rPr>
      </w:pPr>
      <w:r>
        <w:rPr>
          <w:lang w:val="en-CA"/>
        </w:rPr>
        <w:br w:type="page"/>
      </w:r>
    </w:p>
    <w:p w14:paraId="3236821C" w14:textId="431CBAB6" w:rsidR="007F0E99" w:rsidRDefault="007F0E99" w:rsidP="007F0E99">
      <w:pPr>
        <w:pStyle w:val="ExhibitHeading"/>
        <w:rPr>
          <w:lang w:val="en-CA"/>
        </w:rPr>
      </w:pPr>
      <w:r>
        <w:rPr>
          <w:lang w:val="en-CA"/>
        </w:rPr>
        <w:t xml:space="preserve">Exhibit </w:t>
      </w:r>
      <w:r w:rsidR="00605748">
        <w:rPr>
          <w:lang w:val="en-CA"/>
        </w:rPr>
        <w:t>4</w:t>
      </w:r>
      <w:r>
        <w:rPr>
          <w:lang w:val="en-CA"/>
        </w:rPr>
        <w:t>: capit</w:t>
      </w:r>
      <w:r w:rsidRPr="00BD644A">
        <w:rPr>
          <w:spacing w:val="20"/>
          <w:lang w:val="en-CA"/>
        </w:rPr>
        <w:t>a</w:t>
      </w:r>
      <w:r>
        <w:rPr>
          <w:lang w:val="en-CA"/>
        </w:rPr>
        <w:t>land’s balance sheets</w:t>
      </w:r>
      <w:r w:rsidR="00C85DF7">
        <w:rPr>
          <w:lang w:val="en-CA"/>
        </w:rPr>
        <w:t xml:space="preserve"> (IN </w:t>
      </w:r>
      <w:r w:rsidR="00271D57">
        <w:rPr>
          <w:lang w:val="en-CA"/>
        </w:rPr>
        <w:t xml:space="preserve">SG$ </w:t>
      </w:r>
      <w:r w:rsidR="00C85DF7">
        <w:rPr>
          <w:lang w:val="en-CA"/>
        </w:rPr>
        <w:t>THOUSAND</w:t>
      </w:r>
      <w:r w:rsidR="00271D57">
        <w:rPr>
          <w:lang w:val="en-CA"/>
        </w:rPr>
        <w:t>s</w:t>
      </w:r>
      <w:r w:rsidR="00C85DF7">
        <w:rPr>
          <w:lang w:val="en-CA"/>
        </w:rPr>
        <w:t>)</w:t>
      </w:r>
    </w:p>
    <w:p w14:paraId="702A2C4F" w14:textId="45F96B8B" w:rsidR="007F0E99" w:rsidRPr="00060311" w:rsidRDefault="007F0E99" w:rsidP="00BD644A">
      <w:pPr>
        <w:pStyle w:val="ExhibitText"/>
      </w:pPr>
    </w:p>
    <w:tbl>
      <w:tblPr>
        <w:tblW w:w="5000" w:type="pct"/>
        <w:tblLayout w:type="fixed"/>
        <w:tblLook w:val="04A0" w:firstRow="1" w:lastRow="0" w:firstColumn="1" w:lastColumn="0" w:noHBand="0" w:noVBand="1"/>
      </w:tblPr>
      <w:tblGrid>
        <w:gridCol w:w="2979"/>
        <w:gridCol w:w="263"/>
        <w:gridCol w:w="1224"/>
        <w:gridCol w:w="1224"/>
        <w:gridCol w:w="1224"/>
        <w:gridCol w:w="1224"/>
        <w:gridCol w:w="1222"/>
      </w:tblGrid>
      <w:tr w:rsidR="007F0E99" w:rsidRPr="00060311" w14:paraId="31A78004" w14:textId="77777777" w:rsidTr="002561DB">
        <w:trPr>
          <w:trHeight w:val="285"/>
        </w:trPr>
        <w:tc>
          <w:tcPr>
            <w:tcW w:w="1591" w:type="pct"/>
            <w:tcBorders>
              <w:top w:val="double" w:sz="4" w:space="0" w:color="auto"/>
              <w:left w:val="nil"/>
              <w:bottom w:val="nil"/>
              <w:right w:val="nil"/>
            </w:tcBorders>
            <w:shd w:val="clear" w:color="auto" w:fill="auto"/>
            <w:noWrap/>
            <w:vAlign w:val="bottom"/>
          </w:tcPr>
          <w:p w14:paraId="1CF2BF1F" w14:textId="77777777" w:rsidR="007F0E99" w:rsidRPr="00060311" w:rsidRDefault="007F0E99" w:rsidP="0022459D">
            <w:pPr>
              <w:rPr>
                <w:rFonts w:ascii="Arial" w:hAnsi="Arial" w:cs="Arial"/>
                <w:color w:val="000000"/>
                <w:sz w:val="18"/>
                <w:szCs w:val="18"/>
                <w:lang w:eastAsia="en-SG"/>
              </w:rPr>
            </w:pPr>
          </w:p>
        </w:tc>
        <w:tc>
          <w:tcPr>
            <w:tcW w:w="140" w:type="pct"/>
            <w:tcBorders>
              <w:top w:val="double" w:sz="4" w:space="0" w:color="auto"/>
              <w:left w:val="nil"/>
              <w:bottom w:val="nil"/>
              <w:right w:val="nil"/>
            </w:tcBorders>
          </w:tcPr>
          <w:p w14:paraId="279ADBCF" w14:textId="77777777" w:rsidR="007F0E99" w:rsidRPr="00060311" w:rsidRDefault="007F0E99" w:rsidP="0022459D">
            <w:pPr>
              <w:jc w:val="right"/>
              <w:rPr>
                <w:rFonts w:ascii="Arial" w:hAnsi="Arial" w:cs="Arial"/>
                <w:color w:val="000000"/>
                <w:sz w:val="18"/>
                <w:szCs w:val="18"/>
                <w:lang w:eastAsia="en-SG"/>
              </w:rPr>
            </w:pPr>
          </w:p>
        </w:tc>
        <w:tc>
          <w:tcPr>
            <w:tcW w:w="654" w:type="pct"/>
            <w:tcBorders>
              <w:top w:val="double" w:sz="4" w:space="0" w:color="auto"/>
              <w:left w:val="nil"/>
              <w:bottom w:val="single" w:sz="2" w:space="0" w:color="auto"/>
              <w:right w:val="nil"/>
            </w:tcBorders>
            <w:shd w:val="clear" w:color="auto" w:fill="auto"/>
            <w:noWrap/>
            <w:vAlign w:val="bottom"/>
          </w:tcPr>
          <w:p w14:paraId="7AEF5BFA" w14:textId="77777777" w:rsidR="007F0E99" w:rsidRPr="00060311" w:rsidRDefault="005270E7" w:rsidP="005F30D2">
            <w:pPr>
              <w:jc w:val="center"/>
              <w:rPr>
                <w:rFonts w:ascii="Arial" w:hAnsi="Arial" w:cs="Arial"/>
                <w:b/>
                <w:color w:val="000000"/>
                <w:sz w:val="18"/>
                <w:szCs w:val="18"/>
                <w:lang w:eastAsia="en-SG"/>
              </w:rPr>
            </w:pPr>
            <w:r w:rsidRPr="00060311">
              <w:rPr>
                <w:rFonts w:ascii="Arial" w:hAnsi="Arial" w:cs="Arial"/>
                <w:b/>
                <w:color w:val="000000"/>
                <w:sz w:val="18"/>
                <w:szCs w:val="18"/>
                <w:lang w:eastAsia="en-SG"/>
              </w:rPr>
              <w:t>2009</w:t>
            </w:r>
          </w:p>
        </w:tc>
        <w:tc>
          <w:tcPr>
            <w:tcW w:w="654" w:type="pct"/>
            <w:tcBorders>
              <w:top w:val="double" w:sz="4" w:space="0" w:color="auto"/>
              <w:left w:val="nil"/>
              <w:bottom w:val="single" w:sz="2" w:space="0" w:color="auto"/>
              <w:right w:val="nil"/>
            </w:tcBorders>
            <w:shd w:val="clear" w:color="auto" w:fill="auto"/>
            <w:noWrap/>
            <w:vAlign w:val="bottom"/>
          </w:tcPr>
          <w:p w14:paraId="4BA88679" w14:textId="77777777" w:rsidR="007F0E99" w:rsidRPr="00060311" w:rsidRDefault="005270E7" w:rsidP="005F30D2">
            <w:pPr>
              <w:jc w:val="center"/>
              <w:rPr>
                <w:rFonts w:ascii="Arial" w:hAnsi="Arial" w:cs="Arial"/>
                <w:b/>
                <w:color w:val="000000"/>
                <w:sz w:val="18"/>
                <w:szCs w:val="18"/>
                <w:lang w:eastAsia="en-SG"/>
              </w:rPr>
            </w:pPr>
            <w:r w:rsidRPr="00060311">
              <w:rPr>
                <w:rFonts w:ascii="Arial" w:hAnsi="Arial" w:cs="Arial"/>
                <w:b/>
                <w:color w:val="000000"/>
                <w:sz w:val="18"/>
                <w:szCs w:val="18"/>
                <w:lang w:eastAsia="en-SG"/>
              </w:rPr>
              <w:t>2010</w:t>
            </w:r>
          </w:p>
        </w:tc>
        <w:tc>
          <w:tcPr>
            <w:tcW w:w="654" w:type="pct"/>
            <w:tcBorders>
              <w:top w:val="double" w:sz="4" w:space="0" w:color="auto"/>
              <w:left w:val="nil"/>
              <w:bottom w:val="single" w:sz="2" w:space="0" w:color="auto"/>
              <w:right w:val="nil"/>
            </w:tcBorders>
            <w:shd w:val="clear" w:color="auto" w:fill="auto"/>
            <w:noWrap/>
            <w:vAlign w:val="bottom"/>
          </w:tcPr>
          <w:p w14:paraId="1B3BA527" w14:textId="77777777" w:rsidR="007F0E99" w:rsidRPr="00060311" w:rsidRDefault="005270E7" w:rsidP="005F30D2">
            <w:pPr>
              <w:jc w:val="center"/>
              <w:rPr>
                <w:rFonts w:ascii="Arial" w:hAnsi="Arial" w:cs="Arial"/>
                <w:b/>
                <w:color w:val="000000"/>
                <w:sz w:val="18"/>
                <w:szCs w:val="18"/>
                <w:lang w:eastAsia="en-SG"/>
              </w:rPr>
            </w:pPr>
            <w:r w:rsidRPr="00060311">
              <w:rPr>
                <w:rFonts w:ascii="Arial" w:hAnsi="Arial" w:cs="Arial"/>
                <w:b/>
                <w:color w:val="000000"/>
                <w:sz w:val="18"/>
                <w:szCs w:val="18"/>
                <w:lang w:eastAsia="en-SG"/>
              </w:rPr>
              <w:t>2011</w:t>
            </w:r>
          </w:p>
        </w:tc>
        <w:tc>
          <w:tcPr>
            <w:tcW w:w="654" w:type="pct"/>
            <w:tcBorders>
              <w:top w:val="double" w:sz="4" w:space="0" w:color="auto"/>
              <w:left w:val="nil"/>
              <w:bottom w:val="single" w:sz="2" w:space="0" w:color="auto"/>
              <w:right w:val="nil"/>
            </w:tcBorders>
            <w:shd w:val="clear" w:color="auto" w:fill="auto"/>
            <w:noWrap/>
            <w:vAlign w:val="bottom"/>
          </w:tcPr>
          <w:p w14:paraId="5A3B90CC" w14:textId="77777777" w:rsidR="007F0E99" w:rsidRPr="00060311" w:rsidRDefault="005270E7" w:rsidP="005F30D2">
            <w:pPr>
              <w:jc w:val="center"/>
              <w:rPr>
                <w:rFonts w:ascii="Arial" w:hAnsi="Arial" w:cs="Arial"/>
                <w:b/>
                <w:color w:val="000000"/>
                <w:sz w:val="18"/>
                <w:szCs w:val="18"/>
                <w:lang w:eastAsia="en-SG"/>
              </w:rPr>
            </w:pPr>
            <w:r w:rsidRPr="00060311">
              <w:rPr>
                <w:rFonts w:ascii="Arial" w:hAnsi="Arial" w:cs="Arial"/>
                <w:b/>
                <w:color w:val="000000"/>
                <w:sz w:val="18"/>
                <w:szCs w:val="18"/>
                <w:lang w:eastAsia="en-SG"/>
              </w:rPr>
              <w:t>2012</w:t>
            </w:r>
          </w:p>
        </w:tc>
        <w:tc>
          <w:tcPr>
            <w:tcW w:w="654" w:type="pct"/>
            <w:tcBorders>
              <w:top w:val="double" w:sz="4" w:space="0" w:color="auto"/>
              <w:left w:val="nil"/>
              <w:bottom w:val="single" w:sz="2" w:space="0" w:color="auto"/>
              <w:right w:val="nil"/>
            </w:tcBorders>
            <w:shd w:val="clear" w:color="auto" w:fill="auto"/>
            <w:noWrap/>
            <w:vAlign w:val="bottom"/>
          </w:tcPr>
          <w:p w14:paraId="3A2ED4D3" w14:textId="77777777" w:rsidR="007F0E99" w:rsidRPr="00060311" w:rsidRDefault="005270E7" w:rsidP="005F30D2">
            <w:pPr>
              <w:jc w:val="center"/>
              <w:rPr>
                <w:rFonts w:ascii="Arial" w:hAnsi="Arial" w:cs="Arial"/>
                <w:b/>
                <w:color w:val="000000"/>
                <w:sz w:val="18"/>
                <w:szCs w:val="18"/>
                <w:lang w:eastAsia="en-SG"/>
              </w:rPr>
            </w:pPr>
            <w:r w:rsidRPr="00060311">
              <w:rPr>
                <w:rFonts w:ascii="Arial" w:hAnsi="Arial" w:cs="Arial"/>
                <w:b/>
                <w:color w:val="000000"/>
                <w:sz w:val="18"/>
                <w:szCs w:val="18"/>
                <w:lang w:eastAsia="en-SG"/>
              </w:rPr>
              <w:t>2013</w:t>
            </w:r>
          </w:p>
        </w:tc>
      </w:tr>
      <w:tr w:rsidR="005270E7" w:rsidRPr="00060311" w14:paraId="6F28D672" w14:textId="77777777" w:rsidTr="002561DB">
        <w:trPr>
          <w:trHeight w:val="285"/>
        </w:trPr>
        <w:tc>
          <w:tcPr>
            <w:tcW w:w="1591" w:type="pct"/>
            <w:tcBorders>
              <w:top w:val="nil"/>
              <w:left w:val="nil"/>
              <w:bottom w:val="nil"/>
              <w:right w:val="nil"/>
            </w:tcBorders>
            <w:shd w:val="clear" w:color="auto" w:fill="auto"/>
            <w:noWrap/>
            <w:vAlign w:val="bottom"/>
            <w:hideMark/>
          </w:tcPr>
          <w:p w14:paraId="01E6D95F" w14:textId="77777777" w:rsidR="005270E7" w:rsidRPr="00060311" w:rsidRDefault="005270E7" w:rsidP="005270E7">
            <w:pPr>
              <w:rPr>
                <w:rFonts w:ascii="Arial" w:hAnsi="Arial" w:cs="Arial"/>
                <w:color w:val="000000"/>
                <w:sz w:val="18"/>
                <w:szCs w:val="18"/>
                <w:lang w:eastAsia="en-SG"/>
              </w:rPr>
            </w:pPr>
            <w:r w:rsidRPr="00060311">
              <w:rPr>
                <w:rFonts w:ascii="Arial" w:hAnsi="Arial" w:cs="Arial"/>
                <w:color w:val="000000"/>
                <w:sz w:val="18"/>
                <w:szCs w:val="18"/>
                <w:lang w:eastAsia="en-SG"/>
              </w:rPr>
              <w:t>Development Properties</w:t>
            </w:r>
          </w:p>
        </w:tc>
        <w:tc>
          <w:tcPr>
            <w:tcW w:w="140" w:type="pct"/>
            <w:tcBorders>
              <w:top w:val="nil"/>
              <w:left w:val="nil"/>
              <w:bottom w:val="nil"/>
              <w:right w:val="nil"/>
            </w:tcBorders>
            <w:shd w:val="clear" w:color="auto" w:fill="auto"/>
          </w:tcPr>
          <w:p w14:paraId="102DC2AB" w14:textId="77777777" w:rsidR="005270E7" w:rsidRPr="00060311" w:rsidRDefault="005270E7" w:rsidP="005270E7">
            <w:pPr>
              <w:jc w:val="right"/>
              <w:rPr>
                <w:rFonts w:ascii="Arial" w:hAnsi="Arial" w:cs="Arial"/>
                <w:color w:val="000000"/>
                <w:sz w:val="18"/>
                <w:szCs w:val="18"/>
                <w:lang w:eastAsia="en-SG"/>
              </w:rPr>
            </w:pPr>
          </w:p>
        </w:tc>
        <w:tc>
          <w:tcPr>
            <w:tcW w:w="654" w:type="pct"/>
            <w:tcBorders>
              <w:top w:val="nil"/>
              <w:left w:val="nil"/>
              <w:bottom w:val="nil"/>
              <w:right w:val="nil"/>
            </w:tcBorders>
            <w:shd w:val="clear" w:color="auto" w:fill="auto"/>
            <w:noWrap/>
            <w:vAlign w:val="bottom"/>
            <w:hideMark/>
          </w:tcPr>
          <w:p w14:paraId="4691D398"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3,590,270</w:t>
            </w:r>
          </w:p>
        </w:tc>
        <w:tc>
          <w:tcPr>
            <w:tcW w:w="654" w:type="pct"/>
            <w:tcBorders>
              <w:top w:val="nil"/>
              <w:left w:val="nil"/>
              <w:bottom w:val="nil"/>
              <w:right w:val="nil"/>
            </w:tcBorders>
            <w:shd w:val="clear" w:color="auto" w:fill="auto"/>
            <w:noWrap/>
            <w:vAlign w:val="bottom"/>
            <w:hideMark/>
          </w:tcPr>
          <w:p w14:paraId="636F44E9"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5,419,350</w:t>
            </w:r>
          </w:p>
        </w:tc>
        <w:tc>
          <w:tcPr>
            <w:tcW w:w="654" w:type="pct"/>
            <w:tcBorders>
              <w:top w:val="nil"/>
              <w:left w:val="nil"/>
              <w:bottom w:val="nil"/>
              <w:right w:val="nil"/>
            </w:tcBorders>
            <w:shd w:val="clear" w:color="auto" w:fill="auto"/>
            <w:noWrap/>
            <w:vAlign w:val="bottom"/>
            <w:hideMark/>
          </w:tcPr>
          <w:p w14:paraId="3EB37E8E"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6,905,124</w:t>
            </w:r>
          </w:p>
        </w:tc>
        <w:tc>
          <w:tcPr>
            <w:tcW w:w="654" w:type="pct"/>
            <w:tcBorders>
              <w:top w:val="nil"/>
              <w:left w:val="nil"/>
              <w:bottom w:val="nil"/>
              <w:right w:val="nil"/>
            </w:tcBorders>
            <w:shd w:val="clear" w:color="auto" w:fill="auto"/>
            <w:noWrap/>
            <w:vAlign w:val="bottom"/>
            <w:hideMark/>
          </w:tcPr>
          <w:p w14:paraId="070AD43F"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7,510,093</w:t>
            </w:r>
          </w:p>
        </w:tc>
        <w:tc>
          <w:tcPr>
            <w:tcW w:w="654" w:type="pct"/>
            <w:tcBorders>
              <w:top w:val="nil"/>
              <w:left w:val="nil"/>
              <w:bottom w:val="nil"/>
              <w:right w:val="nil"/>
            </w:tcBorders>
            <w:shd w:val="clear" w:color="auto" w:fill="auto"/>
            <w:noWrap/>
            <w:vAlign w:val="bottom"/>
            <w:hideMark/>
          </w:tcPr>
          <w:p w14:paraId="457D3360"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7,382,023</w:t>
            </w:r>
          </w:p>
        </w:tc>
      </w:tr>
      <w:tr w:rsidR="005270E7" w:rsidRPr="00060311" w14:paraId="4AB5AAE9" w14:textId="77777777" w:rsidTr="002561DB">
        <w:trPr>
          <w:trHeight w:val="285"/>
        </w:trPr>
        <w:tc>
          <w:tcPr>
            <w:tcW w:w="1591" w:type="pct"/>
            <w:tcBorders>
              <w:top w:val="nil"/>
              <w:left w:val="nil"/>
              <w:bottom w:val="nil"/>
              <w:right w:val="nil"/>
            </w:tcBorders>
            <w:shd w:val="clear" w:color="auto" w:fill="auto"/>
            <w:noWrap/>
            <w:vAlign w:val="bottom"/>
            <w:hideMark/>
          </w:tcPr>
          <w:p w14:paraId="0CB7B4D3" w14:textId="2AD28D5F" w:rsidR="005270E7" w:rsidRPr="00060311" w:rsidRDefault="005270E7" w:rsidP="005270E7">
            <w:pPr>
              <w:rPr>
                <w:rFonts w:ascii="Arial" w:hAnsi="Arial" w:cs="Arial"/>
                <w:color w:val="000000"/>
                <w:sz w:val="18"/>
                <w:szCs w:val="18"/>
                <w:lang w:eastAsia="en-SG"/>
              </w:rPr>
            </w:pPr>
            <w:r w:rsidRPr="00060311">
              <w:rPr>
                <w:rFonts w:ascii="Arial" w:hAnsi="Arial" w:cs="Arial"/>
                <w:color w:val="000000"/>
                <w:sz w:val="18"/>
                <w:szCs w:val="18"/>
                <w:lang w:eastAsia="en-SG"/>
              </w:rPr>
              <w:t>Trade and Other Receivable</w:t>
            </w:r>
            <w:r w:rsidR="00271D57">
              <w:rPr>
                <w:rFonts w:ascii="Arial" w:hAnsi="Arial" w:cs="Arial"/>
                <w:color w:val="000000"/>
                <w:sz w:val="18"/>
                <w:szCs w:val="18"/>
                <w:lang w:eastAsia="en-SG"/>
              </w:rPr>
              <w:t>s</w:t>
            </w:r>
          </w:p>
        </w:tc>
        <w:tc>
          <w:tcPr>
            <w:tcW w:w="140" w:type="pct"/>
            <w:tcBorders>
              <w:top w:val="nil"/>
              <w:left w:val="nil"/>
              <w:bottom w:val="nil"/>
              <w:right w:val="nil"/>
            </w:tcBorders>
            <w:shd w:val="clear" w:color="auto" w:fill="auto"/>
          </w:tcPr>
          <w:p w14:paraId="7EA0BB38" w14:textId="77777777" w:rsidR="005270E7" w:rsidRPr="00060311" w:rsidRDefault="005270E7" w:rsidP="005270E7">
            <w:pPr>
              <w:jc w:val="right"/>
              <w:rPr>
                <w:rFonts w:ascii="Arial" w:hAnsi="Arial" w:cs="Arial"/>
                <w:color w:val="000000"/>
                <w:sz w:val="18"/>
                <w:szCs w:val="18"/>
                <w:lang w:eastAsia="en-SG"/>
              </w:rPr>
            </w:pPr>
          </w:p>
        </w:tc>
        <w:tc>
          <w:tcPr>
            <w:tcW w:w="654" w:type="pct"/>
            <w:tcBorders>
              <w:top w:val="nil"/>
              <w:left w:val="nil"/>
              <w:bottom w:val="nil"/>
              <w:right w:val="nil"/>
            </w:tcBorders>
            <w:shd w:val="clear" w:color="auto" w:fill="auto"/>
            <w:noWrap/>
            <w:vAlign w:val="bottom"/>
            <w:hideMark/>
          </w:tcPr>
          <w:p w14:paraId="773B58DD"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1,301,916</w:t>
            </w:r>
          </w:p>
        </w:tc>
        <w:tc>
          <w:tcPr>
            <w:tcW w:w="654" w:type="pct"/>
            <w:tcBorders>
              <w:top w:val="nil"/>
              <w:left w:val="nil"/>
              <w:bottom w:val="nil"/>
              <w:right w:val="nil"/>
            </w:tcBorders>
            <w:shd w:val="clear" w:color="auto" w:fill="auto"/>
            <w:noWrap/>
            <w:vAlign w:val="bottom"/>
            <w:hideMark/>
          </w:tcPr>
          <w:p w14:paraId="3ACD0A80"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2,139,625</w:t>
            </w:r>
          </w:p>
        </w:tc>
        <w:tc>
          <w:tcPr>
            <w:tcW w:w="654" w:type="pct"/>
            <w:tcBorders>
              <w:top w:val="nil"/>
              <w:left w:val="nil"/>
              <w:bottom w:val="nil"/>
              <w:right w:val="nil"/>
            </w:tcBorders>
            <w:shd w:val="clear" w:color="auto" w:fill="auto"/>
            <w:noWrap/>
            <w:vAlign w:val="bottom"/>
            <w:hideMark/>
          </w:tcPr>
          <w:p w14:paraId="67189FD9"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1,769,374</w:t>
            </w:r>
          </w:p>
        </w:tc>
        <w:tc>
          <w:tcPr>
            <w:tcW w:w="654" w:type="pct"/>
            <w:tcBorders>
              <w:top w:val="nil"/>
              <w:left w:val="nil"/>
              <w:bottom w:val="nil"/>
              <w:right w:val="nil"/>
            </w:tcBorders>
            <w:shd w:val="clear" w:color="auto" w:fill="auto"/>
            <w:noWrap/>
            <w:vAlign w:val="bottom"/>
            <w:hideMark/>
          </w:tcPr>
          <w:p w14:paraId="36B92F62"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1,484,753</w:t>
            </w:r>
          </w:p>
        </w:tc>
        <w:tc>
          <w:tcPr>
            <w:tcW w:w="654" w:type="pct"/>
            <w:tcBorders>
              <w:top w:val="nil"/>
              <w:left w:val="nil"/>
              <w:bottom w:val="nil"/>
              <w:right w:val="nil"/>
            </w:tcBorders>
            <w:shd w:val="clear" w:color="auto" w:fill="auto"/>
            <w:noWrap/>
            <w:vAlign w:val="bottom"/>
            <w:hideMark/>
          </w:tcPr>
          <w:p w14:paraId="795B9D7D"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1,164,115</w:t>
            </w:r>
          </w:p>
        </w:tc>
      </w:tr>
      <w:tr w:rsidR="005270E7" w:rsidRPr="00060311" w14:paraId="6FA37F65" w14:textId="77777777" w:rsidTr="002561DB">
        <w:trPr>
          <w:trHeight w:val="285"/>
        </w:trPr>
        <w:tc>
          <w:tcPr>
            <w:tcW w:w="1591" w:type="pct"/>
            <w:tcBorders>
              <w:top w:val="nil"/>
              <w:left w:val="nil"/>
              <w:bottom w:val="nil"/>
              <w:right w:val="nil"/>
            </w:tcBorders>
            <w:shd w:val="clear" w:color="auto" w:fill="auto"/>
            <w:noWrap/>
            <w:vAlign w:val="bottom"/>
            <w:hideMark/>
          </w:tcPr>
          <w:p w14:paraId="366A9911" w14:textId="77777777" w:rsidR="005270E7" w:rsidRPr="00060311" w:rsidRDefault="005270E7" w:rsidP="005270E7">
            <w:pPr>
              <w:rPr>
                <w:rFonts w:ascii="Arial" w:hAnsi="Arial" w:cs="Arial"/>
                <w:color w:val="000000"/>
                <w:sz w:val="18"/>
                <w:szCs w:val="18"/>
                <w:lang w:eastAsia="en-SG"/>
              </w:rPr>
            </w:pPr>
            <w:r w:rsidRPr="00060311">
              <w:rPr>
                <w:rFonts w:ascii="Arial" w:hAnsi="Arial" w:cs="Arial"/>
                <w:color w:val="000000"/>
                <w:sz w:val="18"/>
                <w:szCs w:val="18"/>
                <w:lang w:eastAsia="en-SG"/>
              </w:rPr>
              <w:t>Other Current Assets</w:t>
            </w:r>
          </w:p>
        </w:tc>
        <w:tc>
          <w:tcPr>
            <w:tcW w:w="140" w:type="pct"/>
            <w:tcBorders>
              <w:top w:val="nil"/>
              <w:left w:val="nil"/>
              <w:bottom w:val="nil"/>
              <w:right w:val="nil"/>
            </w:tcBorders>
            <w:shd w:val="clear" w:color="auto" w:fill="auto"/>
          </w:tcPr>
          <w:p w14:paraId="327EF4A6" w14:textId="77777777" w:rsidR="005270E7" w:rsidRPr="00060311" w:rsidRDefault="005270E7" w:rsidP="005270E7">
            <w:pPr>
              <w:jc w:val="right"/>
              <w:rPr>
                <w:rFonts w:ascii="Arial" w:hAnsi="Arial" w:cs="Arial"/>
                <w:color w:val="000000"/>
                <w:sz w:val="18"/>
                <w:szCs w:val="18"/>
                <w:lang w:eastAsia="en-SG"/>
              </w:rPr>
            </w:pPr>
          </w:p>
        </w:tc>
        <w:tc>
          <w:tcPr>
            <w:tcW w:w="654" w:type="pct"/>
            <w:tcBorders>
              <w:top w:val="nil"/>
              <w:left w:val="nil"/>
              <w:bottom w:val="nil"/>
              <w:right w:val="nil"/>
            </w:tcBorders>
            <w:shd w:val="clear" w:color="auto" w:fill="auto"/>
            <w:noWrap/>
            <w:vAlign w:val="bottom"/>
            <w:hideMark/>
          </w:tcPr>
          <w:p w14:paraId="4B7C451E"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196,437</w:t>
            </w:r>
          </w:p>
        </w:tc>
        <w:tc>
          <w:tcPr>
            <w:tcW w:w="654" w:type="pct"/>
            <w:tcBorders>
              <w:top w:val="nil"/>
              <w:left w:val="nil"/>
              <w:bottom w:val="nil"/>
              <w:right w:val="nil"/>
            </w:tcBorders>
            <w:shd w:val="clear" w:color="auto" w:fill="auto"/>
            <w:noWrap/>
            <w:vAlign w:val="bottom"/>
            <w:hideMark/>
          </w:tcPr>
          <w:p w14:paraId="79746E4E"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203,009</w:t>
            </w:r>
          </w:p>
        </w:tc>
        <w:tc>
          <w:tcPr>
            <w:tcW w:w="654" w:type="pct"/>
            <w:tcBorders>
              <w:top w:val="nil"/>
              <w:left w:val="nil"/>
              <w:bottom w:val="nil"/>
              <w:right w:val="nil"/>
            </w:tcBorders>
            <w:shd w:val="clear" w:color="auto" w:fill="auto"/>
            <w:noWrap/>
            <w:vAlign w:val="bottom"/>
            <w:hideMark/>
          </w:tcPr>
          <w:p w14:paraId="02B8A172"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195,000</w:t>
            </w:r>
          </w:p>
        </w:tc>
        <w:tc>
          <w:tcPr>
            <w:tcW w:w="654" w:type="pct"/>
            <w:tcBorders>
              <w:top w:val="nil"/>
              <w:left w:val="nil"/>
              <w:bottom w:val="nil"/>
              <w:right w:val="nil"/>
            </w:tcBorders>
            <w:shd w:val="clear" w:color="auto" w:fill="auto"/>
            <w:noWrap/>
            <w:vAlign w:val="bottom"/>
            <w:hideMark/>
          </w:tcPr>
          <w:p w14:paraId="001656AE"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201,370</w:t>
            </w:r>
          </w:p>
        </w:tc>
        <w:tc>
          <w:tcPr>
            <w:tcW w:w="654" w:type="pct"/>
            <w:tcBorders>
              <w:top w:val="nil"/>
              <w:left w:val="nil"/>
              <w:bottom w:val="nil"/>
              <w:right w:val="nil"/>
            </w:tcBorders>
            <w:shd w:val="clear" w:color="auto" w:fill="auto"/>
            <w:noWrap/>
            <w:vAlign w:val="bottom"/>
            <w:hideMark/>
          </w:tcPr>
          <w:p w14:paraId="7407F088"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196,923</w:t>
            </w:r>
          </w:p>
        </w:tc>
      </w:tr>
      <w:tr w:rsidR="005270E7" w:rsidRPr="00060311" w14:paraId="6A1D588B" w14:textId="77777777" w:rsidTr="002561DB">
        <w:trPr>
          <w:trHeight w:val="285"/>
        </w:trPr>
        <w:tc>
          <w:tcPr>
            <w:tcW w:w="1591" w:type="pct"/>
            <w:tcBorders>
              <w:top w:val="nil"/>
              <w:left w:val="nil"/>
              <w:bottom w:val="nil"/>
              <w:right w:val="nil"/>
            </w:tcBorders>
            <w:shd w:val="clear" w:color="auto" w:fill="auto"/>
            <w:noWrap/>
            <w:vAlign w:val="bottom"/>
            <w:hideMark/>
          </w:tcPr>
          <w:p w14:paraId="6E5B2778" w14:textId="1BC2EFAF" w:rsidR="005270E7" w:rsidRPr="00060311" w:rsidRDefault="005270E7" w:rsidP="00C1248F">
            <w:pPr>
              <w:rPr>
                <w:rFonts w:ascii="Arial" w:hAnsi="Arial" w:cs="Arial"/>
                <w:color w:val="000000"/>
                <w:sz w:val="18"/>
                <w:szCs w:val="18"/>
                <w:lang w:eastAsia="en-SG"/>
              </w:rPr>
            </w:pPr>
            <w:r w:rsidRPr="00060311">
              <w:rPr>
                <w:rFonts w:ascii="Arial" w:hAnsi="Arial" w:cs="Arial"/>
                <w:color w:val="000000"/>
                <w:sz w:val="18"/>
                <w:szCs w:val="18"/>
                <w:lang w:eastAsia="en-SG"/>
              </w:rPr>
              <w:t xml:space="preserve">Cash and </w:t>
            </w:r>
            <w:r w:rsidR="00271D57">
              <w:rPr>
                <w:rFonts w:ascii="Arial" w:hAnsi="Arial" w:cs="Arial"/>
                <w:color w:val="000000"/>
                <w:sz w:val="18"/>
                <w:szCs w:val="18"/>
                <w:lang w:eastAsia="en-SG"/>
              </w:rPr>
              <w:t>C</w:t>
            </w:r>
            <w:r w:rsidR="00271D57" w:rsidRPr="00060311">
              <w:rPr>
                <w:rFonts w:ascii="Arial" w:hAnsi="Arial" w:cs="Arial"/>
                <w:color w:val="000000"/>
                <w:sz w:val="18"/>
                <w:szCs w:val="18"/>
                <w:lang w:eastAsia="en-SG"/>
              </w:rPr>
              <w:t xml:space="preserve">ash </w:t>
            </w:r>
            <w:r w:rsidR="00271D57">
              <w:rPr>
                <w:rFonts w:ascii="Arial" w:hAnsi="Arial" w:cs="Arial"/>
                <w:color w:val="000000"/>
                <w:sz w:val="18"/>
                <w:szCs w:val="18"/>
                <w:lang w:eastAsia="en-SG"/>
              </w:rPr>
              <w:t>E</w:t>
            </w:r>
            <w:r w:rsidR="00271D57" w:rsidRPr="00060311">
              <w:rPr>
                <w:rFonts w:ascii="Arial" w:hAnsi="Arial" w:cs="Arial"/>
                <w:color w:val="000000"/>
                <w:sz w:val="18"/>
                <w:szCs w:val="18"/>
                <w:lang w:eastAsia="en-SG"/>
              </w:rPr>
              <w:t>quivalent</w:t>
            </w:r>
            <w:r w:rsidR="00271D57">
              <w:rPr>
                <w:rFonts w:ascii="Arial" w:hAnsi="Arial" w:cs="Arial"/>
                <w:color w:val="000000"/>
                <w:sz w:val="18"/>
                <w:szCs w:val="18"/>
                <w:lang w:eastAsia="en-SG"/>
              </w:rPr>
              <w:t>s</w:t>
            </w:r>
          </w:p>
        </w:tc>
        <w:tc>
          <w:tcPr>
            <w:tcW w:w="140" w:type="pct"/>
            <w:tcBorders>
              <w:top w:val="nil"/>
              <w:left w:val="nil"/>
              <w:bottom w:val="nil"/>
              <w:right w:val="nil"/>
            </w:tcBorders>
            <w:shd w:val="clear" w:color="auto" w:fill="auto"/>
          </w:tcPr>
          <w:p w14:paraId="3A062872" w14:textId="77777777" w:rsidR="005270E7" w:rsidRPr="00060311" w:rsidRDefault="005270E7" w:rsidP="005270E7">
            <w:pPr>
              <w:jc w:val="right"/>
              <w:rPr>
                <w:rFonts w:ascii="Arial" w:hAnsi="Arial" w:cs="Arial"/>
                <w:color w:val="000000"/>
                <w:sz w:val="18"/>
                <w:szCs w:val="18"/>
                <w:lang w:eastAsia="en-SG"/>
              </w:rPr>
            </w:pPr>
          </w:p>
        </w:tc>
        <w:tc>
          <w:tcPr>
            <w:tcW w:w="654" w:type="pct"/>
            <w:tcBorders>
              <w:top w:val="nil"/>
              <w:left w:val="nil"/>
              <w:bottom w:val="nil"/>
              <w:right w:val="nil"/>
            </w:tcBorders>
            <w:shd w:val="clear" w:color="auto" w:fill="auto"/>
            <w:noWrap/>
            <w:vAlign w:val="bottom"/>
            <w:hideMark/>
          </w:tcPr>
          <w:p w14:paraId="194A6F03"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8,729,718</w:t>
            </w:r>
          </w:p>
        </w:tc>
        <w:tc>
          <w:tcPr>
            <w:tcW w:w="654" w:type="pct"/>
            <w:tcBorders>
              <w:top w:val="nil"/>
              <w:left w:val="nil"/>
              <w:bottom w:val="nil"/>
              <w:right w:val="nil"/>
            </w:tcBorders>
            <w:shd w:val="clear" w:color="auto" w:fill="auto"/>
            <w:noWrap/>
            <w:vAlign w:val="bottom"/>
            <w:hideMark/>
          </w:tcPr>
          <w:p w14:paraId="57919883"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7,190,064</w:t>
            </w:r>
          </w:p>
        </w:tc>
        <w:tc>
          <w:tcPr>
            <w:tcW w:w="654" w:type="pct"/>
            <w:tcBorders>
              <w:top w:val="nil"/>
              <w:left w:val="nil"/>
              <w:bottom w:val="nil"/>
              <w:right w:val="nil"/>
            </w:tcBorders>
            <w:shd w:val="clear" w:color="auto" w:fill="auto"/>
            <w:noWrap/>
            <w:vAlign w:val="bottom"/>
            <w:hideMark/>
          </w:tcPr>
          <w:p w14:paraId="0794ABF1"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6,264,473</w:t>
            </w:r>
          </w:p>
        </w:tc>
        <w:tc>
          <w:tcPr>
            <w:tcW w:w="654" w:type="pct"/>
            <w:tcBorders>
              <w:top w:val="nil"/>
              <w:left w:val="nil"/>
              <w:bottom w:val="nil"/>
              <w:right w:val="nil"/>
            </w:tcBorders>
            <w:shd w:val="clear" w:color="auto" w:fill="auto"/>
            <w:noWrap/>
            <w:vAlign w:val="bottom"/>
            <w:hideMark/>
          </w:tcPr>
          <w:p w14:paraId="6D94E190"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5,497,693</w:t>
            </w:r>
          </w:p>
        </w:tc>
        <w:tc>
          <w:tcPr>
            <w:tcW w:w="654" w:type="pct"/>
            <w:tcBorders>
              <w:top w:val="nil"/>
              <w:left w:val="nil"/>
              <w:bottom w:val="nil"/>
              <w:right w:val="nil"/>
            </w:tcBorders>
            <w:shd w:val="clear" w:color="auto" w:fill="auto"/>
            <w:noWrap/>
            <w:vAlign w:val="bottom"/>
            <w:hideMark/>
          </w:tcPr>
          <w:p w14:paraId="039E472E"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5,920,152</w:t>
            </w:r>
          </w:p>
        </w:tc>
      </w:tr>
      <w:tr w:rsidR="005270E7" w:rsidRPr="00060311" w14:paraId="3141749A" w14:textId="77777777" w:rsidTr="002561DB">
        <w:trPr>
          <w:trHeight w:val="285"/>
        </w:trPr>
        <w:tc>
          <w:tcPr>
            <w:tcW w:w="1591" w:type="pct"/>
            <w:tcBorders>
              <w:top w:val="nil"/>
              <w:left w:val="nil"/>
              <w:bottom w:val="nil"/>
              <w:right w:val="nil"/>
            </w:tcBorders>
            <w:shd w:val="clear" w:color="auto" w:fill="auto"/>
            <w:noWrap/>
            <w:vAlign w:val="bottom"/>
            <w:hideMark/>
          </w:tcPr>
          <w:p w14:paraId="02DACC7A" w14:textId="77777777" w:rsidR="005270E7" w:rsidRPr="00060311" w:rsidRDefault="005270E7" w:rsidP="005270E7">
            <w:pPr>
              <w:rPr>
                <w:rFonts w:ascii="Arial" w:hAnsi="Arial" w:cs="Arial"/>
                <w:b/>
                <w:bCs/>
                <w:color w:val="000000"/>
                <w:sz w:val="18"/>
                <w:szCs w:val="18"/>
                <w:lang w:eastAsia="en-SG"/>
              </w:rPr>
            </w:pPr>
            <w:r w:rsidRPr="00060311">
              <w:rPr>
                <w:rFonts w:ascii="Arial" w:hAnsi="Arial" w:cs="Arial"/>
                <w:b/>
                <w:bCs/>
                <w:color w:val="000000"/>
                <w:sz w:val="18"/>
                <w:szCs w:val="18"/>
                <w:lang w:eastAsia="en-SG"/>
              </w:rPr>
              <w:t>Total Current Assets</w:t>
            </w:r>
          </w:p>
        </w:tc>
        <w:tc>
          <w:tcPr>
            <w:tcW w:w="140" w:type="pct"/>
            <w:tcBorders>
              <w:top w:val="single" w:sz="4" w:space="0" w:color="auto"/>
              <w:left w:val="nil"/>
              <w:bottom w:val="single" w:sz="4" w:space="0" w:color="auto"/>
              <w:right w:val="nil"/>
            </w:tcBorders>
            <w:shd w:val="clear" w:color="auto" w:fill="auto"/>
          </w:tcPr>
          <w:p w14:paraId="1EE32117" w14:textId="77777777" w:rsidR="005270E7" w:rsidRPr="00060311" w:rsidRDefault="005270E7" w:rsidP="005270E7">
            <w:pPr>
              <w:jc w:val="right"/>
              <w:rPr>
                <w:rFonts w:ascii="Arial" w:hAnsi="Arial" w:cs="Arial"/>
                <w:b/>
                <w:bCs/>
                <w:color w:val="000000"/>
                <w:sz w:val="18"/>
                <w:szCs w:val="18"/>
                <w:lang w:eastAsia="en-SG"/>
              </w:rPr>
            </w:pPr>
          </w:p>
        </w:tc>
        <w:tc>
          <w:tcPr>
            <w:tcW w:w="654" w:type="pct"/>
            <w:tcBorders>
              <w:top w:val="single" w:sz="4" w:space="0" w:color="auto"/>
              <w:left w:val="nil"/>
              <w:bottom w:val="single" w:sz="4" w:space="0" w:color="auto"/>
              <w:right w:val="nil"/>
            </w:tcBorders>
            <w:shd w:val="clear" w:color="auto" w:fill="auto"/>
            <w:noWrap/>
            <w:vAlign w:val="bottom"/>
            <w:hideMark/>
          </w:tcPr>
          <w:p w14:paraId="0A792EC0"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13,818,341</w:t>
            </w:r>
          </w:p>
        </w:tc>
        <w:tc>
          <w:tcPr>
            <w:tcW w:w="654" w:type="pct"/>
            <w:tcBorders>
              <w:top w:val="single" w:sz="4" w:space="0" w:color="auto"/>
              <w:left w:val="nil"/>
              <w:bottom w:val="single" w:sz="4" w:space="0" w:color="auto"/>
              <w:right w:val="nil"/>
            </w:tcBorders>
            <w:shd w:val="clear" w:color="auto" w:fill="auto"/>
            <w:noWrap/>
            <w:vAlign w:val="bottom"/>
            <w:hideMark/>
          </w:tcPr>
          <w:p w14:paraId="6603397D"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14,952,048</w:t>
            </w:r>
          </w:p>
        </w:tc>
        <w:tc>
          <w:tcPr>
            <w:tcW w:w="654" w:type="pct"/>
            <w:tcBorders>
              <w:top w:val="single" w:sz="4" w:space="0" w:color="auto"/>
              <w:left w:val="nil"/>
              <w:bottom w:val="single" w:sz="4" w:space="0" w:color="auto"/>
              <w:right w:val="nil"/>
            </w:tcBorders>
            <w:shd w:val="clear" w:color="auto" w:fill="auto"/>
            <w:noWrap/>
            <w:vAlign w:val="bottom"/>
            <w:hideMark/>
          </w:tcPr>
          <w:p w14:paraId="24C16407"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15,133,971</w:t>
            </w:r>
          </w:p>
        </w:tc>
        <w:tc>
          <w:tcPr>
            <w:tcW w:w="654" w:type="pct"/>
            <w:tcBorders>
              <w:top w:val="single" w:sz="4" w:space="0" w:color="auto"/>
              <w:left w:val="nil"/>
              <w:bottom w:val="single" w:sz="4" w:space="0" w:color="auto"/>
              <w:right w:val="nil"/>
            </w:tcBorders>
            <w:shd w:val="clear" w:color="auto" w:fill="auto"/>
            <w:noWrap/>
            <w:vAlign w:val="bottom"/>
            <w:hideMark/>
          </w:tcPr>
          <w:p w14:paraId="2A271E6F"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14,693,909</w:t>
            </w:r>
          </w:p>
        </w:tc>
        <w:tc>
          <w:tcPr>
            <w:tcW w:w="654" w:type="pct"/>
            <w:tcBorders>
              <w:top w:val="single" w:sz="4" w:space="0" w:color="auto"/>
              <w:left w:val="nil"/>
              <w:bottom w:val="single" w:sz="4" w:space="0" w:color="auto"/>
              <w:right w:val="nil"/>
            </w:tcBorders>
            <w:shd w:val="clear" w:color="auto" w:fill="auto"/>
            <w:noWrap/>
            <w:vAlign w:val="bottom"/>
            <w:hideMark/>
          </w:tcPr>
          <w:p w14:paraId="39C76383"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14,663,213</w:t>
            </w:r>
          </w:p>
        </w:tc>
      </w:tr>
      <w:tr w:rsidR="005270E7" w:rsidRPr="00060311" w14:paraId="7D8A537B" w14:textId="77777777" w:rsidTr="002561DB">
        <w:trPr>
          <w:trHeight w:val="285"/>
        </w:trPr>
        <w:tc>
          <w:tcPr>
            <w:tcW w:w="1591" w:type="pct"/>
            <w:tcBorders>
              <w:top w:val="nil"/>
              <w:left w:val="nil"/>
              <w:bottom w:val="nil"/>
              <w:right w:val="nil"/>
            </w:tcBorders>
            <w:shd w:val="clear" w:color="auto" w:fill="auto"/>
            <w:noWrap/>
            <w:vAlign w:val="bottom"/>
            <w:hideMark/>
          </w:tcPr>
          <w:p w14:paraId="372313E2" w14:textId="1450A745" w:rsidR="005270E7" w:rsidRPr="00060311" w:rsidRDefault="005270E7" w:rsidP="005270E7">
            <w:pPr>
              <w:rPr>
                <w:rFonts w:ascii="Arial" w:hAnsi="Arial" w:cs="Arial"/>
                <w:color w:val="000000"/>
                <w:sz w:val="18"/>
                <w:szCs w:val="18"/>
                <w:lang w:eastAsia="en-SG"/>
              </w:rPr>
            </w:pPr>
            <w:r w:rsidRPr="00060311">
              <w:rPr>
                <w:rFonts w:ascii="Arial" w:hAnsi="Arial" w:cs="Arial"/>
                <w:color w:val="000000"/>
                <w:sz w:val="18"/>
                <w:szCs w:val="18"/>
                <w:lang w:eastAsia="en-SG"/>
              </w:rPr>
              <w:t>P</w:t>
            </w:r>
            <w:r w:rsidR="008A500E">
              <w:rPr>
                <w:rFonts w:ascii="Arial" w:hAnsi="Arial" w:cs="Arial"/>
                <w:color w:val="000000"/>
                <w:sz w:val="18"/>
                <w:szCs w:val="18"/>
                <w:lang w:eastAsia="en-SG"/>
              </w:rPr>
              <w:t xml:space="preserve">roperty, </w:t>
            </w:r>
            <w:r w:rsidRPr="00060311">
              <w:rPr>
                <w:rFonts w:ascii="Arial" w:hAnsi="Arial" w:cs="Arial"/>
                <w:color w:val="000000"/>
                <w:sz w:val="18"/>
                <w:szCs w:val="18"/>
                <w:lang w:eastAsia="en-SG"/>
              </w:rPr>
              <w:t>P</w:t>
            </w:r>
            <w:r w:rsidR="008A500E">
              <w:rPr>
                <w:rFonts w:ascii="Arial" w:hAnsi="Arial" w:cs="Arial"/>
                <w:color w:val="000000"/>
                <w:sz w:val="18"/>
                <w:szCs w:val="18"/>
                <w:lang w:eastAsia="en-SG"/>
              </w:rPr>
              <w:t xml:space="preserve">lant, and </w:t>
            </w:r>
            <w:r w:rsidRPr="00060311">
              <w:rPr>
                <w:rFonts w:ascii="Arial" w:hAnsi="Arial" w:cs="Arial"/>
                <w:color w:val="000000"/>
                <w:sz w:val="18"/>
                <w:szCs w:val="18"/>
                <w:lang w:eastAsia="en-SG"/>
              </w:rPr>
              <w:t>E</w:t>
            </w:r>
            <w:r w:rsidR="008A500E">
              <w:rPr>
                <w:rFonts w:ascii="Arial" w:hAnsi="Arial" w:cs="Arial"/>
                <w:color w:val="000000"/>
                <w:sz w:val="18"/>
                <w:szCs w:val="18"/>
                <w:lang w:eastAsia="en-SG"/>
              </w:rPr>
              <w:t>quipment</w:t>
            </w:r>
          </w:p>
        </w:tc>
        <w:tc>
          <w:tcPr>
            <w:tcW w:w="140" w:type="pct"/>
            <w:tcBorders>
              <w:top w:val="nil"/>
              <w:left w:val="nil"/>
              <w:bottom w:val="nil"/>
              <w:right w:val="nil"/>
            </w:tcBorders>
            <w:shd w:val="clear" w:color="auto" w:fill="auto"/>
          </w:tcPr>
          <w:p w14:paraId="57BE9A12" w14:textId="77777777" w:rsidR="005270E7" w:rsidRPr="00060311" w:rsidRDefault="005270E7" w:rsidP="005270E7">
            <w:pPr>
              <w:jc w:val="right"/>
              <w:rPr>
                <w:rFonts w:ascii="Arial" w:hAnsi="Arial" w:cs="Arial"/>
                <w:color w:val="000000"/>
                <w:sz w:val="18"/>
                <w:szCs w:val="18"/>
                <w:lang w:eastAsia="en-SG"/>
              </w:rPr>
            </w:pPr>
          </w:p>
        </w:tc>
        <w:tc>
          <w:tcPr>
            <w:tcW w:w="654" w:type="pct"/>
            <w:tcBorders>
              <w:top w:val="nil"/>
              <w:left w:val="nil"/>
              <w:bottom w:val="nil"/>
              <w:right w:val="nil"/>
            </w:tcBorders>
            <w:shd w:val="clear" w:color="auto" w:fill="auto"/>
            <w:noWrap/>
            <w:vAlign w:val="bottom"/>
            <w:hideMark/>
          </w:tcPr>
          <w:p w14:paraId="46297DA1"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1,772,301</w:t>
            </w:r>
          </w:p>
        </w:tc>
        <w:tc>
          <w:tcPr>
            <w:tcW w:w="654" w:type="pct"/>
            <w:tcBorders>
              <w:top w:val="nil"/>
              <w:left w:val="nil"/>
              <w:bottom w:val="nil"/>
              <w:right w:val="nil"/>
            </w:tcBorders>
            <w:shd w:val="clear" w:color="auto" w:fill="auto"/>
            <w:noWrap/>
            <w:vAlign w:val="bottom"/>
            <w:hideMark/>
          </w:tcPr>
          <w:p w14:paraId="40C56234"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1,049,407</w:t>
            </w:r>
          </w:p>
        </w:tc>
        <w:tc>
          <w:tcPr>
            <w:tcW w:w="654" w:type="pct"/>
            <w:tcBorders>
              <w:top w:val="nil"/>
              <w:left w:val="nil"/>
              <w:bottom w:val="nil"/>
              <w:right w:val="nil"/>
            </w:tcBorders>
            <w:shd w:val="clear" w:color="auto" w:fill="auto"/>
            <w:noWrap/>
            <w:vAlign w:val="bottom"/>
            <w:hideMark/>
          </w:tcPr>
          <w:p w14:paraId="6F554120"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1,075,505</w:t>
            </w:r>
          </w:p>
        </w:tc>
        <w:tc>
          <w:tcPr>
            <w:tcW w:w="654" w:type="pct"/>
            <w:tcBorders>
              <w:top w:val="nil"/>
              <w:left w:val="nil"/>
              <w:bottom w:val="nil"/>
              <w:right w:val="nil"/>
            </w:tcBorders>
            <w:shd w:val="clear" w:color="auto" w:fill="auto"/>
            <w:noWrap/>
            <w:vAlign w:val="bottom"/>
            <w:hideMark/>
          </w:tcPr>
          <w:p w14:paraId="34B05978"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1,263,615</w:t>
            </w:r>
          </w:p>
        </w:tc>
        <w:tc>
          <w:tcPr>
            <w:tcW w:w="654" w:type="pct"/>
            <w:tcBorders>
              <w:top w:val="nil"/>
              <w:left w:val="nil"/>
              <w:bottom w:val="nil"/>
              <w:right w:val="nil"/>
            </w:tcBorders>
            <w:shd w:val="clear" w:color="auto" w:fill="auto"/>
            <w:noWrap/>
            <w:vAlign w:val="bottom"/>
            <w:hideMark/>
          </w:tcPr>
          <w:p w14:paraId="6C651959"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1,079,239</w:t>
            </w:r>
          </w:p>
        </w:tc>
      </w:tr>
      <w:tr w:rsidR="005270E7" w:rsidRPr="00060311" w14:paraId="2E9F6AC8" w14:textId="77777777" w:rsidTr="002561DB">
        <w:trPr>
          <w:trHeight w:val="285"/>
        </w:trPr>
        <w:tc>
          <w:tcPr>
            <w:tcW w:w="1591" w:type="pct"/>
            <w:tcBorders>
              <w:top w:val="nil"/>
              <w:left w:val="nil"/>
              <w:bottom w:val="nil"/>
              <w:right w:val="nil"/>
            </w:tcBorders>
            <w:shd w:val="clear" w:color="auto" w:fill="auto"/>
            <w:noWrap/>
            <w:vAlign w:val="bottom"/>
            <w:hideMark/>
          </w:tcPr>
          <w:p w14:paraId="3EB1821B" w14:textId="77777777" w:rsidR="005270E7" w:rsidRPr="00060311" w:rsidRDefault="005270E7" w:rsidP="005270E7">
            <w:pPr>
              <w:rPr>
                <w:rFonts w:ascii="Arial" w:hAnsi="Arial" w:cs="Arial"/>
                <w:color w:val="000000"/>
                <w:sz w:val="18"/>
                <w:szCs w:val="18"/>
                <w:lang w:eastAsia="en-SG"/>
              </w:rPr>
            </w:pPr>
            <w:r w:rsidRPr="00060311">
              <w:rPr>
                <w:rFonts w:ascii="Arial" w:hAnsi="Arial" w:cs="Arial"/>
                <w:color w:val="000000"/>
                <w:sz w:val="18"/>
                <w:szCs w:val="18"/>
                <w:lang w:eastAsia="en-SG"/>
              </w:rPr>
              <w:t>Intangible Assets</w:t>
            </w:r>
          </w:p>
        </w:tc>
        <w:tc>
          <w:tcPr>
            <w:tcW w:w="140" w:type="pct"/>
            <w:tcBorders>
              <w:top w:val="nil"/>
              <w:left w:val="nil"/>
              <w:bottom w:val="nil"/>
              <w:right w:val="nil"/>
            </w:tcBorders>
            <w:shd w:val="clear" w:color="auto" w:fill="auto"/>
          </w:tcPr>
          <w:p w14:paraId="3AD9195B" w14:textId="77777777" w:rsidR="005270E7" w:rsidRPr="00060311" w:rsidRDefault="005270E7" w:rsidP="005270E7">
            <w:pPr>
              <w:jc w:val="right"/>
              <w:rPr>
                <w:rFonts w:ascii="Arial" w:hAnsi="Arial" w:cs="Arial"/>
                <w:color w:val="000000"/>
                <w:sz w:val="18"/>
                <w:szCs w:val="18"/>
                <w:lang w:eastAsia="en-SG"/>
              </w:rPr>
            </w:pPr>
          </w:p>
        </w:tc>
        <w:tc>
          <w:tcPr>
            <w:tcW w:w="654" w:type="pct"/>
            <w:tcBorders>
              <w:top w:val="nil"/>
              <w:left w:val="nil"/>
              <w:bottom w:val="nil"/>
              <w:right w:val="nil"/>
            </w:tcBorders>
            <w:shd w:val="clear" w:color="auto" w:fill="auto"/>
            <w:noWrap/>
            <w:vAlign w:val="bottom"/>
            <w:hideMark/>
          </w:tcPr>
          <w:p w14:paraId="35AE7FD7"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518,026</w:t>
            </w:r>
          </w:p>
        </w:tc>
        <w:tc>
          <w:tcPr>
            <w:tcW w:w="654" w:type="pct"/>
            <w:tcBorders>
              <w:top w:val="nil"/>
              <w:left w:val="nil"/>
              <w:bottom w:val="nil"/>
              <w:right w:val="nil"/>
            </w:tcBorders>
            <w:shd w:val="clear" w:color="auto" w:fill="auto"/>
            <w:noWrap/>
            <w:vAlign w:val="bottom"/>
            <w:hideMark/>
          </w:tcPr>
          <w:p w14:paraId="026B3566"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459,605</w:t>
            </w:r>
          </w:p>
        </w:tc>
        <w:tc>
          <w:tcPr>
            <w:tcW w:w="654" w:type="pct"/>
            <w:tcBorders>
              <w:top w:val="nil"/>
              <w:left w:val="nil"/>
              <w:bottom w:val="nil"/>
              <w:right w:val="nil"/>
            </w:tcBorders>
            <w:shd w:val="clear" w:color="auto" w:fill="auto"/>
            <w:noWrap/>
            <w:vAlign w:val="bottom"/>
            <w:hideMark/>
          </w:tcPr>
          <w:p w14:paraId="65EC38CF"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458,722</w:t>
            </w:r>
          </w:p>
        </w:tc>
        <w:tc>
          <w:tcPr>
            <w:tcW w:w="654" w:type="pct"/>
            <w:tcBorders>
              <w:top w:val="nil"/>
              <w:left w:val="nil"/>
              <w:bottom w:val="nil"/>
              <w:right w:val="nil"/>
            </w:tcBorders>
            <w:shd w:val="clear" w:color="auto" w:fill="auto"/>
            <w:noWrap/>
            <w:vAlign w:val="bottom"/>
            <w:hideMark/>
          </w:tcPr>
          <w:p w14:paraId="324C443B"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462,093</w:t>
            </w:r>
          </w:p>
        </w:tc>
        <w:tc>
          <w:tcPr>
            <w:tcW w:w="654" w:type="pct"/>
            <w:tcBorders>
              <w:top w:val="nil"/>
              <w:left w:val="nil"/>
              <w:bottom w:val="nil"/>
              <w:right w:val="nil"/>
            </w:tcBorders>
            <w:shd w:val="clear" w:color="auto" w:fill="auto"/>
            <w:noWrap/>
            <w:vAlign w:val="bottom"/>
            <w:hideMark/>
          </w:tcPr>
          <w:p w14:paraId="32E24C8C"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470,735</w:t>
            </w:r>
          </w:p>
        </w:tc>
      </w:tr>
      <w:tr w:rsidR="005270E7" w:rsidRPr="00060311" w14:paraId="216A3B45" w14:textId="77777777" w:rsidTr="002561DB">
        <w:trPr>
          <w:trHeight w:val="285"/>
        </w:trPr>
        <w:tc>
          <w:tcPr>
            <w:tcW w:w="1591" w:type="pct"/>
            <w:tcBorders>
              <w:top w:val="nil"/>
              <w:left w:val="nil"/>
              <w:bottom w:val="nil"/>
              <w:right w:val="nil"/>
            </w:tcBorders>
            <w:shd w:val="clear" w:color="auto" w:fill="auto"/>
            <w:noWrap/>
            <w:vAlign w:val="bottom"/>
            <w:hideMark/>
          </w:tcPr>
          <w:p w14:paraId="34D03EEB" w14:textId="77777777" w:rsidR="005270E7" w:rsidRPr="00060311" w:rsidRDefault="005270E7" w:rsidP="005270E7">
            <w:pPr>
              <w:rPr>
                <w:rFonts w:ascii="Arial" w:hAnsi="Arial" w:cs="Arial"/>
                <w:color w:val="000000"/>
                <w:sz w:val="18"/>
                <w:szCs w:val="18"/>
                <w:lang w:eastAsia="en-SG"/>
              </w:rPr>
            </w:pPr>
            <w:r w:rsidRPr="00060311">
              <w:rPr>
                <w:rFonts w:ascii="Arial" w:hAnsi="Arial" w:cs="Arial"/>
                <w:color w:val="000000"/>
                <w:sz w:val="18"/>
                <w:szCs w:val="18"/>
                <w:lang w:eastAsia="en-SG"/>
              </w:rPr>
              <w:t>Investment Properties</w:t>
            </w:r>
          </w:p>
        </w:tc>
        <w:tc>
          <w:tcPr>
            <w:tcW w:w="140" w:type="pct"/>
            <w:tcBorders>
              <w:top w:val="nil"/>
              <w:left w:val="nil"/>
              <w:bottom w:val="nil"/>
              <w:right w:val="nil"/>
            </w:tcBorders>
            <w:shd w:val="clear" w:color="auto" w:fill="auto"/>
          </w:tcPr>
          <w:p w14:paraId="340A830E" w14:textId="77777777" w:rsidR="005270E7" w:rsidRPr="00060311" w:rsidRDefault="005270E7" w:rsidP="005270E7">
            <w:pPr>
              <w:jc w:val="right"/>
              <w:rPr>
                <w:rFonts w:ascii="Arial" w:hAnsi="Arial" w:cs="Arial"/>
                <w:color w:val="000000"/>
                <w:sz w:val="18"/>
                <w:szCs w:val="18"/>
                <w:lang w:eastAsia="en-SG"/>
              </w:rPr>
            </w:pPr>
          </w:p>
        </w:tc>
        <w:tc>
          <w:tcPr>
            <w:tcW w:w="654" w:type="pct"/>
            <w:tcBorders>
              <w:top w:val="nil"/>
              <w:left w:val="nil"/>
              <w:bottom w:val="nil"/>
              <w:right w:val="nil"/>
            </w:tcBorders>
            <w:shd w:val="clear" w:color="auto" w:fill="auto"/>
            <w:noWrap/>
            <w:vAlign w:val="bottom"/>
            <w:hideMark/>
          </w:tcPr>
          <w:p w14:paraId="12528715"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5,058,507</w:t>
            </w:r>
          </w:p>
        </w:tc>
        <w:tc>
          <w:tcPr>
            <w:tcW w:w="654" w:type="pct"/>
            <w:tcBorders>
              <w:top w:val="nil"/>
              <w:left w:val="nil"/>
              <w:bottom w:val="nil"/>
              <w:right w:val="nil"/>
            </w:tcBorders>
            <w:shd w:val="clear" w:color="auto" w:fill="auto"/>
            <w:noWrap/>
            <w:vAlign w:val="bottom"/>
            <w:hideMark/>
          </w:tcPr>
          <w:p w14:paraId="0314DFB0"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4,732,895</w:t>
            </w:r>
          </w:p>
        </w:tc>
        <w:tc>
          <w:tcPr>
            <w:tcW w:w="654" w:type="pct"/>
            <w:tcBorders>
              <w:top w:val="nil"/>
              <w:left w:val="nil"/>
              <w:bottom w:val="nil"/>
              <w:right w:val="nil"/>
            </w:tcBorders>
            <w:shd w:val="clear" w:color="auto" w:fill="auto"/>
            <w:noWrap/>
            <w:vAlign w:val="bottom"/>
            <w:hideMark/>
          </w:tcPr>
          <w:p w14:paraId="52D6191C"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7,074,617</w:t>
            </w:r>
          </w:p>
        </w:tc>
        <w:tc>
          <w:tcPr>
            <w:tcW w:w="654" w:type="pct"/>
            <w:tcBorders>
              <w:top w:val="nil"/>
              <w:left w:val="nil"/>
              <w:bottom w:val="nil"/>
              <w:right w:val="nil"/>
            </w:tcBorders>
            <w:shd w:val="clear" w:color="auto" w:fill="auto"/>
            <w:noWrap/>
            <w:vAlign w:val="bottom"/>
            <w:hideMark/>
          </w:tcPr>
          <w:p w14:paraId="7A8E2D86"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7,969,402</w:t>
            </w:r>
          </w:p>
        </w:tc>
        <w:tc>
          <w:tcPr>
            <w:tcW w:w="654" w:type="pct"/>
            <w:tcBorders>
              <w:top w:val="nil"/>
              <w:left w:val="nil"/>
              <w:bottom w:val="nil"/>
              <w:right w:val="nil"/>
            </w:tcBorders>
            <w:shd w:val="clear" w:color="auto" w:fill="auto"/>
            <w:noWrap/>
            <w:vAlign w:val="bottom"/>
            <w:hideMark/>
          </w:tcPr>
          <w:p w14:paraId="3B75632B"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4,935,194</w:t>
            </w:r>
          </w:p>
        </w:tc>
      </w:tr>
      <w:tr w:rsidR="005270E7" w:rsidRPr="00060311" w14:paraId="5C21F40B" w14:textId="77777777" w:rsidTr="002561DB">
        <w:trPr>
          <w:trHeight w:val="285"/>
        </w:trPr>
        <w:tc>
          <w:tcPr>
            <w:tcW w:w="1591" w:type="pct"/>
            <w:tcBorders>
              <w:top w:val="nil"/>
              <w:left w:val="nil"/>
              <w:bottom w:val="nil"/>
              <w:right w:val="nil"/>
            </w:tcBorders>
            <w:shd w:val="clear" w:color="auto" w:fill="auto"/>
            <w:noWrap/>
            <w:vAlign w:val="bottom"/>
            <w:hideMark/>
          </w:tcPr>
          <w:p w14:paraId="037086F5" w14:textId="77777777" w:rsidR="005270E7" w:rsidRPr="00060311" w:rsidRDefault="005270E7" w:rsidP="005270E7">
            <w:pPr>
              <w:rPr>
                <w:rFonts w:ascii="Arial" w:hAnsi="Arial" w:cs="Arial"/>
                <w:color w:val="000000"/>
                <w:sz w:val="18"/>
                <w:szCs w:val="18"/>
                <w:lang w:eastAsia="en-SG"/>
              </w:rPr>
            </w:pPr>
            <w:r w:rsidRPr="00060311">
              <w:rPr>
                <w:rFonts w:ascii="Arial" w:hAnsi="Arial" w:cs="Arial"/>
                <w:color w:val="000000"/>
                <w:sz w:val="18"/>
                <w:szCs w:val="18"/>
                <w:lang w:eastAsia="en-SG"/>
              </w:rPr>
              <w:t>Associates</w:t>
            </w:r>
          </w:p>
        </w:tc>
        <w:tc>
          <w:tcPr>
            <w:tcW w:w="140" w:type="pct"/>
            <w:tcBorders>
              <w:top w:val="nil"/>
              <w:left w:val="nil"/>
              <w:bottom w:val="nil"/>
              <w:right w:val="nil"/>
            </w:tcBorders>
            <w:shd w:val="clear" w:color="auto" w:fill="auto"/>
          </w:tcPr>
          <w:p w14:paraId="0EF62406" w14:textId="77777777" w:rsidR="005270E7" w:rsidRPr="00060311" w:rsidRDefault="005270E7" w:rsidP="005270E7">
            <w:pPr>
              <w:jc w:val="right"/>
              <w:rPr>
                <w:rFonts w:ascii="Arial" w:hAnsi="Arial" w:cs="Arial"/>
                <w:color w:val="000000"/>
                <w:sz w:val="18"/>
                <w:szCs w:val="18"/>
                <w:lang w:eastAsia="en-SG"/>
              </w:rPr>
            </w:pPr>
          </w:p>
        </w:tc>
        <w:tc>
          <w:tcPr>
            <w:tcW w:w="654" w:type="pct"/>
            <w:tcBorders>
              <w:top w:val="nil"/>
              <w:left w:val="nil"/>
              <w:bottom w:val="nil"/>
              <w:right w:val="nil"/>
            </w:tcBorders>
            <w:shd w:val="clear" w:color="auto" w:fill="auto"/>
            <w:noWrap/>
            <w:vAlign w:val="bottom"/>
            <w:hideMark/>
          </w:tcPr>
          <w:p w14:paraId="13D0A471"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7,012,174</w:t>
            </w:r>
          </w:p>
        </w:tc>
        <w:tc>
          <w:tcPr>
            <w:tcW w:w="654" w:type="pct"/>
            <w:tcBorders>
              <w:top w:val="nil"/>
              <w:left w:val="nil"/>
              <w:bottom w:val="nil"/>
              <w:right w:val="nil"/>
            </w:tcBorders>
            <w:shd w:val="clear" w:color="auto" w:fill="auto"/>
            <w:noWrap/>
            <w:vAlign w:val="bottom"/>
            <w:hideMark/>
          </w:tcPr>
          <w:p w14:paraId="4641479C"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8,249,142</w:t>
            </w:r>
          </w:p>
        </w:tc>
        <w:tc>
          <w:tcPr>
            <w:tcW w:w="654" w:type="pct"/>
            <w:tcBorders>
              <w:top w:val="nil"/>
              <w:left w:val="nil"/>
              <w:bottom w:val="nil"/>
              <w:right w:val="nil"/>
            </w:tcBorders>
            <w:shd w:val="clear" w:color="auto" w:fill="auto"/>
            <w:noWrap/>
            <w:vAlign w:val="bottom"/>
            <w:hideMark/>
          </w:tcPr>
          <w:p w14:paraId="51650D3A"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9,290,737</w:t>
            </w:r>
          </w:p>
        </w:tc>
        <w:tc>
          <w:tcPr>
            <w:tcW w:w="654" w:type="pct"/>
            <w:tcBorders>
              <w:top w:val="nil"/>
              <w:left w:val="nil"/>
              <w:bottom w:val="nil"/>
              <w:right w:val="nil"/>
            </w:tcBorders>
            <w:shd w:val="clear" w:color="auto" w:fill="auto"/>
            <w:noWrap/>
            <w:vAlign w:val="bottom"/>
            <w:hideMark/>
          </w:tcPr>
          <w:p w14:paraId="2CB956F1"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9,692,297</w:t>
            </w:r>
          </w:p>
        </w:tc>
        <w:tc>
          <w:tcPr>
            <w:tcW w:w="654" w:type="pct"/>
            <w:tcBorders>
              <w:top w:val="nil"/>
              <w:left w:val="nil"/>
              <w:bottom w:val="nil"/>
              <w:right w:val="nil"/>
            </w:tcBorders>
            <w:shd w:val="clear" w:color="auto" w:fill="auto"/>
            <w:noWrap/>
            <w:vAlign w:val="bottom"/>
            <w:hideMark/>
          </w:tcPr>
          <w:p w14:paraId="5D493277"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11,750,550</w:t>
            </w:r>
          </w:p>
        </w:tc>
      </w:tr>
      <w:tr w:rsidR="005270E7" w:rsidRPr="00060311" w14:paraId="59B2AFE8" w14:textId="77777777" w:rsidTr="002561DB">
        <w:trPr>
          <w:trHeight w:val="285"/>
        </w:trPr>
        <w:tc>
          <w:tcPr>
            <w:tcW w:w="1591" w:type="pct"/>
            <w:tcBorders>
              <w:top w:val="nil"/>
              <w:left w:val="nil"/>
              <w:bottom w:val="nil"/>
              <w:right w:val="nil"/>
            </w:tcBorders>
            <w:shd w:val="clear" w:color="auto" w:fill="auto"/>
            <w:noWrap/>
            <w:vAlign w:val="bottom"/>
            <w:hideMark/>
          </w:tcPr>
          <w:p w14:paraId="1D9C2AA8" w14:textId="77777777" w:rsidR="005270E7" w:rsidRPr="00060311" w:rsidRDefault="005270E7" w:rsidP="005270E7">
            <w:pPr>
              <w:rPr>
                <w:rFonts w:ascii="Arial" w:hAnsi="Arial" w:cs="Arial"/>
                <w:color w:val="000000"/>
                <w:sz w:val="18"/>
                <w:szCs w:val="18"/>
                <w:lang w:eastAsia="en-SG"/>
              </w:rPr>
            </w:pPr>
            <w:r w:rsidRPr="00060311">
              <w:rPr>
                <w:rFonts w:ascii="Arial" w:hAnsi="Arial" w:cs="Arial"/>
                <w:color w:val="000000"/>
                <w:sz w:val="18"/>
                <w:szCs w:val="18"/>
                <w:lang w:eastAsia="en-SG"/>
              </w:rPr>
              <w:t>Joint Ventures</w:t>
            </w:r>
          </w:p>
        </w:tc>
        <w:tc>
          <w:tcPr>
            <w:tcW w:w="140" w:type="pct"/>
            <w:tcBorders>
              <w:top w:val="nil"/>
              <w:left w:val="nil"/>
              <w:bottom w:val="nil"/>
              <w:right w:val="nil"/>
            </w:tcBorders>
            <w:shd w:val="clear" w:color="auto" w:fill="auto"/>
          </w:tcPr>
          <w:p w14:paraId="0B1D2EA6" w14:textId="77777777" w:rsidR="005270E7" w:rsidRPr="00060311" w:rsidRDefault="005270E7" w:rsidP="005270E7">
            <w:pPr>
              <w:jc w:val="right"/>
              <w:rPr>
                <w:rFonts w:ascii="Arial" w:hAnsi="Arial" w:cs="Arial"/>
                <w:color w:val="000000"/>
                <w:sz w:val="18"/>
                <w:szCs w:val="18"/>
                <w:lang w:eastAsia="en-SG"/>
              </w:rPr>
            </w:pPr>
          </w:p>
        </w:tc>
        <w:tc>
          <w:tcPr>
            <w:tcW w:w="654" w:type="pct"/>
            <w:tcBorders>
              <w:top w:val="nil"/>
              <w:left w:val="nil"/>
              <w:bottom w:val="nil"/>
              <w:right w:val="nil"/>
            </w:tcBorders>
            <w:shd w:val="clear" w:color="auto" w:fill="auto"/>
            <w:noWrap/>
            <w:vAlign w:val="bottom"/>
            <w:hideMark/>
          </w:tcPr>
          <w:p w14:paraId="799351F2"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1,672,056</w:t>
            </w:r>
          </w:p>
        </w:tc>
        <w:tc>
          <w:tcPr>
            <w:tcW w:w="654" w:type="pct"/>
            <w:tcBorders>
              <w:top w:val="nil"/>
              <w:left w:val="nil"/>
              <w:bottom w:val="nil"/>
              <w:right w:val="nil"/>
            </w:tcBorders>
            <w:shd w:val="clear" w:color="auto" w:fill="auto"/>
            <w:noWrap/>
            <w:vAlign w:val="bottom"/>
            <w:hideMark/>
          </w:tcPr>
          <w:p w14:paraId="23BBA13C"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1,861,232</w:t>
            </w:r>
          </w:p>
        </w:tc>
        <w:tc>
          <w:tcPr>
            <w:tcW w:w="654" w:type="pct"/>
            <w:tcBorders>
              <w:top w:val="nil"/>
              <w:left w:val="nil"/>
              <w:bottom w:val="nil"/>
              <w:right w:val="nil"/>
            </w:tcBorders>
            <w:shd w:val="clear" w:color="auto" w:fill="auto"/>
            <w:noWrap/>
            <w:vAlign w:val="bottom"/>
            <w:hideMark/>
          </w:tcPr>
          <w:p w14:paraId="7025390F"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1,394,263</w:t>
            </w:r>
          </w:p>
        </w:tc>
        <w:tc>
          <w:tcPr>
            <w:tcW w:w="654" w:type="pct"/>
            <w:tcBorders>
              <w:top w:val="nil"/>
              <w:left w:val="nil"/>
              <w:bottom w:val="nil"/>
              <w:right w:val="nil"/>
            </w:tcBorders>
            <w:shd w:val="clear" w:color="auto" w:fill="auto"/>
            <w:noWrap/>
            <w:vAlign w:val="bottom"/>
            <w:hideMark/>
          </w:tcPr>
          <w:p w14:paraId="5F0AF27A"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2,818,985</w:t>
            </w:r>
          </w:p>
        </w:tc>
        <w:tc>
          <w:tcPr>
            <w:tcW w:w="654" w:type="pct"/>
            <w:tcBorders>
              <w:top w:val="nil"/>
              <w:left w:val="nil"/>
              <w:bottom w:val="nil"/>
              <w:right w:val="nil"/>
            </w:tcBorders>
            <w:shd w:val="clear" w:color="auto" w:fill="auto"/>
            <w:noWrap/>
            <w:vAlign w:val="bottom"/>
            <w:hideMark/>
          </w:tcPr>
          <w:p w14:paraId="4205203E"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2,525,352</w:t>
            </w:r>
          </w:p>
        </w:tc>
      </w:tr>
      <w:tr w:rsidR="005270E7" w:rsidRPr="00060311" w14:paraId="4357D3C1" w14:textId="77777777" w:rsidTr="002561DB">
        <w:trPr>
          <w:trHeight w:val="285"/>
        </w:trPr>
        <w:tc>
          <w:tcPr>
            <w:tcW w:w="1591" w:type="pct"/>
            <w:tcBorders>
              <w:top w:val="nil"/>
              <w:left w:val="nil"/>
              <w:bottom w:val="nil"/>
              <w:right w:val="nil"/>
            </w:tcBorders>
            <w:shd w:val="clear" w:color="auto" w:fill="auto"/>
            <w:noWrap/>
            <w:vAlign w:val="bottom"/>
            <w:hideMark/>
          </w:tcPr>
          <w:p w14:paraId="371338C4" w14:textId="77777777" w:rsidR="005270E7" w:rsidRPr="00060311" w:rsidRDefault="005270E7" w:rsidP="005270E7">
            <w:pPr>
              <w:rPr>
                <w:rFonts w:ascii="Arial" w:hAnsi="Arial" w:cs="Arial"/>
                <w:color w:val="000000"/>
                <w:sz w:val="18"/>
                <w:szCs w:val="18"/>
                <w:lang w:eastAsia="en-SG"/>
              </w:rPr>
            </w:pPr>
            <w:r w:rsidRPr="00060311">
              <w:rPr>
                <w:rFonts w:ascii="Arial" w:hAnsi="Arial" w:cs="Arial"/>
                <w:color w:val="000000"/>
                <w:sz w:val="18"/>
                <w:szCs w:val="18"/>
                <w:lang w:eastAsia="en-SG"/>
              </w:rPr>
              <w:t>Deferred Tax Assets</w:t>
            </w:r>
          </w:p>
        </w:tc>
        <w:tc>
          <w:tcPr>
            <w:tcW w:w="140" w:type="pct"/>
            <w:tcBorders>
              <w:top w:val="nil"/>
              <w:left w:val="nil"/>
              <w:bottom w:val="nil"/>
              <w:right w:val="nil"/>
            </w:tcBorders>
            <w:shd w:val="clear" w:color="auto" w:fill="auto"/>
          </w:tcPr>
          <w:p w14:paraId="777576BD" w14:textId="77777777" w:rsidR="005270E7" w:rsidRPr="00060311" w:rsidRDefault="005270E7" w:rsidP="005270E7">
            <w:pPr>
              <w:jc w:val="right"/>
              <w:rPr>
                <w:rFonts w:ascii="Arial" w:hAnsi="Arial" w:cs="Arial"/>
                <w:color w:val="000000"/>
                <w:sz w:val="18"/>
                <w:szCs w:val="18"/>
                <w:lang w:eastAsia="en-SG"/>
              </w:rPr>
            </w:pPr>
          </w:p>
        </w:tc>
        <w:tc>
          <w:tcPr>
            <w:tcW w:w="654" w:type="pct"/>
            <w:tcBorders>
              <w:top w:val="nil"/>
              <w:left w:val="nil"/>
              <w:bottom w:val="nil"/>
              <w:right w:val="nil"/>
            </w:tcBorders>
            <w:shd w:val="clear" w:color="auto" w:fill="auto"/>
            <w:noWrap/>
            <w:vAlign w:val="bottom"/>
            <w:hideMark/>
          </w:tcPr>
          <w:p w14:paraId="7059320F"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81,250</w:t>
            </w:r>
          </w:p>
        </w:tc>
        <w:tc>
          <w:tcPr>
            <w:tcW w:w="654" w:type="pct"/>
            <w:tcBorders>
              <w:top w:val="nil"/>
              <w:left w:val="nil"/>
              <w:bottom w:val="nil"/>
              <w:right w:val="nil"/>
            </w:tcBorders>
            <w:shd w:val="clear" w:color="auto" w:fill="auto"/>
            <w:noWrap/>
            <w:vAlign w:val="bottom"/>
            <w:hideMark/>
          </w:tcPr>
          <w:p w14:paraId="28E25DF7"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308,205</w:t>
            </w:r>
          </w:p>
        </w:tc>
        <w:tc>
          <w:tcPr>
            <w:tcW w:w="654" w:type="pct"/>
            <w:tcBorders>
              <w:top w:val="nil"/>
              <w:left w:val="nil"/>
              <w:bottom w:val="nil"/>
              <w:right w:val="nil"/>
            </w:tcBorders>
            <w:shd w:val="clear" w:color="auto" w:fill="auto"/>
            <w:noWrap/>
            <w:vAlign w:val="bottom"/>
            <w:hideMark/>
          </w:tcPr>
          <w:p w14:paraId="0F3B9198"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95,671</w:t>
            </w:r>
          </w:p>
        </w:tc>
        <w:tc>
          <w:tcPr>
            <w:tcW w:w="654" w:type="pct"/>
            <w:tcBorders>
              <w:top w:val="nil"/>
              <w:left w:val="nil"/>
              <w:bottom w:val="nil"/>
              <w:right w:val="nil"/>
            </w:tcBorders>
            <w:shd w:val="clear" w:color="auto" w:fill="auto"/>
            <w:noWrap/>
            <w:vAlign w:val="bottom"/>
            <w:hideMark/>
          </w:tcPr>
          <w:p w14:paraId="7B4D24EB"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91,595</w:t>
            </w:r>
          </w:p>
        </w:tc>
        <w:tc>
          <w:tcPr>
            <w:tcW w:w="654" w:type="pct"/>
            <w:tcBorders>
              <w:top w:val="nil"/>
              <w:left w:val="nil"/>
              <w:bottom w:val="nil"/>
              <w:right w:val="nil"/>
            </w:tcBorders>
            <w:shd w:val="clear" w:color="auto" w:fill="auto"/>
            <w:noWrap/>
            <w:vAlign w:val="bottom"/>
            <w:hideMark/>
          </w:tcPr>
          <w:p w14:paraId="598E4E1F"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73,477</w:t>
            </w:r>
          </w:p>
        </w:tc>
      </w:tr>
      <w:tr w:rsidR="005270E7" w:rsidRPr="00060311" w14:paraId="6997916A" w14:textId="77777777" w:rsidTr="002561DB">
        <w:trPr>
          <w:trHeight w:val="285"/>
        </w:trPr>
        <w:tc>
          <w:tcPr>
            <w:tcW w:w="1591" w:type="pct"/>
            <w:tcBorders>
              <w:top w:val="nil"/>
              <w:left w:val="nil"/>
              <w:bottom w:val="nil"/>
              <w:right w:val="nil"/>
            </w:tcBorders>
            <w:shd w:val="clear" w:color="auto" w:fill="auto"/>
            <w:noWrap/>
            <w:vAlign w:val="bottom"/>
            <w:hideMark/>
          </w:tcPr>
          <w:p w14:paraId="1B635A73" w14:textId="2071CAB1" w:rsidR="005270E7" w:rsidRPr="00060311" w:rsidRDefault="005270E7" w:rsidP="00C1248F">
            <w:pPr>
              <w:rPr>
                <w:rFonts w:ascii="Arial" w:hAnsi="Arial" w:cs="Arial"/>
                <w:color w:val="000000"/>
                <w:sz w:val="18"/>
                <w:szCs w:val="18"/>
                <w:lang w:eastAsia="en-SG"/>
              </w:rPr>
            </w:pPr>
            <w:r w:rsidRPr="00060311">
              <w:rPr>
                <w:rFonts w:ascii="Arial" w:hAnsi="Arial" w:cs="Arial"/>
                <w:color w:val="000000"/>
                <w:sz w:val="18"/>
                <w:szCs w:val="18"/>
                <w:lang w:eastAsia="en-SG"/>
              </w:rPr>
              <w:t>Other Non-</w:t>
            </w:r>
            <w:r w:rsidR="00271D57">
              <w:rPr>
                <w:rFonts w:ascii="Arial" w:hAnsi="Arial" w:cs="Arial"/>
                <w:color w:val="000000"/>
                <w:sz w:val="18"/>
                <w:szCs w:val="18"/>
                <w:lang w:eastAsia="en-SG"/>
              </w:rPr>
              <w:t>C</w:t>
            </w:r>
            <w:r w:rsidR="00271D57" w:rsidRPr="00060311">
              <w:rPr>
                <w:rFonts w:ascii="Arial" w:hAnsi="Arial" w:cs="Arial"/>
                <w:color w:val="000000"/>
                <w:sz w:val="18"/>
                <w:szCs w:val="18"/>
                <w:lang w:eastAsia="en-SG"/>
              </w:rPr>
              <w:t xml:space="preserve">urrent </w:t>
            </w:r>
            <w:r w:rsidRPr="00060311">
              <w:rPr>
                <w:rFonts w:ascii="Arial" w:hAnsi="Arial" w:cs="Arial"/>
                <w:color w:val="000000"/>
                <w:sz w:val="18"/>
                <w:szCs w:val="18"/>
                <w:lang w:eastAsia="en-SG"/>
              </w:rPr>
              <w:t>Assets</w:t>
            </w:r>
          </w:p>
        </w:tc>
        <w:tc>
          <w:tcPr>
            <w:tcW w:w="140" w:type="pct"/>
            <w:tcBorders>
              <w:top w:val="nil"/>
              <w:left w:val="nil"/>
              <w:bottom w:val="nil"/>
              <w:right w:val="nil"/>
            </w:tcBorders>
            <w:shd w:val="clear" w:color="auto" w:fill="auto"/>
          </w:tcPr>
          <w:p w14:paraId="4D919E41" w14:textId="77777777" w:rsidR="005270E7" w:rsidRPr="00060311" w:rsidRDefault="005270E7" w:rsidP="005270E7">
            <w:pPr>
              <w:jc w:val="right"/>
              <w:rPr>
                <w:rFonts w:ascii="Arial" w:hAnsi="Arial" w:cs="Arial"/>
                <w:color w:val="000000"/>
                <w:sz w:val="18"/>
                <w:szCs w:val="18"/>
                <w:lang w:eastAsia="en-SG"/>
              </w:rPr>
            </w:pPr>
          </w:p>
        </w:tc>
        <w:tc>
          <w:tcPr>
            <w:tcW w:w="654" w:type="pct"/>
            <w:tcBorders>
              <w:top w:val="nil"/>
              <w:left w:val="nil"/>
              <w:bottom w:val="nil"/>
              <w:right w:val="nil"/>
            </w:tcBorders>
            <w:shd w:val="clear" w:color="auto" w:fill="auto"/>
            <w:noWrap/>
            <w:vAlign w:val="bottom"/>
            <w:hideMark/>
          </w:tcPr>
          <w:p w14:paraId="66711175"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233,359</w:t>
            </w:r>
          </w:p>
        </w:tc>
        <w:tc>
          <w:tcPr>
            <w:tcW w:w="654" w:type="pct"/>
            <w:tcBorders>
              <w:top w:val="nil"/>
              <w:left w:val="nil"/>
              <w:bottom w:val="nil"/>
              <w:right w:val="nil"/>
            </w:tcBorders>
            <w:shd w:val="clear" w:color="auto" w:fill="auto"/>
            <w:noWrap/>
            <w:vAlign w:val="bottom"/>
            <w:hideMark/>
          </w:tcPr>
          <w:p w14:paraId="1AB79A49"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87,686</w:t>
            </w:r>
          </w:p>
        </w:tc>
        <w:tc>
          <w:tcPr>
            <w:tcW w:w="654" w:type="pct"/>
            <w:tcBorders>
              <w:top w:val="nil"/>
              <w:left w:val="nil"/>
              <w:bottom w:val="nil"/>
              <w:right w:val="nil"/>
            </w:tcBorders>
            <w:shd w:val="clear" w:color="auto" w:fill="auto"/>
            <w:noWrap/>
            <w:vAlign w:val="bottom"/>
            <w:hideMark/>
          </w:tcPr>
          <w:p w14:paraId="10A6A1C3"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795,955</w:t>
            </w:r>
          </w:p>
        </w:tc>
        <w:tc>
          <w:tcPr>
            <w:tcW w:w="654" w:type="pct"/>
            <w:tcBorders>
              <w:top w:val="nil"/>
              <w:left w:val="nil"/>
              <w:bottom w:val="nil"/>
              <w:right w:val="nil"/>
            </w:tcBorders>
            <w:shd w:val="clear" w:color="auto" w:fill="auto"/>
            <w:noWrap/>
            <w:vAlign w:val="bottom"/>
            <w:hideMark/>
          </w:tcPr>
          <w:p w14:paraId="63987501"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795,713</w:t>
            </w:r>
          </w:p>
        </w:tc>
        <w:tc>
          <w:tcPr>
            <w:tcW w:w="654" w:type="pct"/>
            <w:tcBorders>
              <w:top w:val="nil"/>
              <w:left w:val="nil"/>
              <w:bottom w:val="nil"/>
              <w:right w:val="nil"/>
            </w:tcBorders>
            <w:shd w:val="clear" w:color="auto" w:fill="auto"/>
            <w:noWrap/>
            <w:vAlign w:val="bottom"/>
            <w:hideMark/>
          </w:tcPr>
          <w:p w14:paraId="6ACD85EC"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657,124</w:t>
            </w:r>
          </w:p>
        </w:tc>
      </w:tr>
      <w:tr w:rsidR="005270E7" w:rsidRPr="00060311" w14:paraId="0305A21D" w14:textId="77777777" w:rsidTr="002561DB">
        <w:trPr>
          <w:trHeight w:val="285"/>
        </w:trPr>
        <w:tc>
          <w:tcPr>
            <w:tcW w:w="1591" w:type="pct"/>
            <w:tcBorders>
              <w:top w:val="nil"/>
              <w:left w:val="nil"/>
              <w:bottom w:val="nil"/>
              <w:right w:val="nil"/>
            </w:tcBorders>
            <w:shd w:val="clear" w:color="auto" w:fill="auto"/>
            <w:noWrap/>
            <w:vAlign w:val="bottom"/>
            <w:hideMark/>
          </w:tcPr>
          <w:p w14:paraId="76B271E3" w14:textId="77777777" w:rsidR="005270E7" w:rsidRPr="00060311" w:rsidRDefault="005270E7" w:rsidP="005270E7">
            <w:pPr>
              <w:rPr>
                <w:rFonts w:ascii="Arial" w:hAnsi="Arial" w:cs="Arial"/>
                <w:b/>
                <w:bCs/>
                <w:color w:val="000000"/>
                <w:sz w:val="18"/>
                <w:szCs w:val="18"/>
                <w:lang w:eastAsia="en-SG"/>
              </w:rPr>
            </w:pPr>
            <w:r w:rsidRPr="00060311">
              <w:rPr>
                <w:rFonts w:ascii="Arial" w:hAnsi="Arial" w:cs="Arial"/>
                <w:b/>
                <w:bCs/>
                <w:color w:val="000000"/>
                <w:sz w:val="18"/>
                <w:szCs w:val="18"/>
                <w:lang w:eastAsia="en-SG"/>
              </w:rPr>
              <w:t>Total Non-Current Assets</w:t>
            </w:r>
          </w:p>
        </w:tc>
        <w:tc>
          <w:tcPr>
            <w:tcW w:w="140" w:type="pct"/>
            <w:tcBorders>
              <w:top w:val="single" w:sz="4" w:space="0" w:color="auto"/>
              <w:left w:val="nil"/>
              <w:bottom w:val="single" w:sz="4" w:space="0" w:color="auto"/>
              <w:right w:val="nil"/>
            </w:tcBorders>
            <w:shd w:val="clear" w:color="auto" w:fill="auto"/>
          </w:tcPr>
          <w:p w14:paraId="36C7FE43" w14:textId="77777777" w:rsidR="005270E7" w:rsidRPr="00060311" w:rsidRDefault="005270E7" w:rsidP="005270E7">
            <w:pPr>
              <w:jc w:val="right"/>
              <w:rPr>
                <w:rFonts w:ascii="Arial" w:hAnsi="Arial" w:cs="Arial"/>
                <w:b/>
                <w:bCs/>
                <w:color w:val="000000"/>
                <w:sz w:val="18"/>
                <w:szCs w:val="18"/>
                <w:lang w:eastAsia="en-SG"/>
              </w:rPr>
            </w:pPr>
          </w:p>
        </w:tc>
        <w:tc>
          <w:tcPr>
            <w:tcW w:w="654" w:type="pct"/>
            <w:tcBorders>
              <w:top w:val="single" w:sz="4" w:space="0" w:color="auto"/>
              <w:left w:val="nil"/>
              <w:bottom w:val="single" w:sz="4" w:space="0" w:color="auto"/>
              <w:right w:val="nil"/>
            </w:tcBorders>
            <w:shd w:val="clear" w:color="auto" w:fill="auto"/>
            <w:noWrap/>
            <w:vAlign w:val="bottom"/>
            <w:hideMark/>
          </w:tcPr>
          <w:p w14:paraId="3172204A"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16,347,673</w:t>
            </w:r>
          </w:p>
        </w:tc>
        <w:tc>
          <w:tcPr>
            <w:tcW w:w="654" w:type="pct"/>
            <w:tcBorders>
              <w:top w:val="single" w:sz="4" w:space="0" w:color="auto"/>
              <w:left w:val="nil"/>
              <w:bottom w:val="single" w:sz="4" w:space="0" w:color="auto"/>
              <w:right w:val="nil"/>
            </w:tcBorders>
            <w:shd w:val="clear" w:color="auto" w:fill="auto"/>
            <w:noWrap/>
            <w:vAlign w:val="bottom"/>
            <w:hideMark/>
          </w:tcPr>
          <w:p w14:paraId="024D8975"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16,748,172</w:t>
            </w:r>
          </w:p>
        </w:tc>
        <w:tc>
          <w:tcPr>
            <w:tcW w:w="654" w:type="pct"/>
            <w:tcBorders>
              <w:top w:val="single" w:sz="4" w:space="0" w:color="auto"/>
              <w:left w:val="nil"/>
              <w:bottom w:val="single" w:sz="4" w:space="0" w:color="auto"/>
              <w:right w:val="nil"/>
            </w:tcBorders>
            <w:shd w:val="clear" w:color="auto" w:fill="auto"/>
            <w:noWrap/>
            <w:vAlign w:val="bottom"/>
            <w:hideMark/>
          </w:tcPr>
          <w:p w14:paraId="739F076C"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20,185,470</w:t>
            </w:r>
          </w:p>
        </w:tc>
        <w:tc>
          <w:tcPr>
            <w:tcW w:w="654" w:type="pct"/>
            <w:tcBorders>
              <w:top w:val="single" w:sz="4" w:space="0" w:color="auto"/>
              <w:left w:val="nil"/>
              <w:bottom w:val="single" w:sz="4" w:space="0" w:color="auto"/>
              <w:right w:val="nil"/>
            </w:tcBorders>
            <w:shd w:val="clear" w:color="auto" w:fill="auto"/>
            <w:noWrap/>
            <w:vAlign w:val="bottom"/>
            <w:hideMark/>
          </w:tcPr>
          <w:p w14:paraId="36ECA3BD"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23,093,700</w:t>
            </w:r>
          </w:p>
        </w:tc>
        <w:tc>
          <w:tcPr>
            <w:tcW w:w="654" w:type="pct"/>
            <w:tcBorders>
              <w:top w:val="single" w:sz="4" w:space="0" w:color="auto"/>
              <w:left w:val="nil"/>
              <w:bottom w:val="single" w:sz="4" w:space="0" w:color="auto"/>
              <w:right w:val="nil"/>
            </w:tcBorders>
            <w:shd w:val="clear" w:color="auto" w:fill="auto"/>
            <w:noWrap/>
            <w:vAlign w:val="bottom"/>
            <w:hideMark/>
          </w:tcPr>
          <w:p w14:paraId="2F524AA0"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21,491,671</w:t>
            </w:r>
          </w:p>
        </w:tc>
      </w:tr>
      <w:tr w:rsidR="005270E7" w:rsidRPr="00060311" w14:paraId="6397DB3E" w14:textId="77777777" w:rsidTr="002561DB">
        <w:trPr>
          <w:trHeight w:val="285"/>
        </w:trPr>
        <w:tc>
          <w:tcPr>
            <w:tcW w:w="1591" w:type="pct"/>
            <w:tcBorders>
              <w:top w:val="nil"/>
              <w:left w:val="nil"/>
              <w:bottom w:val="nil"/>
              <w:right w:val="nil"/>
            </w:tcBorders>
            <w:shd w:val="clear" w:color="auto" w:fill="auto"/>
            <w:noWrap/>
            <w:vAlign w:val="bottom"/>
            <w:hideMark/>
          </w:tcPr>
          <w:p w14:paraId="0A28D8AD" w14:textId="77777777" w:rsidR="005270E7" w:rsidRPr="00060311" w:rsidRDefault="005270E7" w:rsidP="005270E7">
            <w:pPr>
              <w:rPr>
                <w:rFonts w:ascii="Arial" w:hAnsi="Arial" w:cs="Arial"/>
                <w:b/>
                <w:bCs/>
                <w:color w:val="000000"/>
                <w:sz w:val="18"/>
                <w:szCs w:val="18"/>
                <w:lang w:eastAsia="en-SG"/>
              </w:rPr>
            </w:pPr>
            <w:r w:rsidRPr="00060311">
              <w:rPr>
                <w:rFonts w:ascii="Arial" w:hAnsi="Arial" w:cs="Arial"/>
                <w:b/>
                <w:bCs/>
                <w:color w:val="000000"/>
                <w:sz w:val="18"/>
                <w:szCs w:val="18"/>
                <w:lang w:eastAsia="en-SG"/>
              </w:rPr>
              <w:t>TOTAL ASSETS</w:t>
            </w:r>
          </w:p>
        </w:tc>
        <w:tc>
          <w:tcPr>
            <w:tcW w:w="140" w:type="pct"/>
            <w:tcBorders>
              <w:top w:val="nil"/>
              <w:left w:val="nil"/>
              <w:bottom w:val="nil"/>
              <w:right w:val="nil"/>
            </w:tcBorders>
            <w:shd w:val="clear" w:color="auto" w:fill="auto"/>
          </w:tcPr>
          <w:p w14:paraId="5C0D29C8" w14:textId="77777777" w:rsidR="005270E7" w:rsidRPr="00060311" w:rsidRDefault="005270E7" w:rsidP="005270E7">
            <w:pPr>
              <w:jc w:val="right"/>
              <w:rPr>
                <w:rFonts w:ascii="Arial" w:hAnsi="Arial" w:cs="Arial"/>
                <w:b/>
                <w:bCs/>
                <w:color w:val="000000"/>
                <w:sz w:val="18"/>
                <w:szCs w:val="18"/>
                <w:lang w:eastAsia="en-SG"/>
              </w:rPr>
            </w:pPr>
          </w:p>
        </w:tc>
        <w:tc>
          <w:tcPr>
            <w:tcW w:w="654" w:type="pct"/>
            <w:tcBorders>
              <w:top w:val="nil"/>
              <w:left w:val="nil"/>
              <w:bottom w:val="nil"/>
              <w:right w:val="nil"/>
            </w:tcBorders>
            <w:shd w:val="clear" w:color="auto" w:fill="auto"/>
            <w:noWrap/>
            <w:vAlign w:val="bottom"/>
            <w:hideMark/>
          </w:tcPr>
          <w:p w14:paraId="0008D2B0"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30,166,014</w:t>
            </w:r>
          </w:p>
        </w:tc>
        <w:tc>
          <w:tcPr>
            <w:tcW w:w="654" w:type="pct"/>
            <w:tcBorders>
              <w:top w:val="nil"/>
              <w:left w:val="nil"/>
              <w:bottom w:val="nil"/>
              <w:right w:val="nil"/>
            </w:tcBorders>
            <w:shd w:val="clear" w:color="auto" w:fill="auto"/>
            <w:noWrap/>
            <w:vAlign w:val="bottom"/>
            <w:hideMark/>
          </w:tcPr>
          <w:p w14:paraId="6D8769D9"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31,700,220</w:t>
            </w:r>
          </w:p>
        </w:tc>
        <w:tc>
          <w:tcPr>
            <w:tcW w:w="654" w:type="pct"/>
            <w:tcBorders>
              <w:top w:val="nil"/>
              <w:left w:val="nil"/>
              <w:bottom w:val="nil"/>
              <w:right w:val="nil"/>
            </w:tcBorders>
            <w:shd w:val="clear" w:color="auto" w:fill="auto"/>
            <w:noWrap/>
            <w:vAlign w:val="bottom"/>
            <w:hideMark/>
          </w:tcPr>
          <w:p w14:paraId="7EF4A7B6"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35,319,441</w:t>
            </w:r>
          </w:p>
        </w:tc>
        <w:tc>
          <w:tcPr>
            <w:tcW w:w="654" w:type="pct"/>
            <w:tcBorders>
              <w:top w:val="nil"/>
              <w:left w:val="nil"/>
              <w:bottom w:val="nil"/>
              <w:right w:val="nil"/>
            </w:tcBorders>
            <w:shd w:val="clear" w:color="auto" w:fill="auto"/>
            <w:noWrap/>
            <w:vAlign w:val="bottom"/>
            <w:hideMark/>
          </w:tcPr>
          <w:p w14:paraId="0AD2DEBE"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37,787,609</w:t>
            </w:r>
          </w:p>
        </w:tc>
        <w:tc>
          <w:tcPr>
            <w:tcW w:w="654" w:type="pct"/>
            <w:tcBorders>
              <w:top w:val="nil"/>
              <w:left w:val="nil"/>
              <w:bottom w:val="nil"/>
              <w:right w:val="nil"/>
            </w:tcBorders>
            <w:shd w:val="clear" w:color="auto" w:fill="auto"/>
            <w:noWrap/>
            <w:vAlign w:val="bottom"/>
            <w:hideMark/>
          </w:tcPr>
          <w:p w14:paraId="56B7C89C"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36,154,884</w:t>
            </w:r>
          </w:p>
        </w:tc>
      </w:tr>
      <w:tr w:rsidR="005270E7" w:rsidRPr="00060311" w14:paraId="1FA785CB" w14:textId="77777777" w:rsidTr="002561DB">
        <w:trPr>
          <w:trHeight w:val="95"/>
        </w:trPr>
        <w:tc>
          <w:tcPr>
            <w:tcW w:w="1591" w:type="pct"/>
            <w:tcBorders>
              <w:top w:val="nil"/>
              <w:left w:val="nil"/>
              <w:bottom w:val="nil"/>
              <w:right w:val="nil"/>
            </w:tcBorders>
            <w:shd w:val="clear" w:color="auto" w:fill="auto"/>
            <w:noWrap/>
            <w:vAlign w:val="bottom"/>
            <w:hideMark/>
          </w:tcPr>
          <w:p w14:paraId="53C2B9CE" w14:textId="77777777" w:rsidR="005270E7" w:rsidRPr="00060311" w:rsidRDefault="005270E7" w:rsidP="005270E7">
            <w:pPr>
              <w:rPr>
                <w:rFonts w:ascii="Arial" w:hAnsi="Arial" w:cs="Arial"/>
                <w:sz w:val="18"/>
                <w:szCs w:val="18"/>
                <w:lang w:eastAsia="en-SG"/>
              </w:rPr>
            </w:pPr>
          </w:p>
        </w:tc>
        <w:tc>
          <w:tcPr>
            <w:tcW w:w="140" w:type="pct"/>
            <w:tcBorders>
              <w:top w:val="nil"/>
              <w:left w:val="nil"/>
              <w:bottom w:val="nil"/>
              <w:right w:val="nil"/>
            </w:tcBorders>
            <w:shd w:val="clear" w:color="auto" w:fill="auto"/>
          </w:tcPr>
          <w:p w14:paraId="705EFD55" w14:textId="77777777" w:rsidR="005270E7" w:rsidRPr="00060311" w:rsidRDefault="005270E7" w:rsidP="005270E7">
            <w:pPr>
              <w:rPr>
                <w:rFonts w:ascii="Arial" w:hAnsi="Arial" w:cs="Arial"/>
                <w:sz w:val="18"/>
                <w:szCs w:val="18"/>
                <w:lang w:eastAsia="en-SG"/>
              </w:rPr>
            </w:pPr>
          </w:p>
        </w:tc>
        <w:tc>
          <w:tcPr>
            <w:tcW w:w="654" w:type="pct"/>
            <w:tcBorders>
              <w:top w:val="nil"/>
              <w:left w:val="nil"/>
              <w:bottom w:val="nil"/>
              <w:right w:val="nil"/>
            </w:tcBorders>
            <w:shd w:val="clear" w:color="auto" w:fill="auto"/>
            <w:noWrap/>
            <w:vAlign w:val="bottom"/>
            <w:hideMark/>
          </w:tcPr>
          <w:p w14:paraId="07299C7F" w14:textId="77777777" w:rsidR="005270E7" w:rsidRPr="00060311" w:rsidRDefault="005270E7" w:rsidP="005270E7">
            <w:pPr>
              <w:jc w:val="right"/>
              <w:rPr>
                <w:rFonts w:ascii="Arial" w:hAnsi="Arial" w:cs="Arial"/>
                <w:b/>
                <w:bCs/>
                <w:color w:val="000000"/>
                <w:sz w:val="18"/>
                <w:szCs w:val="18"/>
              </w:rPr>
            </w:pPr>
          </w:p>
        </w:tc>
        <w:tc>
          <w:tcPr>
            <w:tcW w:w="654" w:type="pct"/>
            <w:tcBorders>
              <w:top w:val="nil"/>
              <w:left w:val="nil"/>
              <w:bottom w:val="nil"/>
              <w:right w:val="nil"/>
            </w:tcBorders>
            <w:shd w:val="clear" w:color="auto" w:fill="auto"/>
            <w:noWrap/>
            <w:vAlign w:val="bottom"/>
            <w:hideMark/>
          </w:tcPr>
          <w:p w14:paraId="626555ED" w14:textId="77777777" w:rsidR="005270E7" w:rsidRPr="00060311" w:rsidRDefault="005270E7" w:rsidP="005270E7">
            <w:pPr>
              <w:rPr>
                <w:rFonts w:ascii="Arial" w:hAnsi="Arial" w:cs="Arial"/>
                <w:sz w:val="18"/>
                <w:szCs w:val="18"/>
              </w:rPr>
            </w:pPr>
          </w:p>
        </w:tc>
        <w:tc>
          <w:tcPr>
            <w:tcW w:w="654" w:type="pct"/>
            <w:tcBorders>
              <w:top w:val="nil"/>
              <w:left w:val="nil"/>
              <w:bottom w:val="nil"/>
              <w:right w:val="nil"/>
            </w:tcBorders>
            <w:shd w:val="clear" w:color="auto" w:fill="auto"/>
            <w:noWrap/>
            <w:vAlign w:val="bottom"/>
            <w:hideMark/>
          </w:tcPr>
          <w:p w14:paraId="649E623A" w14:textId="77777777" w:rsidR="005270E7" w:rsidRPr="00060311" w:rsidRDefault="005270E7" w:rsidP="005270E7">
            <w:pPr>
              <w:rPr>
                <w:rFonts w:ascii="Arial" w:hAnsi="Arial" w:cs="Arial"/>
                <w:sz w:val="18"/>
                <w:szCs w:val="18"/>
              </w:rPr>
            </w:pPr>
          </w:p>
        </w:tc>
        <w:tc>
          <w:tcPr>
            <w:tcW w:w="654" w:type="pct"/>
            <w:tcBorders>
              <w:top w:val="nil"/>
              <w:left w:val="nil"/>
              <w:bottom w:val="nil"/>
              <w:right w:val="nil"/>
            </w:tcBorders>
            <w:shd w:val="clear" w:color="auto" w:fill="auto"/>
            <w:noWrap/>
            <w:vAlign w:val="bottom"/>
            <w:hideMark/>
          </w:tcPr>
          <w:p w14:paraId="2B2B31F3" w14:textId="77777777" w:rsidR="005270E7" w:rsidRPr="00060311" w:rsidRDefault="005270E7" w:rsidP="005270E7">
            <w:pPr>
              <w:rPr>
                <w:rFonts w:ascii="Arial" w:hAnsi="Arial" w:cs="Arial"/>
                <w:sz w:val="18"/>
                <w:szCs w:val="18"/>
              </w:rPr>
            </w:pPr>
          </w:p>
        </w:tc>
        <w:tc>
          <w:tcPr>
            <w:tcW w:w="654" w:type="pct"/>
            <w:tcBorders>
              <w:top w:val="nil"/>
              <w:left w:val="nil"/>
              <w:bottom w:val="nil"/>
              <w:right w:val="nil"/>
            </w:tcBorders>
            <w:shd w:val="clear" w:color="auto" w:fill="auto"/>
            <w:noWrap/>
            <w:vAlign w:val="bottom"/>
            <w:hideMark/>
          </w:tcPr>
          <w:p w14:paraId="3327F9D1" w14:textId="77777777" w:rsidR="005270E7" w:rsidRPr="00060311" w:rsidRDefault="005270E7" w:rsidP="005270E7">
            <w:pPr>
              <w:rPr>
                <w:rFonts w:ascii="Arial" w:hAnsi="Arial" w:cs="Arial"/>
                <w:sz w:val="18"/>
                <w:szCs w:val="18"/>
              </w:rPr>
            </w:pPr>
          </w:p>
        </w:tc>
      </w:tr>
      <w:tr w:rsidR="005270E7" w:rsidRPr="00060311" w14:paraId="5A4CA523" w14:textId="77777777" w:rsidTr="002561DB">
        <w:trPr>
          <w:trHeight w:val="285"/>
        </w:trPr>
        <w:tc>
          <w:tcPr>
            <w:tcW w:w="1591" w:type="pct"/>
            <w:tcBorders>
              <w:top w:val="nil"/>
              <w:left w:val="nil"/>
              <w:bottom w:val="nil"/>
              <w:right w:val="nil"/>
            </w:tcBorders>
            <w:shd w:val="clear" w:color="auto" w:fill="auto"/>
            <w:noWrap/>
            <w:vAlign w:val="bottom"/>
            <w:hideMark/>
          </w:tcPr>
          <w:p w14:paraId="78C47F6E" w14:textId="77777777" w:rsidR="005270E7" w:rsidRPr="00060311" w:rsidRDefault="005270E7" w:rsidP="005270E7">
            <w:pPr>
              <w:rPr>
                <w:rFonts w:ascii="Arial" w:hAnsi="Arial" w:cs="Arial"/>
                <w:color w:val="000000"/>
                <w:sz w:val="18"/>
                <w:szCs w:val="18"/>
                <w:lang w:eastAsia="en-SG"/>
              </w:rPr>
            </w:pPr>
            <w:r w:rsidRPr="00060311">
              <w:rPr>
                <w:rFonts w:ascii="Arial" w:hAnsi="Arial" w:cs="Arial"/>
                <w:color w:val="000000"/>
                <w:sz w:val="18"/>
                <w:szCs w:val="18"/>
                <w:lang w:eastAsia="en-SG"/>
              </w:rPr>
              <w:t>Trade and Other Payables</w:t>
            </w:r>
          </w:p>
        </w:tc>
        <w:tc>
          <w:tcPr>
            <w:tcW w:w="140" w:type="pct"/>
            <w:tcBorders>
              <w:top w:val="nil"/>
              <w:left w:val="nil"/>
              <w:bottom w:val="nil"/>
              <w:right w:val="nil"/>
            </w:tcBorders>
            <w:shd w:val="clear" w:color="auto" w:fill="auto"/>
          </w:tcPr>
          <w:p w14:paraId="25599221" w14:textId="77777777" w:rsidR="005270E7" w:rsidRPr="00060311" w:rsidRDefault="005270E7" w:rsidP="005270E7">
            <w:pPr>
              <w:jc w:val="right"/>
              <w:rPr>
                <w:rFonts w:ascii="Arial" w:hAnsi="Arial" w:cs="Arial"/>
                <w:color w:val="000000"/>
                <w:sz w:val="18"/>
                <w:szCs w:val="18"/>
                <w:lang w:eastAsia="en-SG"/>
              </w:rPr>
            </w:pPr>
          </w:p>
        </w:tc>
        <w:tc>
          <w:tcPr>
            <w:tcW w:w="654" w:type="pct"/>
            <w:tcBorders>
              <w:top w:val="nil"/>
              <w:left w:val="nil"/>
              <w:bottom w:val="nil"/>
              <w:right w:val="nil"/>
            </w:tcBorders>
            <w:shd w:val="clear" w:color="auto" w:fill="auto"/>
            <w:noWrap/>
            <w:vAlign w:val="bottom"/>
            <w:hideMark/>
          </w:tcPr>
          <w:p w14:paraId="7847B681"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1,880,017</w:t>
            </w:r>
          </w:p>
        </w:tc>
        <w:tc>
          <w:tcPr>
            <w:tcW w:w="654" w:type="pct"/>
            <w:tcBorders>
              <w:top w:val="nil"/>
              <w:left w:val="nil"/>
              <w:bottom w:val="nil"/>
              <w:right w:val="nil"/>
            </w:tcBorders>
            <w:shd w:val="clear" w:color="auto" w:fill="auto"/>
            <w:noWrap/>
            <w:vAlign w:val="bottom"/>
            <w:hideMark/>
          </w:tcPr>
          <w:p w14:paraId="72316DBE"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1,694,385</w:t>
            </w:r>
          </w:p>
        </w:tc>
        <w:tc>
          <w:tcPr>
            <w:tcW w:w="654" w:type="pct"/>
            <w:tcBorders>
              <w:top w:val="nil"/>
              <w:left w:val="nil"/>
              <w:bottom w:val="nil"/>
              <w:right w:val="nil"/>
            </w:tcBorders>
            <w:shd w:val="clear" w:color="auto" w:fill="auto"/>
            <w:noWrap/>
            <w:vAlign w:val="bottom"/>
            <w:hideMark/>
          </w:tcPr>
          <w:p w14:paraId="6D4C0E07"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2,270,488</w:t>
            </w:r>
          </w:p>
        </w:tc>
        <w:tc>
          <w:tcPr>
            <w:tcW w:w="654" w:type="pct"/>
            <w:tcBorders>
              <w:top w:val="nil"/>
              <w:left w:val="nil"/>
              <w:bottom w:val="nil"/>
              <w:right w:val="nil"/>
            </w:tcBorders>
            <w:shd w:val="clear" w:color="auto" w:fill="auto"/>
            <w:noWrap/>
            <w:vAlign w:val="bottom"/>
            <w:hideMark/>
          </w:tcPr>
          <w:p w14:paraId="19C31410"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2,359,598</w:t>
            </w:r>
          </w:p>
        </w:tc>
        <w:tc>
          <w:tcPr>
            <w:tcW w:w="654" w:type="pct"/>
            <w:tcBorders>
              <w:top w:val="nil"/>
              <w:left w:val="nil"/>
              <w:bottom w:val="nil"/>
              <w:right w:val="nil"/>
            </w:tcBorders>
            <w:shd w:val="clear" w:color="auto" w:fill="auto"/>
            <w:noWrap/>
            <w:vAlign w:val="bottom"/>
            <w:hideMark/>
          </w:tcPr>
          <w:p w14:paraId="6BE5647B"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2,680,483</w:t>
            </w:r>
          </w:p>
        </w:tc>
      </w:tr>
      <w:tr w:rsidR="00B52377" w:rsidRPr="00060311" w14:paraId="08BAD94C" w14:textId="77777777" w:rsidTr="002561DB">
        <w:trPr>
          <w:trHeight w:val="285"/>
        </w:trPr>
        <w:tc>
          <w:tcPr>
            <w:tcW w:w="1591" w:type="pct"/>
            <w:tcBorders>
              <w:top w:val="nil"/>
              <w:left w:val="nil"/>
              <w:bottom w:val="nil"/>
              <w:right w:val="nil"/>
            </w:tcBorders>
            <w:shd w:val="clear" w:color="auto" w:fill="auto"/>
            <w:noWrap/>
            <w:vAlign w:val="bottom"/>
            <w:hideMark/>
          </w:tcPr>
          <w:p w14:paraId="496823A1" w14:textId="4879B208" w:rsidR="005270E7" w:rsidRPr="00060311" w:rsidRDefault="00271D57" w:rsidP="00C1248F">
            <w:pPr>
              <w:rPr>
                <w:rFonts w:ascii="Arial" w:hAnsi="Arial" w:cs="Arial"/>
                <w:color w:val="000000"/>
                <w:sz w:val="18"/>
                <w:szCs w:val="18"/>
                <w:lang w:eastAsia="en-SG"/>
              </w:rPr>
            </w:pPr>
            <w:r w:rsidRPr="00060311">
              <w:rPr>
                <w:rFonts w:ascii="Arial" w:hAnsi="Arial" w:cs="Arial"/>
                <w:color w:val="000000"/>
                <w:sz w:val="18"/>
                <w:szCs w:val="18"/>
                <w:lang w:eastAsia="en-SG"/>
              </w:rPr>
              <w:t>Short</w:t>
            </w:r>
            <w:r>
              <w:rPr>
                <w:rFonts w:ascii="Arial" w:hAnsi="Arial" w:cs="Arial"/>
                <w:color w:val="000000"/>
                <w:sz w:val="18"/>
                <w:szCs w:val="18"/>
                <w:lang w:eastAsia="en-SG"/>
              </w:rPr>
              <w:t>-</w:t>
            </w:r>
            <w:r w:rsidR="005270E7" w:rsidRPr="00060311">
              <w:rPr>
                <w:rFonts w:ascii="Arial" w:hAnsi="Arial" w:cs="Arial"/>
                <w:color w:val="000000"/>
                <w:sz w:val="18"/>
                <w:szCs w:val="18"/>
                <w:lang w:eastAsia="en-SG"/>
              </w:rPr>
              <w:t>Term Bank Borrowings</w:t>
            </w:r>
          </w:p>
        </w:tc>
        <w:tc>
          <w:tcPr>
            <w:tcW w:w="140" w:type="pct"/>
            <w:tcBorders>
              <w:top w:val="nil"/>
              <w:left w:val="nil"/>
              <w:bottom w:val="nil"/>
              <w:right w:val="nil"/>
            </w:tcBorders>
            <w:shd w:val="clear" w:color="auto" w:fill="auto"/>
          </w:tcPr>
          <w:p w14:paraId="3B2BB141" w14:textId="77777777" w:rsidR="005270E7" w:rsidRPr="00060311" w:rsidRDefault="005270E7" w:rsidP="005270E7">
            <w:pPr>
              <w:jc w:val="right"/>
              <w:rPr>
                <w:rFonts w:ascii="Arial" w:hAnsi="Arial" w:cs="Arial"/>
                <w:color w:val="000000"/>
                <w:sz w:val="18"/>
                <w:szCs w:val="18"/>
                <w:lang w:eastAsia="en-SG"/>
              </w:rPr>
            </w:pPr>
          </w:p>
        </w:tc>
        <w:tc>
          <w:tcPr>
            <w:tcW w:w="654" w:type="pct"/>
            <w:tcBorders>
              <w:top w:val="nil"/>
              <w:left w:val="nil"/>
              <w:bottom w:val="nil"/>
              <w:right w:val="nil"/>
            </w:tcBorders>
            <w:shd w:val="clear" w:color="auto" w:fill="auto"/>
            <w:noWrap/>
            <w:vAlign w:val="bottom"/>
            <w:hideMark/>
          </w:tcPr>
          <w:p w14:paraId="163BD552"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992,974</w:t>
            </w:r>
          </w:p>
        </w:tc>
        <w:tc>
          <w:tcPr>
            <w:tcW w:w="654" w:type="pct"/>
            <w:tcBorders>
              <w:top w:val="nil"/>
              <w:left w:val="nil"/>
              <w:bottom w:val="nil"/>
              <w:right w:val="nil"/>
            </w:tcBorders>
            <w:shd w:val="clear" w:color="auto" w:fill="auto"/>
            <w:noWrap/>
            <w:vAlign w:val="bottom"/>
            <w:hideMark/>
          </w:tcPr>
          <w:p w14:paraId="107361F1"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852,255</w:t>
            </w:r>
          </w:p>
        </w:tc>
        <w:tc>
          <w:tcPr>
            <w:tcW w:w="654" w:type="pct"/>
            <w:tcBorders>
              <w:top w:val="nil"/>
              <w:left w:val="nil"/>
              <w:bottom w:val="nil"/>
              <w:right w:val="nil"/>
            </w:tcBorders>
            <w:shd w:val="clear" w:color="auto" w:fill="auto"/>
            <w:noWrap/>
            <w:vAlign w:val="bottom"/>
            <w:hideMark/>
          </w:tcPr>
          <w:p w14:paraId="3581020A"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426,011</w:t>
            </w:r>
          </w:p>
        </w:tc>
        <w:tc>
          <w:tcPr>
            <w:tcW w:w="654" w:type="pct"/>
            <w:tcBorders>
              <w:top w:val="nil"/>
              <w:left w:val="nil"/>
              <w:bottom w:val="nil"/>
              <w:right w:val="nil"/>
            </w:tcBorders>
            <w:shd w:val="clear" w:color="auto" w:fill="auto"/>
            <w:noWrap/>
            <w:vAlign w:val="bottom"/>
            <w:hideMark/>
          </w:tcPr>
          <w:p w14:paraId="313808E8"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765,826</w:t>
            </w:r>
          </w:p>
        </w:tc>
        <w:tc>
          <w:tcPr>
            <w:tcW w:w="654" w:type="pct"/>
            <w:tcBorders>
              <w:top w:val="nil"/>
              <w:left w:val="nil"/>
              <w:bottom w:val="nil"/>
              <w:right w:val="nil"/>
            </w:tcBorders>
            <w:shd w:val="clear" w:color="auto" w:fill="auto"/>
            <w:noWrap/>
            <w:vAlign w:val="bottom"/>
            <w:hideMark/>
          </w:tcPr>
          <w:p w14:paraId="4DBA8CDD"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939,310</w:t>
            </w:r>
          </w:p>
        </w:tc>
      </w:tr>
      <w:tr w:rsidR="005270E7" w:rsidRPr="00060311" w14:paraId="319442D4" w14:textId="77777777" w:rsidTr="002561DB">
        <w:trPr>
          <w:trHeight w:val="285"/>
        </w:trPr>
        <w:tc>
          <w:tcPr>
            <w:tcW w:w="1591" w:type="pct"/>
            <w:tcBorders>
              <w:top w:val="nil"/>
              <w:left w:val="nil"/>
              <w:bottom w:val="nil"/>
              <w:right w:val="nil"/>
            </w:tcBorders>
            <w:shd w:val="clear" w:color="auto" w:fill="auto"/>
            <w:noWrap/>
            <w:vAlign w:val="bottom"/>
            <w:hideMark/>
          </w:tcPr>
          <w:p w14:paraId="032EF861" w14:textId="77777777" w:rsidR="005270E7" w:rsidRPr="00060311" w:rsidRDefault="005270E7" w:rsidP="00401137">
            <w:pPr>
              <w:rPr>
                <w:rFonts w:ascii="Arial" w:hAnsi="Arial" w:cs="Arial"/>
                <w:color w:val="000000"/>
                <w:sz w:val="18"/>
                <w:szCs w:val="18"/>
                <w:lang w:eastAsia="en-SG"/>
              </w:rPr>
            </w:pPr>
            <w:r w:rsidRPr="00060311">
              <w:rPr>
                <w:rFonts w:ascii="Arial" w:hAnsi="Arial" w:cs="Arial"/>
                <w:color w:val="000000"/>
                <w:sz w:val="18"/>
                <w:szCs w:val="18"/>
                <w:lang w:eastAsia="en-SG"/>
              </w:rPr>
              <w:t xml:space="preserve">Current Portion of Debt </w:t>
            </w:r>
            <w:r w:rsidR="00401137">
              <w:rPr>
                <w:rFonts w:ascii="Arial" w:hAnsi="Arial" w:cs="Arial"/>
                <w:color w:val="000000"/>
                <w:sz w:val="18"/>
                <w:szCs w:val="18"/>
                <w:lang w:eastAsia="en-SG"/>
              </w:rPr>
              <w:t>Securities</w:t>
            </w:r>
          </w:p>
        </w:tc>
        <w:tc>
          <w:tcPr>
            <w:tcW w:w="140" w:type="pct"/>
            <w:tcBorders>
              <w:top w:val="nil"/>
              <w:left w:val="nil"/>
              <w:bottom w:val="nil"/>
              <w:right w:val="nil"/>
            </w:tcBorders>
            <w:shd w:val="clear" w:color="auto" w:fill="auto"/>
          </w:tcPr>
          <w:p w14:paraId="3BFB4475" w14:textId="77777777" w:rsidR="005270E7" w:rsidRPr="00060311" w:rsidRDefault="005270E7" w:rsidP="005270E7">
            <w:pPr>
              <w:jc w:val="right"/>
              <w:rPr>
                <w:rFonts w:ascii="Arial" w:hAnsi="Arial" w:cs="Arial"/>
                <w:color w:val="000000"/>
                <w:sz w:val="18"/>
                <w:szCs w:val="18"/>
                <w:lang w:eastAsia="en-SG"/>
              </w:rPr>
            </w:pPr>
          </w:p>
        </w:tc>
        <w:tc>
          <w:tcPr>
            <w:tcW w:w="654" w:type="pct"/>
            <w:tcBorders>
              <w:top w:val="nil"/>
              <w:left w:val="nil"/>
              <w:bottom w:val="nil"/>
              <w:right w:val="nil"/>
            </w:tcBorders>
            <w:shd w:val="clear" w:color="auto" w:fill="auto"/>
            <w:noWrap/>
            <w:vAlign w:val="bottom"/>
            <w:hideMark/>
          </w:tcPr>
          <w:p w14:paraId="317DFE38"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404,612</w:t>
            </w:r>
          </w:p>
        </w:tc>
        <w:tc>
          <w:tcPr>
            <w:tcW w:w="654" w:type="pct"/>
            <w:tcBorders>
              <w:top w:val="nil"/>
              <w:left w:val="nil"/>
              <w:bottom w:val="nil"/>
              <w:right w:val="nil"/>
            </w:tcBorders>
            <w:shd w:val="clear" w:color="auto" w:fill="auto"/>
            <w:noWrap/>
            <w:vAlign w:val="bottom"/>
            <w:hideMark/>
          </w:tcPr>
          <w:p w14:paraId="498E8049"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909,519</w:t>
            </w:r>
          </w:p>
        </w:tc>
        <w:tc>
          <w:tcPr>
            <w:tcW w:w="654" w:type="pct"/>
            <w:tcBorders>
              <w:top w:val="nil"/>
              <w:left w:val="nil"/>
              <w:bottom w:val="nil"/>
              <w:right w:val="nil"/>
            </w:tcBorders>
            <w:shd w:val="clear" w:color="auto" w:fill="auto"/>
            <w:noWrap/>
            <w:vAlign w:val="bottom"/>
            <w:hideMark/>
          </w:tcPr>
          <w:p w14:paraId="7ADC5778"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434,228</w:t>
            </w:r>
          </w:p>
        </w:tc>
        <w:tc>
          <w:tcPr>
            <w:tcW w:w="654" w:type="pct"/>
            <w:tcBorders>
              <w:top w:val="nil"/>
              <w:left w:val="nil"/>
              <w:bottom w:val="nil"/>
              <w:right w:val="nil"/>
            </w:tcBorders>
            <w:shd w:val="clear" w:color="auto" w:fill="auto"/>
            <w:noWrap/>
            <w:vAlign w:val="bottom"/>
            <w:hideMark/>
          </w:tcPr>
          <w:p w14:paraId="72148675"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16,346</w:t>
            </w:r>
          </w:p>
        </w:tc>
        <w:tc>
          <w:tcPr>
            <w:tcW w:w="654" w:type="pct"/>
            <w:tcBorders>
              <w:top w:val="nil"/>
              <w:left w:val="nil"/>
              <w:bottom w:val="nil"/>
              <w:right w:val="nil"/>
            </w:tcBorders>
            <w:shd w:val="clear" w:color="auto" w:fill="auto"/>
            <w:noWrap/>
            <w:vAlign w:val="bottom"/>
            <w:hideMark/>
          </w:tcPr>
          <w:p w14:paraId="18773E0D"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254,972</w:t>
            </w:r>
          </w:p>
        </w:tc>
      </w:tr>
      <w:tr w:rsidR="005270E7" w:rsidRPr="00060311" w14:paraId="69DA8F50" w14:textId="77777777" w:rsidTr="002561DB">
        <w:trPr>
          <w:trHeight w:val="285"/>
        </w:trPr>
        <w:tc>
          <w:tcPr>
            <w:tcW w:w="1591" w:type="pct"/>
            <w:tcBorders>
              <w:top w:val="nil"/>
              <w:left w:val="nil"/>
              <w:bottom w:val="nil"/>
              <w:right w:val="nil"/>
            </w:tcBorders>
            <w:shd w:val="clear" w:color="auto" w:fill="auto"/>
            <w:noWrap/>
            <w:vAlign w:val="bottom"/>
            <w:hideMark/>
          </w:tcPr>
          <w:p w14:paraId="1FD48B25" w14:textId="77777777" w:rsidR="005270E7" w:rsidRPr="00060311" w:rsidRDefault="005270E7" w:rsidP="005270E7">
            <w:pPr>
              <w:rPr>
                <w:rFonts w:ascii="Arial" w:hAnsi="Arial" w:cs="Arial"/>
                <w:color w:val="000000"/>
                <w:sz w:val="18"/>
                <w:szCs w:val="18"/>
                <w:lang w:eastAsia="en-SG"/>
              </w:rPr>
            </w:pPr>
            <w:r w:rsidRPr="00060311">
              <w:rPr>
                <w:rFonts w:ascii="Arial" w:hAnsi="Arial" w:cs="Arial"/>
                <w:color w:val="000000"/>
                <w:sz w:val="18"/>
                <w:szCs w:val="18"/>
                <w:lang w:eastAsia="en-SG"/>
              </w:rPr>
              <w:t>Current Tax Payable</w:t>
            </w:r>
          </w:p>
        </w:tc>
        <w:tc>
          <w:tcPr>
            <w:tcW w:w="140" w:type="pct"/>
            <w:tcBorders>
              <w:top w:val="nil"/>
              <w:left w:val="nil"/>
              <w:bottom w:val="nil"/>
              <w:right w:val="nil"/>
            </w:tcBorders>
            <w:shd w:val="clear" w:color="auto" w:fill="auto"/>
          </w:tcPr>
          <w:p w14:paraId="37EAD2E6" w14:textId="77777777" w:rsidR="005270E7" w:rsidRPr="00060311" w:rsidRDefault="005270E7" w:rsidP="005270E7">
            <w:pPr>
              <w:jc w:val="right"/>
              <w:rPr>
                <w:rFonts w:ascii="Arial" w:hAnsi="Arial" w:cs="Arial"/>
                <w:color w:val="000000"/>
                <w:sz w:val="18"/>
                <w:szCs w:val="18"/>
                <w:lang w:eastAsia="en-SG"/>
              </w:rPr>
            </w:pPr>
          </w:p>
        </w:tc>
        <w:tc>
          <w:tcPr>
            <w:tcW w:w="654" w:type="pct"/>
            <w:tcBorders>
              <w:top w:val="nil"/>
              <w:left w:val="nil"/>
              <w:bottom w:val="nil"/>
              <w:right w:val="nil"/>
            </w:tcBorders>
            <w:shd w:val="clear" w:color="auto" w:fill="auto"/>
            <w:noWrap/>
            <w:vAlign w:val="bottom"/>
            <w:hideMark/>
          </w:tcPr>
          <w:p w14:paraId="46A98DD5"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457,374</w:t>
            </w:r>
          </w:p>
        </w:tc>
        <w:tc>
          <w:tcPr>
            <w:tcW w:w="654" w:type="pct"/>
            <w:tcBorders>
              <w:top w:val="nil"/>
              <w:left w:val="nil"/>
              <w:bottom w:val="nil"/>
              <w:right w:val="nil"/>
            </w:tcBorders>
            <w:shd w:val="clear" w:color="auto" w:fill="auto"/>
            <w:noWrap/>
            <w:vAlign w:val="bottom"/>
            <w:hideMark/>
          </w:tcPr>
          <w:p w14:paraId="71B2FAC5"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496,405</w:t>
            </w:r>
          </w:p>
        </w:tc>
        <w:tc>
          <w:tcPr>
            <w:tcW w:w="654" w:type="pct"/>
            <w:tcBorders>
              <w:top w:val="nil"/>
              <w:left w:val="nil"/>
              <w:bottom w:val="nil"/>
              <w:right w:val="nil"/>
            </w:tcBorders>
            <w:shd w:val="clear" w:color="auto" w:fill="auto"/>
            <w:noWrap/>
            <w:vAlign w:val="bottom"/>
            <w:hideMark/>
          </w:tcPr>
          <w:p w14:paraId="7A4B41F6"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441,075</w:t>
            </w:r>
          </w:p>
        </w:tc>
        <w:tc>
          <w:tcPr>
            <w:tcW w:w="654" w:type="pct"/>
            <w:tcBorders>
              <w:top w:val="nil"/>
              <w:left w:val="nil"/>
              <w:bottom w:val="nil"/>
              <w:right w:val="nil"/>
            </w:tcBorders>
            <w:shd w:val="clear" w:color="auto" w:fill="auto"/>
            <w:noWrap/>
            <w:vAlign w:val="bottom"/>
            <w:hideMark/>
          </w:tcPr>
          <w:p w14:paraId="342E77E0"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432,489</w:t>
            </w:r>
          </w:p>
        </w:tc>
        <w:tc>
          <w:tcPr>
            <w:tcW w:w="654" w:type="pct"/>
            <w:tcBorders>
              <w:top w:val="nil"/>
              <w:left w:val="nil"/>
              <w:bottom w:val="nil"/>
              <w:right w:val="nil"/>
            </w:tcBorders>
            <w:shd w:val="clear" w:color="auto" w:fill="auto"/>
            <w:noWrap/>
            <w:vAlign w:val="bottom"/>
            <w:hideMark/>
          </w:tcPr>
          <w:p w14:paraId="75B98970"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472,711</w:t>
            </w:r>
          </w:p>
        </w:tc>
      </w:tr>
      <w:tr w:rsidR="005270E7" w:rsidRPr="00060311" w14:paraId="339F8047" w14:textId="77777777" w:rsidTr="002561DB">
        <w:trPr>
          <w:trHeight w:val="285"/>
        </w:trPr>
        <w:tc>
          <w:tcPr>
            <w:tcW w:w="1591" w:type="pct"/>
            <w:tcBorders>
              <w:top w:val="nil"/>
              <w:left w:val="nil"/>
              <w:bottom w:val="nil"/>
              <w:right w:val="nil"/>
            </w:tcBorders>
            <w:shd w:val="clear" w:color="auto" w:fill="auto"/>
            <w:noWrap/>
            <w:vAlign w:val="bottom"/>
            <w:hideMark/>
          </w:tcPr>
          <w:p w14:paraId="00B8D332" w14:textId="77777777" w:rsidR="005270E7" w:rsidRPr="00060311" w:rsidRDefault="005270E7" w:rsidP="005270E7">
            <w:pPr>
              <w:rPr>
                <w:rFonts w:ascii="Arial" w:hAnsi="Arial" w:cs="Arial"/>
                <w:b/>
                <w:bCs/>
                <w:color w:val="000000"/>
                <w:sz w:val="18"/>
                <w:szCs w:val="18"/>
                <w:lang w:eastAsia="en-SG"/>
              </w:rPr>
            </w:pPr>
            <w:r w:rsidRPr="00060311">
              <w:rPr>
                <w:rFonts w:ascii="Arial" w:hAnsi="Arial" w:cs="Arial"/>
                <w:b/>
                <w:bCs/>
                <w:color w:val="000000"/>
                <w:sz w:val="18"/>
                <w:szCs w:val="18"/>
                <w:lang w:eastAsia="en-SG"/>
              </w:rPr>
              <w:t>Total Current Liabilities</w:t>
            </w:r>
          </w:p>
        </w:tc>
        <w:tc>
          <w:tcPr>
            <w:tcW w:w="140" w:type="pct"/>
            <w:tcBorders>
              <w:top w:val="single" w:sz="4" w:space="0" w:color="auto"/>
              <w:left w:val="nil"/>
              <w:bottom w:val="single" w:sz="4" w:space="0" w:color="auto"/>
              <w:right w:val="nil"/>
            </w:tcBorders>
            <w:shd w:val="clear" w:color="auto" w:fill="auto"/>
          </w:tcPr>
          <w:p w14:paraId="4D8AE48E" w14:textId="77777777" w:rsidR="005270E7" w:rsidRPr="00060311" w:rsidRDefault="005270E7" w:rsidP="005270E7">
            <w:pPr>
              <w:jc w:val="right"/>
              <w:rPr>
                <w:rFonts w:ascii="Arial" w:hAnsi="Arial" w:cs="Arial"/>
                <w:b/>
                <w:bCs/>
                <w:color w:val="000000"/>
                <w:sz w:val="18"/>
                <w:szCs w:val="18"/>
                <w:lang w:eastAsia="en-SG"/>
              </w:rPr>
            </w:pPr>
          </w:p>
        </w:tc>
        <w:tc>
          <w:tcPr>
            <w:tcW w:w="654" w:type="pct"/>
            <w:tcBorders>
              <w:top w:val="single" w:sz="4" w:space="0" w:color="auto"/>
              <w:left w:val="nil"/>
              <w:bottom w:val="single" w:sz="4" w:space="0" w:color="auto"/>
              <w:right w:val="nil"/>
            </w:tcBorders>
            <w:shd w:val="clear" w:color="auto" w:fill="auto"/>
            <w:noWrap/>
            <w:vAlign w:val="bottom"/>
            <w:hideMark/>
          </w:tcPr>
          <w:p w14:paraId="646EE8B0"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3,734,977</w:t>
            </w:r>
          </w:p>
        </w:tc>
        <w:tc>
          <w:tcPr>
            <w:tcW w:w="654" w:type="pct"/>
            <w:tcBorders>
              <w:top w:val="single" w:sz="4" w:space="0" w:color="auto"/>
              <w:left w:val="nil"/>
              <w:bottom w:val="single" w:sz="4" w:space="0" w:color="auto"/>
              <w:right w:val="nil"/>
            </w:tcBorders>
            <w:shd w:val="clear" w:color="auto" w:fill="auto"/>
            <w:noWrap/>
            <w:vAlign w:val="bottom"/>
            <w:hideMark/>
          </w:tcPr>
          <w:p w14:paraId="0DE189B9"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3,952,564</w:t>
            </w:r>
          </w:p>
        </w:tc>
        <w:tc>
          <w:tcPr>
            <w:tcW w:w="654" w:type="pct"/>
            <w:tcBorders>
              <w:top w:val="single" w:sz="4" w:space="0" w:color="auto"/>
              <w:left w:val="nil"/>
              <w:bottom w:val="single" w:sz="4" w:space="0" w:color="auto"/>
              <w:right w:val="nil"/>
            </w:tcBorders>
            <w:shd w:val="clear" w:color="auto" w:fill="auto"/>
            <w:noWrap/>
            <w:vAlign w:val="bottom"/>
            <w:hideMark/>
          </w:tcPr>
          <w:p w14:paraId="206D3342"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3,571,802</w:t>
            </w:r>
          </w:p>
        </w:tc>
        <w:tc>
          <w:tcPr>
            <w:tcW w:w="654" w:type="pct"/>
            <w:tcBorders>
              <w:top w:val="single" w:sz="4" w:space="0" w:color="auto"/>
              <w:left w:val="nil"/>
              <w:bottom w:val="single" w:sz="4" w:space="0" w:color="auto"/>
              <w:right w:val="nil"/>
            </w:tcBorders>
            <w:shd w:val="clear" w:color="auto" w:fill="auto"/>
            <w:noWrap/>
            <w:vAlign w:val="bottom"/>
            <w:hideMark/>
          </w:tcPr>
          <w:p w14:paraId="18543588"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3,574,259</w:t>
            </w:r>
          </w:p>
        </w:tc>
        <w:tc>
          <w:tcPr>
            <w:tcW w:w="654" w:type="pct"/>
            <w:tcBorders>
              <w:top w:val="single" w:sz="4" w:space="0" w:color="auto"/>
              <w:left w:val="nil"/>
              <w:bottom w:val="single" w:sz="4" w:space="0" w:color="auto"/>
              <w:right w:val="nil"/>
            </w:tcBorders>
            <w:shd w:val="clear" w:color="auto" w:fill="auto"/>
            <w:noWrap/>
            <w:vAlign w:val="bottom"/>
            <w:hideMark/>
          </w:tcPr>
          <w:p w14:paraId="719671FA"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4,347,476</w:t>
            </w:r>
          </w:p>
        </w:tc>
      </w:tr>
      <w:tr w:rsidR="005270E7" w:rsidRPr="00060311" w14:paraId="25C2A74E" w14:textId="77777777" w:rsidTr="002561DB">
        <w:trPr>
          <w:trHeight w:val="285"/>
        </w:trPr>
        <w:tc>
          <w:tcPr>
            <w:tcW w:w="1591" w:type="pct"/>
            <w:tcBorders>
              <w:top w:val="nil"/>
              <w:left w:val="nil"/>
              <w:bottom w:val="nil"/>
              <w:right w:val="nil"/>
            </w:tcBorders>
            <w:shd w:val="clear" w:color="auto" w:fill="auto"/>
            <w:noWrap/>
            <w:vAlign w:val="bottom"/>
            <w:hideMark/>
          </w:tcPr>
          <w:p w14:paraId="0908F265" w14:textId="7FAFAC8D" w:rsidR="005270E7" w:rsidRPr="00060311" w:rsidRDefault="00271D57" w:rsidP="00C1248F">
            <w:pPr>
              <w:rPr>
                <w:rFonts w:ascii="Arial" w:hAnsi="Arial" w:cs="Arial"/>
                <w:color w:val="000000"/>
                <w:sz w:val="18"/>
                <w:szCs w:val="18"/>
                <w:lang w:eastAsia="en-SG"/>
              </w:rPr>
            </w:pPr>
            <w:r w:rsidRPr="00060311">
              <w:rPr>
                <w:rFonts w:ascii="Arial" w:hAnsi="Arial" w:cs="Arial"/>
                <w:color w:val="000000"/>
                <w:sz w:val="18"/>
                <w:szCs w:val="18"/>
                <w:lang w:eastAsia="en-SG"/>
              </w:rPr>
              <w:t>Long</w:t>
            </w:r>
            <w:r>
              <w:rPr>
                <w:rFonts w:ascii="Arial" w:hAnsi="Arial" w:cs="Arial"/>
                <w:color w:val="000000"/>
                <w:sz w:val="18"/>
                <w:szCs w:val="18"/>
                <w:lang w:eastAsia="en-SG"/>
              </w:rPr>
              <w:t>-</w:t>
            </w:r>
            <w:r w:rsidR="005270E7" w:rsidRPr="00060311">
              <w:rPr>
                <w:rFonts w:ascii="Arial" w:hAnsi="Arial" w:cs="Arial"/>
                <w:color w:val="000000"/>
                <w:sz w:val="18"/>
                <w:szCs w:val="18"/>
                <w:lang w:eastAsia="en-SG"/>
              </w:rPr>
              <w:t>Term Bank Borrowings</w:t>
            </w:r>
          </w:p>
        </w:tc>
        <w:tc>
          <w:tcPr>
            <w:tcW w:w="140" w:type="pct"/>
            <w:tcBorders>
              <w:top w:val="nil"/>
              <w:left w:val="nil"/>
              <w:bottom w:val="nil"/>
              <w:right w:val="nil"/>
            </w:tcBorders>
            <w:shd w:val="clear" w:color="auto" w:fill="auto"/>
          </w:tcPr>
          <w:p w14:paraId="3747D4EC" w14:textId="77777777" w:rsidR="005270E7" w:rsidRPr="00060311" w:rsidRDefault="005270E7" w:rsidP="005270E7">
            <w:pPr>
              <w:jc w:val="right"/>
              <w:rPr>
                <w:rFonts w:ascii="Arial" w:hAnsi="Arial" w:cs="Arial"/>
                <w:color w:val="000000"/>
                <w:sz w:val="18"/>
                <w:szCs w:val="18"/>
                <w:lang w:eastAsia="en-SG"/>
              </w:rPr>
            </w:pPr>
          </w:p>
        </w:tc>
        <w:tc>
          <w:tcPr>
            <w:tcW w:w="654" w:type="pct"/>
            <w:tcBorders>
              <w:top w:val="nil"/>
              <w:left w:val="nil"/>
              <w:bottom w:val="nil"/>
              <w:right w:val="nil"/>
            </w:tcBorders>
            <w:shd w:val="clear" w:color="auto" w:fill="auto"/>
            <w:noWrap/>
            <w:vAlign w:val="bottom"/>
            <w:hideMark/>
          </w:tcPr>
          <w:p w14:paraId="59C03F78"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3,951,770</w:t>
            </w:r>
          </w:p>
        </w:tc>
        <w:tc>
          <w:tcPr>
            <w:tcW w:w="654" w:type="pct"/>
            <w:tcBorders>
              <w:top w:val="nil"/>
              <w:left w:val="nil"/>
              <w:bottom w:val="nil"/>
              <w:right w:val="nil"/>
            </w:tcBorders>
            <w:shd w:val="clear" w:color="auto" w:fill="auto"/>
            <w:noWrap/>
            <w:vAlign w:val="bottom"/>
            <w:hideMark/>
          </w:tcPr>
          <w:p w14:paraId="3F4FC159"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3,798,410</w:t>
            </w:r>
          </w:p>
        </w:tc>
        <w:tc>
          <w:tcPr>
            <w:tcW w:w="654" w:type="pct"/>
            <w:tcBorders>
              <w:top w:val="nil"/>
              <w:left w:val="nil"/>
              <w:bottom w:val="nil"/>
              <w:right w:val="nil"/>
            </w:tcBorders>
            <w:shd w:val="clear" w:color="auto" w:fill="auto"/>
            <w:noWrap/>
            <w:vAlign w:val="bottom"/>
            <w:hideMark/>
          </w:tcPr>
          <w:p w14:paraId="71B95C9B"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6,105,790</w:t>
            </w:r>
          </w:p>
        </w:tc>
        <w:tc>
          <w:tcPr>
            <w:tcW w:w="654" w:type="pct"/>
            <w:tcBorders>
              <w:top w:val="nil"/>
              <w:left w:val="nil"/>
              <w:bottom w:val="nil"/>
              <w:right w:val="nil"/>
            </w:tcBorders>
            <w:shd w:val="clear" w:color="auto" w:fill="auto"/>
            <w:noWrap/>
            <w:vAlign w:val="bottom"/>
            <w:hideMark/>
          </w:tcPr>
          <w:p w14:paraId="6F228803"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6,617,114</w:t>
            </w:r>
          </w:p>
        </w:tc>
        <w:tc>
          <w:tcPr>
            <w:tcW w:w="654" w:type="pct"/>
            <w:tcBorders>
              <w:top w:val="nil"/>
              <w:left w:val="nil"/>
              <w:bottom w:val="nil"/>
              <w:right w:val="nil"/>
            </w:tcBorders>
            <w:shd w:val="clear" w:color="auto" w:fill="auto"/>
            <w:noWrap/>
            <w:vAlign w:val="bottom"/>
            <w:hideMark/>
          </w:tcPr>
          <w:p w14:paraId="1AC8D5E6"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5,421,543</w:t>
            </w:r>
          </w:p>
        </w:tc>
      </w:tr>
      <w:tr w:rsidR="005270E7" w:rsidRPr="00060311" w14:paraId="7AF727A5" w14:textId="77777777" w:rsidTr="002561DB">
        <w:trPr>
          <w:trHeight w:val="285"/>
        </w:trPr>
        <w:tc>
          <w:tcPr>
            <w:tcW w:w="1591" w:type="pct"/>
            <w:tcBorders>
              <w:top w:val="nil"/>
              <w:left w:val="nil"/>
              <w:bottom w:val="nil"/>
              <w:right w:val="nil"/>
            </w:tcBorders>
            <w:shd w:val="clear" w:color="auto" w:fill="auto"/>
            <w:noWrap/>
            <w:vAlign w:val="bottom"/>
            <w:hideMark/>
          </w:tcPr>
          <w:p w14:paraId="37993181" w14:textId="77777777" w:rsidR="005270E7" w:rsidRPr="00060311" w:rsidRDefault="005270E7" w:rsidP="005270E7">
            <w:pPr>
              <w:rPr>
                <w:rFonts w:ascii="Arial" w:hAnsi="Arial" w:cs="Arial"/>
                <w:color w:val="000000"/>
                <w:sz w:val="18"/>
                <w:szCs w:val="18"/>
                <w:lang w:eastAsia="en-SG"/>
              </w:rPr>
            </w:pPr>
            <w:r w:rsidRPr="00060311">
              <w:rPr>
                <w:rFonts w:ascii="Arial" w:hAnsi="Arial" w:cs="Arial"/>
                <w:color w:val="000000"/>
                <w:sz w:val="18"/>
                <w:szCs w:val="18"/>
                <w:lang w:eastAsia="en-SG"/>
              </w:rPr>
              <w:t>Debt Securities</w:t>
            </w:r>
          </w:p>
        </w:tc>
        <w:tc>
          <w:tcPr>
            <w:tcW w:w="140" w:type="pct"/>
            <w:tcBorders>
              <w:top w:val="nil"/>
              <w:left w:val="nil"/>
              <w:bottom w:val="nil"/>
              <w:right w:val="nil"/>
            </w:tcBorders>
            <w:shd w:val="clear" w:color="auto" w:fill="auto"/>
          </w:tcPr>
          <w:p w14:paraId="0B0CF75C" w14:textId="77777777" w:rsidR="005270E7" w:rsidRPr="00060311" w:rsidRDefault="005270E7" w:rsidP="005270E7">
            <w:pPr>
              <w:jc w:val="right"/>
              <w:rPr>
                <w:rFonts w:ascii="Arial" w:hAnsi="Arial" w:cs="Arial"/>
                <w:color w:val="000000"/>
                <w:sz w:val="18"/>
                <w:szCs w:val="18"/>
                <w:lang w:eastAsia="en-SG"/>
              </w:rPr>
            </w:pPr>
          </w:p>
        </w:tc>
        <w:tc>
          <w:tcPr>
            <w:tcW w:w="654" w:type="pct"/>
            <w:tcBorders>
              <w:top w:val="nil"/>
              <w:left w:val="nil"/>
              <w:bottom w:val="nil"/>
              <w:right w:val="nil"/>
            </w:tcBorders>
            <w:shd w:val="clear" w:color="auto" w:fill="auto"/>
            <w:noWrap/>
            <w:vAlign w:val="bottom"/>
            <w:hideMark/>
          </w:tcPr>
          <w:p w14:paraId="0B7A4191"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4,963,198</w:t>
            </w:r>
          </w:p>
        </w:tc>
        <w:tc>
          <w:tcPr>
            <w:tcW w:w="654" w:type="pct"/>
            <w:tcBorders>
              <w:top w:val="nil"/>
              <w:left w:val="nil"/>
              <w:bottom w:val="nil"/>
              <w:right w:val="nil"/>
            </w:tcBorders>
            <w:shd w:val="clear" w:color="auto" w:fill="auto"/>
            <w:noWrap/>
            <w:vAlign w:val="bottom"/>
            <w:hideMark/>
          </w:tcPr>
          <w:p w14:paraId="6C32138B"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4,797,859</w:t>
            </w:r>
          </w:p>
        </w:tc>
        <w:tc>
          <w:tcPr>
            <w:tcW w:w="654" w:type="pct"/>
            <w:tcBorders>
              <w:top w:val="nil"/>
              <w:left w:val="nil"/>
              <w:bottom w:val="nil"/>
              <w:right w:val="nil"/>
            </w:tcBorders>
            <w:shd w:val="clear" w:color="auto" w:fill="auto"/>
            <w:noWrap/>
            <w:vAlign w:val="bottom"/>
            <w:hideMark/>
          </w:tcPr>
          <w:p w14:paraId="58249A5B"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5,224,610</w:t>
            </w:r>
          </w:p>
        </w:tc>
        <w:tc>
          <w:tcPr>
            <w:tcW w:w="654" w:type="pct"/>
            <w:tcBorders>
              <w:top w:val="nil"/>
              <w:left w:val="nil"/>
              <w:bottom w:val="nil"/>
              <w:right w:val="nil"/>
            </w:tcBorders>
            <w:shd w:val="clear" w:color="auto" w:fill="auto"/>
            <w:noWrap/>
            <w:vAlign w:val="bottom"/>
            <w:hideMark/>
          </w:tcPr>
          <w:p w14:paraId="0F426D67"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6,780,492</w:t>
            </w:r>
          </w:p>
        </w:tc>
        <w:tc>
          <w:tcPr>
            <w:tcW w:w="654" w:type="pct"/>
            <w:tcBorders>
              <w:top w:val="nil"/>
              <w:left w:val="nil"/>
              <w:bottom w:val="nil"/>
              <w:right w:val="nil"/>
            </w:tcBorders>
            <w:shd w:val="clear" w:color="auto" w:fill="auto"/>
            <w:noWrap/>
            <w:vAlign w:val="bottom"/>
            <w:hideMark/>
          </w:tcPr>
          <w:p w14:paraId="026BC1D1"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5,946,962</w:t>
            </w:r>
          </w:p>
        </w:tc>
      </w:tr>
      <w:tr w:rsidR="005270E7" w:rsidRPr="00060311" w14:paraId="3E119788" w14:textId="77777777" w:rsidTr="002561DB">
        <w:trPr>
          <w:trHeight w:val="285"/>
        </w:trPr>
        <w:tc>
          <w:tcPr>
            <w:tcW w:w="1591" w:type="pct"/>
            <w:tcBorders>
              <w:top w:val="nil"/>
              <w:left w:val="nil"/>
              <w:bottom w:val="nil"/>
              <w:right w:val="nil"/>
            </w:tcBorders>
            <w:shd w:val="clear" w:color="auto" w:fill="auto"/>
            <w:noWrap/>
            <w:vAlign w:val="bottom"/>
            <w:hideMark/>
          </w:tcPr>
          <w:p w14:paraId="76B8D209" w14:textId="77777777" w:rsidR="005270E7" w:rsidRPr="00060311" w:rsidRDefault="005270E7" w:rsidP="005270E7">
            <w:pPr>
              <w:rPr>
                <w:rFonts w:ascii="Arial" w:hAnsi="Arial" w:cs="Arial"/>
                <w:color w:val="000000"/>
                <w:sz w:val="18"/>
                <w:szCs w:val="18"/>
                <w:lang w:eastAsia="en-SG"/>
              </w:rPr>
            </w:pPr>
            <w:r w:rsidRPr="00060311">
              <w:rPr>
                <w:rFonts w:ascii="Arial" w:hAnsi="Arial" w:cs="Arial"/>
                <w:color w:val="000000"/>
                <w:sz w:val="18"/>
                <w:szCs w:val="18"/>
                <w:lang w:eastAsia="en-SG"/>
              </w:rPr>
              <w:t>Deferred Tax Liabilities</w:t>
            </w:r>
          </w:p>
        </w:tc>
        <w:tc>
          <w:tcPr>
            <w:tcW w:w="140" w:type="pct"/>
            <w:tcBorders>
              <w:top w:val="nil"/>
              <w:left w:val="nil"/>
              <w:bottom w:val="nil"/>
              <w:right w:val="nil"/>
            </w:tcBorders>
            <w:shd w:val="clear" w:color="auto" w:fill="auto"/>
          </w:tcPr>
          <w:p w14:paraId="2B5EA62C" w14:textId="77777777" w:rsidR="005270E7" w:rsidRPr="00060311" w:rsidRDefault="005270E7" w:rsidP="005270E7">
            <w:pPr>
              <w:jc w:val="right"/>
              <w:rPr>
                <w:rFonts w:ascii="Arial" w:hAnsi="Arial" w:cs="Arial"/>
                <w:color w:val="000000"/>
                <w:sz w:val="18"/>
                <w:szCs w:val="18"/>
                <w:lang w:eastAsia="en-SG"/>
              </w:rPr>
            </w:pPr>
          </w:p>
        </w:tc>
        <w:tc>
          <w:tcPr>
            <w:tcW w:w="654" w:type="pct"/>
            <w:tcBorders>
              <w:top w:val="nil"/>
              <w:left w:val="nil"/>
              <w:bottom w:val="nil"/>
              <w:right w:val="nil"/>
            </w:tcBorders>
            <w:shd w:val="clear" w:color="auto" w:fill="auto"/>
            <w:noWrap/>
            <w:vAlign w:val="bottom"/>
            <w:hideMark/>
          </w:tcPr>
          <w:p w14:paraId="6919A60C"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173,756</w:t>
            </w:r>
          </w:p>
        </w:tc>
        <w:tc>
          <w:tcPr>
            <w:tcW w:w="654" w:type="pct"/>
            <w:tcBorders>
              <w:top w:val="nil"/>
              <w:left w:val="nil"/>
              <w:bottom w:val="nil"/>
              <w:right w:val="nil"/>
            </w:tcBorders>
            <w:shd w:val="clear" w:color="auto" w:fill="auto"/>
            <w:noWrap/>
            <w:vAlign w:val="bottom"/>
            <w:hideMark/>
          </w:tcPr>
          <w:p w14:paraId="1803FFD1"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593,238</w:t>
            </w:r>
          </w:p>
        </w:tc>
        <w:tc>
          <w:tcPr>
            <w:tcW w:w="654" w:type="pct"/>
            <w:tcBorders>
              <w:top w:val="nil"/>
              <w:left w:val="nil"/>
              <w:bottom w:val="nil"/>
              <w:right w:val="nil"/>
            </w:tcBorders>
            <w:shd w:val="clear" w:color="auto" w:fill="auto"/>
            <w:noWrap/>
            <w:vAlign w:val="bottom"/>
            <w:hideMark/>
          </w:tcPr>
          <w:p w14:paraId="6C79A627"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627,638</w:t>
            </w:r>
          </w:p>
        </w:tc>
        <w:tc>
          <w:tcPr>
            <w:tcW w:w="654" w:type="pct"/>
            <w:tcBorders>
              <w:top w:val="nil"/>
              <w:left w:val="nil"/>
              <w:bottom w:val="nil"/>
              <w:right w:val="nil"/>
            </w:tcBorders>
            <w:shd w:val="clear" w:color="auto" w:fill="auto"/>
            <w:noWrap/>
            <w:vAlign w:val="bottom"/>
            <w:hideMark/>
          </w:tcPr>
          <w:p w14:paraId="11E80CF9"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658,989</w:t>
            </w:r>
          </w:p>
        </w:tc>
        <w:tc>
          <w:tcPr>
            <w:tcW w:w="654" w:type="pct"/>
            <w:tcBorders>
              <w:top w:val="nil"/>
              <w:left w:val="nil"/>
              <w:bottom w:val="nil"/>
              <w:right w:val="nil"/>
            </w:tcBorders>
            <w:shd w:val="clear" w:color="auto" w:fill="auto"/>
            <w:noWrap/>
            <w:vAlign w:val="bottom"/>
            <w:hideMark/>
          </w:tcPr>
          <w:p w14:paraId="0E466807"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611,133</w:t>
            </w:r>
          </w:p>
        </w:tc>
      </w:tr>
      <w:tr w:rsidR="005270E7" w:rsidRPr="00060311" w14:paraId="59B057B8" w14:textId="77777777" w:rsidTr="002561DB">
        <w:trPr>
          <w:trHeight w:val="285"/>
        </w:trPr>
        <w:tc>
          <w:tcPr>
            <w:tcW w:w="1591" w:type="pct"/>
            <w:tcBorders>
              <w:top w:val="nil"/>
              <w:left w:val="nil"/>
              <w:bottom w:val="nil"/>
              <w:right w:val="nil"/>
            </w:tcBorders>
            <w:shd w:val="clear" w:color="auto" w:fill="auto"/>
            <w:noWrap/>
            <w:vAlign w:val="bottom"/>
            <w:hideMark/>
          </w:tcPr>
          <w:p w14:paraId="43EEFEB8" w14:textId="77777777" w:rsidR="005270E7" w:rsidRPr="00060311" w:rsidRDefault="005270E7" w:rsidP="005270E7">
            <w:pPr>
              <w:rPr>
                <w:rFonts w:ascii="Arial" w:hAnsi="Arial" w:cs="Arial"/>
                <w:color w:val="000000"/>
                <w:sz w:val="18"/>
                <w:szCs w:val="18"/>
                <w:lang w:eastAsia="en-SG"/>
              </w:rPr>
            </w:pPr>
            <w:r w:rsidRPr="00060311">
              <w:rPr>
                <w:rFonts w:ascii="Arial" w:hAnsi="Arial" w:cs="Arial"/>
                <w:color w:val="000000"/>
                <w:sz w:val="18"/>
                <w:szCs w:val="18"/>
                <w:lang w:eastAsia="en-SG"/>
              </w:rPr>
              <w:t>Other Non-Current Liabilities</w:t>
            </w:r>
          </w:p>
        </w:tc>
        <w:tc>
          <w:tcPr>
            <w:tcW w:w="140" w:type="pct"/>
            <w:tcBorders>
              <w:top w:val="nil"/>
              <w:left w:val="nil"/>
              <w:bottom w:val="nil"/>
              <w:right w:val="nil"/>
            </w:tcBorders>
            <w:shd w:val="clear" w:color="auto" w:fill="auto"/>
          </w:tcPr>
          <w:p w14:paraId="42AEA92B" w14:textId="77777777" w:rsidR="005270E7" w:rsidRPr="00060311" w:rsidRDefault="005270E7" w:rsidP="005270E7">
            <w:pPr>
              <w:jc w:val="right"/>
              <w:rPr>
                <w:rFonts w:ascii="Arial" w:hAnsi="Arial" w:cs="Arial"/>
                <w:color w:val="000000"/>
                <w:sz w:val="18"/>
                <w:szCs w:val="18"/>
                <w:lang w:eastAsia="en-SG"/>
              </w:rPr>
            </w:pPr>
          </w:p>
        </w:tc>
        <w:tc>
          <w:tcPr>
            <w:tcW w:w="654" w:type="pct"/>
            <w:tcBorders>
              <w:top w:val="nil"/>
              <w:left w:val="nil"/>
              <w:bottom w:val="nil"/>
              <w:right w:val="nil"/>
            </w:tcBorders>
            <w:shd w:val="clear" w:color="auto" w:fill="auto"/>
            <w:noWrap/>
            <w:vAlign w:val="bottom"/>
            <w:hideMark/>
          </w:tcPr>
          <w:p w14:paraId="419CA5AC"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462,550</w:t>
            </w:r>
          </w:p>
        </w:tc>
        <w:tc>
          <w:tcPr>
            <w:tcW w:w="654" w:type="pct"/>
            <w:tcBorders>
              <w:top w:val="nil"/>
              <w:left w:val="nil"/>
              <w:bottom w:val="nil"/>
              <w:right w:val="nil"/>
            </w:tcBorders>
            <w:shd w:val="clear" w:color="auto" w:fill="auto"/>
            <w:noWrap/>
            <w:vAlign w:val="bottom"/>
            <w:hideMark/>
          </w:tcPr>
          <w:p w14:paraId="318C832A"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540,687</w:t>
            </w:r>
          </w:p>
        </w:tc>
        <w:tc>
          <w:tcPr>
            <w:tcW w:w="654" w:type="pct"/>
            <w:tcBorders>
              <w:top w:val="nil"/>
              <w:left w:val="nil"/>
              <w:bottom w:val="nil"/>
              <w:right w:val="nil"/>
            </w:tcBorders>
            <w:shd w:val="clear" w:color="auto" w:fill="auto"/>
            <w:noWrap/>
            <w:vAlign w:val="bottom"/>
            <w:hideMark/>
          </w:tcPr>
          <w:p w14:paraId="7690A744"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550,130</w:t>
            </w:r>
          </w:p>
        </w:tc>
        <w:tc>
          <w:tcPr>
            <w:tcW w:w="654" w:type="pct"/>
            <w:tcBorders>
              <w:top w:val="nil"/>
              <w:left w:val="nil"/>
              <w:bottom w:val="nil"/>
              <w:right w:val="nil"/>
            </w:tcBorders>
            <w:shd w:val="clear" w:color="auto" w:fill="auto"/>
            <w:noWrap/>
            <w:vAlign w:val="bottom"/>
            <w:hideMark/>
          </w:tcPr>
          <w:p w14:paraId="266DC0B5"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712,971</w:t>
            </w:r>
          </w:p>
        </w:tc>
        <w:tc>
          <w:tcPr>
            <w:tcW w:w="654" w:type="pct"/>
            <w:tcBorders>
              <w:top w:val="nil"/>
              <w:left w:val="nil"/>
              <w:bottom w:val="nil"/>
              <w:right w:val="nil"/>
            </w:tcBorders>
            <w:shd w:val="clear" w:color="auto" w:fill="auto"/>
            <w:noWrap/>
            <w:vAlign w:val="bottom"/>
            <w:hideMark/>
          </w:tcPr>
          <w:p w14:paraId="5B86B3E6"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516,827</w:t>
            </w:r>
          </w:p>
        </w:tc>
      </w:tr>
      <w:tr w:rsidR="005270E7" w:rsidRPr="00060311" w14:paraId="42015722" w14:textId="77777777" w:rsidTr="002561DB">
        <w:trPr>
          <w:trHeight w:val="285"/>
        </w:trPr>
        <w:tc>
          <w:tcPr>
            <w:tcW w:w="1591" w:type="pct"/>
            <w:tcBorders>
              <w:top w:val="nil"/>
              <w:left w:val="nil"/>
              <w:bottom w:val="nil"/>
              <w:right w:val="nil"/>
            </w:tcBorders>
            <w:shd w:val="clear" w:color="auto" w:fill="auto"/>
            <w:noWrap/>
            <w:vAlign w:val="bottom"/>
            <w:hideMark/>
          </w:tcPr>
          <w:p w14:paraId="5D220D87" w14:textId="77777777" w:rsidR="005270E7" w:rsidRPr="00060311" w:rsidRDefault="005270E7" w:rsidP="005270E7">
            <w:pPr>
              <w:rPr>
                <w:rFonts w:ascii="Arial" w:hAnsi="Arial" w:cs="Arial"/>
                <w:b/>
                <w:bCs/>
                <w:color w:val="000000"/>
                <w:sz w:val="18"/>
                <w:szCs w:val="18"/>
                <w:lang w:eastAsia="en-SG"/>
              </w:rPr>
            </w:pPr>
            <w:r w:rsidRPr="00060311">
              <w:rPr>
                <w:rFonts w:ascii="Arial" w:hAnsi="Arial" w:cs="Arial"/>
                <w:b/>
                <w:bCs/>
                <w:color w:val="000000"/>
                <w:sz w:val="18"/>
                <w:szCs w:val="18"/>
                <w:lang w:eastAsia="en-SG"/>
              </w:rPr>
              <w:t>Total Non-Current Liabilities</w:t>
            </w:r>
          </w:p>
        </w:tc>
        <w:tc>
          <w:tcPr>
            <w:tcW w:w="140" w:type="pct"/>
            <w:tcBorders>
              <w:top w:val="single" w:sz="4" w:space="0" w:color="auto"/>
              <w:left w:val="nil"/>
              <w:bottom w:val="single" w:sz="4" w:space="0" w:color="auto"/>
              <w:right w:val="nil"/>
            </w:tcBorders>
            <w:shd w:val="clear" w:color="auto" w:fill="auto"/>
          </w:tcPr>
          <w:p w14:paraId="7E6DCC28" w14:textId="77777777" w:rsidR="005270E7" w:rsidRPr="00060311" w:rsidRDefault="005270E7" w:rsidP="005270E7">
            <w:pPr>
              <w:jc w:val="right"/>
              <w:rPr>
                <w:rFonts w:ascii="Arial" w:hAnsi="Arial" w:cs="Arial"/>
                <w:b/>
                <w:bCs/>
                <w:color w:val="000000"/>
                <w:sz w:val="18"/>
                <w:szCs w:val="18"/>
                <w:lang w:eastAsia="en-SG"/>
              </w:rPr>
            </w:pPr>
          </w:p>
        </w:tc>
        <w:tc>
          <w:tcPr>
            <w:tcW w:w="654" w:type="pct"/>
            <w:tcBorders>
              <w:top w:val="single" w:sz="4" w:space="0" w:color="auto"/>
              <w:left w:val="nil"/>
              <w:bottom w:val="single" w:sz="4" w:space="0" w:color="auto"/>
              <w:right w:val="nil"/>
            </w:tcBorders>
            <w:shd w:val="clear" w:color="auto" w:fill="auto"/>
            <w:noWrap/>
            <w:vAlign w:val="bottom"/>
            <w:hideMark/>
          </w:tcPr>
          <w:p w14:paraId="553E0BBF"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9,551,274</w:t>
            </w:r>
          </w:p>
        </w:tc>
        <w:tc>
          <w:tcPr>
            <w:tcW w:w="654" w:type="pct"/>
            <w:tcBorders>
              <w:top w:val="single" w:sz="4" w:space="0" w:color="auto"/>
              <w:left w:val="nil"/>
              <w:bottom w:val="single" w:sz="4" w:space="0" w:color="auto"/>
              <w:right w:val="nil"/>
            </w:tcBorders>
            <w:shd w:val="clear" w:color="auto" w:fill="auto"/>
            <w:noWrap/>
            <w:vAlign w:val="bottom"/>
            <w:hideMark/>
          </w:tcPr>
          <w:p w14:paraId="485589E9"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9,730,194</w:t>
            </w:r>
          </w:p>
        </w:tc>
        <w:tc>
          <w:tcPr>
            <w:tcW w:w="654" w:type="pct"/>
            <w:tcBorders>
              <w:top w:val="single" w:sz="4" w:space="0" w:color="auto"/>
              <w:left w:val="nil"/>
              <w:bottom w:val="single" w:sz="4" w:space="0" w:color="auto"/>
              <w:right w:val="nil"/>
            </w:tcBorders>
            <w:shd w:val="clear" w:color="auto" w:fill="auto"/>
            <w:noWrap/>
            <w:vAlign w:val="bottom"/>
            <w:hideMark/>
          </w:tcPr>
          <w:p w14:paraId="14987C39"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12,508,168</w:t>
            </w:r>
          </w:p>
        </w:tc>
        <w:tc>
          <w:tcPr>
            <w:tcW w:w="654" w:type="pct"/>
            <w:tcBorders>
              <w:top w:val="single" w:sz="4" w:space="0" w:color="auto"/>
              <w:left w:val="nil"/>
              <w:bottom w:val="single" w:sz="4" w:space="0" w:color="auto"/>
              <w:right w:val="nil"/>
            </w:tcBorders>
            <w:shd w:val="clear" w:color="auto" w:fill="auto"/>
            <w:noWrap/>
            <w:vAlign w:val="bottom"/>
            <w:hideMark/>
          </w:tcPr>
          <w:p w14:paraId="38E2629C"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14,769,566</w:t>
            </w:r>
          </w:p>
        </w:tc>
        <w:tc>
          <w:tcPr>
            <w:tcW w:w="654" w:type="pct"/>
            <w:tcBorders>
              <w:top w:val="single" w:sz="4" w:space="0" w:color="auto"/>
              <w:left w:val="nil"/>
              <w:bottom w:val="single" w:sz="4" w:space="0" w:color="auto"/>
              <w:right w:val="nil"/>
            </w:tcBorders>
            <w:shd w:val="clear" w:color="auto" w:fill="auto"/>
            <w:noWrap/>
            <w:vAlign w:val="bottom"/>
            <w:hideMark/>
          </w:tcPr>
          <w:p w14:paraId="5FEDD496"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12,496,465</w:t>
            </w:r>
          </w:p>
        </w:tc>
      </w:tr>
      <w:tr w:rsidR="005270E7" w:rsidRPr="00060311" w14:paraId="0E29AD1F" w14:textId="77777777" w:rsidTr="002561DB">
        <w:trPr>
          <w:trHeight w:val="285"/>
        </w:trPr>
        <w:tc>
          <w:tcPr>
            <w:tcW w:w="1591" w:type="pct"/>
            <w:tcBorders>
              <w:top w:val="nil"/>
              <w:left w:val="nil"/>
              <w:bottom w:val="nil"/>
              <w:right w:val="nil"/>
            </w:tcBorders>
            <w:shd w:val="clear" w:color="auto" w:fill="auto"/>
            <w:noWrap/>
            <w:vAlign w:val="bottom"/>
            <w:hideMark/>
          </w:tcPr>
          <w:p w14:paraId="4878889F" w14:textId="77777777" w:rsidR="005270E7" w:rsidRPr="00060311" w:rsidRDefault="005270E7" w:rsidP="005270E7">
            <w:pPr>
              <w:rPr>
                <w:rFonts w:ascii="Arial" w:hAnsi="Arial" w:cs="Arial"/>
                <w:b/>
                <w:bCs/>
                <w:color w:val="000000"/>
                <w:sz w:val="18"/>
                <w:szCs w:val="18"/>
                <w:lang w:eastAsia="en-SG"/>
              </w:rPr>
            </w:pPr>
            <w:r w:rsidRPr="00060311">
              <w:rPr>
                <w:rFonts w:ascii="Arial" w:hAnsi="Arial" w:cs="Arial"/>
                <w:b/>
                <w:bCs/>
                <w:color w:val="000000"/>
                <w:sz w:val="18"/>
                <w:szCs w:val="18"/>
                <w:lang w:eastAsia="en-SG"/>
              </w:rPr>
              <w:t>TOTAL LIABILITIES</w:t>
            </w:r>
          </w:p>
        </w:tc>
        <w:tc>
          <w:tcPr>
            <w:tcW w:w="140" w:type="pct"/>
            <w:tcBorders>
              <w:top w:val="nil"/>
              <w:left w:val="nil"/>
              <w:bottom w:val="nil"/>
              <w:right w:val="nil"/>
            </w:tcBorders>
            <w:shd w:val="clear" w:color="auto" w:fill="auto"/>
          </w:tcPr>
          <w:p w14:paraId="531E0A5C" w14:textId="77777777" w:rsidR="005270E7" w:rsidRPr="00060311" w:rsidRDefault="005270E7" w:rsidP="005270E7">
            <w:pPr>
              <w:jc w:val="right"/>
              <w:rPr>
                <w:rFonts w:ascii="Arial" w:hAnsi="Arial" w:cs="Arial"/>
                <w:b/>
                <w:bCs/>
                <w:color w:val="000000"/>
                <w:sz w:val="18"/>
                <w:szCs w:val="18"/>
                <w:lang w:eastAsia="en-SG"/>
              </w:rPr>
            </w:pPr>
          </w:p>
        </w:tc>
        <w:tc>
          <w:tcPr>
            <w:tcW w:w="654" w:type="pct"/>
            <w:tcBorders>
              <w:top w:val="nil"/>
              <w:left w:val="nil"/>
              <w:bottom w:val="nil"/>
              <w:right w:val="nil"/>
            </w:tcBorders>
            <w:shd w:val="clear" w:color="auto" w:fill="auto"/>
            <w:noWrap/>
            <w:vAlign w:val="bottom"/>
            <w:hideMark/>
          </w:tcPr>
          <w:p w14:paraId="42805A04"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13,286,251</w:t>
            </w:r>
          </w:p>
        </w:tc>
        <w:tc>
          <w:tcPr>
            <w:tcW w:w="654" w:type="pct"/>
            <w:tcBorders>
              <w:top w:val="nil"/>
              <w:left w:val="nil"/>
              <w:bottom w:val="nil"/>
              <w:right w:val="nil"/>
            </w:tcBorders>
            <w:shd w:val="clear" w:color="auto" w:fill="auto"/>
            <w:noWrap/>
            <w:vAlign w:val="bottom"/>
            <w:hideMark/>
          </w:tcPr>
          <w:p w14:paraId="510A2930"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13,682,758</w:t>
            </w:r>
          </w:p>
        </w:tc>
        <w:tc>
          <w:tcPr>
            <w:tcW w:w="654" w:type="pct"/>
            <w:tcBorders>
              <w:top w:val="nil"/>
              <w:left w:val="nil"/>
              <w:bottom w:val="nil"/>
              <w:right w:val="nil"/>
            </w:tcBorders>
            <w:shd w:val="clear" w:color="auto" w:fill="auto"/>
            <w:noWrap/>
            <w:vAlign w:val="bottom"/>
            <w:hideMark/>
          </w:tcPr>
          <w:p w14:paraId="0DDAF932"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16,079,970</w:t>
            </w:r>
          </w:p>
        </w:tc>
        <w:tc>
          <w:tcPr>
            <w:tcW w:w="654" w:type="pct"/>
            <w:tcBorders>
              <w:top w:val="nil"/>
              <w:left w:val="nil"/>
              <w:bottom w:val="nil"/>
              <w:right w:val="nil"/>
            </w:tcBorders>
            <w:shd w:val="clear" w:color="auto" w:fill="auto"/>
            <w:noWrap/>
            <w:vAlign w:val="bottom"/>
            <w:hideMark/>
          </w:tcPr>
          <w:p w14:paraId="2496B614"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18,343,825</w:t>
            </w:r>
          </w:p>
        </w:tc>
        <w:tc>
          <w:tcPr>
            <w:tcW w:w="654" w:type="pct"/>
            <w:tcBorders>
              <w:top w:val="nil"/>
              <w:left w:val="nil"/>
              <w:bottom w:val="nil"/>
              <w:right w:val="nil"/>
            </w:tcBorders>
            <w:shd w:val="clear" w:color="auto" w:fill="auto"/>
            <w:noWrap/>
            <w:vAlign w:val="bottom"/>
            <w:hideMark/>
          </w:tcPr>
          <w:p w14:paraId="44D3D89C"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16,843,941</w:t>
            </w:r>
          </w:p>
        </w:tc>
      </w:tr>
      <w:tr w:rsidR="005270E7" w:rsidRPr="00060311" w14:paraId="665409A4" w14:textId="77777777" w:rsidTr="002561DB">
        <w:trPr>
          <w:trHeight w:val="95"/>
        </w:trPr>
        <w:tc>
          <w:tcPr>
            <w:tcW w:w="1591" w:type="pct"/>
            <w:tcBorders>
              <w:top w:val="nil"/>
              <w:left w:val="nil"/>
              <w:bottom w:val="nil"/>
              <w:right w:val="nil"/>
            </w:tcBorders>
            <w:shd w:val="clear" w:color="auto" w:fill="auto"/>
            <w:noWrap/>
            <w:vAlign w:val="bottom"/>
            <w:hideMark/>
          </w:tcPr>
          <w:p w14:paraId="6FE32692" w14:textId="77777777" w:rsidR="005270E7" w:rsidRPr="00060311" w:rsidRDefault="005270E7" w:rsidP="005270E7">
            <w:pPr>
              <w:rPr>
                <w:rFonts w:ascii="Arial" w:hAnsi="Arial" w:cs="Arial"/>
                <w:sz w:val="18"/>
                <w:szCs w:val="18"/>
                <w:lang w:eastAsia="en-SG"/>
              </w:rPr>
            </w:pPr>
          </w:p>
        </w:tc>
        <w:tc>
          <w:tcPr>
            <w:tcW w:w="140" w:type="pct"/>
            <w:tcBorders>
              <w:top w:val="nil"/>
              <w:left w:val="nil"/>
              <w:bottom w:val="nil"/>
              <w:right w:val="nil"/>
            </w:tcBorders>
            <w:shd w:val="clear" w:color="auto" w:fill="auto"/>
          </w:tcPr>
          <w:p w14:paraId="784BA499" w14:textId="77777777" w:rsidR="005270E7" w:rsidRPr="00060311" w:rsidRDefault="005270E7" w:rsidP="005270E7">
            <w:pPr>
              <w:rPr>
                <w:rFonts w:ascii="Arial" w:hAnsi="Arial" w:cs="Arial"/>
                <w:sz w:val="18"/>
                <w:szCs w:val="18"/>
                <w:lang w:eastAsia="en-SG"/>
              </w:rPr>
            </w:pPr>
          </w:p>
        </w:tc>
        <w:tc>
          <w:tcPr>
            <w:tcW w:w="654" w:type="pct"/>
            <w:tcBorders>
              <w:top w:val="nil"/>
              <w:left w:val="nil"/>
              <w:bottom w:val="nil"/>
              <w:right w:val="nil"/>
            </w:tcBorders>
            <w:shd w:val="clear" w:color="auto" w:fill="auto"/>
            <w:noWrap/>
            <w:vAlign w:val="bottom"/>
            <w:hideMark/>
          </w:tcPr>
          <w:p w14:paraId="08F681A3" w14:textId="77777777" w:rsidR="005270E7" w:rsidRPr="00060311" w:rsidRDefault="005270E7" w:rsidP="005270E7">
            <w:pPr>
              <w:jc w:val="right"/>
              <w:rPr>
                <w:rFonts w:ascii="Arial" w:hAnsi="Arial" w:cs="Arial"/>
                <w:b/>
                <w:bCs/>
                <w:color w:val="000000"/>
                <w:sz w:val="18"/>
                <w:szCs w:val="18"/>
              </w:rPr>
            </w:pPr>
          </w:p>
        </w:tc>
        <w:tc>
          <w:tcPr>
            <w:tcW w:w="654" w:type="pct"/>
            <w:tcBorders>
              <w:top w:val="nil"/>
              <w:left w:val="nil"/>
              <w:bottom w:val="nil"/>
              <w:right w:val="nil"/>
            </w:tcBorders>
            <w:shd w:val="clear" w:color="auto" w:fill="auto"/>
            <w:noWrap/>
            <w:vAlign w:val="bottom"/>
            <w:hideMark/>
          </w:tcPr>
          <w:p w14:paraId="73D80E06" w14:textId="77777777" w:rsidR="005270E7" w:rsidRPr="00060311" w:rsidRDefault="005270E7" w:rsidP="005270E7">
            <w:pPr>
              <w:rPr>
                <w:rFonts w:ascii="Arial" w:hAnsi="Arial" w:cs="Arial"/>
                <w:sz w:val="18"/>
                <w:szCs w:val="18"/>
              </w:rPr>
            </w:pPr>
          </w:p>
        </w:tc>
        <w:tc>
          <w:tcPr>
            <w:tcW w:w="654" w:type="pct"/>
            <w:tcBorders>
              <w:top w:val="nil"/>
              <w:left w:val="nil"/>
              <w:bottom w:val="nil"/>
              <w:right w:val="nil"/>
            </w:tcBorders>
            <w:shd w:val="clear" w:color="auto" w:fill="auto"/>
            <w:noWrap/>
            <w:vAlign w:val="bottom"/>
            <w:hideMark/>
          </w:tcPr>
          <w:p w14:paraId="429EE4C8" w14:textId="77777777" w:rsidR="005270E7" w:rsidRPr="00060311" w:rsidRDefault="005270E7" w:rsidP="005270E7">
            <w:pPr>
              <w:rPr>
                <w:rFonts w:ascii="Arial" w:hAnsi="Arial" w:cs="Arial"/>
                <w:sz w:val="18"/>
                <w:szCs w:val="18"/>
              </w:rPr>
            </w:pPr>
          </w:p>
        </w:tc>
        <w:tc>
          <w:tcPr>
            <w:tcW w:w="654" w:type="pct"/>
            <w:tcBorders>
              <w:top w:val="nil"/>
              <w:left w:val="nil"/>
              <w:bottom w:val="nil"/>
              <w:right w:val="nil"/>
            </w:tcBorders>
            <w:shd w:val="clear" w:color="auto" w:fill="auto"/>
            <w:noWrap/>
            <w:vAlign w:val="bottom"/>
            <w:hideMark/>
          </w:tcPr>
          <w:p w14:paraId="64BB9602" w14:textId="77777777" w:rsidR="005270E7" w:rsidRPr="00060311" w:rsidRDefault="005270E7" w:rsidP="005270E7">
            <w:pPr>
              <w:rPr>
                <w:rFonts w:ascii="Arial" w:hAnsi="Arial" w:cs="Arial"/>
                <w:sz w:val="18"/>
                <w:szCs w:val="18"/>
              </w:rPr>
            </w:pPr>
          </w:p>
        </w:tc>
        <w:tc>
          <w:tcPr>
            <w:tcW w:w="654" w:type="pct"/>
            <w:tcBorders>
              <w:top w:val="nil"/>
              <w:left w:val="nil"/>
              <w:bottom w:val="nil"/>
              <w:right w:val="nil"/>
            </w:tcBorders>
            <w:shd w:val="clear" w:color="auto" w:fill="auto"/>
            <w:noWrap/>
            <w:vAlign w:val="bottom"/>
            <w:hideMark/>
          </w:tcPr>
          <w:p w14:paraId="0B76C444" w14:textId="77777777" w:rsidR="005270E7" w:rsidRPr="00060311" w:rsidRDefault="005270E7" w:rsidP="005270E7">
            <w:pPr>
              <w:rPr>
                <w:rFonts w:ascii="Arial" w:hAnsi="Arial" w:cs="Arial"/>
                <w:sz w:val="18"/>
                <w:szCs w:val="18"/>
              </w:rPr>
            </w:pPr>
          </w:p>
        </w:tc>
      </w:tr>
      <w:tr w:rsidR="005270E7" w:rsidRPr="00060311" w14:paraId="40ECA4BA" w14:textId="77777777" w:rsidTr="002561DB">
        <w:trPr>
          <w:trHeight w:val="285"/>
        </w:trPr>
        <w:tc>
          <w:tcPr>
            <w:tcW w:w="1591" w:type="pct"/>
            <w:tcBorders>
              <w:top w:val="nil"/>
              <w:left w:val="nil"/>
              <w:bottom w:val="nil"/>
              <w:right w:val="nil"/>
            </w:tcBorders>
            <w:shd w:val="clear" w:color="auto" w:fill="auto"/>
            <w:noWrap/>
            <w:vAlign w:val="bottom"/>
            <w:hideMark/>
          </w:tcPr>
          <w:p w14:paraId="4102C779" w14:textId="77777777" w:rsidR="005270E7" w:rsidRPr="00060311" w:rsidRDefault="005270E7" w:rsidP="005270E7">
            <w:pPr>
              <w:rPr>
                <w:rFonts w:ascii="Arial" w:hAnsi="Arial" w:cs="Arial"/>
                <w:color w:val="000000"/>
                <w:sz w:val="18"/>
                <w:szCs w:val="18"/>
                <w:lang w:eastAsia="en-SG"/>
              </w:rPr>
            </w:pPr>
            <w:r w:rsidRPr="00060311">
              <w:rPr>
                <w:rFonts w:ascii="Arial" w:hAnsi="Arial" w:cs="Arial"/>
                <w:color w:val="000000"/>
                <w:sz w:val="18"/>
                <w:szCs w:val="18"/>
                <w:lang w:eastAsia="en-SG"/>
              </w:rPr>
              <w:t>Share Capital</w:t>
            </w:r>
          </w:p>
        </w:tc>
        <w:tc>
          <w:tcPr>
            <w:tcW w:w="140" w:type="pct"/>
            <w:tcBorders>
              <w:top w:val="nil"/>
              <w:left w:val="nil"/>
              <w:bottom w:val="nil"/>
              <w:right w:val="nil"/>
            </w:tcBorders>
            <w:shd w:val="clear" w:color="auto" w:fill="auto"/>
          </w:tcPr>
          <w:p w14:paraId="22AB4034" w14:textId="77777777" w:rsidR="005270E7" w:rsidRPr="00060311" w:rsidRDefault="005270E7" w:rsidP="005270E7">
            <w:pPr>
              <w:jc w:val="right"/>
              <w:rPr>
                <w:rFonts w:ascii="Arial" w:hAnsi="Arial" w:cs="Arial"/>
                <w:color w:val="000000"/>
                <w:sz w:val="18"/>
                <w:szCs w:val="18"/>
                <w:lang w:eastAsia="en-SG"/>
              </w:rPr>
            </w:pPr>
          </w:p>
        </w:tc>
        <w:tc>
          <w:tcPr>
            <w:tcW w:w="654" w:type="pct"/>
            <w:tcBorders>
              <w:top w:val="nil"/>
              <w:left w:val="nil"/>
              <w:bottom w:val="nil"/>
              <w:right w:val="nil"/>
            </w:tcBorders>
            <w:shd w:val="clear" w:color="auto" w:fill="auto"/>
            <w:noWrap/>
            <w:vAlign w:val="bottom"/>
            <w:hideMark/>
          </w:tcPr>
          <w:p w14:paraId="1ECADD2A"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6,229,227</w:t>
            </w:r>
          </w:p>
        </w:tc>
        <w:tc>
          <w:tcPr>
            <w:tcW w:w="654" w:type="pct"/>
            <w:tcBorders>
              <w:top w:val="nil"/>
              <w:left w:val="nil"/>
              <w:bottom w:val="nil"/>
              <w:right w:val="nil"/>
            </w:tcBorders>
            <w:shd w:val="clear" w:color="auto" w:fill="auto"/>
            <w:noWrap/>
            <w:vAlign w:val="bottom"/>
            <w:hideMark/>
          </w:tcPr>
          <w:p w14:paraId="679358AA"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6,276,504</w:t>
            </w:r>
          </w:p>
        </w:tc>
        <w:tc>
          <w:tcPr>
            <w:tcW w:w="654" w:type="pct"/>
            <w:tcBorders>
              <w:top w:val="nil"/>
              <w:left w:val="nil"/>
              <w:bottom w:val="nil"/>
              <w:right w:val="nil"/>
            </w:tcBorders>
            <w:shd w:val="clear" w:color="auto" w:fill="auto"/>
            <w:noWrap/>
            <w:vAlign w:val="bottom"/>
            <w:hideMark/>
          </w:tcPr>
          <w:p w14:paraId="1ABD6BBE"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6,298,355</w:t>
            </w:r>
          </w:p>
        </w:tc>
        <w:tc>
          <w:tcPr>
            <w:tcW w:w="654" w:type="pct"/>
            <w:tcBorders>
              <w:top w:val="nil"/>
              <w:left w:val="nil"/>
              <w:bottom w:val="nil"/>
              <w:right w:val="nil"/>
            </w:tcBorders>
            <w:shd w:val="clear" w:color="auto" w:fill="auto"/>
            <w:noWrap/>
            <w:vAlign w:val="bottom"/>
            <w:hideMark/>
          </w:tcPr>
          <w:p w14:paraId="6FDB26C5"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6,300,011</w:t>
            </w:r>
          </w:p>
        </w:tc>
        <w:tc>
          <w:tcPr>
            <w:tcW w:w="654" w:type="pct"/>
            <w:tcBorders>
              <w:top w:val="nil"/>
              <w:left w:val="nil"/>
              <w:bottom w:val="nil"/>
              <w:right w:val="nil"/>
            </w:tcBorders>
            <w:shd w:val="clear" w:color="auto" w:fill="auto"/>
            <w:noWrap/>
            <w:vAlign w:val="bottom"/>
            <w:hideMark/>
          </w:tcPr>
          <w:p w14:paraId="456B5019"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6,302,207</w:t>
            </w:r>
          </w:p>
        </w:tc>
      </w:tr>
      <w:tr w:rsidR="005270E7" w:rsidRPr="00060311" w14:paraId="6B21DC2A" w14:textId="77777777" w:rsidTr="002561DB">
        <w:trPr>
          <w:trHeight w:val="285"/>
        </w:trPr>
        <w:tc>
          <w:tcPr>
            <w:tcW w:w="1591" w:type="pct"/>
            <w:tcBorders>
              <w:top w:val="nil"/>
              <w:left w:val="nil"/>
              <w:bottom w:val="nil"/>
              <w:right w:val="nil"/>
            </w:tcBorders>
            <w:shd w:val="clear" w:color="auto" w:fill="auto"/>
            <w:noWrap/>
            <w:vAlign w:val="bottom"/>
            <w:hideMark/>
          </w:tcPr>
          <w:p w14:paraId="51783EA6" w14:textId="77777777" w:rsidR="005270E7" w:rsidRPr="00060311" w:rsidRDefault="005270E7" w:rsidP="005270E7">
            <w:pPr>
              <w:rPr>
                <w:rFonts w:ascii="Arial" w:hAnsi="Arial" w:cs="Arial"/>
                <w:color w:val="000000"/>
                <w:sz w:val="18"/>
                <w:szCs w:val="18"/>
                <w:lang w:eastAsia="en-SG"/>
              </w:rPr>
            </w:pPr>
            <w:r w:rsidRPr="00060311">
              <w:rPr>
                <w:rFonts w:ascii="Arial" w:hAnsi="Arial" w:cs="Arial"/>
                <w:color w:val="000000"/>
                <w:sz w:val="18"/>
                <w:szCs w:val="18"/>
                <w:lang w:eastAsia="en-SG"/>
              </w:rPr>
              <w:t>Revenue Reserves</w:t>
            </w:r>
          </w:p>
        </w:tc>
        <w:tc>
          <w:tcPr>
            <w:tcW w:w="140" w:type="pct"/>
            <w:tcBorders>
              <w:top w:val="nil"/>
              <w:left w:val="nil"/>
              <w:bottom w:val="nil"/>
              <w:right w:val="nil"/>
            </w:tcBorders>
            <w:shd w:val="clear" w:color="auto" w:fill="auto"/>
          </w:tcPr>
          <w:p w14:paraId="0D08404C" w14:textId="77777777" w:rsidR="005270E7" w:rsidRPr="00060311" w:rsidRDefault="005270E7" w:rsidP="005270E7">
            <w:pPr>
              <w:jc w:val="right"/>
              <w:rPr>
                <w:rFonts w:ascii="Arial" w:hAnsi="Arial" w:cs="Arial"/>
                <w:color w:val="000000"/>
                <w:sz w:val="18"/>
                <w:szCs w:val="18"/>
                <w:lang w:eastAsia="en-SG"/>
              </w:rPr>
            </w:pPr>
          </w:p>
        </w:tc>
        <w:tc>
          <w:tcPr>
            <w:tcW w:w="654" w:type="pct"/>
            <w:tcBorders>
              <w:top w:val="nil"/>
              <w:left w:val="nil"/>
              <w:bottom w:val="nil"/>
              <w:right w:val="nil"/>
            </w:tcBorders>
            <w:shd w:val="clear" w:color="auto" w:fill="auto"/>
            <w:noWrap/>
            <w:vAlign w:val="bottom"/>
            <w:hideMark/>
          </w:tcPr>
          <w:p w14:paraId="10975CDC"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6,839,047</w:t>
            </w:r>
          </w:p>
        </w:tc>
        <w:tc>
          <w:tcPr>
            <w:tcW w:w="654" w:type="pct"/>
            <w:tcBorders>
              <w:top w:val="nil"/>
              <w:left w:val="nil"/>
              <w:bottom w:val="nil"/>
              <w:right w:val="nil"/>
            </w:tcBorders>
            <w:shd w:val="clear" w:color="auto" w:fill="auto"/>
            <w:noWrap/>
            <w:vAlign w:val="bottom"/>
            <w:hideMark/>
          </w:tcPr>
          <w:p w14:paraId="19D20EB5"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7,652,261</w:t>
            </w:r>
          </w:p>
        </w:tc>
        <w:tc>
          <w:tcPr>
            <w:tcW w:w="654" w:type="pct"/>
            <w:tcBorders>
              <w:top w:val="nil"/>
              <w:left w:val="nil"/>
              <w:bottom w:val="nil"/>
              <w:right w:val="nil"/>
            </w:tcBorders>
            <w:shd w:val="clear" w:color="auto" w:fill="auto"/>
            <w:noWrap/>
            <w:vAlign w:val="bottom"/>
            <w:hideMark/>
          </w:tcPr>
          <w:p w14:paraId="2A8B04BB"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8,328,115</w:t>
            </w:r>
          </w:p>
        </w:tc>
        <w:tc>
          <w:tcPr>
            <w:tcW w:w="654" w:type="pct"/>
            <w:tcBorders>
              <w:top w:val="nil"/>
              <w:left w:val="nil"/>
              <w:bottom w:val="nil"/>
              <w:right w:val="nil"/>
            </w:tcBorders>
            <w:shd w:val="clear" w:color="auto" w:fill="auto"/>
            <w:noWrap/>
            <w:vAlign w:val="bottom"/>
            <w:hideMark/>
          </w:tcPr>
          <w:p w14:paraId="32413EA5"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8,910,445</w:t>
            </w:r>
          </w:p>
        </w:tc>
        <w:tc>
          <w:tcPr>
            <w:tcW w:w="654" w:type="pct"/>
            <w:tcBorders>
              <w:top w:val="nil"/>
              <w:left w:val="nil"/>
              <w:bottom w:val="nil"/>
              <w:right w:val="nil"/>
            </w:tcBorders>
            <w:shd w:val="clear" w:color="auto" w:fill="auto"/>
            <w:noWrap/>
            <w:vAlign w:val="bottom"/>
            <w:hideMark/>
          </w:tcPr>
          <w:p w14:paraId="0C0D0913"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9,429,976</w:t>
            </w:r>
          </w:p>
        </w:tc>
      </w:tr>
      <w:tr w:rsidR="00B52377" w:rsidRPr="00060311" w14:paraId="0B1D0DC7" w14:textId="77777777" w:rsidTr="002561DB">
        <w:trPr>
          <w:trHeight w:val="285"/>
        </w:trPr>
        <w:tc>
          <w:tcPr>
            <w:tcW w:w="1591" w:type="pct"/>
            <w:tcBorders>
              <w:top w:val="nil"/>
              <w:left w:val="nil"/>
              <w:bottom w:val="nil"/>
              <w:right w:val="nil"/>
            </w:tcBorders>
            <w:shd w:val="clear" w:color="auto" w:fill="auto"/>
            <w:noWrap/>
            <w:vAlign w:val="bottom"/>
            <w:hideMark/>
          </w:tcPr>
          <w:p w14:paraId="0D08354A" w14:textId="77777777" w:rsidR="005270E7" w:rsidRPr="00060311" w:rsidRDefault="005270E7" w:rsidP="005270E7">
            <w:pPr>
              <w:rPr>
                <w:rFonts w:ascii="Arial" w:hAnsi="Arial" w:cs="Arial"/>
                <w:color w:val="000000"/>
                <w:sz w:val="18"/>
                <w:szCs w:val="18"/>
                <w:lang w:eastAsia="en-SG"/>
              </w:rPr>
            </w:pPr>
            <w:r w:rsidRPr="00060311">
              <w:rPr>
                <w:rFonts w:ascii="Arial" w:hAnsi="Arial" w:cs="Arial"/>
                <w:color w:val="000000"/>
                <w:sz w:val="18"/>
                <w:szCs w:val="18"/>
                <w:lang w:eastAsia="en-SG"/>
              </w:rPr>
              <w:t>Other Reserves</w:t>
            </w:r>
          </w:p>
        </w:tc>
        <w:tc>
          <w:tcPr>
            <w:tcW w:w="140" w:type="pct"/>
            <w:tcBorders>
              <w:top w:val="nil"/>
              <w:left w:val="nil"/>
              <w:bottom w:val="nil"/>
              <w:right w:val="nil"/>
            </w:tcBorders>
            <w:shd w:val="clear" w:color="auto" w:fill="auto"/>
          </w:tcPr>
          <w:p w14:paraId="0EF11F71" w14:textId="77777777" w:rsidR="005270E7" w:rsidRPr="00060311" w:rsidRDefault="005270E7" w:rsidP="005270E7">
            <w:pPr>
              <w:jc w:val="right"/>
              <w:rPr>
                <w:rFonts w:ascii="Arial" w:hAnsi="Arial" w:cs="Arial"/>
                <w:color w:val="000000"/>
                <w:sz w:val="18"/>
                <w:szCs w:val="18"/>
                <w:lang w:eastAsia="en-SG"/>
              </w:rPr>
            </w:pPr>
          </w:p>
        </w:tc>
        <w:tc>
          <w:tcPr>
            <w:tcW w:w="654" w:type="pct"/>
            <w:tcBorders>
              <w:top w:val="nil"/>
              <w:left w:val="nil"/>
              <w:bottom w:val="nil"/>
              <w:right w:val="nil"/>
            </w:tcBorders>
            <w:shd w:val="clear" w:color="auto" w:fill="auto"/>
            <w:noWrap/>
            <w:vAlign w:val="bottom"/>
            <w:hideMark/>
          </w:tcPr>
          <w:p w14:paraId="534FF76F"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339,999</w:t>
            </w:r>
          </w:p>
        </w:tc>
        <w:tc>
          <w:tcPr>
            <w:tcW w:w="654" w:type="pct"/>
            <w:tcBorders>
              <w:top w:val="nil"/>
              <w:left w:val="nil"/>
              <w:bottom w:val="nil"/>
              <w:right w:val="nil"/>
            </w:tcBorders>
            <w:shd w:val="clear" w:color="auto" w:fill="auto"/>
            <w:noWrap/>
            <w:vAlign w:val="bottom"/>
            <w:hideMark/>
          </w:tcPr>
          <w:p w14:paraId="3DD43ECE"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241,886</w:t>
            </w:r>
          </w:p>
        </w:tc>
        <w:tc>
          <w:tcPr>
            <w:tcW w:w="654" w:type="pct"/>
            <w:tcBorders>
              <w:top w:val="nil"/>
              <w:left w:val="nil"/>
              <w:bottom w:val="nil"/>
              <w:right w:val="nil"/>
            </w:tcBorders>
            <w:shd w:val="clear" w:color="auto" w:fill="auto"/>
            <w:noWrap/>
            <w:vAlign w:val="bottom"/>
            <w:hideMark/>
          </w:tcPr>
          <w:p w14:paraId="127A4ABE"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275,067</w:t>
            </w:r>
          </w:p>
        </w:tc>
        <w:tc>
          <w:tcPr>
            <w:tcW w:w="654" w:type="pct"/>
            <w:tcBorders>
              <w:top w:val="nil"/>
              <w:left w:val="nil"/>
              <w:bottom w:val="nil"/>
              <w:right w:val="nil"/>
            </w:tcBorders>
            <w:shd w:val="clear" w:color="auto" w:fill="auto"/>
            <w:noWrap/>
            <w:vAlign w:val="bottom"/>
            <w:hideMark/>
          </w:tcPr>
          <w:p w14:paraId="78920FB2" w14:textId="1E12152A" w:rsidR="005270E7" w:rsidRPr="00060311" w:rsidRDefault="00271D57" w:rsidP="005270E7">
            <w:pPr>
              <w:jc w:val="right"/>
              <w:rPr>
                <w:rFonts w:ascii="Arial" w:hAnsi="Arial" w:cs="Arial"/>
                <w:color w:val="000000"/>
                <w:sz w:val="18"/>
                <w:szCs w:val="18"/>
              </w:rPr>
            </w:pPr>
            <w:r>
              <w:rPr>
                <w:rFonts w:ascii="Arial" w:hAnsi="Arial" w:cs="Arial"/>
                <w:color w:val="000000"/>
                <w:sz w:val="18"/>
                <w:szCs w:val="18"/>
              </w:rPr>
              <w:t>−</w:t>
            </w:r>
            <w:r w:rsidR="005270E7" w:rsidRPr="00060311">
              <w:rPr>
                <w:rFonts w:ascii="Arial" w:hAnsi="Arial" w:cs="Arial"/>
                <w:color w:val="000000"/>
                <w:sz w:val="18"/>
                <w:szCs w:val="18"/>
              </w:rPr>
              <w:t>130,048</w:t>
            </w:r>
          </w:p>
        </w:tc>
        <w:tc>
          <w:tcPr>
            <w:tcW w:w="654" w:type="pct"/>
            <w:tcBorders>
              <w:top w:val="nil"/>
              <w:left w:val="nil"/>
              <w:bottom w:val="nil"/>
              <w:right w:val="nil"/>
            </w:tcBorders>
            <w:shd w:val="clear" w:color="auto" w:fill="auto"/>
            <w:noWrap/>
            <w:vAlign w:val="bottom"/>
            <w:hideMark/>
          </w:tcPr>
          <w:p w14:paraId="1671141B"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335,726</w:t>
            </w:r>
          </w:p>
        </w:tc>
      </w:tr>
      <w:tr w:rsidR="005270E7" w:rsidRPr="00060311" w14:paraId="7CA45BEF" w14:textId="77777777" w:rsidTr="002561DB">
        <w:trPr>
          <w:trHeight w:val="285"/>
        </w:trPr>
        <w:tc>
          <w:tcPr>
            <w:tcW w:w="1591" w:type="pct"/>
            <w:tcBorders>
              <w:top w:val="nil"/>
              <w:left w:val="nil"/>
              <w:bottom w:val="nil"/>
              <w:right w:val="nil"/>
            </w:tcBorders>
            <w:shd w:val="clear" w:color="auto" w:fill="auto"/>
            <w:noWrap/>
            <w:vAlign w:val="bottom"/>
            <w:hideMark/>
          </w:tcPr>
          <w:p w14:paraId="74A64715" w14:textId="13F96683" w:rsidR="005270E7" w:rsidRPr="00060311" w:rsidRDefault="005270E7" w:rsidP="00C1248F">
            <w:pPr>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Equity </w:t>
            </w:r>
            <w:r w:rsidR="00271D57">
              <w:rPr>
                <w:rFonts w:ascii="Arial" w:hAnsi="Arial" w:cs="Arial"/>
                <w:b/>
                <w:bCs/>
                <w:color w:val="000000"/>
                <w:sz w:val="18"/>
                <w:szCs w:val="18"/>
                <w:lang w:eastAsia="en-SG"/>
              </w:rPr>
              <w:t>A</w:t>
            </w:r>
            <w:r w:rsidR="00271D57" w:rsidRPr="00060311">
              <w:rPr>
                <w:rFonts w:ascii="Arial" w:hAnsi="Arial" w:cs="Arial"/>
                <w:b/>
                <w:bCs/>
                <w:color w:val="000000"/>
                <w:sz w:val="18"/>
                <w:szCs w:val="18"/>
                <w:lang w:eastAsia="en-SG"/>
              </w:rPr>
              <w:t xml:space="preserve">ttributable </w:t>
            </w:r>
            <w:r w:rsidRPr="00060311">
              <w:rPr>
                <w:rFonts w:ascii="Arial" w:hAnsi="Arial" w:cs="Arial"/>
                <w:b/>
                <w:bCs/>
                <w:color w:val="000000"/>
                <w:sz w:val="18"/>
                <w:szCs w:val="18"/>
                <w:lang w:eastAsia="en-SG"/>
              </w:rPr>
              <w:t xml:space="preserve">to </w:t>
            </w:r>
            <w:r w:rsidR="00271D57">
              <w:rPr>
                <w:rFonts w:ascii="Arial" w:hAnsi="Arial" w:cs="Arial"/>
                <w:b/>
                <w:bCs/>
                <w:color w:val="000000"/>
                <w:sz w:val="18"/>
                <w:szCs w:val="18"/>
                <w:lang w:eastAsia="en-SG"/>
              </w:rPr>
              <w:t>Owners</w:t>
            </w:r>
          </w:p>
        </w:tc>
        <w:tc>
          <w:tcPr>
            <w:tcW w:w="140" w:type="pct"/>
            <w:tcBorders>
              <w:top w:val="single" w:sz="4" w:space="0" w:color="auto"/>
              <w:left w:val="nil"/>
              <w:bottom w:val="nil"/>
              <w:right w:val="nil"/>
            </w:tcBorders>
            <w:shd w:val="clear" w:color="auto" w:fill="auto"/>
          </w:tcPr>
          <w:p w14:paraId="2A01EEE2" w14:textId="77777777" w:rsidR="005270E7" w:rsidRPr="00060311" w:rsidRDefault="005270E7" w:rsidP="005270E7">
            <w:pPr>
              <w:jc w:val="right"/>
              <w:rPr>
                <w:rFonts w:ascii="Arial" w:hAnsi="Arial" w:cs="Arial"/>
                <w:color w:val="000000"/>
                <w:sz w:val="18"/>
                <w:szCs w:val="18"/>
                <w:lang w:eastAsia="en-SG"/>
              </w:rPr>
            </w:pPr>
          </w:p>
        </w:tc>
        <w:tc>
          <w:tcPr>
            <w:tcW w:w="654" w:type="pct"/>
            <w:tcBorders>
              <w:top w:val="single" w:sz="4" w:space="0" w:color="auto"/>
              <w:left w:val="nil"/>
              <w:bottom w:val="nil"/>
              <w:right w:val="nil"/>
            </w:tcBorders>
            <w:shd w:val="clear" w:color="auto" w:fill="auto"/>
            <w:noWrap/>
            <w:vAlign w:val="bottom"/>
            <w:hideMark/>
          </w:tcPr>
          <w:p w14:paraId="2736307D"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13,408,273</w:t>
            </w:r>
          </w:p>
        </w:tc>
        <w:tc>
          <w:tcPr>
            <w:tcW w:w="654" w:type="pct"/>
            <w:tcBorders>
              <w:top w:val="single" w:sz="4" w:space="0" w:color="auto"/>
              <w:left w:val="nil"/>
              <w:bottom w:val="nil"/>
              <w:right w:val="nil"/>
            </w:tcBorders>
            <w:shd w:val="clear" w:color="auto" w:fill="auto"/>
            <w:noWrap/>
            <w:vAlign w:val="bottom"/>
            <w:hideMark/>
          </w:tcPr>
          <w:p w14:paraId="64EF03D3"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14,170,651</w:t>
            </w:r>
          </w:p>
        </w:tc>
        <w:tc>
          <w:tcPr>
            <w:tcW w:w="654" w:type="pct"/>
            <w:tcBorders>
              <w:top w:val="single" w:sz="4" w:space="0" w:color="auto"/>
              <w:left w:val="nil"/>
              <w:bottom w:val="nil"/>
              <w:right w:val="nil"/>
            </w:tcBorders>
            <w:shd w:val="clear" w:color="auto" w:fill="auto"/>
            <w:noWrap/>
            <w:vAlign w:val="bottom"/>
            <w:hideMark/>
          </w:tcPr>
          <w:p w14:paraId="40729C61"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14,901,537</w:t>
            </w:r>
          </w:p>
        </w:tc>
        <w:tc>
          <w:tcPr>
            <w:tcW w:w="654" w:type="pct"/>
            <w:tcBorders>
              <w:top w:val="single" w:sz="4" w:space="0" w:color="auto"/>
              <w:left w:val="nil"/>
              <w:bottom w:val="nil"/>
              <w:right w:val="nil"/>
            </w:tcBorders>
            <w:shd w:val="clear" w:color="auto" w:fill="auto"/>
            <w:noWrap/>
            <w:vAlign w:val="bottom"/>
            <w:hideMark/>
          </w:tcPr>
          <w:p w14:paraId="07E61034"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15,080,408</w:t>
            </w:r>
          </w:p>
        </w:tc>
        <w:tc>
          <w:tcPr>
            <w:tcW w:w="654" w:type="pct"/>
            <w:tcBorders>
              <w:top w:val="single" w:sz="4" w:space="0" w:color="auto"/>
              <w:left w:val="nil"/>
              <w:bottom w:val="nil"/>
              <w:right w:val="nil"/>
            </w:tcBorders>
            <w:shd w:val="clear" w:color="auto" w:fill="auto"/>
            <w:noWrap/>
            <w:vAlign w:val="bottom"/>
            <w:hideMark/>
          </w:tcPr>
          <w:p w14:paraId="20086200"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16,067,909</w:t>
            </w:r>
          </w:p>
        </w:tc>
      </w:tr>
      <w:tr w:rsidR="005270E7" w:rsidRPr="00060311" w14:paraId="01466D4A" w14:textId="77777777" w:rsidTr="002561DB">
        <w:trPr>
          <w:trHeight w:val="285"/>
        </w:trPr>
        <w:tc>
          <w:tcPr>
            <w:tcW w:w="1591" w:type="pct"/>
            <w:tcBorders>
              <w:top w:val="nil"/>
              <w:left w:val="nil"/>
              <w:bottom w:val="nil"/>
              <w:right w:val="nil"/>
            </w:tcBorders>
            <w:shd w:val="clear" w:color="auto" w:fill="auto"/>
            <w:noWrap/>
            <w:vAlign w:val="bottom"/>
            <w:hideMark/>
          </w:tcPr>
          <w:p w14:paraId="4867DA08" w14:textId="324A760E" w:rsidR="005270E7" w:rsidRPr="00060311" w:rsidRDefault="007846D4" w:rsidP="00C1248F">
            <w:pPr>
              <w:rPr>
                <w:rFonts w:ascii="Arial" w:hAnsi="Arial" w:cs="Arial"/>
                <w:color w:val="000000"/>
                <w:sz w:val="18"/>
                <w:szCs w:val="18"/>
                <w:lang w:eastAsia="en-SG"/>
              </w:rPr>
            </w:pPr>
            <w:r w:rsidRPr="00060311">
              <w:rPr>
                <w:rFonts w:ascii="Arial" w:hAnsi="Arial" w:cs="Arial"/>
                <w:color w:val="000000"/>
                <w:sz w:val="18"/>
                <w:szCs w:val="18"/>
                <w:lang w:eastAsia="en-SG"/>
              </w:rPr>
              <w:t>Non</w:t>
            </w:r>
            <w:r>
              <w:rPr>
                <w:rFonts w:ascii="Arial" w:hAnsi="Arial" w:cs="Arial"/>
                <w:color w:val="000000"/>
                <w:sz w:val="18"/>
                <w:szCs w:val="18"/>
                <w:lang w:eastAsia="en-SG"/>
              </w:rPr>
              <w:t>-</w:t>
            </w:r>
            <w:r w:rsidR="005270E7" w:rsidRPr="00060311">
              <w:rPr>
                <w:rFonts w:ascii="Arial" w:hAnsi="Arial" w:cs="Arial"/>
                <w:color w:val="000000"/>
                <w:sz w:val="18"/>
                <w:szCs w:val="18"/>
                <w:lang w:eastAsia="en-SG"/>
              </w:rPr>
              <w:t>Controlling Interests</w:t>
            </w:r>
          </w:p>
        </w:tc>
        <w:tc>
          <w:tcPr>
            <w:tcW w:w="140" w:type="pct"/>
            <w:tcBorders>
              <w:top w:val="nil"/>
              <w:left w:val="nil"/>
              <w:bottom w:val="nil"/>
              <w:right w:val="nil"/>
            </w:tcBorders>
            <w:shd w:val="clear" w:color="auto" w:fill="auto"/>
          </w:tcPr>
          <w:p w14:paraId="532448A3" w14:textId="77777777" w:rsidR="005270E7" w:rsidRPr="00060311" w:rsidRDefault="005270E7" w:rsidP="005270E7">
            <w:pPr>
              <w:jc w:val="right"/>
              <w:rPr>
                <w:rFonts w:ascii="Arial" w:hAnsi="Arial" w:cs="Arial"/>
                <w:color w:val="000000"/>
                <w:sz w:val="18"/>
                <w:szCs w:val="18"/>
                <w:lang w:eastAsia="en-SG"/>
              </w:rPr>
            </w:pPr>
          </w:p>
        </w:tc>
        <w:tc>
          <w:tcPr>
            <w:tcW w:w="654" w:type="pct"/>
            <w:tcBorders>
              <w:top w:val="nil"/>
              <w:left w:val="nil"/>
              <w:bottom w:val="nil"/>
              <w:right w:val="nil"/>
            </w:tcBorders>
            <w:shd w:val="clear" w:color="auto" w:fill="auto"/>
            <w:noWrap/>
            <w:vAlign w:val="bottom"/>
            <w:hideMark/>
          </w:tcPr>
          <w:p w14:paraId="320365FD"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3,471,490</w:t>
            </w:r>
          </w:p>
        </w:tc>
        <w:tc>
          <w:tcPr>
            <w:tcW w:w="654" w:type="pct"/>
            <w:tcBorders>
              <w:top w:val="nil"/>
              <w:left w:val="nil"/>
              <w:bottom w:val="nil"/>
              <w:right w:val="nil"/>
            </w:tcBorders>
            <w:shd w:val="clear" w:color="auto" w:fill="auto"/>
            <w:noWrap/>
            <w:vAlign w:val="bottom"/>
            <w:hideMark/>
          </w:tcPr>
          <w:p w14:paraId="476C6D68"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3,846,811</w:t>
            </w:r>
          </w:p>
        </w:tc>
        <w:tc>
          <w:tcPr>
            <w:tcW w:w="654" w:type="pct"/>
            <w:tcBorders>
              <w:top w:val="nil"/>
              <w:left w:val="nil"/>
              <w:bottom w:val="nil"/>
              <w:right w:val="nil"/>
            </w:tcBorders>
            <w:shd w:val="clear" w:color="auto" w:fill="auto"/>
            <w:noWrap/>
            <w:vAlign w:val="bottom"/>
            <w:hideMark/>
          </w:tcPr>
          <w:p w14:paraId="25AE0819"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4,337,934</w:t>
            </w:r>
          </w:p>
        </w:tc>
        <w:tc>
          <w:tcPr>
            <w:tcW w:w="654" w:type="pct"/>
            <w:tcBorders>
              <w:top w:val="nil"/>
              <w:left w:val="nil"/>
              <w:bottom w:val="nil"/>
              <w:right w:val="nil"/>
            </w:tcBorders>
            <w:shd w:val="clear" w:color="auto" w:fill="auto"/>
            <w:noWrap/>
            <w:vAlign w:val="bottom"/>
            <w:hideMark/>
          </w:tcPr>
          <w:p w14:paraId="20796E57"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4,363,376</w:t>
            </w:r>
          </w:p>
        </w:tc>
        <w:tc>
          <w:tcPr>
            <w:tcW w:w="654" w:type="pct"/>
            <w:tcBorders>
              <w:top w:val="nil"/>
              <w:left w:val="nil"/>
              <w:bottom w:val="nil"/>
              <w:right w:val="nil"/>
            </w:tcBorders>
            <w:shd w:val="clear" w:color="auto" w:fill="auto"/>
            <w:noWrap/>
            <w:vAlign w:val="bottom"/>
            <w:hideMark/>
          </w:tcPr>
          <w:p w14:paraId="6D8ACF7A" w14:textId="77777777" w:rsidR="005270E7" w:rsidRPr="00060311" w:rsidRDefault="005270E7" w:rsidP="005270E7">
            <w:pPr>
              <w:jc w:val="right"/>
              <w:rPr>
                <w:rFonts w:ascii="Arial" w:hAnsi="Arial" w:cs="Arial"/>
                <w:color w:val="000000"/>
                <w:sz w:val="18"/>
                <w:szCs w:val="18"/>
              </w:rPr>
            </w:pPr>
            <w:r w:rsidRPr="00060311">
              <w:rPr>
                <w:rFonts w:ascii="Arial" w:hAnsi="Arial" w:cs="Arial"/>
                <w:color w:val="000000"/>
                <w:sz w:val="18"/>
                <w:szCs w:val="18"/>
              </w:rPr>
              <w:t>3,243,034</w:t>
            </w:r>
          </w:p>
        </w:tc>
      </w:tr>
      <w:tr w:rsidR="00B52377" w:rsidRPr="00060311" w14:paraId="50F70B4D" w14:textId="77777777" w:rsidTr="002561DB">
        <w:trPr>
          <w:trHeight w:val="285"/>
        </w:trPr>
        <w:tc>
          <w:tcPr>
            <w:tcW w:w="1591" w:type="pct"/>
            <w:tcBorders>
              <w:top w:val="nil"/>
              <w:left w:val="nil"/>
              <w:bottom w:val="nil"/>
              <w:right w:val="nil"/>
            </w:tcBorders>
            <w:shd w:val="clear" w:color="auto" w:fill="auto"/>
            <w:noWrap/>
            <w:vAlign w:val="bottom"/>
            <w:hideMark/>
          </w:tcPr>
          <w:p w14:paraId="05DB6E01" w14:textId="77777777" w:rsidR="005270E7" w:rsidRPr="00060311" w:rsidRDefault="005270E7" w:rsidP="005270E7">
            <w:pPr>
              <w:rPr>
                <w:rFonts w:ascii="Arial" w:hAnsi="Arial" w:cs="Arial"/>
                <w:b/>
                <w:bCs/>
                <w:color w:val="000000"/>
                <w:sz w:val="18"/>
                <w:szCs w:val="18"/>
                <w:lang w:eastAsia="en-SG"/>
              </w:rPr>
            </w:pPr>
            <w:r w:rsidRPr="00060311">
              <w:rPr>
                <w:rFonts w:ascii="Arial" w:hAnsi="Arial" w:cs="Arial"/>
                <w:b/>
                <w:bCs/>
                <w:color w:val="000000"/>
                <w:sz w:val="18"/>
                <w:szCs w:val="18"/>
                <w:lang w:eastAsia="en-SG"/>
              </w:rPr>
              <w:t>Total Equity</w:t>
            </w:r>
          </w:p>
        </w:tc>
        <w:tc>
          <w:tcPr>
            <w:tcW w:w="140" w:type="pct"/>
            <w:tcBorders>
              <w:top w:val="single" w:sz="4" w:space="0" w:color="auto"/>
              <w:left w:val="nil"/>
              <w:bottom w:val="single" w:sz="4" w:space="0" w:color="auto"/>
              <w:right w:val="nil"/>
            </w:tcBorders>
            <w:shd w:val="clear" w:color="auto" w:fill="auto"/>
          </w:tcPr>
          <w:p w14:paraId="4E17BFBB" w14:textId="77777777" w:rsidR="005270E7" w:rsidRPr="00060311" w:rsidRDefault="005270E7" w:rsidP="005270E7">
            <w:pPr>
              <w:jc w:val="right"/>
              <w:rPr>
                <w:rFonts w:ascii="Arial" w:hAnsi="Arial" w:cs="Arial"/>
                <w:b/>
                <w:bCs/>
                <w:color w:val="000000"/>
                <w:sz w:val="18"/>
                <w:szCs w:val="18"/>
                <w:lang w:eastAsia="en-SG"/>
              </w:rPr>
            </w:pPr>
          </w:p>
        </w:tc>
        <w:tc>
          <w:tcPr>
            <w:tcW w:w="654" w:type="pct"/>
            <w:tcBorders>
              <w:top w:val="single" w:sz="4" w:space="0" w:color="auto"/>
              <w:left w:val="nil"/>
              <w:bottom w:val="single" w:sz="4" w:space="0" w:color="auto"/>
              <w:right w:val="nil"/>
            </w:tcBorders>
            <w:shd w:val="clear" w:color="auto" w:fill="auto"/>
            <w:noWrap/>
            <w:vAlign w:val="bottom"/>
            <w:hideMark/>
          </w:tcPr>
          <w:p w14:paraId="00234415"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16,879,763</w:t>
            </w:r>
          </w:p>
        </w:tc>
        <w:tc>
          <w:tcPr>
            <w:tcW w:w="654" w:type="pct"/>
            <w:tcBorders>
              <w:top w:val="single" w:sz="4" w:space="0" w:color="auto"/>
              <w:left w:val="nil"/>
              <w:bottom w:val="single" w:sz="4" w:space="0" w:color="auto"/>
              <w:right w:val="nil"/>
            </w:tcBorders>
            <w:shd w:val="clear" w:color="auto" w:fill="auto"/>
            <w:noWrap/>
            <w:vAlign w:val="bottom"/>
            <w:hideMark/>
          </w:tcPr>
          <w:p w14:paraId="63F7975E"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18,017,462</w:t>
            </w:r>
          </w:p>
        </w:tc>
        <w:tc>
          <w:tcPr>
            <w:tcW w:w="654" w:type="pct"/>
            <w:tcBorders>
              <w:top w:val="single" w:sz="4" w:space="0" w:color="auto"/>
              <w:left w:val="nil"/>
              <w:bottom w:val="single" w:sz="4" w:space="0" w:color="auto"/>
              <w:right w:val="nil"/>
            </w:tcBorders>
            <w:shd w:val="clear" w:color="auto" w:fill="auto"/>
            <w:noWrap/>
            <w:vAlign w:val="bottom"/>
            <w:hideMark/>
          </w:tcPr>
          <w:p w14:paraId="2C76E4C4"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19,239,471</w:t>
            </w:r>
          </w:p>
        </w:tc>
        <w:tc>
          <w:tcPr>
            <w:tcW w:w="654" w:type="pct"/>
            <w:tcBorders>
              <w:top w:val="single" w:sz="4" w:space="0" w:color="auto"/>
              <w:left w:val="nil"/>
              <w:bottom w:val="single" w:sz="4" w:space="0" w:color="auto"/>
              <w:right w:val="nil"/>
            </w:tcBorders>
            <w:shd w:val="clear" w:color="auto" w:fill="auto"/>
            <w:noWrap/>
            <w:vAlign w:val="bottom"/>
            <w:hideMark/>
          </w:tcPr>
          <w:p w14:paraId="6832FF7A"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19,443,784</w:t>
            </w:r>
          </w:p>
        </w:tc>
        <w:tc>
          <w:tcPr>
            <w:tcW w:w="654" w:type="pct"/>
            <w:tcBorders>
              <w:top w:val="single" w:sz="4" w:space="0" w:color="auto"/>
              <w:left w:val="nil"/>
              <w:bottom w:val="single" w:sz="4" w:space="0" w:color="auto"/>
              <w:right w:val="nil"/>
            </w:tcBorders>
            <w:shd w:val="clear" w:color="auto" w:fill="auto"/>
            <w:noWrap/>
            <w:vAlign w:val="bottom"/>
            <w:hideMark/>
          </w:tcPr>
          <w:p w14:paraId="077FE814"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19,310,943</w:t>
            </w:r>
          </w:p>
        </w:tc>
      </w:tr>
      <w:tr w:rsidR="005270E7" w:rsidRPr="00060311" w14:paraId="732F273C" w14:textId="77777777" w:rsidTr="008A500E">
        <w:trPr>
          <w:trHeight w:val="341"/>
        </w:trPr>
        <w:tc>
          <w:tcPr>
            <w:tcW w:w="1591" w:type="pct"/>
            <w:tcBorders>
              <w:top w:val="nil"/>
              <w:left w:val="nil"/>
              <w:bottom w:val="double" w:sz="4" w:space="0" w:color="auto"/>
              <w:right w:val="nil"/>
            </w:tcBorders>
            <w:shd w:val="clear" w:color="auto" w:fill="auto"/>
            <w:noWrap/>
            <w:vAlign w:val="bottom"/>
            <w:hideMark/>
          </w:tcPr>
          <w:p w14:paraId="3079601E" w14:textId="27B7802E" w:rsidR="005270E7" w:rsidRPr="00060311" w:rsidRDefault="005270E7" w:rsidP="00401137">
            <w:pPr>
              <w:rPr>
                <w:rFonts w:ascii="Arial" w:hAnsi="Arial" w:cs="Arial"/>
                <w:b/>
                <w:bCs/>
                <w:color w:val="000000"/>
                <w:sz w:val="18"/>
                <w:szCs w:val="18"/>
                <w:lang w:eastAsia="en-SG"/>
              </w:rPr>
            </w:pPr>
            <w:r w:rsidRPr="00060311">
              <w:rPr>
                <w:rFonts w:ascii="Arial" w:hAnsi="Arial" w:cs="Arial"/>
                <w:b/>
                <w:bCs/>
                <w:color w:val="000000"/>
                <w:sz w:val="18"/>
                <w:szCs w:val="18"/>
                <w:lang w:eastAsia="en-SG"/>
              </w:rPr>
              <w:t xml:space="preserve">TOTAL EQUITIES </w:t>
            </w:r>
            <w:r w:rsidR="00401137">
              <w:rPr>
                <w:rFonts w:ascii="Arial" w:hAnsi="Arial" w:cs="Arial"/>
                <w:b/>
                <w:bCs/>
                <w:color w:val="000000"/>
                <w:sz w:val="18"/>
                <w:szCs w:val="18"/>
                <w:lang w:eastAsia="en-SG"/>
              </w:rPr>
              <w:t xml:space="preserve">&amp; </w:t>
            </w:r>
            <w:r w:rsidR="007846D4">
              <w:rPr>
                <w:rFonts w:ascii="Arial" w:hAnsi="Arial" w:cs="Arial"/>
                <w:b/>
                <w:bCs/>
                <w:color w:val="000000"/>
                <w:sz w:val="18"/>
                <w:szCs w:val="18"/>
                <w:lang w:eastAsia="en-SG"/>
              </w:rPr>
              <w:t>LIABILITIES</w:t>
            </w:r>
            <w:r w:rsidRPr="00060311">
              <w:rPr>
                <w:rFonts w:ascii="Arial" w:hAnsi="Arial" w:cs="Arial"/>
                <w:b/>
                <w:bCs/>
                <w:color w:val="000000"/>
                <w:sz w:val="18"/>
                <w:szCs w:val="18"/>
                <w:lang w:eastAsia="en-SG"/>
              </w:rPr>
              <w:t xml:space="preserve"> </w:t>
            </w:r>
          </w:p>
        </w:tc>
        <w:tc>
          <w:tcPr>
            <w:tcW w:w="140" w:type="pct"/>
            <w:tcBorders>
              <w:top w:val="nil"/>
              <w:left w:val="nil"/>
              <w:bottom w:val="double" w:sz="4" w:space="0" w:color="auto"/>
              <w:right w:val="nil"/>
            </w:tcBorders>
            <w:shd w:val="clear" w:color="auto" w:fill="auto"/>
          </w:tcPr>
          <w:p w14:paraId="3B691BE4" w14:textId="77777777" w:rsidR="005270E7" w:rsidRPr="00060311" w:rsidRDefault="005270E7" w:rsidP="005270E7">
            <w:pPr>
              <w:jc w:val="right"/>
              <w:rPr>
                <w:rFonts w:ascii="Arial" w:hAnsi="Arial" w:cs="Arial"/>
                <w:b/>
                <w:bCs/>
                <w:color w:val="000000"/>
                <w:sz w:val="18"/>
                <w:szCs w:val="18"/>
                <w:lang w:eastAsia="en-SG"/>
              </w:rPr>
            </w:pPr>
          </w:p>
        </w:tc>
        <w:tc>
          <w:tcPr>
            <w:tcW w:w="654" w:type="pct"/>
            <w:tcBorders>
              <w:top w:val="nil"/>
              <w:left w:val="nil"/>
              <w:bottom w:val="double" w:sz="4" w:space="0" w:color="auto"/>
              <w:right w:val="nil"/>
            </w:tcBorders>
            <w:shd w:val="clear" w:color="auto" w:fill="auto"/>
            <w:noWrap/>
            <w:vAlign w:val="bottom"/>
            <w:hideMark/>
          </w:tcPr>
          <w:p w14:paraId="4A5FCE1F"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30,166,014</w:t>
            </w:r>
          </w:p>
        </w:tc>
        <w:tc>
          <w:tcPr>
            <w:tcW w:w="654" w:type="pct"/>
            <w:tcBorders>
              <w:top w:val="nil"/>
              <w:left w:val="nil"/>
              <w:bottom w:val="double" w:sz="4" w:space="0" w:color="auto"/>
              <w:right w:val="nil"/>
            </w:tcBorders>
            <w:shd w:val="clear" w:color="auto" w:fill="auto"/>
            <w:noWrap/>
            <w:vAlign w:val="bottom"/>
            <w:hideMark/>
          </w:tcPr>
          <w:p w14:paraId="5873625D"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31,700,220</w:t>
            </w:r>
          </w:p>
        </w:tc>
        <w:tc>
          <w:tcPr>
            <w:tcW w:w="654" w:type="pct"/>
            <w:tcBorders>
              <w:top w:val="nil"/>
              <w:left w:val="nil"/>
              <w:bottom w:val="double" w:sz="4" w:space="0" w:color="auto"/>
              <w:right w:val="nil"/>
            </w:tcBorders>
            <w:shd w:val="clear" w:color="auto" w:fill="auto"/>
            <w:noWrap/>
            <w:vAlign w:val="bottom"/>
            <w:hideMark/>
          </w:tcPr>
          <w:p w14:paraId="5D91613A"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35,319,441</w:t>
            </w:r>
          </w:p>
        </w:tc>
        <w:tc>
          <w:tcPr>
            <w:tcW w:w="654" w:type="pct"/>
            <w:tcBorders>
              <w:top w:val="nil"/>
              <w:left w:val="nil"/>
              <w:bottom w:val="double" w:sz="4" w:space="0" w:color="auto"/>
              <w:right w:val="nil"/>
            </w:tcBorders>
            <w:shd w:val="clear" w:color="auto" w:fill="auto"/>
            <w:noWrap/>
            <w:vAlign w:val="bottom"/>
            <w:hideMark/>
          </w:tcPr>
          <w:p w14:paraId="2D4BC6F0"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37,787,609</w:t>
            </w:r>
          </w:p>
        </w:tc>
        <w:tc>
          <w:tcPr>
            <w:tcW w:w="654" w:type="pct"/>
            <w:tcBorders>
              <w:top w:val="nil"/>
              <w:left w:val="nil"/>
              <w:bottom w:val="double" w:sz="4" w:space="0" w:color="auto"/>
              <w:right w:val="nil"/>
            </w:tcBorders>
            <w:shd w:val="clear" w:color="auto" w:fill="auto"/>
            <w:noWrap/>
            <w:vAlign w:val="bottom"/>
            <w:hideMark/>
          </w:tcPr>
          <w:p w14:paraId="4F1BA8FF" w14:textId="77777777" w:rsidR="005270E7" w:rsidRPr="00060311" w:rsidRDefault="005270E7" w:rsidP="005270E7">
            <w:pPr>
              <w:jc w:val="right"/>
              <w:rPr>
                <w:rFonts w:ascii="Arial" w:hAnsi="Arial" w:cs="Arial"/>
                <w:b/>
                <w:bCs/>
                <w:color w:val="000000"/>
                <w:sz w:val="18"/>
                <w:szCs w:val="18"/>
              </w:rPr>
            </w:pPr>
            <w:r w:rsidRPr="00060311">
              <w:rPr>
                <w:rFonts w:ascii="Arial" w:hAnsi="Arial" w:cs="Arial"/>
                <w:b/>
                <w:bCs/>
                <w:color w:val="000000"/>
                <w:sz w:val="18"/>
                <w:szCs w:val="18"/>
              </w:rPr>
              <w:t>36,154,884</w:t>
            </w:r>
          </w:p>
        </w:tc>
      </w:tr>
    </w:tbl>
    <w:p w14:paraId="3F7E4272" w14:textId="77777777" w:rsidR="00EF5BC1" w:rsidRDefault="00EF5BC1" w:rsidP="00BD644A">
      <w:pPr>
        <w:pStyle w:val="ExhibitText"/>
        <w:rPr>
          <w:lang w:val="en-CA"/>
        </w:rPr>
      </w:pPr>
    </w:p>
    <w:p w14:paraId="062050C3" w14:textId="6772273A" w:rsidR="007660DA" w:rsidRDefault="007660DA" w:rsidP="0052696C">
      <w:pPr>
        <w:pStyle w:val="Footnote"/>
        <w:jc w:val="both"/>
        <w:rPr>
          <w:lang w:val="en-CA"/>
        </w:rPr>
      </w:pPr>
      <w:r w:rsidRPr="00C85DF7">
        <w:rPr>
          <w:lang w:val="en-CA"/>
        </w:rPr>
        <w:t xml:space="preserve">Source: Created by the </w:t>
      </w:r>
      <w:r w:rsidR="008A500E">
        <w:rPr>
          <w:lang w:val="en-CA"/>
        </w:rPr>
        <w:t xml:space="preserve">case </w:t>
      </w:r>
      <w:r w:rsidRPr="00C85DF7">
        <w:rPr>
          <w:lang w:val="en-CA"/>
        </w:rPr>
        <w:t>authors using information from CapitaLand</w:t>
      </w:r>
      <w:r w:rsidR="00271D57">
        <w:rPr>
          <w:lang w:val="en-CA"/>
        </w:rPr>
        <w:t xml:space="preserve"> Limited</w:t>
      </w:r>
      <w:r w:rsidRPr="00C85DF7">
        <w:rPr>
          <w:lang w:val="en-CA"/>
        </w:rPr>
        <w:t xml:space="preserve">, </w:t>
      </w:r>
      <w:r w:rsidR="00B13FAE" w:rsidRPr="00C63488">
        <w:rPr>
          <w:i/>
          <w:lang w:val="en-CA"/>
        </w:rPr>
        <w:t>Clarity Insight and Foresigh</w:t>
      </w:r>
      <w:r w:rsidR="00B13FAE">
        <w:rPr>
          <w:i/>
          <w:lang w:val="en-CA"/>
        </w:rPr>
        <w:t>t</w:t>
      </w:r>
      <w:r w:rsidR="00271D57">
        <w:rPr>
          <w:i/>
          <w:lang w:val="en-CA"/>
        </w:rPr>
        <w:t>:</w:t>
      </w:r>
      <w:r w:rsidR="00271D57" w:rsidRPr="00EB20DC">
        <w:rPr>
          <w:i/>
          <w:lang w:val="en-CA"/>
        </w:rPr>
        <w:t xml:space="preserve"> </w:t>
      </w:r>
      <w:r w:rsidRPr="005F30D2">
        <w:rPr>
          <w:i/>
          <w:lang w:val="en-CA"/>
        </w:rPr>
        <w:t>Annual Report 201</w:t>
      </w:r>
      <w:r w:rsidR="00B13FAE">
        <w:rPr>
          <w:i/>
          <w:lang w:val="en-CA"/>
        </w:rPr>
        <w:t>3</w:t>
      </w:r>
      <w:r w:rsidRPr="00C85DF7">
        <w:rPr>
          <w:lang w:val="en-CA"/>
        </w:rPr>
        <w:t xml:space="preserve">, accessed January </w:t>
      </w:r>
      <w:r w:rsidR="00271D57" w:rsidRPr="00C85DF7">
        <w:rPr>
          <w:lang w:val="en-CA"/>
        </w:rPr>
        <w:t>27</w:t>
      </w:r>
      <w:r w:rsidR="00271D57">
        <w:rPr>
          <w:lang w:val="en-CA"/>
        </w:rPr>
        <w:t>,</w:t>
      </w:r>
      <w:r w:rsidR="00271D57" w:rsidRPr="00C85DF7">
        <w:rPr>
          <w:lang w:val="en-CA"/>
        </w:rPr>
        <w:t xml:space="preserve"> </w:t>
      </w:r>
      <w:r w:rsidRPr="00C85DF7">
        <w:rPr>
          <w:lang w:val="en-CA"/>
        </w:rPr>
        <w:t>2017</w:t>
      </w:r>
      <w:r w:rsidR="00271D57">
        <w:rPr>
          <w:lang w:val="en-CA"/>
        </w:rPr>
        <w:t xml:space="preserve">, </w:t>
      </w:r>
      <w:r w:rsidR="00B13FAE" w:rsidRPr="00B13FAE">
        <w:rPr>
          <w:lang w:val="en-CA"/>
        </w:rPr>
        <w:t>https://investor.capitaland.com/misc/ar2013.pdf</w:t>
      </w:r>
      <w:r w:rsidR="00271D57">
        <w:rPr>
          <w:lang w:val="en-CA"/>
        </w:rPr>
        <w:t xml:space="preserve">; </w:t>
      </w:r>
      <w:r w:rsidR="00271D57" w:rsidRPr="00271D57">
        <w:rPr>
          <w:lang w:val="en-CA"/>
        </w:rPr>
        <w:t>CapitaLand Limited,</w:t>
      </w:r>
      <w:r w:rsidR="00271D57">
        <w:rPr>
          <w:lang w:val="en-CA"/>
        </w:rPr>
        <w:t xml:space="preserve"> </w:t>
      </w:r>
      <w:r w:rsidRPr="005F30D2">
        <w:rPr>
          <w:i/>
          <w:lang w:val="en-CA"/>
        </w:rPr>
        <w:t>Focus, Balance, Scale</w:t>
      </w:r>
      <w:r w:rsidR="00271D57">
        <w:rPr>
          <w:i/>
          <w:lang w:val="en-CA"/>
        </w:rPr>
        <w:t>:</w:t>
      </w:r>
      <w:r w:rsidR="00271D57" w:rsidRPr="005F30D2">
        <w:rPr>
          <w:i/>
          <w:lang w:val="en-CA"/>
        </w:rPr>
        <w:t xml:space="preserve"> </w:t>
      </w:r>
      <w:r w:rsidRPr="005F30D2">
        <w:rPr>
          <w:i/>
          <w:lang w:val="en-CA"/>
        </w:rPr>
        <w:t>Positioned for Growth</w:t>
      </w:r>
      <w:r w:rsidR="00271D57">
        <w:rPr>
          <w:i/>
          <w:lang w:val="en-CA"/>
        </w:rPr>
        <w:t>—</w:t>
      </w:r>
      <w:r w:rsidRPr="005F30D2">
        <w:rPr>
          <w:i/>
          <w:lang w:val="en-CA"/>
        </w:rPr>
        <w:t>Annual Report 2012</w:t>
      </w:r>
      <w:r w:rsidRPr="00C85DF7">
        <w:rPr>
          <w:lang w:val="en-CA"/>
        </w:rPr>
        <w:t xml:space="preserve">, accessed January </w:t>
      </w:r>
      <w:r w:rsidR="00271D57" w:rsidRPr="00C85DF7">
        <w:rPr>
          <w:lang w:val="en-CA"/>
        </w:rPr>
        <w:t>27</w:t>
      </w:r>
      <w:r w:rsidR="00271D57">
        <w:rPr>
          <w:lang w:val="en-CA"/>
        </w:rPr>
        <w:t>,</w:t>
      </w:r>
      <w:r w:rsidR="00271D57" w:rsidRPr="00C85DF7">
        <w:rPr>
          <w:lang w:val="en-CA"/>
        </w:rPr>
        <w:t xml:space="preserve"> </w:t>
      </w:r>
      <w:r w:rsidRPr="00C85DF7">
        <w:rPr>
          <w:lang w:val="en-CA"/>
        </w:rPr>
        <w:t>2017</w:t>
      </w:r>
      <w:r w:rsidR="00271D57">
        <w:rPr>
          <w:lang w:val="en-CA"/>
        </w:rPr>
        <w:t xml:space="preserve">, </w:t>
      </w:r>
      <w:r w:rsidR="00271D57" w:rsidRPr="00271D57">
        <w:rPr>
          <w:lang w:val="en-CA"/>
        </w:rPr>
        <w:t>http://investor.capitaland.com/misc/ar2012.pdf</w:t>
      </w:r>
      <w:r w:rsidR="00271D57">
        <w:rPr>
          <w:lang w:val="en-CA"/>
        </w:rPr>
        <w:t xml:space="preserve">; </w:t>
      </w:r>
      <w:r w:rsidR="00271D57" w:rsidRPr="00271D57">
        <w:rPr>
          <w:lang w:val="en-CA"/>
        </w:rPr>
        <w:t>CapitaLand Limited,</w:t>
      </w:r>
      <w:r w:rsidR="00271D57">
        <w:rPr>
          <w:lang w:val="en-CA"/>
        </w:rPr>
        <w:t xml:space="preserve"> </w:t>
      </w:r>
      <w:r w:rsidRPr="005F30D2">
        <w:rPr>
          <w:i/>
          <w:lang w:val="en-CA"/>
        </w:rPr>
        <w:t>The Art of Building</w:t>
      </w:r>
      <w:r w:rsidR="00271D57">
        <w:rPr>
          <w:i/>
          <w:lang w:val="en-CA"/>
        </w:rPr>
        <w:t>:</w:t>
      </w:r>
      <w:r w:rsidR="00271D57" w:rsidRPr="005F30D2">
        <w:rPr>
          <w:i/>
          <w:lang w:val="en-CA"/>
        </w:rPr>
        <w:t xml:space="preserve"> </w:t>
      </w:r>
      <w:r w:rsidRPr="005F30D2">
        <w:rPr>
          <w:i/>
          <w:lang w:val="en-CA"/>
        </w:rPr>
        <w:t>Annual Report 2011</w:t>
      </w:r>
      <w:r w:rsidRPr="00C85DF7">
        <w:rPr>
          <w:lang w:val="en-CA"/>
        </w:rPr>
        <w:t xml:space="preserve">, accessed January </w:t>
      </w:r>
      <w:r w:rsidR="00271D57" w:rsidRPr="00C85DF7">
        <w:rPr>
          <w:lang w:val="en-CA"/>
        </w:rPr>
        <w:t>27</w:t>
      </w:r>
      <w:r w:rsidR="00271D57">
        <w:rPr>
          <w:lang w:val="en-CA"/>
        </w:rPr>
        <w:t xml:space="preserve">, </w:t>
      </w:r>
      <w:r w:rsidRPr="00C85DF7">
        <w:rPr>
          <w:lang w:val="en-CA"/>
        </w:rPr>
        <w:t>2017,</w:t>
      </w:r>
      <w:r w:rsidR="00271D57">
        <w:rPr>
          <w:lang w:val="en-CA"/>
        </w:rPr>
        <w:t xml:space="preserve"> </w:t>
      </w:r>
      <w:r w:rsidR="00271D57" w:rsidRPr="00271D57">
        <w:rPr>
          <w:lang w:val="en-CA"/>
        </w:rPr>
        <w:t>http://investor.capitaland.com/misc/ar2011.pdf</w:t>
      </w:r>
      <w:r w:rsidR="00271D57">
        <w:rPr>
          <w:lang w:val="en-CA"/>
        </w:rPr>
        <w:t xml:space="preserve">; </w:t>
      </w:r>
      <w:r w:rsidR="00271D57" w:rsidRPr="00271D57">
        <w:rPr>
          <w:lang w:val="en-CA"/>
        </w:rPr>
        <w:t>CapitaLand Limited,</w:t>
      </w:r>
      <w:r w:rsidR="00271D57">
        <w:rPr>
          <w:lang w:val="en-CA"/>
        </w:rPr>
        <w:t xml:space="preserve"> </w:t>
      </w:r>
      <w:r w:rsidRPr="005F30D2">
        <w:rPr>
          <w:i/>
          <w:lang w:val="en-CA"/>
        </w:rPr>
        <w:t>Firm Foundation</w:t>
      </w:r>
      <w:r w:rsidR="00271D57" w:rsidRPr="005F30D2">
        <w:rPr>
          <w:i/>
          <w:lang w:val="en-CA"/>
        </w:rPr>
        <w:t>,</w:t>
      </w:r>
      <w:r w:rsidRPr="005F30D2">
        <w:rPr>
          <w:i/>
          <w:lang w:val="en-CA"/>
        </w:rPr>
        <w:t xml:space="preserve"> Leading Edge</w:t>
      </w:r>
      <w:r w:rsidR="00271D57" w:rsidRPr="005F30D2">
        <w:rPr>
          <w:i/>
          <w:lang w:val="en-CA"/>
        </w:rPr>
        <w:t>:</w:t>
      </w:r>
      <w:r w:rsidRPr="005F30D2">
        <w:rPr>
          <w:i/>
          <w:lang w:val="en-CA"/>
        </w:rPr>
        <w:t xml:space="preserve"> Innovation in the First 10 Years, Ready for the Next 10 Years</w:t>
      </w:r>
      <w:r w:rsidR="00271D57" w:rsidRPr="005F30D2">
        <w:rPr>
          <w:i/>
          <w:lang w:val="en-CA"/>
        </w:rPr>
        <w:t>—</w:t>
      </w:r>
      <w:r w:rsidRPr="005F30D2">
        <w:rPr>
          <w:i/>
          <w:lang w:val="en-CA"/>
        </w:rPr>
        <w:t>Annual Report 2010</w:t>
      </w:r>
      <w:r w:rsidR="00271D57" w:rsidRPr="005F30D2">
        <w:rPr>
          <w:i/>
          <w:lang w:val="en-CA"/>
        </w:rPr>
        <w:t>,</w:t>
      </w:r>
      <w:r w:rsidR="00271D57">
        <w:rPr>
          <w:lang w:val="en-CA"/>
        </w:rPr>
        <w:t xml:space="preserve"> </w:t>
      </w:r>
      <w:r w:rsidRPr="00C85DF7">
        <w:rPr>
          <w:lang w:val="en-CA"/>
        </w:rPr>
        <w:t xml:space="preserve">accessed January </w:t>
      </w:r>
      <w:r w:rsidR="00271D57" w:rsidRPr="00C85DF7">
        <w:rPr>
          <w:lang w:val="en-CA"/>
        </w:rPr>
        <w:t>27</w:t>
      </w:r>
      <w:r w:rsidR="00271D57">
        <w:rPr>
          <w:lang w:val="en-CA"/>
        </w:rPr>
        <w:t>,</w:t>
      </w:r>
      <w:r w:rsidR="00271D57" w:rsidRPr="00C85DF7">
        <w:rPr>
          <w:lang w:val="en-CA"/>
        </w:rPr>
        <w:t xml:space="preserve"> </w:t>
      </w:r>
      <w:r w:rsidRPr="00C85DF7">
        <w:rPr>
          <w:lang w:val="en-CA"/>
        </w:rPr>
        <w:t>2017</w:t>
      </w:r>
      <w:r w:rsidR="00271D57">
        <w:rPr>
          <w:lang w:val="en-CA"/>
        </w:rPr>
        <w:t>,</w:t>
      </w:r>
      <w:r w:rsidRPr="00C85DF7">
        <w:rPr>
          <w:lang w:val="en-CA"/>
        </w:rPr>
        <w:t xml:space="preserve"> </w:t>
      </w:r>
      <w:r w:rsidR="00271D57" w:rsidRPr="00271D57">
        <w:rPr>
          <w:lang w:val="en-CA"/>
        </w:rPr>
        <w:t>http://investor.capitaland.com/misc/ar2010.pdf</w:t>
      </w:r>
      <w:r w:rsidR="00271D57">
        <w:rPr>
          <w:lang w:val="en-CA"/>
        </w:rPr>
        <w:t xml:space="preserve">; </w:t>
      </w:r>
      <w:r w:rsidR="00271D57" w:rsidRPr="00271D57">
        <w:rPr>
          <w:lang w:val="en-CA"/>
        </w:rPr>
        <w:t>CapitaLand Limited,</w:t>
      </w:r>
      <w:r w:rsidR="00271D57">
        <w:rPr>
          <w:lang w:val="en-CA"/>
        </w:rPr>
        <w:t xml:space="preserve"> </w:t>
      </w:r>
      <w:r w:rsidRPr="005F30D2">
        <w:rPr>
          <w:i/>
          <w:lang w:val="en-CA"/>
        </w:rPr>
        <w:t>Ahead of the Curve, Growth during Global Crisis</w:t>
      </w:r>
      <w:r w:rsidR="00271D57" w:rsidRPr="005F30D2">
        <w:rPr>
          <w:i/>
          <w:lang w:val="en-CA"/>
        </w:rPr>
        <w:t xml:space="preserve">: </w:t>
      </w:r>
      <w:r w:rsidRPr="005F30D2">
        <w:rPr>
          <w:i/>
          <w:lang w:val="en-CA"/>
        </w:rPr>
        <w:t>Annual Report 2009</w:t>
      </w:r>
      <w:r w:rsidRPr="00C85DF7">
        <w:rPr>
          <w:lang w:val="en-CA"/>
        </w:rPr>
        <w:t xml:space="preserve">, accessed January </w:t>
      </w:r>
      <w:r w:rsidR="00271D57" w:rsidRPr="00C85DF7">
        <w:rPr>
          <w:lang w:val="en-CA"/>
        </w:rPr>
        <w:t>27</w:t>
      </w:r>
      <w:r w:rsidR="00271D57">
        <w:rPr>
          <w:lang w:val="en-CA"/>
        </w:rPr>
        <w:t xml:space="preserve">, </w:t>
      </w:r>
      <w:r w:rsidRPr="00C85DF7">
        <w:rPr>
          <w:lang w:val="en-CA"/>
        </w:rPr>
        <w:t>2017</w:t>
      </w:r>
      <w:r w:rsidR="00271D57">
        <w:rPr>
          <w:lang w:val="en-CA"/>
        </w:rPr>
        <w:t xml:space="preserve">, </w:t>
      </w:r>
      <w:r w:rsidR="00271D57" w:rsidRPr="00271D57">
        <w:rPr>
          <w:lang w:val="en-CA"/>
        </w:rPr>
        <w:t>http://investor.capitaland.com/misc/ar2009.pdf</w:t>
      </w:r>
      <w:r w:rsidR="00271D57">
        <w:rPr>
          <w:lang w:val="en-CA"/>
        </w:rPr>
        <w:t>.</w:t>
      </w:r>
    </w:p>
    <w:p w14:paraId="49212B2B" w14:textId="238E5935" w:rsidR="00245772" w:rsidRDefault="00245772">
      <w:pPr>
        <w:spacing w:after="200" w:line="276" w:lineRule="auto"/>
        <w:rPr>
          <w:rFonts w:ascii="Arial" w:hAnsi="Arial" w:cs="Arial"/>
          <w:b/>
          <w:caps/>
          <w:sz w:val="17"/>
          <w:szCs w:val="17"/>
          <w:lang w:val="en-CA"/>
        </w:rPr>
      </w:pPr>
      <w:r>
        <w:rPr>
          <w:rFonts w:ascii="Arial" w:hAnsi="Arial" w:cs="Arial"/>
          <w:b/>
          <w:caps/>
          <w:sz w:val="17"/>
          <w:szCs w:val="17"/>
          <w:lang w:val="en-CA"/>
        </w:rPr>
        <w:br w:type="page"/>
      </w:r>
    </w:p>
    <w:p w14:paraId="20C70409" w14:textId="26404486" w:rsidR="007F0E99" w:rsidRDefault="007F0E99" w:rsidP="007F0E99">
      <w:pPr>
        <w:pStyle w:val="ExhibitHeading"/>
        <w:rPr>
          <w:lang w:val="en-CA"/>
        </w:rPr>
      </w:pPr>
      <w:r>
        <w:rPr>
          <w:lang w:val="en-CA"/>
        </w:rPr>
        <w:t xml:space="preserve">Exhibit </w:t>
      </w:r>
      <w:r w:rsidR="00605748">
        <w:rPr>
          <w:lang w:val="en-CA"/>
        </w:rPr>
        <w:t>5</w:t>
      </w:r>
      <w:r>
        <w:rPr>
          <w:lang w:val="en-CA"/>
        </w:rPr>
        <w:t>: OTHER INFORMATION ABOUT CAPIT</w:t>
      </w:r>
      <w:r w:rsidRPr="00BD644A">
        <w:rPr>
          <w:spacing w:val="20"/>
          <w:lang w:val="en-CA"/>
        </w:rPr>
        <w:t>A</w:t>
      </w:r>
      <w:r>
        <w:rPr>
          <w:lang w:val="en-CA"/>
        </w:rPr>
        <w:t>LAND</w:t>
      </w:r>
      <w:r w:rsidR="00936199">
        <w:rPr>
          <w:lang w:val="en-CA"/>
        </w:rPr>
        <w:t xml:space="preserve"> and Capit</w:t>
      </w:r>
      <w:r w:rsidR="00936199" w:rsidRPr="00BD644A">
        <w:rPr>
          <w:spacing w:val="20"/>
          <w:lang w:val="en-CA"/>
        </w:rPr>
        <w:t>a</w:t>
      </w:r>
      <w:r w:rsidR="00936199">
        <w:rPr>
          <w:lang w:val="en-CA"/>
        </w:rPr>
        <w:t>mall</w:t>
      </w:r>
      <w:r w:rsidR="008E7AC0">
        <w:rPr>
          <w:lang w:val="en-CA"/>
        </w:rPr>
        <w:t xml:space="preserve"> asia</w:t>
      </w:r>
    </w:p>
    <w:p w14:paraId="2E1C1036" w14:textId="77777777" w:rsidR="007F0E99" w:rsidRDefault="007F0E99" w:rsidP="00BD644A">
      <w:pPr>
        <w:pStyle w:val="ExhibitText"/>
        <w:rPr>
          <w:lang w:val="en-CA"/>
        </w:rPr>
      </w:pPr>
    </w:p>
    <w:tbl>
      <w:tblPr>
        <w:tblW w:w="5000" w:type="pct"/>
        <w:tblLook w:val="04A0" w:firstRow="1" w:lastRow="0" w:firstColumn="1" w:lastColumn="0" w:noHBand="0" w:noVBand="1"/>
      </w:tblPr>
      <w:tblGrid>
        <w:gridCol w:w="1686"/>
        <w:gridCol w:w="2216"/>
        <w:gridCol w:w="2316"/>
        <w:gridCol w:w="562"/>
        <w:gridCol w:w="2580"/>
      </w:tblGrid>
      <w:tr w:rsidR="00E95B7F" w14:paraId="449D408B" w14:textId="77777777" w:rsidTr="006A3328">
        <w:trPr>
          <w:trHeight w:val="285"/>
        </w:trPr>
        <w:tc>
          <w:tcPr>
            <w:tcW w:w="901" w:type="pct"/>
            <w:tcBorders>
              <w:top w:val="double" w:sz="4" w:space="0" w:color="auto"/>
              <w:left w:val="nil"/>
              <w:bottom w:val="nil"/>
              <w:right w:val="nil"/>
            </w:tcBorders>
            <w:shd w:val="clear" w:color="auto" w:fill="auto"/>
            <w:noWrap/>
            <w:vAlign w:val="bottom"/>
            <w:hideMark/>
          </w:tcPr>
          <w:p w14:paraId="05A6B612" w14:textId="65DD457A" w:rsidR="00E95B7F" w:rsidRPr="00060311" w:rsidRDefault="00957DD4">
            <w:pPr>
              <w:rPr>
                <w:rFonts w:ascii="Arial" w:hAnsi="Arial" w:cs="Arial"/>
                <w:b/>
                <w:bCs/>
                <w:color w:val="000000"/>
                <w:sz w:val="18"/>
                <w:szCs w:val="18"/>
              </w:rPr>
            </w:pPr>
            <w:r>
              <w:rPr>
                <w:rFonts w:ascii="Arial" w:hAnsi="Arial" w:cs="Arial"/>
                <w:b/>
                <w:bCs/>
                <w:color w:val="000000"/>
                <w:sz w:val="18"/>
                <w:szCs w:val="18"/>
              </w:rPr>
              <w:t xml:space="preserve"> </w:t>
            </w:r>
          </w:p>
        </w:tc>
        <w:tc>
          <w:tcPr>
            <w:tcW w:w="1184" w:type="pct"/>
            <w:tcBorders>
              <w:top w:val="double" w:sz="4" w:space="0" w:color="auto"/>
              <w:left w:val="nil"/>
              <w:bottom w:val="nil"/>
              <w:right w:val="nil"/>
            </w:tcBorders>
            <w:shd w:val="clear" w:color="auto" w:fill="auto"/>
            <w:noWrap/>
            <w:vAlign w:val="bottom"/>
            <w:hideMark/>
          </w:tcPr>
          <w:p w14:paraId="67A38AD5" w14:textId="74BF399A" w:rsidR="00E95B7F" w:rsidRPr="00060311" w:rsidRDefault="00957DD4">
            <w:pPr>
              <w:rPr>
                <w:rFonts w:ascii="Arial" w:hAnsi="Arial" w:cs="Arial"/>
                <w:b/>
                <w:bCs/>
                <w:color w:val="000000"/>
                <w:sz w:val="18"/>
                <w:szCs w:val="18"/>
              </w:rPr>
            </w:pPr>
            <w:r>
              <w:rPr>
                <w:rFonts w:ascii="Arial" w:hAnsi="Arial" w:cs="Arial"/>
                <w:b/>
                <w:bCs/>
                <w:color w:val="000000"/>
                <w:sz w:val="18"/>
                <w:szCs w:val="18"/>
              </w:rPr>
              <w:t xml:space="preserve"> </w:t>
            </w:r>
          </w:p>
        </w:tc>
        <w:tc>
          <w:tcPr>
            <w:tcW w:w="1237" w:type="pct"/>
            <w:tcBorders>
              <w:top w:val="double" w:sz="4" w:space="0" w:color="auto"/>
              <w:left w:val="nil"/>
              <w:bottom w:val="single" w:sz="4" w:space="0" w:color="auto"/>
              <w:right w:val="nil"/>
            </w:tcBorders>
            <w:shd w:val="clear" w:color="auto" w:fill="auto"/>
            <w:noWrap/>
            <w:vAlign w:val="bottom"/>
            <w:hideMark/>
          </w:tcPr>
          <w:p w14:paraId="0811F35C" w14:textId="77777777" w:rsidR="00E95B7F" w:rsidRPr="00060311" w:rsidRDefault="00E95B7F" w:rsidP="00936199">
            <w:pPr>
              <w:jc w:val="right"/>
              <w:rPr>
                <w:rFonts w:ascii="Arial" w:hAnsi="Arial" w:cs="Arial"/>
                <w:b/>
                <w:bCs/>
                <w:color w:val="000000"/>
                <w:sz w:val="18"/>
                <w:szCs w:val="18"/>
              </w:rPr>
            </w:pPr>
            <w:r w:rsidRPr="00060311">
              <w:rPr>
                <w:rFonts w:ascii="Arial" w:hAnsi="Arial" w:cs="Arial"/>
                <w:b/>
                <w:bCs/>
                <w:color w:val="000000"/>
                <w:sz w:val="18"/>
                <w:szCs w:val="18"/>
              </w:rPr>
              <w:t>CapitaLand</w:t>
            </w:r>
          </w:p>
        </w:tc>
        <w:tc>
          <w:tcPr>
            <w:tcW w:w="300" w:type="pct"/>
            <w:tcBorders>
              <w:top w:val="double" w:sz="4" w:space="0" w:color="auto"/>
              <w:left w:val="nil"/>
              <w:bottom w:val="single" w:sz="4" w:space="0" w:color="auto"/>
              <w:right w:val="nil"/>
            </w:tcBorders>
            <w:shd w:val="clear" w:color="auto" w:fill="auto"/>
            <w:noWrap/>
            <w:vAlign w:val="bottom"/>
            <w:hideMark/>
          </w:tcPr>
          <w:p w14:paraId="33B1CC11" w14:textId="6711B271" w:rsidR="00E95B7F" w:rsidRPr="00060311" w:rsidRDefault="00957DD4" w:rsidP="00936199">
            <w:pPr>
              <w:jc w:val="right"/>
              <w:rPr>
                <w:rFonts w:ascii="Arial" w:hAnsi="Arial" w:cs="Arial"/>
                <w:b/>
                <w:bCs/>
                <w:color w:val="000000"/>
                <w:sz w:val="18"/>
                <w:szCs w:val="18"/>
              </w:rPr>
            </w:pPr>
            <w:r>
              <w:rPr>
                <w:rFonts w:ascii="Arial" w:hAnsi="Arial" w:cs="Arial"/>
                <w:b/>
                <w:bCs/>
                <w:color w:val="000000"/>
                <w:sz w:val="18"/>
                <w:szCs w:val="18"/>
              </w:rPr>
              <w:t xml:space="preserve"> </w:t>
            </w:r>
          </w:p>
        </w:tc>
        <w:tc>
          <w:tcPr>
            <w:tcW w:w="1378" w:type="pct"/>
            <w:tcBorders>
              <w:top w:val="double" w:sz="4" w:space="0" w:color="auto"/>
              <w:left w:val="nil"/>
              <w:bottom w:val="single" w:sz="4" w:space="0" w:color="auto"/>
              <w:right w:val="nil"/>
            </w:tcBorders>
            <w:shd w:val="clear" w:color="auto" w:fill="auto"/>
            <w:noWrap/>
            <w:vAlign w:val="bottom"/>
            <w:hideMark/>
          </w:tcPr>
          <w:p w14:paraId="46EE7221" w14:textId="77777777" w:rsidR="00E95B7F" w:rsidRPr="00060311" w:rsidRDefault="00936199" w:rsidP="00936199">
            <w:pPr>
              <w:jc w:val="right"/>
              <w:rPr>
                <w:rFonts w:ascii="Arial" w:hAnsi="Arial" w:cs="Arial"/>
                <w:b/>
                <w:bCs/>
                <w:color w:val="000000"/>
                <w:sz w:val="18"/>
                <w:szCs w:val="18"/>
              </w:rPr>
            </w:pPr>
            <w:r w:rsidRPr="00060311">
              <w:rPr>
                <w:rFonts w:ascii="Arial" w:hAnsi="Arial" w:cs="Arial"/>
                <w:b/>
                <w:bCs/>
                <w:color w:val="000000"/>
                <w:sz w:val="18"/>
                <w:szCs w:val="18"/>
              </w:rPr>
              <w:t>CapitaMall</w:t>
            </w:r>
            <w:r w:rsidR="00E95B7F" w:rsidRPr="00060311">
              <w:rPr>
                <w:rFonts w:ascii="Arial" w:hAnsi="Arial" w:cs="Arial"/>
                <w:b/>
                <w:bCs/>
                <w:color w:val="000000"/>
                <w:sz w:val="18"/>
                <w:szCs w:val="18"/>
              </w:rPr>
              <w:t xml:space="preserve"> Asia</w:t>
            </w:r>
          </w:p>
        </w:tc>
      </w:tr>
      <w:tr w:rsidR="00E95B7F" w14:paraId="31A5D9E4" w14:textId="77777777" w:rsidTr="00E20FE5">
        <w:trPr>
          <w:trHeight w:val="285"/>
        </w:trPr>
        <w:tc>
          <w:tcPr>
            <w:tcW w:w="2085" w:type="pct"/>
            <w:gridSpan w:val="2"/>
            <w:tcBorders>
              <w:top w:val="nil"/>
              <w:left w:val="nil"/>
              <w:bottom w:val="nil"/>
              <w:right w:val="nil"/>
            </w:tcBorders>
            <w:shd w:val="clear" w:color="auto" w:fill="auto"/>
            <w:noWrap/>
            <w:vAlign w:val="bottom"/>
            <w:hideMark/>
          </w:tcPr>
          <w:p w14:paraId="5FC1E531" w14:textId="77777777" w:rsidR="00E95B7F" w:rsidRPr="00060311" w:rsidRDefault="00E95B7F">
            <w:pPr>
              <w:rPr>
                <w:rFonts w:ascii="Arial" w:hAnsi="Arial" w:cs="Arial"/>
                <w:b/>
                <w:bCs/>
                <w:color w:val="000000"/>
                <w:sz w:val="18"/>
                <w:szCs w:val="18"/>
              </w:rPr>
            </w:pPr>
            <w:r w:rsidRPr="00060311">
              <w:rPr>
                <w:rFonts w:ascii="Arial" w:hAnsi="Arial" w:cs="Arial"/>
                <w:b/>
                <w:bCs/>
                <w:color w:val="000000"/>
                <w:sz w:val="18"/>
                <w:szCs w:val="18"/>
              </w:rPr>
              <w:t>Cost of Debt</w:t>
            </w:r>
          </w:p>
        </w:tc>
        <w:tc>
          <w:tcPr>
            <w:tcW w:w="1237" w:type="pct"/>
            <w:tcBorders>
              <w:top w:val="single" w:sz="4" w:space="0" w:color="auto"/>
              <w:left w:val="nil"/>
              <w:bottom w:val="nil"/>
              <w:right w:val="nil"/>
            </w:tcBorders>
            <w:shd w:val="clear" w:color="auto" w:fill="auto"/>
            <w:noWrap/>
            <w:vAlign w:val="bottom"/>
            <w:hideMark/>
          </w:tcPr>
          <w:p w14:paraId="2C827AB1" w14:textId="6FEF54D0" w:rsidR="00E95B7F" w:rsidRPr="00060311" w:rsidRDefault="00E95B7F" w:rsidP="00C1248F">
            <w:pPr>
              <w:jc w:val="right"/>
              <w:rPr>
                <w:rFonts w:ascii="Arial" w:hAnsi="Arial" w:cs="Arial"/>
                <w:color w:val="000000"/>
                <w:sz w:val="18"/>
                <w:szCs w:val="18"/>
              </w:rPr>
            </w:pPr>
            <w:r w:rsidRPr="00060311">
              <w:rPr>
                <w:rFonts w:ascii="Arial" w:hAnsi="Arial" w:cs="Arial"/>
                <w:color w:val="000000"/>
                <w:sz w:val="18"/>
                <w:szCs w:val="18"/>
              </w:rPr>
              <w:t>2.</w:t>
            </w:r>
            <w:r w:rsidR="00803EE5" w:rsidRPr="00060311">
              <w:rPr>
                <w:rFonts w:ascii="Arial" w:hAnsi="Arial" w:cs="Arial"/>
                <w:color w:val="000000"/>
                <w:sz w:val="18"/>
                <w:szCs w:val="18"/>
              </w:rPr>
              <w:t>324</w:t>
            </w:r>
            <w:r w:rsidR="00803EE5">
              <w:rPr>
                <w:rFonts w:ascii="Arial" w:hAnsi="Arial" w:cs="Arial"/>
                <w:color w:val="000000"/>
                <w:sz w:val="18"/>
                <w:szCs w:val="18"/>
              </w:rPr>
              <w:t>4</w:t>
            </w:r>
          </w:p>
        </w:tc>
        <w:tc>
          <w:tcPr>
            <w:tcW w:w="300" w:type="pct"/>
            <w:tcBorders>
              <w:top w:val="single" w:sz="4" w:space="0" w:color="auto"/>
              <w:left w:val="nil"/>
              <w:bottom w:val="nil"/>
              <w:right w:val="nil"/>
            </w:tcBorders>
            <w:shd w:val="clear" w:color="auto" w:fill="auto"/>
            <w:noWrap/>
            <w:vAlign w:val="bottom"/>
            <w:hideMark/>
          </w:tcPr>
          <w:p w14:paraId="24A9B5BD" w14:textId="77777777" w:rsidR="00E95B7F" w:rsidRPr="00060311" w:rsidRDefault="00E95B7F" w:rsidP="00936199">
            <w:pPr>
              <w:jc w:val="right"/>
              <w:rPr>
                <w:rFonts w:ascii="Arial" w:hAnsi="Arial" w:cs="Arial"/>
                <w:color w:val="000000"/>
                <w:sz w:val="18"/>
                <w:szCs w:val="18"/>
              </w:rPr>
            </w:pPr>
          </w:p>
        </w:tc>
        <w:tc>
          <w:tcPr>
            <w:tcW w:w="1378" w:type="pct"/>
            <w:tcBorders>
              <w:top w:val="single" w:sz="4" w:space="0" w:color="auto"/>
              <w:left w:val="nil"/>
              <w:bottom w:val="nil"/>
              <w:right w:val="nil"/>
            </w:tcBorders>
            <w:shd w:val="clear" w:color="auto" w:fill="auto"/>
            <w:noWrap/>
            <w:vAlign w:val="bottom"/>
            <w:hideMark/>
          </w:tcPr>
          <w:p w14:paraId="1DADDA8B" w14:textId="77777777" w:rsidR="00E95B7F" w:rsidRPr="00060311" w:rsidRDefault="00E95B7F" w:rsidP="00936199">
            <w:pPr>
              <w:jc w:val="right"/>
              <w:rPr>
                <w:rFonts w:ascii="Arial" w:hAnsi="Arial" w:cs="Arial"/>
                <w:color w:val="000000"/>
                <w:sz w:val="18"/>
                <w:szCs w:val="18"/>
              </w:rPr>
            </w:pPr>
            <w:r w:rsidRPr="00060311">
              <w:rPr>
                <w:rFonts w:ascii="Arial" w:hAnsi="Arial" w:cs="Arial"/>
                <w:color w:val="000000"/>
                <w:sz w:val="18"/>
                <w:szCs w:val="18"/>
              </w:rPr>
              <w:t>2.5842</w:t>
            </w:r>
          </w:p>
        </w:tc>
      </w:tr>
      <w:tr w:rsidR="00E95B7F" w14:paraId="22C552AC" w14:textId="77777777" w:rsidTr="00E20FE5">
        <w:trPr>
          <w:trHeight w:val="285"/>
        </w:trPr>
        <w:tc>
          <w:tcPr>
            <w:tcW w:w="2085" w:type="pct"/>
            <w:gridSpan w:val="2"/>
            <w:tcBorders>
              <w:top w:val="nil"/>
              <w:left w:val="nil"/>
              <w:bottom w:val="nil"/>
              <w:right w:val="nil"/>
            </w:tcBorders>
            <w:shd w:val="clear" w:color="auto" w:fill="auto"/>
            <w:noWrap/>
            <w:vAlign w:val="bottom"/>
            <w:hideMark/>
          </w:tcPr>
          <w:p w14:paraId="42A4E009" w14:textId="77777777" w:rsidR="00E95B7F" w:rsidRPr="00060311" w:rsidRDefault="00E95B7F">
            <w:pPr>
              <w:rPr>
                <w:rFonts w:ascii="Arial" w:hAnsi="Arial" w:cs="Arial"/>
                <w:b/>
                <w:bCs/>
                <w:color w:val="000000"/>
                <w:sz w:val="18"/>
                <w:szCs w:val="18"/>
              </w:rPr>
            </w:pPr>
            <w:r w:rsidRPr="00060311">
              <w:rPr>
                <w:rFonts w:ascii="Arial" w:hAnsi="Arial" w:cs="Arial"/>
                <w:b/>
                <w:bCs/>
                <w:color w:val="000000"/>
                <w:sz w:val="18"/>
                <w:szCs w:val="18"/>
              </w:rPr>
              <w:t>Cost of Equity</w:t>
            </w:r>
          </w:p>
        </w:tc>
        <w:tc>
          <w:tcPr>
            <w:tcW w:w="1237" w:type="pct"/>
            <w:tcBorders>
              <w:top w:val="nil"/>
              <w:left w:val="nil"/>
              <w:bottom w:val="nil"/>
              <w:right w:val="nil"/>
            </w:tcBorders>
            <w:shd w:val="clear" w:color="auto" w:fill="auto"/>
            <w:noWrap/>
            <w:vAlign w:val="bottom"/>
            <w:hideMark/>
          </w:tcPr>
          <w:p w14:paraId="4A339BCD" w14:textId="77777777" w:rsidR="00E95B7F" w:rsidRPr="00060311" w:rsidRDefault="00E95B7F" w:rsidP="00936199">
            <w:pPr>
              <w:jc w:val="right"/>
              <w:rPr>
                <w:rFonts w:ascii="Arial" w:hAnsi="Arial" w:cs="Arial"/>
                <w:color w:val="000000"/>
                <w:sz w:val="18"/>
                <w:szCs w:val="18"/>
              </w:rPr>
            </w:pPr>
            <w:r w:rsidRPr="00060311">
              <w:rPr>
                <w:rFonts w:ascii="Arial" w:hAnsi="Arial" w:cs="Arial"/>
                <w:color w:val="000000"/>
                <w:sz w:val="18"/>
                <w:szCs w:val="18"/>
              </w:rPr>
              <w:t>11.95745003</w:t>
            </w:r>
          </w:p>
        </w:tc>
        <w:tc>
          <w:tcPr>
            <w:tcW w:w="300" w:type="pct"/>
            <w:tcBorders>
              <w:top w:val="nil"/>
              <w:left w:val="nil"/>
              <w:bottom w:val="nil"/>
              <w:right w:val="nil"/>
            </w:tcBorders>
            <w:shd w:val="clear" w:color="auto" w:fill="auto"/>
            <w:noWrap/>
            <w:vAlign w:val="bottom"/>
            <w:hideMark/>
          </w:tcPr>
          <w:p w14:paraId="38ECDBD8" w14:textId="77777777" w:rsidR="00E95B7F" w:rsidRPr="00060311" w:rsidRDefault="00E95B7F" w:rsidP="00936199">
            <w:pPr>
              <w:jc w:val="right"/>
              <w:rPr>
                <w:rFonts w:ascii="Arial" w:hAnsi="Arial" w:cs="Arial"/>
                <w:color w:val="000000"/>
                <w:sz w:val="18"/>
                <w:szCs w:val="18"/>
              </w:rPr>
            </w:pPr>
          </w:p>
        </w:tc>
        <w:tc>
          <w:tcPr>
            <w:tcW w:w="1378" w:type="pct"/>
            <w:tcBorders>
              <w:top w:val="nil"/>
              <w:left w:val="nil"/>
              <w:bottom w:val="nil"/>
              <w:right w:val="nil"/>
            </w:tcBorders>
            <w:shd w:val="clear" w:color="auto" w:fill="auto"/>
            <w:noWrap/>
            <w:vAlign w:val="bottom"/>
            <w:hideMark/>
          </w:tcPr>
          <w:p w14:paraId="71BAB52C" w14:textId="6EE870DC" w:rsidR="00E95B7F" w:rsidRPr="00060311" w:rsidRDefault="00E95B7F" w:rsidP="00C1248F">
            <w:pPr>
              <w:jc w:val="right"/>
              <w:rPr>
                <w:rFonts w:ascii="Arial" w:hAnsi="Arial" w:cs="Arial"/>
                <w:color w:val="000000"/>
                <w:sz w:val="18"/>
                <w:szCs w:val="18"/>
              </w:rPr>
            </w:pPr>
            <w:r w:rsidRPr="00060311">
              <w:rPr>
                <w:rFonts w:ascii="Arial" w:hAnsi="Arial" w:cs="Arial"/>
                <w:color w:val="000000"/>
                <w:sz w:val="18"/>
                <w:szCs w:val="18"/>
              </w:rPr>
              <w:t>8.</w:t>
            </w:r>
            <w:r w:rsidR="00803EE5" w:rsidRPr="00060311">
              <w:rPr>
                <w:rFonts w:ascii="Arial" w:hAnsi="Arial" w:cs="Arial"/>
                <w:color w:val="000000"/>
                <w:sz w:val="18"/>
                <w:szCs w:val="18"/>
              </w:rPr>
              <w:t>4489225</w:t>
            </w:r>
            <w:r w:rsidR="00803EE5">
              <w:rPr>
                <w:rFonts w:ascii="Arial" w:hAnsi="Arial" w:cs="Arial"/>
                <w:color w:val="000000"/>
                <w:sz w:val="18"/>
                <w:szCs w:val="18"/>
              </w:rPr>
              <w:t>2</w:t>
            </w:r>
          </w:p>
        </w:tc>
      </w:tr>
      <w:tr w:rsidR="00E95B7F" w14:paraId="2B72707F" w14:textId="77777777" w:rsidTr="006A3328">
        <w:trPr>
          <w:trHeight w:val="285"/>
        </w:trPr>
        <w:tc>
          <w:tcPr>
            <w:tcW w:w="901" w:type="pct"/>
            <w:tcBorders>
              <w:top w:val="nil"/>
              <w:left w:val="nil"/>
              <w:bottom w:val="nil"/>
              <w:right w:val="nil"/>
            </w:tcBorders>
            <w:shd w:val="clear" w:color="auto" w:fill="auto"/>
            <w:noWrap/>
            <w:vAlign w:val="bottom"/>
            <w:hideMark/>
          </w:tcPr>
          <w:p w14:paraId="0701435D" w14:textId="77777777" w:rsidR="00E95B7F" w:rsidRPr="00060311" w:rsidRDefault="00E95B7F">
            <w:pPr>
              <w:rPr>
                <w:rFonts w:ascii="Arial" w:hAnsi="Arial" w:cs="Arial"/>
                <w:b/>
                <w:bCs/>
                <w:color w:val="000000"/>
                <w:sz w:val="18"/>
                <w:szCs w:val="18"/>
              </w:rPr>
            </w:pPr>
            <w:r w:rsidRPr="00060311">
              <w:rPr>
                <w:rFonts w:ascii="Arial" w:hAnsi="Arial" w:cs="Arial"/>
                <w:b/>
                <w:bCs/>
                <w:color w:val="000000"/>
                <w:sz w:val="18"/>
                <w:szCs w:val="18"/>
              </w:rPr>
              <w:t>Beta</w:t>
            </w:r>
          </w:p>
        </w:tc>
        <w:tc>
          <w:tcPr>
            <w:tcW w:w="1184" w:type="pct"/>
            <w:tcBorders>
              <w:top w:val="nil"/>
              <w:left w:val="nil"/>
              <w:bottom w:val="nil"/>
              <w:right w:val="nil"/>
            </w:tcBorders>
            <w:shd w:val="clear" w:color="auto" w:fill="auto"/>
            <w:noWrap/>
            <w:vAlign w:val="bottom"/>
            <w:hideMark/>
          </w:tcPr>
          <w:p w14:paraId="56820713" w14:textId="77777777" w:rsidR="00E95B7F" w:rsidRPr="00060311" w:rsidRDefault="00E95B7F">
            <w:pPr>
              <w:rPr>
                <w:rFonts w:ascii="Arial" w:hAnsi="Arial" w:cs="Arial"/>
                <w:b/>
                <w:bCs/>
                <w:color w:val="000000"/>
                <w:sz w:val="18"/>
                <w:szCs w:val="18"/>
              </w:rPr>
            </w:pPr>
          </w:p>
        </w:tc>
        <w:tc>
          <w:tcPr>
            <w:tcW w:w="1237" w:type="pct"/>
            <w:tcBorders>
              <w:top w:val="nil"/>
              <w:left w:val="nil"/>
              <w:bottom w:val="nil"/>
              <w:right w:val="nil"/>
            </w:tcBorders>
            <w:shd w:val="clear" w:color="auto" w:fill="auto"/>
            <w:noWrap/>
            <w:vAlign w:val="bottom"/>
            <w:hideMark/>
          </w:tcPr>
          <w:p w14:paraId="555637E5" w14:textId="77777777" w:rsidR="00E95B7F" w:rsidRPr="00060311" w:rsidRDefault="00E95B7F" w:rsidP="00936199">
            <w:pPr>
              <w:jc w:val="right"/>
              <w:rPr>
                <w:rFonts w:ascii="Arial" w:hAnsi="Arial" w:cs="Arial"/>
                <w:color w:val="000000"/>
                <w:sz w:val="18"/>
                <w:szCs w:val="18"/>
              </w:rPr>
            </w:pPr>
            <w:r w:rsidRPr="00060311">
              <w:rPr>
                <w:rFonts w:ascii="Arial" w:hAnsi="Arial" w:cs="Arial"/>
                <w:color w:val="000000"/>
                <w:sz w:val="18"/>
                <w:szCs w:val="18"/>
              </w:rPr>
              <w:t>1.144</w:t>
            </w:r>
          </w:p>
        </w:tc>
        <w:tc>
          <w:tcPr>
            <w:tcW w:w="300" w:type="pct"/>
            <w:tcBorders>
              <w:top w:val="nil"/>
              <w:left w:val="nil"/>
              <w:bottom w:val="nil"/>
              <w:right w:val="nil"/>
            </w:tcBorders>
            <w:shd w:val="clear" w:color="auto" w:fill="auto"/>
            <w:noWrap/>
            <w:vAlign w:val="bottom"/>
            <w:hideMark/>
          </w:tcPr>
          <w:p w14:paraId="67AB3DC8" w14:textId="77777777" w:rsidR="00E95B7F" w:rsidRPr="00060311" w:rsidRDefault="00E95B7F" w:rsidP="00936199">
            <w:pPr>
              <w:jc w:val="right"/>
              <w:rPr>
                <w:rFonts w:ascii="Arial" w:hAnsi="Arial" w:cs="Arial"/>
                <w:color w:val="000000"/>
                <w:sz w:val="18"/>
                <w:szCs w:val="18"/>
              </w:rPr>
            </w:pPr>
          </w:p>
        </w:tc>
        <w:tc>
          <w:tcPr>
            <w:tcW w:w="1378" w:type="pct"/>
            <w:tcBorders>
              <w:top w:val="nil"/>
              <w:left w:val="nil"/>
              <w:bottom w:val="nil"/>
              <w:right w:val="nil"/>
            </w:tcBorders>
            <w:shd w:val="clear" w:color="auto" w:fill="auto"/>
            <w:noWrap/>
            <w:vAlign w:val="bottom"/>
            <w:hideMark/>
          </w:tcPr>
          <w:p w14:paraId="2F6E0995" w14:textId="59CAA70A" w:rsidR="00E95B7F" w:rsidRPr="00060311" w:rsidRDefault="005475ED" w:rsidP="00936199">
            <w:pPr>
              <w:jc w:val="right"/>
              <w:rPr>
                <w:rFonts w:ascii="Arial" w:hAnsi="Arial" w:cs="Arial"/>
                <w:color w:val="000000"/>
                <w:sz w:val="18"/>
                <w:szCs w:val="18"/>
              </w:rPr>
            </w:pPr>
            <w:r w:rsidRPr="00060311">
              <w:rPr>
                <w:rFonts w:ascii="Arial" w:hAnsi="Arial" w:cs="Arial"/>
                <w:color w:val="000000"/>
                <w:sz w:val="18"/>
                <w:szCs w:val="18"/>
              </w:rPr>
              <w:t>0.</w:t>
            </w:r>
            <w:r w:rsidR="00E95B7F" w:rsidRPr="00060311">
              <w:rPr>
                <w:rFonts w:ascii="Arial" w:hAnsi="Arial" w:cs="Arial"/>
                <w:color w:val="000000"/>
                <w:sz w:val="18"/>
                <w:szCs w:val="18"/>
              </w:rPr>
              <w:t>67</w:t>
            </w:r>
            <w:r w:rsidR="00803EE5">
              <w:rPr>
                <w:rFonts w:ascii="Arial" w:hAnsi="Arial" w:cs="Arial"/>
                <w:color w:val="000000"/>
                <w:sz w:val="18"/>
                <w:szCs w:val="18"/>
              </w:rPr>
              <w:t>0</w:t>
            </w:r>
          </w:p>
        </w:tc>
      </w:tr>
      <w:tr w:rsidR="00B17E4E" w14:paraId="55429D13" w14:textId="77777777" w:rsidTr="00E20FE5">
        <w:trPr>
          <w:trHeight w:val="285"/>
        </w:trPr>
        <w:tc>
          <w:tcPr>
            <w:tcW w:w="2085" w:type="pct"/>
            <w:gridSpan w:val="2"/>
            <w:tcBorders>
              <w:top w:val="nil"/>
              <w:left w:val="nil"/>
              <w:bottom w:val="nil"/>
              <w:right w:val="nil"/>
            </w:tcBorders>
            <w:shd w:val="clear" w:color="auto" w:fill="auto"/>
            <w:noWrap/>
            <w:vAlign w:val="bottom"/>
          </w:tcPr>
          <w:p w14:paraId="3FD65C7A" w14:textId="59A29F19" w:rsidR="00B17E4E" w:rsidRPr="00060311" w:rsidRDefault="00B17E4E" w:rsidP="00C1248F">
            <w:pPr>
              <w:rPr>
                <w:rFonts w:ascii="Arial" w:hAnsi="Arial" w:cs="Arial"/>
                <w:b/>
                <w:bCs/>
                <w:color w:val="000000"/>
                <w:sz w:val="18"/>
                <w:szCs w:val="18"/>
              </w:rPr>
            </w:pPr>
            <w:r>
              <w:rPr>
                <w:rFonts w:ascii="Arial" w:hAnsi="Arial" w:cs="Arial"/>
                <w:b/>
                <w:bCs/>
                <w:color w:val="000000"/>
                <w:sz w:val="18"/>
                <w:szCs w:val="18"/>
              </w:rPr>
              <w:t xml:space="preserve">Number of </w:t>
            </w:r>
            <w:r w:rsidR="009B42DB">
              <w:rPr>
                <w:rFonts w:ascii="Arial" w:hAnsi="Arial" w:cs="Arial"/>
                <w:b/>
                <w:bCs/>
                <w:color w:val="000000"/>
                <w:sz w:val="18"/>
                <w:szCs w:val="18"/>
              </w:rPr>
              <w:t>Shares</w:t>
            </w:r>
          </w:p>
        </w:tc>
        <w:tc>
          <w:tcPr>
            <w:tcW w:w="1237" w:type="pct"/>
            <w:tcBorders>
              <w:top w:val="nil"/>
              <w:left w:val="nil"/>
              <w:bottom w:val="nil"/>
              <w:right w:val="nil"/>
            </w:tcBorders>
            <w:shd w:val="clear" w:color="auto" w:fill="auto"/>
            <w:noWrap/>
            <w:vAlign w:val="bottom"/>
          </w:tcPr>
          <w:p w14:paraId="1DA69AF9" w14:textId="06205DF8" w:rsidR="00B17E4E" w:rsidRPr="00BD644A" w:rsidRDefault="00B17E4E" w:rsidP="00936199">
            <w:pPr>
              <w:jc w:val="right"/>
              <w:rPr>
                <w:rFonts w:ascii="Arial" w:hAnsi="Arial" w:cs="Arial"/>
                <w:bCs/>
                <w:color w:val="000000"/>
                <w:sz w:val="18"/>
                <w:szCs w:val="18"/>
              </w:rPr>
            </w:pPr>
            <w:r w:rsidRPr="00BD644A">
              <w:rPr>
                <w:rFonts w:ascii="Arial" w:hAnsi="Arial" w:cs="Arial"/>
                <w:bCs/>
                <w:color w:val="000000"/>
                <w:sz w:val="18"/>
                <w:szCs w:val="18"/>
              </w:rPr>
              <w:t>4,255,980,000</w:t>
            </w:r>
          </w:p>
        </w:tc>
        <w:tc>
          <w:tcPr>
            <w:tcW w:w="300" w:type="pct"/>
            <w:tcBorders>
              <w:top w:val="nil"/>
              <w:left w:val="nil"/>
              <w:bottom w:val="nil"/>
              <w:right w:val="nil"/>
            </w:tcBorders>
            <w:shd w:val="clear" w:color="auto" w:fill="auto"/>
            <w:noWrap/>
            <w:vAlign w:val="bottom"/>
          </w:tcPr>
          <w:p w14:paraId="1B941674" w14:textId="77777777" w:rsidR="00B17E4E" w:rsidRPr="00060311" w:rsidRDefault="00B17E4E" w:rsidP="00936199">
            <w:pPr>
              <w:jc w:val="right"/>
              <w:rPr>
                <w:rFonts w:ascii="Arial" w:hAnsi="Arial" w:cs="Arial"/>
                <w:sz w:val="18"/>
                <w:szCs w:val="18"/>
              </w:rPr>
            </w:pPr>
          </w:p>
        </w:tc>
        <w:tc>
          <w:tcPr>
            <w:tcW w:w="1378" w:type="pct"/>
            <w:tcBorders>
              <w:top w:val="nil"/>
              <w:left w:val="nil"/>
              <w:bottom w:val="nil"/>
              <w:right w:val="nil"/>
            </w:tcBorders>
            <w:shd w:val="clear" w:color="auto" w:fill="auto"/>
            <w:noWrap/>
            <w:vAlign w:val="bottom"/>
          </w:tcPr>
          <w:p w14:paraId="1B2E2B5F" w14:textId="22C194BD" w:rsidR="00B17E4E" w:rsidRPr="00060311" w:rsidRDefault="00B17E4E" w:rsidP="00936199">
            <w:pPr>
              <w:jc w:val="right"/>
              <w:rPr>
                <w:rFonts w:ascii="Arial" w:hAnsi="Arial" w:cs="Arial"/>
                <w:sz w:val="18"/>
                <w:szCs w:val="18"/>
              </w:rPr>
            </w:pPr>
            <w:r>
              <w:rPr>
                <w:rFonts w:ascii="Arial" w:hAnsi="Arial" w:cs="Arial"/>
                <w:sz w:val="18"/>
                <w:szCs w:val="18"/>
              </w:rPr>
              <w:t>3,909,675,000</w:t>
            </w:r>
          </w:p>
        </w:tc>
      </w:tr>
      <w:tr w:rsidR="00CF7E82" w14:paraId="4C3E1AAD" w14:textId="77777777" w:rsidTr="00E20FE5">
        <w:trPr>
          <w:trHeight w:val="285"/>
        </w:trPr>
        <w:tc>
          <w:tcPr>
            <w:tcW w:w="2085" w:type="pct"/>
            <w:gridSpan w:val="2"/>
            <w:tcBorders>
              <w:top w:val="nil"/>
              <w:left w:val="nil"/>
              <w:bottom w:val="nil"/>
              <w:right w:val="nil"/>
            </w:tcBorders>
            <w:shd w:val="clear" w:color="auto" w:fill="auto"/>
            <w:noWrap/>
            <w:vAlign w:val="bottom"/>
          </w:tcPr>
          <w:p w14:paraId="373D590F" w14:textId="31B5A16A" w:rsidR="00CF7E82" w:rsidRDefault="00CF7E82" w:rsidP="00C1248F">
            <w:pPr>
              <w:rPr>
                <w:rFonts w:ascii="Arial" w:hAnsi="Arial" w:cs="Arial"/>
                <w:b/>
                <w:bCs/>
                <w:color w:val="000000"/>
                <w:sz w:val="18"/>
                <w:szCs w:val="18"/>
              </w:rPr>
            </w:pPr>
            <w:r>
              <w:rPr>
                <w:rFonts w:ascii="Arial" w:hAnsi="Arial" w:cs="Arial"/>
                <w:b/>
                <w:bCs/>
                <w:color w:val="000000"/>
                <w:sz w:val="18"/>
                <w:szCs w:val="18"/>
              </w:rPr>
              <w:t>Terminal Growth Rate</w:t>
            </w:r>
            <w:r w:rsidR="00477C3E">
              <w:rPr>
                <w:rFonts w:ascii="Arial" w:hAnsi="Arial" w:cs="Arial"/>
                <w:b/>
                <w:bCs/>
                <w:color w:val="000000"/>
                <w:sz w:val="18"/>
                <w:szCs w:val="18"/>
              </w:rPr>
              <w:t xml:space="preserve"> (assumed)</w:t>
            </w:r>
          </w:p>
        </w:tc>
        <w:tc>
          <w:tcPr>
            <w:tcW w:w="1237" w:type="pct"/>
            <w:tcBorders>
              <w:top w:val="nil"/>
              <w:left w:val="nil"/>
              <w:bottom w:val="nil"/>
              <w:right w:val="nil"/>
            </w:tcBorders>
            <w:shd w:val="clear" w:color="auto" w:fill="auto"/>
            <w:noWrap/>
            <w:vAlign w:val="bottom"/>
          </w:tcPr>
          <w:p w14:paraId="478E5975" w14:textId="77777777" w:rsidR="00CF7E82" w:rsidRDefault="00CF7E82" w:rsidP="00936199">
            <w:pPr>
              <w:jc w:val="right"/>
              <w:rPr>
                <w:rFonts w:ascii="Arial" w:hAnsi="Arial" w:cs="Arial"/>
                <w:b/>
                <w:bCs/>
                <w:color w:val="000000"/>
                <w:sz w:val="18"/>
                <w:szCs w:val="18"/>
              </w:rPr>
            </w:pPr>
          </w:p>
        </w:tc>
        <w:tc>
          <w:tcPr>
            <w:tcW w:w="300" w:type="pct"/>
            <w:tcBorders>
              <w:top w:val="nil"/>
              <w:left w:val="nil"/>
              <w:bottom w:val="nil"/>
              <w:right w:val="nil"/>
            </w:tcBorders>
            <w:shd w:val="clear" w:color="auto" w:fill="auto"/>
            <w:noWrap/>
            <w:vAlign w:val="bottom"/>
          </w:tcPr>
          <w:p w14:paraId="3B0AC282" w14:textId="77777777" w:rsidR="00CF7E82" w:rsidRPr="00060311" w:rsidRDefault="00CF7E82" w:rsidP="00936199">
            <w:pPr>
              <w:jc w:val="right"/>
              <w:rPr>
                <w:rFonts w:ascii="Arial" w:hAnsi="Arial" w:cs="Arial"/>
                <w:sz w:val="18"/>
                <w:szCs w:val="18"/>
              </w:rPr>
            </w:pPr>
          </w:p>
        </w:tc>
        <w:tc>
          <w:tcPr>
            <w:tcW w:w="1378" w:type="pct"/>
            <w:tcBorders>
              <w:top w:val="nil"/>
              <w:left w:val="nil"/>
              <w:bottom w:val="nil"/>
              <w:right w:val="nil"/>
            </w:tcBorders>
            <w:shd w:val="clear" w:color="auto" w:fill="auto"/>
            <w:noWrap/>
            <w:vAlign w:val="bottom"/>
          </w:tcPr>
          <w:p w14:paraId="26D4C95F" w14:textId="360BAF17" w:rsidR="00CF7E82" w:rsidRDefault="00CF7E82" w:rsidP="00936199">
            <w:pPr>
              <w:jc w:val="right"/>
              <w:rPr>
                <w:rFonts w:ascii="Arial" w:hAnsi="Arial" w:cs="Arial"/>
                <w:sz w:val="18"/>
                <w:szCs w:val="18"/>
              </w:rPr>
            </w:pPr>
            <w:r>
              <w:rPr>
                <w:rFonts w:ascii="Arial" w:hAnsi="Arial" w:cs="Arial"/>
                <w:sz w:val="18"/>
                <w:szCs w:val="18"/>
              </w:rPr>
              <w:t>3%</w:t>
            </w:r>
          </w:p>
        </w:tc>
      </w:tr>
      <w:tr w:rsidR="00E95B7F" w14:paraId="6A1FE4AF" w14:textId="77777777" w:rsidTr="00E20FE5">
        <w:trPr>
          <w:trHeight w:val="285"/>
        </w:trPr>
        <w:tc>
          <w:tcPr>
            <w:tcW w:w="2085" w:type="pct"/>
            <w:gridSpan w:val="2"/>
            <w:tcBorders>
              <w:top w:val="nil"/>
              <w:left w:val="nil"/>
              <w:bottom w:val="nil"/>
              <w:right w:val="nil"/>
            </w:tcBorders>
            <w:shd w:val="clear" w:color="auto" w:fill="auto"/>
            <w:noWrap/>
            <w:vAlign w:val="bottom"/>
            <w:hideMark/>
          </w:tcPr>
          <w:p w14:paraId="53178E60" w14:textId="7E414288" w:rsidR="00CF7E82" w:rsidRDefault="00CF7E82">
            <w:pPr>
              <w:rPr>
                <w:rFonts w:ascii="Arial" w:hAnsi="Arial" w:cs="Arial"/>
                <w:b/>
                <w:bCs/>
                <w:color w:val="000000"/>
                <w:sz w:val="18"/>
                <w:szCs w:val="18"/>
              </w:rPr>
            </w:pPr>
          </w:p>
          <w:p w14:paraId="1354DC21" w14:textId="77777777" w:rsidR="00CF7E82" w:rsidRDefault="00CF7E82">
            <w:pPr>
              <w:rPr>
                <w:rFonts w:ascii="Arial" w:hAnsi="Arial" w:cs="Arial"/>
                <w:b/>
                <w:bCs/>
                <w:color w:val="000000"/>
                <w:sz w:val="18"/>
                <w:szCs w:val="18"/>
              </w:rPr>
            </w:pPr>
          </w:p>
          <w:p w14:paraId="60528A08" w14:textId="77777777" w:rsidR="00E95B7F" w:rsidRPr="00060311" w:rsidRDefault="00E95B7F">
            <w:pPr>
              <w:rPr>
                <w:rFonts w:ascii="Arial" w:hAnsi="Arial" w:cs="Arial"/>
                <w:b/>
                <w:bCs/>
                <w:color w:val="000000"/>
                <w:sz w:val="18"/>
                <w:szCs w:val="18"/>
              </w:rPr>
            </w:pPr>
            <w:r w:rsidRPr="00060311">
              <w:rPr>
                <w:rFonts w:ascii="Arial" w:hAnsi="Arial" w:cs="Arial"/>
                <w:b/>
                <w:bCs/>
                <w:color w:val="000000"/>
                <w:sz w:val="18"/>
                <w:szCs w:val="18"/>
              </w:rPr>
              <w:t xml:space="preserve">Dividend History </w:t>
            </w:r>
          </w:p>
        </w:tc>
        <w:tc>
          <w:tcPr>
            <w:tcW w:w="1237" w:type="pct"/>
            <w:tcBorders>
              <w:top w:val="nil"/>
              <w:left w:val="nil"/>
              <w:bottom w:val="nil"/>
              <w:right w:val="nil"/>
            </w:tcBorders>
            <w:shd w:val="clear" w:color="auto" w:fill="auto"/>
            <w:noWrap/>
            <w:vAlign w:val="bottom"/>
            <w:hideMark/>
          </w:tcPr>
          <w:p w14:paraId="59864333" w14:textId="77777777" w:rsidR="00E95B7F" w:rsidRPr="00060311" w:rsidRDefault="00E95B7F" w:rsidP="00936199">
            <w:pPr>
              <w:jc w:val="right"/>
              <w:rPr>
                <w:rFonts w:ascii="Arial" w:hAnsi="Arial" w:cs="Arial"/>
                <w:b/>
                <w:bCs/>
                <w:color w:val="000000"/>
                <w:sz w:val="18"/>
                <w:szCs w:val="18"/>
              </w:rPr>
            </w:pPr>
          </w:p>
        </w:tc>
        <w:tc>
          <w:tcPr>
            <w:tcW w:w="300" w:type="pct"/>
            <w:tcBorders>
              <w:top w:val="nil"/>
              <w:left w:val="nil"/>
              <w:bottom w:val="nil"/>
              <w:right w:val="nil"/>
            </w:tcBorders>
            <w:shd w:val="clear" w:color="auto" w:fill="auto"/>
            <w:noWrap/>
            <w:vAlign w:val="bottom"/>
            <w:hideMark/>
          </w:tcPr>
          <w:p w14:paraId="0ECCE3C2" w14:textId="77777777" w:rsidR="00E95B7F" w:rsidRPr="00060311" w:rsidRDefault="00E95B7F" w:rsidP="00936199">
            <w:pPr>
              <w:jc w:val="right"/>
              <w:rPr>
                <w:rFonts w:ascii="Arial" w:hAnsi="Arial" w:cs="Arial"/>
                <w:sz w:val="18"/>
                <w:szCs w:val="18"/>
              </w:rPr>
            </w:pPr>
          </w:p>
        </w:tc>
        <w:tc>
          <w:tcPr>
            <w:tcW w:w="1378" w:type="pct"/>
            <w:tcBorders>
              <w:top w:val="nil"/>
              <w:left w:val="nil"/>
              <w:bottom w:val="nil"/>
              <w:right w:val="nil"/>
            </w:tcBorders>
            <w:shd w:val="clear" w:color="auto" w:fill="auto"/>
            <w:noWrap/>
            <w:vAlign w:val="bottom"/>
            <w:hideMark/>
          </w:tcPr>
          <w:p w14:paraId="654A2FFD" w14:textId="77777777" w:rsidR="00E95B7F" w:rsidRPr="00060311" w:rsidRDefault="00E95B7F" w:rsidP="00936199">
            <w:pPr>
              <w:jc w:val="right"/>
              <w:rPr>
                <w:rFonts w:ascii="Arial" w:hAnsi="Arial" w:cs="Arial"/>
                <w:sz w:val="18"/>
                <w:szCs w:val="18"/>
              </w:rPr>
            </w:pPr>
          </w:p>
        </w:tc>
      </w:tr>
      <w:tr w:rsidR="00E95B7F" w14:paraId="663E9DB9" w14:textId="77777777" w:rsidTr="00F035A0">
        <w:trPr>
          <w:trHeight w:val="450"/>
        </w:trPr>
        <w:tc>
          <w:tcPr>
            <w:tcW w:w="901" w:type="pct"/>
            <w:tcBorders>
              <w:top w:val="nil"/>
              <w:left w:val="nil"/>
              <w:bottom w:val="nil"/>
              <w:right w:val="nil"/>
            </w:tcBorders>
            <w:shd w:val="clear" w:color="auto" w:fill="auto"/>
            <w:noWrap/>
            <w:vAlign w:val="bottom"/>
            <w:hideMark/>
          </w:tcPr>
          <w:p w14:paraId="6494FD5E" w14:textId="77777777" w:rsidR="00E95B7F" w:rsidRPr="00060311" w:rsidRDefault="00E95B7F">
            <w:pPr>
              <w:rPr>
                <w:rFonts w:ascii="Arial" w:hAnsi="Arial" w:cs="Arial"/>
                <w:sz w:val="18"/>
                <w:szCs w:val="18"/>
              </w:rPr>
            </w:pPr>
          </w:p>
        </w:tc>
        <w:tc>
          <w:tcPr>
            <w:tcW w:w="1184" w:type="pct"/>
            <w:tcBorders>
              <w:top w:val="nil"/>
              <w:left w:val="nil"/>
              <w:bottom w:val="single" w:sz="4" w:space="0" w:color="auto"/>
              <w:right w:val="nil"/>
            </w:tcBorders>
            <w:shd w:val="clear" w:color="auto" w:fill="auto"/>
            <w:noWrap/>
            <w:vAlign w:val="bottom"/>
            <w:hideMark/>
          </w:tcPr>
          <w:p w14:paraId="42C8D94A" w14:textId="77777777" w:rsidR="00E95B7F" w:rsidRPr="00060311" w:rsidRDefault="00E95B7F">
            <w:pPr>
              <w:rPr>
                <w:rFonts w:ascii="Arial" w:hAnsi="Arial" w:cs="Arial"/>
                <w:b/>
                <w:bCs/>
                <w:color w:val="000000"/>
                <w:sz w:val="18"/>
                <w:szCs w:val="18"/>
              </w:rPr>
            </w:pPr>
            <w:r w:rsidRPr="00060311">
              <w:rPr>
                <w:rFonts w:ascii="Arial" w:hAnsi="Arial" w:cs="Arial"/>
                <w:b/>
                <w:bCs/>
                <w:color w:val="000000"/>
                <w:sz w:val="18"/>
                <w:szCs w:val="18"/>
              </w:rPr>
              <w:t>Year</w:t>
            </w:r>
          </w:p>
        </w:tc>
        <w:tc>
          <w:tcPr>
            <w:tcW w:w="1237" w:type="pct"/>
            <w:tcBorders>
              <w:top w:val="nil"/>
              <w:left w:val="nil"/>
              <w:bottom w:val="single" w:sz="4" w:space="0" w:color="auto"/>
              <w:right w:val="nil"/>
            </w:tcBorders>
            <w:shd w:val="clear" w:color="auto" w:fill="auto"/>
            <w:vAlign w:val="bottom"/>
            <w:hideMark/>
          </w:tcPr>
          <w:p w14:paraId="2E44B311" w14:textId="77777777" w:rsidR="00E95B7F" w:rsidRPr="00060311" w:rsidRDefault="00E95B7F" w:rsidP="00936199">
            <w:pPr>
              <w:jc w:val="right"/>
              <w:rPr>
                <w:rFonts w:ascii="Arial" w:hAnsi="Arial" w:cs="Arial"/>
                <w:b/>
                <w:bCs/>
                <w:color w:val="000000"/>
                <w:sz w:val="18"/>
                <w:szCs w:val="18"/>
              </w:rPr>
            </w:pPr>
            <w:r w:rsidRPr="00060311">
              <w:rPr>
                <w:rFonts w:ascii="Arial" w:hAnsi="Arial" w:cs="Arial"/>
                <w:b/>
                <w:bCs/>
                <w:color w:val="000000"/>
                <w:sz w:val="18"/>
                <w:szCs w:val="18"/>
              </w:rPr>
              <w:t>Payout Ratio</w:t>
            </w:r>
            <w:r w:rsidR="00540C9A" w:rsidRPr="00060311">
              <w:rPr>
                <w:rFonts w:ascii="Arial" w:hAnsi="Arial" w:cs="Arial"/>
                <w:b/>
                <w:bCs/>
                <w:color w:val="000000"/>
                <w:sz w:val="18"/>
                <w:szCs w:val="18"/>
              </w:rPr>
              <w:t xml:space="preserve">* </w:t>
            </w:r>
            <w:r w:rsidRPr="00060311">
              <w:rPr>
                <w:rFonts w:ascii="Arial" w:hAnsi="Arial" w:cs="Arial"/>
                <w:b/>
                <w:bCs/>
                <w:color w:val="000000"/>
                <w:sz w:val="18"/>
                <w:szCs w:val="18"/>
              </w:rPr>
              <w:t>(%)</w:t>
            </w:r>
            <w:r w:rsidRPr="00060311">
              <w:rPr>
                <w:rFonts w:ascii="Arial" w:hAnsi="Arial" w:cs="Arial"/>
                <w:b/>
                <w:bCs/>
                <w:color w:val="000000"/>
                <w:sz w:val="18"/>
                <w:szCs w:val="18"/>
              </w:rPr>
              <w:br/>
              <w:t>CapitaLand</w:t>
            </w:r>
          </w:p>
        </w:tc>
        <w:tc>
          <w:tcPr>
            <w:tcW w:w="300" w:type="pct"/>
            <w:tcBorders>
              <w:top w:val="nil"/>
              <w:left w:val="nil"/>
              <w:bottom w:val="nil"/>
              <w:right w:val="nil"/>
            </w:tcBorders>
            <w:shd w:val="clear" w:color="auto" w:fill="auto"/>
            <w:noWrap/>
            <w:vAlign w:val="bottom"/>
            <w:hideMark/>
          </w:tcPr>
          <w:p w14:paraId="1C965C15" w14:textId="77777777" w:rsidR="00E95B7F" w:rsidRPr="00060311" w:rsidRDefault="00E95B7F" w:rsidP="00936199">
            <w:pPr>
              <w:jc w:val="right"/>
              <w:rPr>
                <w:rFonts w:ascii="Arial" w:hAnsi="Arial" w:cs="Arial"/>
                <w:b/>
                <w:bCs/>
                <w:color w:val="000000"/>
                <w:sz w:val="18"/>
                <w:szCs w:val="18"/>
              </w:rPr>
            </w:pPr>
          </w:p>
        </w:tc>
        <w:tc>
          <w:tcPr>
            <w:tcW w:w="1378" w:type="pct"/>
            <w:tcBorders>
              <w:top w:val="nil"/>
              <w:left w:val="nil"/>
              <w:bottom w:val="single" w:sz="4" w:space="0" w:color="auto"/>
              <w:right w:val="nil"/>
            </w:tcBorders>
            <w:shd w:val="clear" w:color="auto" w:fill="auto"/>
            <w:vAlign w:val="bottom"/>
            <w:hideMark/>
          </w:tcPr>
          <w:p w14:paraId="4F57615A" w14:textId="77777777" w:rsidR="00E95B7F" w:rsidRPr="00060311" w:rsidRDefault="00E95B7F" w:rsidP="00936199">
            <w:pPr>
              <w:jc w:val="right"/>
              <w:rPr>
                <w:rFonts w:ascii="Arial" w:hAnsi="Arial" w:cs="Arial"/>
                <w:b/>
                <w:bCs/>
                <w:color w:val="000000"/>
                <w:sz w:val="18"/>
                <w:szCs w:val="18"/>
              </w:rPr>
            </w:pPr>
            <w:r w:rsidRPr="00060311">
              <w:rPr>
                <w:rFonts w:ascii="Arial" w:hAnsi="Arial" w:cs="Arial"/>
                <w:b/>
                <w:bCs/>
                <w:color w:val="000000"/>
                <w:sz w:val="18"/>
                <w:szCs w:val="18"/>
              </w:rPr>
              <w:t>Payout Ratio</w:t>
            </w:r>
            <w:r w:rsidR="00540C9A" w:rsidRPr="00060311">
              <w:rPr>
                <w:rFonts w:ascii="Arial" w:hAnsi="Arial" w:cs="Arial"/>
                <w:b/>
                <w:bCs/>
                <w:color w:val="000000"/>
                <w:sz w:val="18"/>
                <w:szCs w:val="18"/>
              </w:rPr>
              <w:t xml:space="preserve"> </w:t>
            </w:r>
            <w:r w:rsidRPr="00060311">
              <w:rPr>
                <w:rFonts w:ascii="Arial" w:hAnsi="Arial" w:cs="Arial"/>
                <w:b/>
                <w:bCs/>
                <w:color w:val="000000"/>
                <w:sz w:val="18"/>
                <w:szCs w:val="18"/>
              </w:rPr>
              <w:t>(%)</w:t>
            </w:r>
            <w:r w:rsidRPr="00060311">
              <w:rPr>
                <w:rFonts w:ascii="Arial" w:hAnsi="Arial" w:cs="Arial"/>
                <w:b/>
                <w:bCs/>
                <w:color w:val="000000"/>
                <w:sz w:val="18"/>
                <w:szCs w:val="18"/>
              </w:rPr>
              <w:br/>
              <w:t>CapitaMalls Asia</w:t>
            </w:r>
          </w:p>
        </w:tc>
      </w:tr>
      <w:tr w:rsidR="00E95B7F" w14:paraId="3504B581" w14:textId="77777777" w:rsidTr="006A3328">
        <w:trPr>
          <w:trHeight w:val="285"/>
        </w:trPr>
        <w:tc>
          <w:tcPr>
            <w:tcW w:w="901" w:type="pct"/>
            <w:tcBorders>
              <w:top w:val="nil"/>
              <w:left w:val="nil"/>
              <w:bottom w:val="nil"/>
              <w:right w:val="nil"/>
            </w:tcBorders>
            <w:shd w:val="clear" w:color="auto" w:fill="auto"/>
            <w:noWrap/>
            <w:vAlign w:val="bottom"/>
            <w:hideMark/>
          </w:tcPr>
          <w:p w14:paraId="0B35AEDB" w14:textId="77777777" w:rsidR="00E95B7F" w:rsidRPr="00060311" w:rsidRDefault="00E95B7F">
            <w:pPr>
              <w:jc w:val="center"/>
              <w:rPr>
                <w:rFonts w:ascii="Arial" w:hAnsi="Arial" w:cs="Arial"/>
                <w:b/>
                <w:bCs/>
                <w:color w:val="000000"/>
                <w:sz w:val="18"/>
                <w:szCs w:val="18"/>
              </w:rPr>
            </w:pPr>
          </w:p>
        </w:tc>
        <w:tc>
          <w:tcPr>
            <w:tcW w:w="1184" w:type="pct"/>
            <w:tcBorders>
              <w:top w:val="nil"/>
              <w:left w:val="nil"/>
              <w:bottom w:val="nil"/>
              <w:right w:val="nil"/>
            </w:tcBorders>
            <w:shd w:val="clear" w:color="auto" w:fill="auto"/>
            <w:noWrap/>
            <w:vAlign w:val="bottom"/>
            <w:hideMark/>
          </w:tcPr>
          <w:p w14:paraId="2581C993" w14:textId="77777777" w:rsidR="00E95B7F" w:rsidRPr="00060311" w:rsidRDefault="00E95B7F" w:rsidP="00401137">
            <w:pPr>
              <w:rPr>
                <w:rFonts w:ascii="Arial" w:hAnsi="Arial" w:cs="Arial"/>
                <w:color w:val="000000"/>
                <w:sz w:val="18"/>
                <w:szCs w:val="18"/>
              </w:rPr>
            </w:pPr>
            <w:r w:rsidRPr="00060311">
              <w:rPr>
                <w:rFonts w:ascii="Arial" w:hAnsi="Arial" w:cs="Arial"/>
                <w:color w:val="000000"/>
                <w:sz w:val="18"/>
                <w:szCs w:val="18"/>
              </w:rPr>
              <w:t>2006</w:t>
            </w:r>
          </w:p>
        </w:tc>
        <w:tc>
          <w:tcPr>
            <w:tcW w:w="1237" w:type="pct"/>
            <w:tcBorders>
              <w:top w:val="nil"/>
              <w:left w:val="nil"/>
              <w:bottom w:val="nil"/>
              <w:right w:val="nil"/>
            </w:tcBorders>
            <w:shd w:val="clear" w:color="auto" w:fill="auto"/>
            <w:noWrap/>
            <w:vAlign w:val="bottom"/>
            <w:hideMark/>
          </w:tcPr>
          <w:p w14:paraId="7F1EC0D9" w14:textId="4F4ECE4D" w:rsidR="00E95B7F" w:rsidRPr="00060311" w:rsidRDefault="00E95B7F" w:rsidP="00C1248F">
            <w:pPr>
              <w:jc w:val="right"/>
              <w:rPr>
                <w:rFonts w:ascii="Arial" w:hAnsi="Arial" w:cs="Arial"/>
                <w:color w:val="000000"/>
                <w:sz w:val="18"/>
                <w:szCs w:val="18"/>
              </w:rPr>
            </w:pPr>
            <w:r w:rsidRPr="00060311">
              <w:rPr>
                <w:rFonts w:ascii="Arial" w:hAnsi="Arial" w:cs="Arial"/>
                <w:color w:val="000000"/>
                <w:sz w:val="18"/>
                <w:szCs w:val="18"/>
              </w:rPr>
              <w:t>32.1673</w:t>
            </w:r>
          </w:p>
        </w:tc>
        <w:tc>
          <w:tcPr>
            <w:tcW w:w="300" w:type="pct"/>
            <w:tcBorders>
              <w:top w:val="nil"/>
              <w:left w:val="nil"/>
              <w:bottom w:val="nil"/>
              <w:right w:val="nil"/>
            </w:tcBorders>
            <w:shd w:val="clear" w:color="auto" w:fill="auto"/>
            <w:noWrap/>
            <w:vAlign w:val="bottom"/>
            <w:hideMark/>
          </w:tcPr>
          <w:p w14:paraId="59D94ABA" w14:textId="77777777" w:rsidR="00E95B7F" w:rsidRPr="00060311" w:rsidRDefault="00E95B7F" w:rsidP="00936199">
            <w:pPr>
              <w:jc w:val="right"/>
              <w:rPr>
                <w:rFonts w:ascii="Arial" w:hAnsi="Arial" w:cs="Arial"/>
                <w:color w:val="000000"/>
                <w:sz w:val="18"/>
                <w:szCs w:val="18"/>
              </w:rPr>
            </w:pPr>
          </w:p>
        </w:tc>
        <w:tc>
          <w:tcPr>
            <w:tcW w:w="1378" w:type="pct"/>
            <w:tcBorders>
              <w:top w:val="nil"/>
              <w:left w:val="nil"/>
              <w:bottom w:val="nil"/>
              <w:right w:val="nil"/>
            </w:tcBorders>
            <w:shd w:val="clear" w:color="auto" w:fill="auto"/>
            <w:noWrap/>
            <w:vAlign w:val="bottom"/>
            <w:hideMark/>
          </w:tcPr>
          <w:p w14:paraId="0014B231" w14:textId="2CF78FAA" w:rsidR="00E95B7F" w:rsidRPr="00060311" w:rsidRDefault="00957DD4" w:rsidP="00936199">
            <w:pPr>
              <w:jc w:val="right"/>
              <w:rPr>
                <w:rFonts w:ascii="Arial" w:hAnsi="Arial" w:cs="Arial"/>
                <w:color w:val="000000"/>
                <w:sz w:val="18"/>
                <w:szCs w:val="18"/>
              </w:rPr>
            </w:pPr>
            <w:r>
              <w:rPr>
                <w:rFonts w:ascii="Arial" w:hAnsi="Arial" w:cs="Arial"/>
                <w:color w:val="000000"/>
                <w:sz w:val="18"/>
                <w:szCs w:val="18"/>
              </w:rPr>
              <w:t xml:space="preserve"> </w:t>
            </w:r>
          </w:p>
        </w:tc>
      </w:tr>
      <w:tr w:rsidR="00E95B7F" w14:paraId="160CC9CD" w14:textId="77777777" w:rsidTr="006A3328">
        <w:trPr>
          <w:trHeight w:val="285"/>
        </w:trPr>
        <w:tc>
          <w:tcPr>
            <w:tcW w:w="901" w:type="pct"/>
            <w:tcBorders>
              <w:top w:val="nil"/>
              <w:left w:val="nil"/>
              <w:bottom w:val="nil"/>
              <w:right w:val="nil"/>
            </w:tcBorders>
            <w:shd w:val="clear" w:color="auto" w:fill="auto"/>
            <w:noWrap/>
            <w:vAlign w:val="bottom"/>
            <w:hideMark/>
          </w:tcPr>
          <w:p w14:paraId="10B3D615" w14:textId="77777777" w:rsidR="00E95B7F" w:rsidRPr="00060311" w:rsidRDefault="00E95B7F">
            <w:pPr>
              <w:jc w:val="right"/>
              <w:rPr>
                <w:rFonts w:ascii="Arial" w:hAnsi="Arial" w:cs="Arial"/>
                <w:color w:val="000000"/>
                <w:sz w:val="18"/>
                <w:szCs w:val="18"/>
              </w:rPr>
            </w:pPr>
          </w:p>
        </w:tc>
        <w:tc>
          <w:tcPr>
            <w:tcW w:w="1184" w:type="pct"/>
            <w:tcBorders>
              <w:top w:val="nil"/>
              <w:left w:val="nil"/>
              <w:bottom w:val="nil"/>
              <w:right w:val="nil"/>
            </w:tcBorders>
            <w:shd w:val="clear" w:color="auto" w:fill="auto"/>
            <w:noWrap/>
            <w:vAlign w:val="bottom"/>
            <w:hideMark/>
          </w:tcPr>
          <w:p w14:paraId="5E2897ED" w14:textId="77777777" w:rsidR="00E95B7F" w:rsidRPr="00060311" w:rsidRDefault="00E95B7F" w:rsidP="00401137">
            <w:pPr>
              <w:rPr>
                <w:rFonts w:ascii="Arial" w:hAnsi="Arial" w:cs="Arial"/>
                <w:color w:val="000000"/>
                <w:sz w:val="18"/>
                <w:szCs w:val="18"/>
              </w:rPr>
            </w:pPr>
            <w:r w:rsidRPr="00060311">
              <w:rPr>
                <w:rFonts w:ascii="Arial" w:hAnsi="Arial" w:cs="Arial"/>
                <w:color w:val="000000"/>
                <w:sz w:val="18"/>
                <w:szCs w:val="18"/>
              </w:rPr>
              <w:t>2007</w:t>
            </w:r>
          </w:p>
        </w:tc>
        <w:tc>
          <w:tcPr>
            <w:tcW w:w="1237" w:type="pct"/>
            <w:tcBorders>
              <w:top w:val="nil"/>
              <w:left w:val="nil"/>
              <w:bottom w:val="nil"/>
              <w:right w:val="nil"/>
            </w:tcBorders>
            <w:shd w:val="clear" w:color="auto" w:fill="auto"/>
            <w:noWrap/>
            <w:vAlign w:val="bottom"/>
            <w:hideMark/>
          </w:tcPr>
          <w:p w14:paraId="5659570F" w14:textId="12C43A66" w:rsidR="00E95B7F" w:rsidRPr="00060311" w:rsidRDefault="00E95B7F" w:rsidP="00C1248F">
            <w:pPr>
              <w:jc w:val="right"/>
              <w:rPr>
                <w:rFonts w:ascii="Arial" w:hAnsi="Arial" w:cs="Arial"/>
                <w:color w:val="000000"/>
                <w:sz w:val="18"/>
                <w:szCs w:val="18"/>
              </w:rPr>
            </w:pPr>
            <w:r w:rsidRPr="00060311">
              <w:rPr>
                <w:rFonts w:ascii="Arial" w:hAnsi="Arial" w:cs="Arial"/>
                <w:color w:val="000000"/>
                <w:sz w:val="18"/>
                <w:szCs w:val="18"/>
              </w:rPr>
              <w:t>15.</w:t>
            </w:r>
            <w:r w:rsidR="00803EE5" w:rsidRPr="00060311">
              <w:rPr>
                <w:rFonts w:ascii="Arial" w:hAnsi="Arial" w:cs="Arial"/>
                <w:color w:val="000000"/>
                <w:sz w:val="18"/>
                <w:szCs w:val="18"/>
              </w:rPr>
              <w:t>253</w:t>
            </w:r>
            <w:r w:rsidR="00803EE5">
              <w:rPr>
                <w:rFonts w:ascii="Arial" w:hAnsi="Arial" w:cs="Arial"/>
                <w:color w:val="000000"/>
                <w:sz w:val="18"/>
                <w:szCs w:val="18"/>
              </w:rPr>
              <w:t>8</w:t>
            </w:r>
          </w:p>
        </w:tc>
        <w:tc>
          <w:tcPr>
            <w:tcW w:w="300" w:type="pct"/>
            <w:tcBorders>
              <w:top w:val="nil"/>
              <w:left w:val="nil"/>
              <w:bottom w:val="nil"/>
              <w:right w:val="nil"/>
            </w:tcBorders>
            <w:shd w:val="clear" w:color="auto" w:fill="auto"/>
            <w:noWrap/>
            <w:vAlign w:val="bottom"/>
            <w:hideMark/>
          </w:tcPr>
          <w:p w14:paraId="3C6DACDF" w14:textId="77777777" w:rsidR="00E95B7F" w:rsidRPr="00060311" w:rsidRDefault="00E95B7F" w:rsidP="00936199">
            <w:pPr>
              <w:jc w:val="right"/>
              <w:rPr>
                <w:rFonts w:ascii="Arial" w:hAnsi="Arial" w:cs="Arial"/>
                <w:color w:val="000000"/>
                <w:sz w:val="18"/>
                <w:szCs w:val="18"/>
              </w:rPr>
            </w:pPr>
          </w:p>
        </w:tc>
        <w:tc>
          <w:tcPr>
            <w:tcW w:w="1378" w:type="pct"/>
            <w:tcBorders>
              <w:top w:val="nil"/>
              <w:left w:val="nil"/>
              <w:bottom w:val="nil"/>
              <w:right w:val="nil"/>
            </w:tcBorders>
            <w:shd w:val="clear" w:color="auto" w:fill="auto"/>
            <w:noWrap/>
            <w:vAlign w:val="bottom"/>
            <w:hideMark/>
          </w:tcPr>
          <w:p w14:paraId="568DB95B" w14:textId="304F34D7" w:rsidR="00E95B7F" w:rsidRPr="00060311" w:rsidRDefault="00957DD4" w:rsidP="00936199">
            <w:pPr>
              <w:jc w:val="right"/>
              <w:rPr>
                <w:rFonts w:ascii="Arial" w:hAnsi="Arial" w:cs="Arial"/>
                <w:color w:val="000000"/>
                <w:sz w:val="18"/>
                <w:szCs w:val="18"/>
              </w:rPr>
            </w:pPr>
            <w:r>
              <w:rPr>
                <w:rFonts w:ascii="Arial" w:hAnsi="Arial" w:cs="Arial"/>
                <w:color w:val="000000"/>
                <w:sz w:val="18"/>
                <w:szCs w:val="18"/>
              </w:rPr>
              <w:t xml:space="preserve"> </w:t>
            </w:r>
          </w:p>
        </w:tc>
      </w:tr>
      <w:tr w:rsidR="00E95B7F" w14:paraId="36F4B8FB" w14:textId="77777777" w:rsidTr="006A3328">
        <w:trPr>
          <w:trHeight w:val="285"/>
        </w:trPr>
        <w:tc>
          <w:tcPr>
            <w:tcW w:w="901" w:type="pct"/>
            <w:tcBorders>
              <w:top w:val="nil"/>
              <w:left w:val="nil"/>
              <w:bottom w:val="nil"/>
              <w:right w:val="nil"/>
            </w:tcBorders>
            <w:shd w:val="clear" w:color="auto" w:fill="auto"/>
            <w:noWrap/>
            <w:vAlign w:val="bottom"/>
            <w:hideMark/>
          </w:tcPr>
          <w:p w14:paraId="03A68CFA" w14:textId="77777777" w:rsidR="00E95B7F" w:rsidRPr="00060311" w:rsidRDefault="00E95B7F">
            <w:pPr>
              <w:jc w:val="right"/>
              <w:rPr>
                <w:rFonts w:ascii="Arial" w:hAnsi="Arial" w:cs="Arial"/>
                <w:color w:val="000000"/>
                <w:sz w:val="18"/>
                <w:szCs w:val="18"/>
              </w:rPr>
            </w:pPr>
          </w:p>
        </w:tc>
        <w:tc>
          <w:tcPr>
            <w:tcW w:w="1184" w:type="pct"/>
            <w:tcBorders>
              <w:top w:val="nil"/>
              <w:left w:val="nil"/>
              <w:bottom w:val="nil"/>
              <w:right w:val="nil"/>
            </w:tcBorders>
            <w:shd w:val="clear" w:color="auto" w:fill="auto"/>
            <w:noWrap/>
            <w:vAlign w:val="bottom"/>
            <w:hideMark/>
          </w:tcPr>
          <w:p w14:paraId="277AFB95" w14:textId="77777777" w:rsidR="00E95B7F" w:rsidRPr="00060311" w:rsidRDefault="00E95B7F" w:rsidP="00401137">
            <w:pPr>
              <w:rPr>
                <w:rFonts w:ascii="Arial" w:hAnsi="Arial" w:cs="Arial"/>
                <w:color w:val="000000"/>
                <w:sz w:val="18"/>
                <w:szCs w:val="18"/>
              </w:rPr>
            </w:pPr>
            <w:r w:rsidRPr="00060311">
              <w:rPr>
                <w:rFonts w:ascii="Arial" w:hAnsi="Arial" w:cs="Arial"/>
                <w:color w:val="000000"/>
                <w:sz w:val="18"/>
                <w:szCs w:val="18"/>
              </w:rPr>
              <w:t>2008</w:t>
            </w:r>
          </w:p>
        </w:tc>
        <w:tc>
          <w:tcPr>
            <w:tcW w:w="1237" w:type="pct"/>
            <w:tcBorders>
              <w:top w:val="nil"/>
              <w:left w:val="nil"/>
              <w:bottom w:val="nil"/>
              <w:right w:val="nil"/>
            </w:tcBorders>
            <w:shd w:val="clear" w:color="auto" w:fill="auto"/>
            <w:noWrap/>
            <w:vAlign w:val="bottom"/>
            <w:hideMark/>
          </w:tcPr>
          <w:p w14:paraId="341255C7" w14:textId="6CC7A6A4" w:rsidR="00E95B7F" w:rsidRPr="00060311" w:rsidRDefault="00E95B7F" w:rsidP="00C1248F">
            <w:pPr>
              <w:jc w:val="right"/>
              <w:rPr>
                <w:rFonts w:ascii="Arial" w:hAnsi="Arial" w:cs="Arial"/>
                <w:color w:val="000000"/>
                <w:sz w:val="18"/>
                <w:szCs w:val="18"/>
              </w:rPr>
            </w:pPr>
            <w:r w:rsidRPr="00060311">
              <w:rPr>
                <w:rFonts w:ascii="Arial" w:hAnsi="Arial" w:cs="Arial"/>
                <w:color w:val="000000"/>
                <w:sz w:val="18"/>
                <w:szCs w:val="18"/>
              </w:rPr>
              <w:t>23.5455</w:t>
            </w:r>
          </w:p>
        </w:tc>
        <w:tc>
          <w:tcPr>
            <w:tcW w:w="300" w:type="pct"/>
            <w:tcBorders>
              <w:top w:val="nil"/>
              <w:left w:val="nil"/>
              <w:bottom w:val="nil"/>
              <w:right w:val="nil"/>
            </w:tcBorders>
            <w:shd w:val="clear" w:color="auto" w:fill="auto"/>
            <w:noWrap/>
            <w:vAlign w:val="bottom"/>
            <w:hideMark/>
          </w:tcPr>
          <w:p w14:paraId="3E71742E" w14:textId="77777777" w:rsidR="00E95B7F" w:rsidRPr="00060311" w:rsidRDefault="00E95B7F" w:rsidP="00936199">
            <w:pPr>
              <w:jc w:val="right"/>
              <w:rPr>
                <w:rFonts w:ascii="Arial" w:hAnsi="Arial" w:cs="Arial"/>
                <w:color w:val="000000"/>
                <w:sz w:val="18"/>
                <w:szCs w:val="18"/>
              </w:rPr>
            </w:pPr>
          </w:p>
        </w:tc>
        <w:tc>
          <w:tcPr>
            <w:tcW w:w="1378" w:type="pct"/>
            <w:tcBorders>
              <w:top w:val="nil"/>
              <w:left w:val="nil"/>
              <w:bottom w:val="nil"/>
              <w:right w:val="nil"/>
            </w:tcBorders>
            <w:shd w:val="clear" w:color="auto" w:fill="auto"/>
            <w:noWrap/>
            <w:vAlign w:val="bottom"/>
            <w:hideMark/>
          </w:tcPr>
          <w:p w14:paraId="2182EE17" w14:textId="69AAEBE7" w:rsidR="00E95B7F" w:rsidRPr="00060311" w:rsidRDefault="00957DD4" w:rsidP="00936199">
            <w:pPr>
              <w:jc w:val="right"/>
              <w:rPr>
                <w:rFonts w:ascii="Arial" w:hAnsi="Arial" w:cs="Arial"/>
                <w:color w:val="000000"/>
                <w:sz w:val="18"/>
                <w:szCs w:val="18"/>
              </w:rPr>
            </w:pPr>
            <w:r>
              <w:rPr>
                <w:rFonts w:ascii="Arial" w:hAnsi="Arial" w:cs="Arial"/>
                <w:color w:val="000000"/>
                <w:sz w:val="18"/>
                <w:szCs w:val="18"/>
              </w:rPr>
              <w:t xml:space="preserve"> </w:t>
            </w:r>
          </w:p>
        </w:tc>
      </w:tr>
      <w:tr w:rsidR="00E95B7F" w14:paraId="00844C22" w14:textId="77777777" w:rsidTr="006A3328">
        <w:trPr>
          <w:trHeight w:val="285"/>
        </w:trPr>
        <w:tc>
          <w:tcPr>
            <w:tcW w:w="901" w:type="pct"/>
            <w:tcBorders>
              <w:top w:val="nil"/>
              <w:left w:val="nil"/>
              <w:bottom w:val="nil"/>
              <w:right w:val="nil"/>
            </w:tcBorders>
            <w:shd w:val="clear" w:color="auto" w:fill="auto"/>
            <w:noWrap/>
            <w:vAlign w:val="bottom"/>
            <w:hideMark/>
          </w:tcPr>
          <w:p w14:paraId="656939BE" w14:textId="77777777" w:rsidR="00E95B7F" w:rsidRPr="00060311" w:rsidRDefault="00E95B7F">
            <w:pPr>
              <w:jc w:val="right"/>
              <w:rPr>
                <w:rFonts w:ascii="Arial" w:hAnsi="Arial" w:cs="Arial"/>
                <w:color w:val="000000"/>
                <w:sz w:val="18"/>
                <w:szCs w:val="18"/>
              </w:rPr>
            </w:pPr>
          </w:p>
        </w:tc>
        <w:tc>
          <w:tcPr>
            <w:tcW w:w="1184" w:type="pct"/>
            <w:tcBorders>
              <w:top w:val="nil"/>
              <w:left w:val="nil"/>
              <w:bottom w:val="nil"/>
              <w:right w:val="nil"/>
            </w:tcBorders>
            <w:shd w:val="clear" w:color="auto" w:fill="auto"/>
            <w:noWrap/>
            <w:vAlign w:val="bottom"/>
            <w:hideMark/>
          </w:tcPr>
          <w:p w14:paraId="10D90F95" w14:textId="77777777" w:rsidR="00E95B7F" w:rsidRPr="00060311" w:rsidRDefault="00E95B7F" w:rsidP="00401137">
            <w:pPr>
              <w:rPr>
                <w:rFonts w:ascii="Arial" w:hAnsi="Arial" w:cs="Arial"/>
                <w:color w:val="000000"/>
                <w:sz w:val="18"/>
                <w:szCs w:val="18"/>
              </w:rPr>
            </w:pPr>
            <w:r w:rsidRPr="00060311">
              <w:rPr>
                <w:rFonts w:ascii="Arial" w:hAnsi="Arial" w:cs="Arial"/>
                <w:color w:val="000000"/>
                <w:sz w:val="18"/>
                <w:szCs w:val="18"/>
              </w:rPr>
              <w:t>2009</w:t>
            </w:r>
          </w:p>
        </w:tc>
        <w:tc>
          <w:tcPr>
            <w:tcW w:w="1237" w:type="pct"/>
            <w:tcBorders>
              <w:top w:val="nil"/>
              <w:left w:val="nil"/>
              <w:bottom w:val="nil"/>
              <w:right w:val="nil"/>
            </w:tcBorders>
            <w:shd w:val="clear" w:color="auto" w:fill="auto"/>
            <w:noWrap/>
            <w:vAlign w:val="bottom"/>
            <w:hideMark/>
          </w:tcPr>
          <w:p w14:paraId="72378DA2" w14:textId="5B44F7C7" w:rsidR="00E95B7F" w:rsidRPr="00060311" w:rsidRDefault="00E95B7F" w:rsidP="00C1248F">
            <w:pPr>
              <w:jc w:val="right"/>
              <w:rPr>
                <w:rFonts w:ascii="Arial" w:hAnsi="Arial" w:cs="Arial"/>
                <w:color w:val="000000"/>
                <w:sz w:val="18"/>
                <w:szCs w:val="18"/>
              </w:rPr>
            </w:pPr>
            <w:r w:rsidRPr="00060311">
              <w:rPr>
                <w:rFonts w:ascii="Arial" w:hAnsi="Arial" w:cs="Arial"/>
                <w:color w:val="000000"/>
                <w:sz w:val="18"/>
                <w:szCs w:val="18"/>
              </w:rPr>
              <w:t>42.3568</w:t>
            </w:r>
          </w:p>
        </w:tc>
        <w:tc>
          <w:tcPr>
            <w:tcW w:w="300" w:type="pct"/>
            <w:tcBorders>
              <w:top w:val="nil"/>
              <w:left w:val="nil"/>
              <w:bottom w:val="nil"/>
              <w:right w:val="nil"/>
            </w:tcBorders>
            <w:shd w:val="clear" w:color="auto" w:fill="auto"/>
            <w:noWrap/>
            <w:vAlign w:val="bottom"/>
            <w:hideMark/>
          </w:tcPr>
          <w:p w14:paraId="58417D21" w14:textId="77777777" w:rsidR="00E95B7F" w:rsidRPr="00060311" w:rsidRDefault="00E95B7F" w:rsidP="00936199">
            <w:pPr>
              <w:jc w:val="right"/>
              <w:rPr>
                <w:rFonts w:ascii="Arial" w:hAnsi="Arial" w:cs="Arial"/>
                <w:color w:val="000000"/>
                <w:sz w:val="18"/>
                <w:szCs w:val="18"/>
              </w:rPr>
            </w:pPr>
          </w:p>
        </w:tc>
        <w:tc>
          <w:tcPr>
            <w:tcW w:w="1378" w:type="pct"/>
            <w:tcBorders>
              <w:top w:val="nil"/>
              <w:left w:val="nil"/>
              <w:bottom w:val="nil"/>
              <w:right w:val="nil"/>
            </w:tcBorders>
            <w:shd w:val="clear" w:color="auto" w:fill="auto"/>
            <w:noWrap/>
            <w:vAlign w:val="bottom"/>
            <w:hideMark/>
          </w:tcPr>
          <w:p w14:paraId="636A4FCD" w14:textId="5D28E7EA" w:rsidR="00E95B7F" w:rsidRPr="00060311" w:rsidRDefault="00957DD4" w:rsidP="00936199">
            <w:pPr>
              <w:jc w:val="right"/>
              <w:rPr>
                <w:rFonts w:ascii="Arial" w:hAnsi="Arial" w:cs="Arial"/>
                <w:color w:val="000000"/>
                <w:sz w:val="18"/>
                <w:szCs w:val="18"/>
              </w:rPr>
            </w:pPr>
            <w:r>
              <w:rPr>
                <w:rFonts w:ascii="Arial" w:hAnsi="Arial" w:cs="Arial"/>
                <w:color w:val="000000"/>
                <w:sz w:val="18"/>
                <w:szCs w:val="18"/>
              </w:rPr>
              <w:t xml:space="preserve"> </w:t>
            </w:r>
            <w:r w:rsidR="00E95B7F" w:rsidRPr="00060311">
              <w:rPr>
                <w:rFonts w:ascii="Arial" w:hAnsi="Arial" w:cs="Arial"/>
                <w:color w:val="000000"/>
                <w:sz w:val="18"/>
                <w:szCs w:val="18"/>
              </w:rPr>
              <w:t xml:space="preserve">9.9975 </w:t>
            </w:r>
          </w:p>
        </w:tc>
      </w:tr>
      <w:tr w:rsidR="00E95B7F" w14:paraId="2FE75A6A" w14:textId="77777777" w:rsidTr="006A3328">
        <w:trPr>
          <w:trHeight w:val="285"/>
        </w:trPr>
        <w:tc>
          <w:tcPr>
            <w:tcW w:w="901" w:type="pct"/>
            <w:tcBorders>
              <w:top w:val="nil"/>
              <w:left w:val="nil"/>
              <w:bottom w:val="nil"/>
              <w:right w:val="nil"/>
            </w:tcBorders>
            <w:shd w:val="clear" w:color="auto" w:fill="auto"/>
            <w:noWrap/>
            <w:vAlign w:val="bottom"/>
            <w:hideMark/>
          </w:tcPr>
          <w:p w14:paraId="6E6973F7" w14:textId="77777777" w:rsidR="00E95B7F" w:rsidRPr="00060311" w:rsidRDefault="00E95B7F">
            <w:pPr>
              <w:jc w:val="right"/>
              <w:rPr>
                <w:rFonts w:ascii="Arial" w:hAnsi="Arial" w:cs="Arial"/>
                <w:color w:val="000000"/>
                <w:sz w:val="18"/>
                <w:szCs w:val="18"/>
              </w:rPr>
            </w:pPr>
          </w:p>
        </w:tc>
        <w:tc>
          <w:tcPr>
            <w:tcW w:w="1184" w:type="pct"/>
            <w:tcBorders>
              <w:top w:val="nil"/>
              <w:left w:val="nil"/>
              <w:bottom w:val="nil"/>
              <w:right w:val="nil"/>
            </w:tcBorders>
            <w:shd w:val="clear" w:color="auto" w:fill="auto"/>
            <w:noWrap/>
            <w:vAlign w:val="bottom"/>
            <w:hideMark/>
          </w:tcPr>
          <w:p w14:paraId="5E92ACBC" w14:textId="77777777" w:rsidR="00E95B7F" w:rsidRPr="00060311" w:rsidRDefault="00E95B7F" w:rsidP="00401137">
            <w:pPr>
              <w:rPr>
                <w:rFonts w:ascii="Arial" w:hAnsi="Arial" w:cs="Arial"/>
                <w:color w:val="000000"/>
                <w:sz w:val="18"/>
                <w:szCs w:val="18"/>
              </w:rPr>
            </w:pPr>
            <w:r w:rsidRPr="00060311">
              <w:rPr>
                <w:rFonts w:ascii="Arial" w:hAnsi="Arial" w:cs="Arial"/>
                <w:color w:val="000000"/>
                <w:sz w:val="18"/>
                <w:szCs w:val="18"/>
              </w:rPr>
              <w:t>2010</w:t>
            </w:r>
          </w:p>
        </w:tc>
        <w:tc>
          <w:tcPr>
            <w:tcW w:w="1237" w:type="pct"/>
            <w:tcBorders>
              <w:top w:val="nil"/>
              <w:left w:val="nil"/>
              <w:bottom w:val="nil"/>
              <w:right w:val="nil"/>
            </w:tcBorders>
            <w:shd w:val="clear" w:color="auto" w:fill="auto"/>
            <w:noWrap/>
            <w:vAlign w:val="bottom"/>
            <w:hideMark/>
          </w:tcPr>
          <w:p w14:paraId="3BF9A427" w14:textId="71BD2F5B" w:rsidR="00E95B7F" w:rsidRPr="00060311" w:rsidRDefault="00E95B7F" w:rsidP="00C1248F">
            <w:pPr>
              <w:jc w:val="right"/>
              <w:rPr>
                <w:rFonts w:ascii="Arial" w:hAnsi="Arial" w:cs="Arial"/>
                <w:color w:val="000000"/>
                <w:sz w:val="18"/>
                <w:szCs w:val="18"/>
              </w:rPr>
            </w:pPr>
            <w:r w:rsidRPr="00060311">
              <w:rPr>
                <w:rFonts w:ascii="Arial" w:hAnsi="Arial" w:cs="Arial"/>
                <w:color w:val="000000"/>
                <w:sz w:val="18"/>
                <w:szCs w:val="18"/>
              </w:rPr>
              <w:t>17.</w:t>
            </w:r>
            <w:r w:rsidR="00803EE5" w:rsidRPr="00060311">
              <w:rPr>
                <w:rFonts w:ascii="Arial" w:hAnsi="Arial" w:cs="Arial"/>
                <w:color w:val="000000"/>
                <w:sz w:val="18"/>
                <w:szCs w:val="18"/>
              </w:rPr>
              <w:t>970</w:t>
            </w:r>
            <w:r w:rsidR="00803EE5">
              <w:rPr>
                <w:rFonts w:ascii="Arial" w:hAnsi="Arial" w:cs="Arial"/>
                <w:color w:val="000000"/>
                <w:sz w:val="18"/>
                <w:szCs w:val="18"/>
              </w:rPr>
              <w:t>4</w:t>
            </w:r>
          </w:p>
        </w:tc>
        <w:tc>
          <w:tcPr>
            <w:tcW w:w="300" w:type="pct"/>
            <w:tcBorders>
              <w:top w:val="nil"/>
              <w:left w:val="nil"/>
              <w:bottom w:val="nil"/>
              <w:right w:val="nil"/>
            </w:tcBorders>
            <w:shd w:val="clear" w:color="auto" w:fill="auto"/>
            <w:noWrap/>
            <w:vAlign w:val="bottom"/>
            <w:hideMark/>
          </w:tcPr>
          <w:p w14:paraId="731B4FAC" w14:textId="77777777" w:rsidR="00E95B7F" w:rsidRPr="00060311" w:rsidRDefault="00E95B7F" w:rsidP="00936199">
            <w:pPr>
              <w:jc w:val="right"/>
              <w:rPr>
                <w:rFonts w:ascii="Arial" w:hAnsi="Arial" w:cs="Arial"/>
                <w:color w:val="000000"/>
                <w:sz w:val="18"/>
                <w:szCs w:val="18"/>
              </w:rPr>
            </w:pPr>
          </w:p>
        </w:tc>
        <w:tc>
          <w:tcPr>
            <w:tcW w:w="1378" w:type="pct"/>
            <w:tcBorders>
              <w:top w:val="nil"/>
              <w:left w:val="nil"/>
              <w:bottom w:val="nil"/>
              <w:right w:val="nil"/>
            </w:tcBorders>
            <w:shd w:val="clear" w:color="auto" w:fill="auto"/>
            <w:noWrap/>
            <w:vAlign w:val="bottom"/>
            <w:hideMark/>
          </w:tcPr>
          <w:p w14:paraId="79CC5BB6" w14:textId="0555E489" w:rsidR="00E95B7F" w:rsidRPr="00060311" w:rsidRDefault="00957DD4" w:rsidP="00936199">
            <w:pPr>
              <w:jc w:val="right"/>
              <w:rPr>
                <w:rFonts w:ascii="Arial" w:hAnsi="Arial" w:cs="Arial"/>
                <w:color w:val="000000"/>
                <w:sz w:val="18"/>
                <w:szCs w:val="18"/>
              </w:rPr>
            </w:pPr>
            <w:r>
              <w:rPr>
                <w:rFonts w:ascii="Arial" w:hAnsi="Arial" w:cs="Arial"/>
                <w:color w:val="000000"/>
                <w:sz w:val="18"/>
                <w:szCs w:val="18"/>
              </w:rPr>
              <w:t xml:space="preserve"> </w:t>
            </w:r>
            <w:r w:rsidR="00E95B7F" w:rsidRPr="00060311">
              <w:rPr>
                <w:rFonts w:ascii="Arial" w:hAnsi="Arial" w:cs="Arial"/>
                <w:color w:val="000000"/>
                <w:sz w:val="18"/>
                <w:szCs w:val="18"/>
              </w:rPr>
              <w:t xml:space="preserve">18.4164 </w:t>
            </w:r>
          </w:p>
        </w:tc>
      </w:tr>
      <w:tr w:rsidR="00E95B7F" w14:paraId="74404AA9" w14:textId="77777777" w:rsidTr="006A3328">
        <w:trPr>
          <w:trHeight w:val="285"/>
        </w:trPr>
        <w:tc>
          <w:tcPr>
            <w:tcW w:w="901" w:type="pct"/>
            <w:tcBorders>
              <w:top w:val="nil"/>
              <w:left w:val="nil"/>
              <w:bottom w:val="nil"/>
              <w:right w:val="nil"/>
            </w:tcBorders>
            <w:shd w:val="clear" w:color="auto" w:fill="auto"/>
            <w:noWrap/>
            <w:vAlign w:val="bottom"/>
            <w:hideMark/>
          </w:tcPr>
          <w:p w14:paraId="598473BE" w14:textId="77777777" w:rsidR="00E95B7F" w:rsidRPr="00060311" w:rsidRDefault="00E95B7F">
            <w:pPr>
              <w:jc w:val="right"/>
              <w:rPr>
                <w:rFonts w:ascii="Arial" w:hAnsi="Arial" w:cs="Arial"/>
                <w:color w:val="000000"/>
                <w:sz w:val="18"/>
                <w:szCs w:val="18"/>
              </w:rPr>
            </w:pPr>
          </w:p>
        </w:tc>
        <w:tc>
          <w:tcPr>
            <w:tcW w:w="1184" w:type="pct"/>
            <w:tcBorders>
              <w:top w:val="nil"/>
              <w:left w:val="nil"/>
              <w:bottom w:val="nil"/>
              <w:right w:val="nil"/>
            </w:tcBorders>
            <w:shd w:val="clear" w:color="auto" w:fill="auto"/>
            <w:noWrap/>
            <w:vAlign w:val="bottom"/>
            <w:hideMark/>
          </w:tcPr>
          <w:p w14:paraId="495914B1" w14:textId="77777777" w:rsidR="00E95B7F" w:rsidRPr="00060311" w:rsidRDefault="00E95B7F" w:rsidP="00401137">
            <w:pPr>
              <w:rPr>
                <w:rFonts w:ascii="Arial" w:hAnsi="Arial" w:cs="Arial"/>
                <w:color w:val="000000"/>
                <w:sz w:val="18"/>
                <w:szCs w:val="18"/>
              </w:rPr>
            </w:pPr>
            <w:r w:rsidRPr="00060311">
              <w:rPr>
                <w:rFonts w:ascii="Arial" w:hAnsi="Arial" w:cs="Arial"/>
                <w:color w:val="000000"/>
                <w:sz w:val="18"/>
                <w:szCs w:val="18"/>
              </w:rPr>
              <w:t>2011</w:t>
            </w:r>
          </w:p>
        </w:tc>
        <w:tc>
          <w:tcPr>
            <w:tcW w:w="1237" w:type="pct"/>
            <w:tcBorders>
              <w:top w:val="nil"/>
              <w:left w:val="nil"/>
              <w:bottom w:val="nil"/>
              <w:right w:val="nil"/>
            </w:tcBorders>
            <w:shd w:val="clear" w:color="auto" w:fill="auto"/>
            <w:noWrap/>
            <w:vAlign w:val="bottom"/>
            <w:hideMark/>
          </w:tcPr>
          <w:p w14:paraId="797BADE1" w14:textId="2E2CA52A" w:rsidR="00E95B7F" w:rsidRPr="00060311" w:rsidRDefault="00E95B7F" w:rsidP="00C1248F">
            <w:pPr>
              <w:jc w:val="right"/>
              <w:rPr>
                <w:rFonts w:ascii="Arial" w:hAnsi="Arial" w:cs="Arial"/>
                <w:color w:val="000000"/>
                <w:sz w:val="18"/>
                <w:szCs w:val="18"/>
              </w:rPr>
            </w:pPr>
            <w:r w:rsidRPr="00060311">
              <w:rPr>
                <w:rFonts w:ascii="Arial" w:hAnsi="Arial" w:cs="Arial"/>
                <w:color w:val="000000"/>
                <w:sz w:val="18"/>
                <w:szCs w:val="18"/>
              </w:rPr>
              <w:t>32.</w:t>
            </w:r>
            <w:r w:rsidR="00803EE5" w:rsidRPr="00060311">
              <w:rPr>
                <w:rFonts w:ascii="Arial" w:hAnsi="Arial" w:cs="Arial"/>
                <w:color w:val="000000"/>
                <w:sz w:val="18"/>
                <w:szCs w:val="18"/>
              </w:rPr>
              <w:t>109</w:t>
            </w:r>
            <w:r w:rsidR="00803EE5">
              <w:rPr>
                <w:rFonts w:ascii="Arial" w:hAnsi="Arial" w:cs="Arial"/>
                <w:color w:val="000000"/>
                <w:sz w:val="18"/>
                <w:szCs w:val="18"/>
              </w:rPr>
              <w:t>8</w:t>
            </w:r>
          </w:p>
        </w:tc>
        <w:tc>
          <w:tcPr>
            <w:tcW w:w="300" w:type="pct"/>
            <w:tcBorders>
              <w:top w:val="nil"/>
              <w:left w:val="nil"/>
              <w:bottom w:val="nil"/>
              <w:right w:val="nil"/>
            </w:tcBorders>
            <w:shd w:val="clear" w:color="auto" w:fill="auto"/>
            <w:noWrap/>
            <w:vAlign w:val="bottom"/>
            <w:hideMark/>
          </w:tcPr>
          <w:p w14:paraId="18CA79F1" w14:textId="77777777" w:rsidR="00E95B7F" w:rsidRPr="00060311" w:rsidRDefault="00E95B7F" w:rsidP="00936199">
            <w:pPr>
              <w:jc w:val="right"/>
              <w:rPr>
                <w:rFonts w:ascii="Arial" w:hAnsi="Arial" w:cs="Arial"/>
                <w:color w:val="000000"/>
                <w:sz w:val="18"/>
                <w:szCs w:val="18"/>
              </w:rPr>
            </w:pPr>
          </w:p>
        </w:tc>
        <w:tc>
          <w:tcPr>
            <w:tcW w:w="1378" w:type="pct"/>
            <w:tcBorders>
              <w:top w:val="nil"/>
              <w:left w:val="nil"/>
              <w:bottom w:val="nil"/>
              <w:right w:val="nil"/>
            </w:tcBorders>
            <w:shd w:val="clear" w:color="auto" w:fill="auto"/>
            <w:noWrap/>
            <w:vAlign w:val="bottom"/>
            <w:hideMark/>
          </w:tcPr>
          <w:p w14:paraId="2AB4C6ED" w14:textId="4B2D1E28" w:rsidR="00E95B7F" w:rsidRPr="00060311" w:rsidRDefault="00957DD4" w:rsidP="00936199">
            <w:pPr>
              <w:jc w:val="right"/>
              <w:rPr>
                <w:rFonts w:ascii="Arial" w:hAnsi="Arial" w:cs="Arial"/>
                <w:color w:val="000000"/>
                <w:sz w:val="18"/>
                <w:szCs w:val="18"/>
              </w:rPr>
            </w:pPr>
            <w:r>
              <w:rPr>
                <w:rFonts w:ascii="Arial" w:hAnsi="Arial" w:cs="Arial"/>
                <w:color w:val="000000"/>
                <w:sz w:val="18"/>
                <w:szCs w:val="18"/>
              </w:rPr>
              <w:t xml:space="preserve"> </w:t>
            </w:r>
            <w:r w:rsidR="00E95B7F" w:rsidRPr="00060311">
              <w:rPr>
                <w:rFonts w:ascii="Arial" w:hAnsi="Arial" w:cs="Arial"/>
                <w:color w:val="000000"/>
                <w:sz w:val="18"/>
                <w:szCs w:val="18"/>
              </w:rPr>
              <w:t xml:space="preserve">25.5478 </w:t>
            </w:r>
          </w:p>
        </w:tc>
      </w:tr>
      <w:tr w:rsidR="00E95B7F" w14:paraId="51C0674C" w14:textId="77777777" w:rsidTr="006A3328">
        <w:trPr>
          <w:trHeight w:val="285"/>
        </w:trPr>
        <w:tc>
          <w:tcPr>
            <w:tcW w:w="901" w:type="pct"/>
            <w:tcBorders>
              <w:top w:val="nil"/>
              <w:left w:val="nil"/>
              <w:right w:val="nil"/>
            </w:tcBorders>
            <w:shd w:val="clear" w:color="auto" w:fill="auto"/>
            <w:noWrap/>
            <w:vAlign w:val="bottom"/>
            <w:hideMark/>
          </w:tcPr>
          <w:p w14:paraId="617D2A0E" w14:textId="77777777" w:rsidR="00E95B7F" w:rsidRPr="00060311" w:rsidRDefault="00E95B7F">
            <w:pPr>
              <w:jc w:val="right"/>
              <w:rPr>
                <w:rFonts w:ascii="Arial" w:hAnsi="Arial" w:cs="Arial"/>
                <w:color w:val="000000"/>
                <w:sz w:val="18"/>
                <w:szCs w:val="18"/>
              </w:rPr>
            </w:pPr>
          </w:p>
        </w:tc>
        <w:tc>
          <w:tcPr>
            <w:tcW w:w="1184" w:type="pct"/>
            <w:tcBorders>
              <w:top w:val="nil"/>
              <w:left w:val="nil"/>
              <w:right w:val="nil"/>
            </w:tcBorders>
            <w:shd w:val="clear" w:color="auto" w:fill="auto"/>
            <w:noWrap/>
            <w:vAlign w:val="bottom"/>
            <w:hideMark/>
          </w:tcPr>
          <w:p w14:paraId="19C3543F" w14:textId="77777777" w:rsidR="00E95B7F" w:rsidRPr="00060311" w:rsidRDefault="00E95B7F" w:rsidP="00401137">
            <w:pPr>
              <w:rPr>
                <w:rFonts w:ascii="Arial" w:hAnsi="Arial" w:cs="Arial"/>
                <w:color w:val="000000"/>
                <w:sz w:val="18"/>
                <w:szCs w:val="18"/>
              </w:rPr>
            </w:pPr>
            <w:r w:rsidRPr="00060311">
              <w:rPr>
                <w:rFonts w:ascii="Arial" w:hAnsi="Arial" w:cs="Arial"/>
                <w:color w:val="000000"/>
                <w:sz w:val="18"/>
                <w:szCs w:val="18"/>
              </w:rPr>
              <w:t>2012</w:t>
            </w:r>
          </w:p>
        </w:tc>
        <w:tc>
          <w:tcPr>
            <w:tcW w:w="1237" w:type="pct"/>
            <w:tcBorders>
              <w:top w:val="nil"/>
              <w:left w:val="nil"/>
              <w:right w:val="nil"/>
            </w:tcBorders>
            <w:shd w:val="clear" w:color="auto" w:fill="auto"/>
            <w:noWrap/>
            <w:vAlign w:val="bottom"/>
            <w:hideMark/>
          </w:tcPr>
          <w:p w14:paraId="7583C3B5" w14:textId="640BD1E9" w:rsidR="00E95B7F" w:rsidRPr="00060311" w:rsidRDefault="00E95B7F" w:rsidP="00C1248F">
            <w:pPr>
              <w:jc w:val="right"/>
              <w:rPr>
                <w:rFonts w:ascii="Arial" w:hAnsi="Arial" w:cs="Arial"/>
                <w:color w:val="000000"/>
                <w:sz w:val="18"/>
                <w:szCs w:val="18"/>
              </w:rPr>
            </w:pPr>
            <w:r w:rsidRPr="00060311">
              <w:rPr>
                <w:rFonts w:ascii="Arial" w:hAnsi="Arial" w:cs="Arial"/>
                <w:color w:val="000000"/>
                <w:sz w:val="18"/>
                <w:szCs w:val="18"/>
              </w:rPr>
              <w:t>31.</w:t>
            </w:r>
            <w:r w:rsidR="00803EE5" w:rsidRPr="00060311">
              <w:rPr>
                <w:rFonts w:ascii="Arial" w:hAnsi="Arial" w:cs="Arial"/>
                <w:color w:val="000000"/>
                <w:sz w:val="18"/>
                <w:szCs w:val="18"/>
              </w:rPr>
              <w:t>988</w:t>
            </w:r>
            <w:r w:rsidR="00803EE5">
              <w:rPr>
                <w:rFonts w:ascii="Arial" w:hAnsi="Arial" w:cs="Arial"/>
                <w:color w:val="000000"/>
                <w:sz w:val="18"/>
                <w:szCs w:val="18"/>
              </w:rPr>
              <w:t>1</w:t>
            </w:r>
          </w:p>
        </w:tc>
        <w:tc>
          <w:tcPr>
            <w:tcW w:w="300" w:type="pct"/>
            <w:tcBorders>
              <w:top w:val="nil"/>
              <w:left w:val="nil"/>
              <w:right w:val="nil"/>
            </w:tcBorders>
            <w:shd w:val="clear" w:color="auto" w:fill="auto"/>
            <w:noWrap/>
            <w:vAlign w:val="bottom"/>
            <w:hideMark/>
          </w:tcPr>
          <w:p w14:paraId="5AF7FA40" w14:textId="77777777" w:rsidR="00E95B7F" w:rsidRPr="00060311" w:rsidRDefault="00E95B7F" w:rsidP="00936199">
            <w:pPr>
              <w:jc w:val="right"/>
              <w:rPr>
                <w:rFonts w:ascii="Arial" w:hAnsi="Arial" w:cs="Arial"/>
                <w:color w:val="000000"/>
                <w:sz w:val="18"/>
                <w:szCs w:val="18"/>
              </w:rPr>
            </w:pPr>
          </w:p>
        </w:tc>
        <w:tc>
          <w:tcPr>
            <w:tcW w:w="1378" w:type="pct"/>
            <w:tcBorders>
              <w:top w:val="nil"/>
              <w:left w:val="nil"/>
              <w:right w:val="nil"/>
            </w:tcBorders>
            <w:shd w:val="clear" w:color="auto" w:fill="auto"/>
            <w:noWrap/>
            <w:vAlign w:val="bottom"/>
            <w:hideMark/>
          </w:tcPr>
          <w:p w14:paraId="7648610F" w14:textId="1CEABBD3" w:rsidR="00E95B7F" w:rsidRPr="00060311" w:rsidRDefault="00957DD4" w:rsidP="00936199">
            <w:pPr>
              <w:jc w:val="right"/>
              <w:rPr>
                <w:rFonts w:ascii="Arial" w:hAnsi="Arial" w:cs="Arial"/>
                <w:color w:val="000000"/>
                <w:sz w:val="18"/>
                <w:szCs w:val="18"/>
              </w:rPr>
            </w:pPr>
            <w:r>
              <w:rPr>
                <w:rFonts w:ascii="Arial" w:hAnsi="Arial" w:cs="Arial"/>
                <w:color w:val="000000"/>
                <w:sz w:val="18"/>
                <w:szCs w:val="18"/>
              </w:rPr>
              <w:t xml:space="preserve"> </w:t>
            </w:r>
            <w:r w:rsidR="00E95B7F" w:rsidRPr="00060311">
              <w:rPr>
                <w:rFonts w:ascii="Arial" w:hAnsi="Arial" w:cs="Arial"/>
                <w:color w:val="000000"/>
                <w:sz w:val="18"/>
                <w:szCs w:val="18"/>
              </w:rPr>
              <w:t xml:space="preserve">23.1494 </w:t>
            </w:r>
          </w:p>
        </w:tc>
      </w:tr>
      <w:tr w:rsidR="00E95B7F" w14:paraId="6E5C7E58" w14:textId="77777777" w:rsidTr="00F368CB">
        <w:trPr>
          <w:trHeight w:val="297"/>
        </w:trPr>
        <w:tc>
          <w:tcPr>
            <w:tcW w:w="901" w:type="pct"/>
            <w:tcBorders>
              <w:top w:val="nil"/>
              <w:left w:val="nil"/>
              <w:bottom w:val="double" w:sz="4" w:space="0" w:color="auto"/>
              <w:right w:val="nil"/>
            </w:tcBorders>
            <w:shd w:val="clear" w:color="auto" w:fill="auto"/>
            <w:noWrap/>
            <w:vAlign w:val="bottom"/>
            <w:hideMark/>
          </w:tcPr>
          <w:p w14:paraId="5D47A959" w14:textId="77777777" w:rsidR="00E95B7F" w:rsidRPr="00060311" w:rsidRDefault="00E95B7F">
            <w:pPr>
              <w:jc w:val="right"/>
              <w:rPr>
                <w:rFonts w:ascii="Arial" w:hAnsi="Arial" w:cs="Arial"/>
                <w:color w:val="000000"/>
                <w:sz w:val="18"/>
                <w:szCs w:val="18"/>
              </w:rPr>
            </w:pPr>
          </w:p>
        </w:tc>
        <w:tc>
          <w:tcPr>
            <w:tcW w:w="1184" w:type="pct"/>
            <w:tcBorders>
              <w:top w:val="nil"/>
              <w:left w:val="nil"/>
              <w:bottom w:val="double" w:sz="4" w:space="0" w:color="auto"/>
              <w:right w:val="nil"/>
            </w:tcBorders>
            <w:shd w:val="clear" w:color="auto" w:fill="auto"/>
            <w:noWrap/>
            <w:vAlign w:val="bottom"/>
            <w:hideMark/>
          </w:tcPr>
          <w:p w14:paraId="213893E6" w14:textId="77777777" w:rsidR="00E95B7F" w:rsidRPr="00060311" w:rsidRDefault="00E95B7F" w:rsidP="00401137">
            <w:pPr>
              <w:rPr>
                <w:rFonts w:ascii="Arial" w:hAnsi="Arial" w:cs="Arial"/>
                <w:color w:val="000000"/>
                <w:sz w:val="18"/>
                <w:szCs w:val="18"/>
              </w:rPr>
            </w:pPr>
            <w:r w:rsidRPr="00060311">
              <w:rPr>
                <w:rFonts w:ascii="Arial" w:hAnsi="Arial" w:cs="Arial"/>
                <w:color w:val="000000"/>
                <w:sz w:val="18"/>
                <w:szCs w:val="18"/>
              </w:rPr>
              <w:t>2013</w:t>
            </w:r>
          </w:p>
        </w:tc>
        <w:tc>
          <w:tcPr>
            <w:tcW w:w="1237" w:type="pct"/>
            <w:tcBorders>
              <w:top w:val="nil"/>
              <w:left w:val="nil"/>
              <w:bottom w:val="double" w:sz="4" w:space="0" w:color="auto"/>
              <w:right w:val="nil"/>
            </w:tcBorders>
            <w:shd w:val="clear" w:color="auto" w:fill="auto"/>
            <w:noWrap/>
            <w:vAlign w:val="bottom"/>
            <w:hideMark/>
          </w:tcPr>
          <w:p w14:paraId="128EACDC" w14:textId="1060094C" w:rsidR="00E95B7F" w:rsidRPr="00060311" w:rsidRDefault="00E95B7F" w:rsidP="00C1248F">
            <w:pPr>
              <w:jc w:val="right"/>
              <w:rPr>
                <w:rFonts w:ascii="Arial" w:hAnsi="Arial" w:cs="Arial"/>
                <w:color w:val="000000"/>
                <w:sz w:val="18"/>
                <w:szCs w:val="18"/>
              </w:rPr>
            </w:pPr>
            <w:r w:rsidRPr="00060311">
              <w:rPr>
                <w:rFonts w:ascii="Arial" w:hAnsi="Arial" w:cs="Arial"/>
                <w:color w:val="000000"/>
                <w:sz w:val="18"/>
                <w:szCs w:val="18"/>
              </w:rPr>
              <w:t>42.</w:t>
            </w:r>
            <w:r w:rsidR="00803EE5" w:rsidRPr="00060311">
              <w:rPr>
                <w:rFonts w:ascii="Arial" w:hAnsi="Arial" w:cs="Arial"/>
                <w:color w:val="000000"/>
                <w:sz w:val="18"/>
                <w:szCs w:val="18"/>
              </w:rPr>
              <w:t>233</w:t>
            </w:r>
            <w:r w:rsidR="00803EE5">
              <w:rPr>
                <w:rFonts w:ascii="Arial" w:hAnsi="Arial" w:cs="Arial"/>
                <w:color w:val="000000"/>
                <w:sz w:val="18"/>
                <w:szCs w:val="18"/>
              </w:rPr>
              <w:t>8</w:t>
            </w:r>
          </w:p>
        </w:tc>
        <w:tc>
          <w:tcPr>
            <w:tcW w:w="300" w:type="pct"/>
            <w:tcBorders>
              <w:top w:val="nil"/>
              <w:left w:val="nil"/>
              <w:bottom w:val="double" w:sz="4" w:space="0" w:color="auto"/>
              <w:right w:val="nil"/>
            </w:tcBorders>
            <w:shd w:val="clear" w:color="auto" w:fill="auto"/>
            <w:noWrap/>
            <w:vAlign w:val="bottom"/>
            <w:hideMark/>
          </w:tcPr>
          <w:p w14:paraId="068A2049" w14:textId="77777777" w:rsidR="00E95B7F" w:rsidRPr="00060311" w:rsidRDefault="00E95B7F" w:rsidP="00936199">
            <w:pPr>
              <w:jc w:val="right"/>
              <w:rPr>
                <w:rFonts w:ascii="Arial" w:hAnsi="Arial" w:cs="Arial"/>
                <w:color w:val="000000"/>
                <w:sz w:val="18"/>
                <w:szCs w:val="18"/>
              </w:rPr>
            </w:pPr>
          </w:p>
        </w:tc>
        <w:tc>
          <w:tcPr>
            <w:tcW w:w="1378" w:type="pct"/>
            <w:tcBorders>
              <w:top w:val="nil"/>
              <w:left w:val="nil"/>
              <w:bottom w:val="double" w:sz="4" w:space="0" w:color="auto"/>
              <w:right w:val="nil"/>
            </w:tcBorders>
            <w:shd w:val="clear" w:color="auto" w:fill="auto"/>
            <w:noWrap/>
            <w:vAlign w:val="bottom"/>
            <w:hideMark/>
          </w:tcPr>
          <w:p w14:paraId="7C053202" w14:textId="74345894" w:rsidR="00E95B7F" w:rsidRPr="00060311" w:rsidRDefault="00957DD4" w:rsidP="00936199">
            <w:pPr>
              <w:jc w:val="right"/>
              <w:rPr>
                <w:rFonts w:ascii="Arial" w:hAnsi="Arial" w:cs="Arial"/>
                <w:color w:val="000000"/>
                <w:sz w:val="18"/>
                <w:szCs w:val="18"/>
              </w:rPr>
            </w:pPr>
            <w:r>
              <w:rPr>
                <w:rFonts w:ascii="Arial" w:hAnsi="Arial" w:cs="Arial"/>
                <w:color w:val="000000"/>
                <w:sz w:val="18"/>
                <w:szCs w:val="18"/>
              </w:rPr>
              <w:t xml:space="preserve"> </w:t>
            </w:r>
            <w:r w:rsidR="00E95B7F" w:rsidRPr="00060311">
              <w:rPr>
                <w:rFonts w:ascii="Arial" w:hAnsi="Arial" w:cs="Arial"/>
                <w:color w:val="000000"/>
                <w:sz w:val="18"/>
                <w:szCs w:val="18"/>
              </w:rPr>
              <w:t xml:space="preserve">22.6997 </w:t>
            </w:r>
          </w:p>
        </w:tc>
      </w:tr>
    </w:tbl>
    <w:p w14:paraId="6D67ED7A" w14:textId="77777777" w:rsidR="007F0E99" w:rsidRDefault="007F0E99" w:rsidP="00BD644A">
      <w:pPr>
        <w:pStyle w:val="ExhibitText"/>
        <w:rPr>
          <w:lang w:val="en-CA"/>
        </w:rPr>
      </w:pPr>
    </w:p>
    <w:p w14:paraId="470E56BC" w14:textId="1737182F" w:rsidR="00540C9A" w:rsidRPr="00C85DF7" w:rsidRDefault="00C85DF7" w:rsidP="0052696C">
      <w:pPr>
        <w:pStyle w:val="Footnote"/>
        <w:jc w:val="both"/>
      </w:pPr>
      <w:r>
        <w:t xml:space="preserve">Note: </w:t>
      </w:r>
      <w:r w:rsidR="00540C9A" w:rsidRPr="00C85DF7">
        <w:t xml:space="preserve">Payout </w:t>
      </w:r>
      <w:r w:rsidR="002F4415">
        <w:t>R</w:t>
      </w:r>
      <w:r w:rsidR="002F4415" w:rsidRPr="00C85DF7">
        <w:t xml:space="preserve">atio </w:t>
      </w:r>
      <w:r w:rsidR="00540C9A" w:rsidRPr="00C85DF7">
        <w:t xml:space="preserve">= </w:t>
      </w:r>
      <w:r w:rsidR="002F4415">
        <w:t>D</w:t>
      </w:r>
      <w:r w:rsidR="002F4415" w:rsidRPr="00C85DF7">
        <w:t xml:space="preserve">ividend </w:t>
      </w:r>
      <w:r w:rsidR="002F4415">
        <w:t>÷</w:t>
      </w:r>
      <w:r w:rsidR="00540C9A" w:rsidRPr="00C85DF7">
        <w:t xml:space="preserve"> </w:t>
      </w:r>
      <w:r w:rsidR="002F4415">
        <w:t>N</w:t>
      </w:r>
      <w:r w:rsidR="002F4415" w:rsidRPr="00C85DF7">
        <w:t xml:space="preserve">et </w:t>
      </w:r>
      <w:r w:rsidR="002F4415">
        <w:t>I</w:t>
      </w:r>
      <w:r w:rsidR="002F4415" w:rsidRPr="00C85DF7">
        <w:t>ncome</w:t>
      </w:r>
      <w:r w:rsidR="002F4415">
        <w:t>.</w:t>
      </w:r>
      <w:bookmarkStart w:id="0" w:name="_GoBack"/>
      <w:bookmarkEnd w:id="0"/>
    </w:p>
    <w:p w14:paraId="6712A199" w14:textId="4186F1A7" w:rsidR="005F30D2" w:rsidRDefault="007F0E99" w:rsidP="0052696C">
      <w:pPr>
        <w:pStyle w:val="Footnote"/>
        <w:jc w:val="both"/>
      </w:pPr>
      <w:r w:rsidRPr="00C85DF7">
        <w:t xml:space="preserve">Source: </w:t>
      </w:r>
      <w:r w:rsidR="007660DA" w:rsidRPr="00C85DF7">
        <w:t xml:space="preserve">Created by the </w:t>
      </w:r>
      <w:r w:rsidR="00F368CB">
        <w:t xml:space="preserve">case </w:t>
      </w:r>
      <w:r w:rsidR="007660DA" w:rsidRPr="00C85DF7">
        <w:t>authors using data from “</w:t>
      </w:r>
      <w:r w:rsidR="00327D99" w:rsidRPr="00C85DF7">
        <w:t>CapitaMalls Asia</w:t>
      </w:r>
      <w:r w:rsidR="007660DA" w:rsidRPr="00C85DF7">
        <w:t xml:space="preserve"> (</w:t>
      </w:r>
      <w:r w:rsidR="00327D99" w:rsidRPr="00C85DF7">
        <w:t>SG1Z05950543)</w:t>
      </w:r>
      <w:r w:rsidR="00803EE5">
        <w:t>,</w:t>
      </w:r>
      <w:r w:rsidR="00327D99" w:rsidRPr="00C85DF7">
        <w:t>” and “CapitaLand Limited (SG1J27887962)</w:t>
      </w:r>
      <w:r w:rsidR="00803EE5">
        <w:t>,</w:t>
      </w:r>
      <w:r w:rsidR="00327D99" w:rsidRPr="00C85DF7">
        <w:t xml:space="preserve">” Compustat CapitalIQ, accessed January </w:t>
      </w:r>
      <w:r w:rsidR="000B6794" w:rsidRPr="00C85DF7">
        <w:t>27</w:t>
      </w:r>
      <w:r w:rsidR="000B6794">
        <w:t>,</w:t>
      </w:r>
      <w:r w:rsidR="000B6794" w:rsidRPr="00C85DF7">
        <w:t xml:space="preserve"> </w:t>
      </w:r>
      <w:r w:rsidR="00327D99" w:rsidRPr="00C85DF7">
        <w:t>2016</w:t>
      </w:r>
      <w:r w:rsidR="000B6794">
        <w:t>.</w:t>
      </w:r>
    </w:p>
    <w:p w14:paraId="1AE4BBF4" w14:textId="77777777" w:rsidR="005F30D2" w:rsidRDefault="005F30D2" w:rsidP="00BD644A">
      <w:pPr>
        <w:pStyle w:val="ExhibitText"/>
      </w:pPr>
    </w:p>
    <w:p w14:paraId="0ADF0454" w14:textId="77777777" w:rsidR="005F30D2" w:rsidRDefault="005F30D2" w:rsidP="00BD644A">
      <w:pPr>
        <w:pStyle w:val="ExhibitText"/>
      </w:pPr>
    </w:p>
    <w:p w14:paraId="219F8F09" w14:textId="12B03947" w:rsidR="001E2425" w:rsidRPr="00B214F7" w:rsidRDefault="001E2425" w:rsidP="005F30D2">
      <w:pPr>
        <w:pStyle w:val="ExhibitHeading"/>
        <w:rPr>
          <w:lang w:val="en-CA"/>
        </w:rPr>
      </w:pPr>
      <w:r w:rsidRPr="00B214F7">
        <w:rPr>
          <w:lang w:val="en-CA"/>
        </w:rPr>
        <w:t xml:space="preserve">Exhibit </w:t>
      </w:r>
      <w:r w:rsidR="00694839">
        <w:rPr>
          <w:lang w:val="en-CA"/>
        </w:rPr>
        <w:t>6</w:t>
      </w:r>
      <w:r w:rsidRPr="00B214F7">
        <w:rPr>
          <w:lang w:val="en-CA"/>
        </w:rPr>
        <w:t>: HISTORICAL AND FORECASTED GDP GROWTH RATES</w:t>
      </w:r>
      <w:r w:rsidR="00803EE5">
        <w:rPr>
          <w:lang w:val="en-CA"/>
        </w:rPr>
        <w:t xml:space="preserve"> (in US$ </w:t>
      </w:r>
      <w:r w:rsidR="00477C3E">
        <w:rPr>
          <w:lang w:val="en-CA"/>
        </w:rPr>
        <w:t>thousands</w:t>
      </w:r>
      <w:r w:rsidR="00803EE5">
        <w:rPr>
          <w:lang w:val="en-CA"/>
        </w:rPr>
        <w:t>)</w:t>
      </w:r>
    </w:p>
    <w:p w14:paraId="013EFE7A" w14:textId="77777777" w:rsidR="001E2425" w:rsidRPr="00B214F7" w:rsidRDefault="001E2425" w:rsidP="001E2425">
      <w:pPr>
        <w:pStyle w:val="BodyTextMain"/>
        <w:ind w:left="70"/>
        <w:rPr>
          <w:rFonts w:ascii="Arial" w:hAnsi="Arial" w:cs="Arial"/>
          <w:i/>
          <w:sz w:val="20"/>
          <w:szCs w:val="20"/>
          <w:lang w:val="en-CA"/>
        </w:rPr>
      </w:pPr>
    </w:p>
    <w:tbl>
      <w:tblPr>
        <w:tblW w:w="5000" w:type="pct"/>
        <w:tblInd w:w="-5" w:type="dxa"/>
        <w:tblBorders>
          <w:top w:val="double" w:sz="4" w:space="0" w:color="auto"/>
          <w:bottom w:val="double" w:sz="4" w:space="0" w:color="auto"/>
        </w:tblBorders>
        <w:tblLayout w:type="fixed"/>
        <w:tblLook w:val="04A0" w:firstRow="1" w:lastRow="0" w:firstColumn="1" w:lastColumn="0" w:noHBand="0" w:noVBand="1"/>
      </w:tblPr>
      <w:tblGrid>
        <w:gridCol w:w="1532"/>
        <w:gridCol w:w="977"/>
        <w:gridCol w:w="981"/>
        <w:gridCol w:w="977"/>
        <w:gridCol w:w="981"/>
        <w:gridCol w:w="977"/>
        <w:gridCol w:w="979"/>
        <w:gridCol w:w="977"/>
        <w:gridCol w:w="979"/>
      </w:tblGrid>
      <w:tr w:rsidR="00A544AB" w:rsidRPr="00B214F7" w14:paraId="17F6F8CA" w14:textId="77777777" w:rsidTr="00A544AB">
        <w:trPr>
          <w:trHeight w:val="60"/>
        </w:trPr>
        <w:tc>
          <w:tcPr>
            <w:tcW w:w="818" w:type="pct"/>
            <w:tcBorders>
              <w:top w:val="double" w:sz="4" w:space="0" w:color="auto"/>
              <w:bottom w:val="nil"/>
            </w:tcBorders>
            <w:shd w:val="clear" w:color="auto" w:fill="auto"/>
            <w:noWrap/>
          </w:tcPr>
          <w:p w14:paraId="6BF4EAD6" w14:textId="77777777" w:rsidR="00A544AB" w:rsidRPr="00060311" w:rsidRDefault="00A544AB" w:rsidP="008671C0">
            <w:pPr>
              <w:rPr>
                <w:rFonts w:ascii="Arial" w:hAnsi="Arial" w:cs="Arial"/>
                <w:sz w:val="18"/>
                <w:szCs w:val="18"/>
                <w:lang w:val="en-SG" w:eastAsia="en-SG"/>
              </w:rPr>
            </w:pPr>
          </w:p>
        </w:tc>
        <w:tc>
          <w:tcPr>
            <w:tcW w:w="522" w:type="pct"/>
            <w:tcBorders>
              <w:top w:val="double" w:sz="4" w:space="0" w:color="auto"/>
              <w:bottom w:val="nil"/>
            </w:tcBorders>
            <w:shd w:val="clear" w:color="auto" w:fill="auto"/>
            <w:noWrap/>
          </w:tcPr>
          <w:p w14:paraId="2DE20137" w14:textId="77777777" w:rsidR="00A544AB" w:rsidRPr="00060311" w:rsidRDefault="00A544AB" w:rsidP="008671C0">
            <w:pPr>
              <w:jc w:val="right"/>
              <w:rPr>
                <w:rFonts w:ascii="Arial" w:hAnsi="Arial" w:cs="Arial"/>
                <w:b/>
                <w:bCs/>
                <w:color w:val="000000"/>
                <w:sz w:val="18"/>
                <w:szCs w:val="18"/>
                <w:lang w:val="en-SG" w:eastAsia="en-SG"/>
              </w:rPr>
            </w:pPr>
          </w:p>
        </w:tc>
        <w:tc>
          <w:tcPr>
            <w:tcW w:w="524" w:type="pct"/>
            <w:tcBorders>
              <w:top w:val="double" w:sz="4" w:space="0" w:color="auto"/>
              <w:bottom w:val="nil"/>
            </w:tcBorders>
            <w:shd w:val="clear" w:color="auto" w:fill="auto"/>
            <w:noWrap/>
          </w:tcPr>
          <w:p w14:paraId="52555CFE" w14:textId="77777777" w:rsidR="00A544AB" w:rsidRPr="00060311" w:rsidRDefault="00A544AB" w:rsidP="008671C0">
            <w:pPr>
              <w:jc w:val="right"/>
              <w:rPr>
                <w:rFonts w:ascii="Arial" w:hAnsi="Arial" w:cs="Arial"/>
                <w:b/>
                <w:bCs/>
                <w:color w:val="000000"/>
                <w:sz w:val="18"/>
                <w:szCs w:val="18"/>
                <w:lang w:val="en-SG" w:eastAsia="en-SG"/>
              </w:rPr>
            </w:pPr>
          </w:p>
        </w:tc>
        <w:tc>
          <w:tcPr>
            <w:tcW w:w="522" w:type="pct"/>
            <w:tcBorders>
              <w:top w:val="double" w:sz="4" w:space="0" w:color="auto"/>
              <w:bottom w:val="nil"/>
              <w:right w:val="single" w:sz="4" w:space="0" w:color="auto"/>
            </w:tcBorders>
            <w:shd w:val="clear" w:color="auto" w:fill="auto"/>
            <w:noWrap/>
          </w:tcPr>
          <w:p w14:paraId="2FDD5716" w14:textId="77777777" w:rsidR="00A544AB" w:rsidRPr="00060311" w:rsidRDefault="00A544AB" w:rsidP="008671C0">
            <w:pPr>
              <w:jc w:val="right"/>
              <w:rPr>
                <w:rFonts w:ascii="Arial" w:hAnsi="Arial" w:cs="Arial"/>
                <w:b/>
                <w:bCs/>
                <w:color w:val="000000"/>
                <w:sz w:val="18"/>
                <w:szCs w:val="18"/>
                <w:lang w:val="en-SG" w:eastAsia="en-SG"/>
              </w:rPr>
            </w:pPr>
          </w:p>
        </w:tc>
        <w:tc>
          <w:tcPr>
            <w:tcW w:w="2614" w:type="pct"/>
            <w:gridSpan w:val="5"/>
            <w:tcBorders>
              <w:top w:val="double" w:sz="4" w:space="0" w:color="auto"/>
              <w:left w:val="single" w:sz="4" w:space="0" w:color="auto"/>
              <w:bottom w:val="dotted" w:sz="4" w:space="0" w:color="auto"/>
            </w:tcBorders>
            <w:shd w:val="clear" w:color="auto" w:fill="auto"/>
            <w:noWrap/>
            <w:vAlign w:val="center"/>
          </w:tcPr>
          <w:p w14:paraId="4786C316" w14:textId="70A192FC" w:rsidR="00A544AB" w:rsidRPr="00060311" w:rsidRDefault="00A544AB" w:rsidP="00A544AB">
            <w:pPr>
              <w:jc w:val="center"/>
              <w:rPr>
                <w:rFonts w:ascii="Arial" w:hAnsi="Arial" w:cs="Arial"/>
                <w:b/>
                <w:bCs/>
                <w:color w:val="000000"/>
                <w:sz w:val="18"/>
                <w:szCs w:val="18"/>
                <w:lang w:val="en-SG" w:eastAsia="en-SG"/>
              </w:rPr>
            </w:pPr>
            <w:r>
              <w:rPr>
                <w:rFonts w:ascii="Arial" w:hAnsi="Arial" w:cs="Arial"/>
                <w:b/>
                <w:bCs/>
                <w:color w:val="000000"/>
                <w:sz w:val="18"/>
                <w:szCs w:val="18"/>
                <w:lang w:val="en-SG" w:eastAsia="en-SG"/>
              </w:rPr>
              <w:t>Forecasted</w:t>
            </w:r>
          </w:p>
        </w:tc>
      </w:tr>
      <w:tr w:rsidR="00A544AB" w:rsidRPr="00B214F7" w14:paraId="75F5C85F" w14:textId="77777777" w:rsidTr="00A544AB">
        <w:trPr>
          <w:trHeight w:val="60"/>
        </w:trPr>
        <w:tc>
          <w:tcPr>
            <w:tcW w:w="818" w:type="pct"/>
            <w:tcBorders>
              <w:top w:val="nil"/>
              <w:bottom w:val="single" w:sz="4" w:space="0" w:color="auto"/>
            </w:tcBorders>
            <w:shd w:val="clear" w:color="auto" w:fill="auto"/>
            <w:noWrap/>
            <w:hideMark/>
          </w:tcPr>
          <w:p w14:paraId="5099ED4E" w14:textId="77777777" w:rsidR="00A544AB" w:rsidRPr="00060311" w:rsidRDefault="00A544AB" w:rsidP="008671C0">
            <w:pPr>
              <w:rPr>
                <w:rFonts w:ascii="Arial" w:hAnsi="Arial" w:cs="Arial"/>
                <w:sz w:val="18"/>
                <w:szCs w:val="18"/>
                <w:lang w:val="en-SG" w:eastAsia="en-SG"/>
              </w:rPr>
            </w:pPr>
          </w:p>
        </w:tc>
        <w:tc>
          <w:tcPr>
            <w:tcW w:w="522" w:type="pct"/>
            <w:tcBorders>
              <w:top w:val="nil"/>
              <w:bottom w:val="single" w:sz="4" w:space="0" w:color="auto"/>
            </w:tcBorders>
            <w:shd w:val="clear" w:color="auto" w:fill="auto"/>
            <w:noWrap/>
            <w:hideMark/>
          </w:tcPr>
          <w:p w14:paraId="5A5E83B6" w14:textId="77777777" w:rsidR="00A544AB" w:rsidRPr="00060311" w:rsidRDefault="00A544AB" w:rsidP="008671C0">
            <w:pPr>
              <w:jc w:val="right"/>
              <w:rPr>
                <w:rFonts w:ascii="Arial" w:hAnsi="Arial" w:cs="Arial"/>
                <w:b/>
                <w:bCs/>
                <w:color w:val="000000"/>
                <w:sz w:val="18"/>
                <w:szCs w:val="18"/>
                <w:lang w:val="en-SG" w:eastAsia="en-SG"/>
              </w:rPr>
            </w:pPr>
            <w:r w:rsidRPr="00060311">
              <w:rPr>
                <w:rFonts w:ascii="Arial" w:hAnsi="Arial" w:cs="Arial"/>
                <w:b/>
                <w:bCs/>
                <w:color w:val="000000"/>
                <w:sz w:val="18"/>
                <w:szCs w:val="18"/>
                <w:lang w:val="en-SG" w:eastAsia="en-SG"/>
              </w:rPr>
              <w:t>2011</w:t>
            </w:r>
          </w:p>
        </w:tc>
        <w:tc>
          <w:tcPr>
            <w:tcW w:w="524" w:type="pct"/>
            <w:tcBorders>
              <w:top w:val="nil"/>
              <w:bottom w:val="single" w:sz="4" w:space="0" w:color="auto"/>
            </w:tcBorders>
            <w:shd w:val="clear" w:color="auto" w:fill="auto"/>
            <w:noWrap/>
            <w:hideMark/>
          </w:tcPr>
          <w:p w14:paraId="76EFD05B" w14:textId="77777777" w:rsidR="00A544AB" w:rsidRPr="00060311" w:rsidRDefault="00A544AB" w:rsidP="008671C0">
            <w:pPr>
              <w:jc w:val="right"/>
              <w:rPr>
                <w:rFonts w:ascii="Arial" w:hAnsi="Arial" w:cs="Arial"/>
                <w:b/>
                <w:bCs/>
                <w:color w:val="000000"/>
                <w:sz w:val="18"/>
                <w:szCs w:val="18"/>
                <w:lang w:val="en-SG" w:eastAsia="en-SG"/>
              </w:rPr>
            </w:pPr>
            <w:r w:rsidRPr="00060311">
              <w:rPr>
                <w:rFonts w:ascii="Arial" w:hAnsi="Arial" w:cs="Arial"/>
                <w:b/>
                <w:bCs/>
                <w:color w:val="000000"/>
                <w:sz w:val="18"/>
                <w:szCs w:val="18"/>
                <w:lang w:val="en-SG" w:eastAsia="en-SG"/>
              </w:rPr>
              <w:t>2012</w:t>
            </w:r>
          </w:p>
        </w:tc>
        <w:tc>
          <w:tcPr>
            <w:tcW w:w="522" w:type="pct"/>
            <w:tcBorders>
              <w:top w:val="nil"/>
              <w:bottom w:val="single" w:sz="4" w:space="0" w:color="auto"/>
              <w:right w:val="single" w:sz="4" w:space="0" w:color="auto"/>
            </w:tcBorders>
            <w:shd w:val="clear" w:color="auto" w:fill="auto"/>
            <w:noWrap/>
            <w:hideMark/>
          </w:tcPr>
          <w:p w14:paraId="69191AD5" w14:textId="77777777" w:rsidR="00A544AB" w:rsidRPr="00060311" w:rsidRDefault="00A544AB" w:rsidP="008671C0">
            <w:pPr>
              <w:jc w:val="right"/>
              <w:rPr>
                <w:rFonts w:ascii="Arial" w:hAnsi="Arial" w:cs="Arial"/>
                <w:b/>
                <w:bCs/>
                <w:color w:val="000000"/>
                <w:sz w:val="18"/>
                <w:szCs w:val="18"/>
                <w:lang w:val="en-SG" w:eastAsia="en-SG"/>
              </w:rPr>
            </w:pPr>
            <w:r w:rsidRPr="00060311">
              <w:rPr>
                <w:rFonts w:ascii="Arial" w:hAnsi="Arial" w:cs="Arial"/>
                <w:b/>
                <w:bCs/>
                <w:color w:val="000000"/>
                <w:sz w:val="18"/>
                <w:szCs w:val="18"/>
                <w:lang w:val="en-SG" w:eastAsia="en-SG"/>
              </w:rPr>
              <w:t>2013</w:t>
            </w:r>
          </w:p>
        </w:tc>
        <w:tc>
          <w:tcPr>
            <w:tcW w:w="524" w:type="pct"/>
            <w:tcBorders>
              <w:top w:val="dotted" w:sz="4" w:space="0" w:color="auto"/>
              <w:left w:val="single" w:sz="4" w:space="0" w:color="auto"/>
              <w:bottom w:val="single" w:sz="4" w:space="0" w:color="auto"/>
            </w:tcBorders>
            <w:shd w:val="clear" w:color="auto" w:fill="auto"/>
            <w:noWrap/>
            <w:hideMark/>
          </w:tcPr>
          <w:p w14:paraId="15CB4AFF" w14:textId="77777777" w:rsidR="00A544AB" w:rsidRPr="00060311" w:rsidRDefault="00A544AB" w:rsidP="008671C0">
            <w:pPr>
              <w:jc w:val="right"/>
              <w:rPr>
                <w:rFonts w:ascii="Arial" w:hAnsi="Arial" w:cs="Arial"/>
                <w:b/>
                <w:bCs/>
                <w:color w:val="000000"/>
                <w:sz w:val="18"/>
                <w:szCs w:val="18"/>
                <w:lang w:val="en-SG" w:eastAsia="en-SG"/>
              </w:rPr>
            </w:pPr>
            <w:r w:rsidRPr="00060311">
              <w:rPr>
                <w:rFonts w:ascii="Arial" w:hAnsi="Arial" w:cs="Arial"/>
                <w:b/>
                <w:bCs/>
                <w:color w:val="000000"/>
                <w:sz w:val="18"/>
                <w:szCs w:val="18"/>
                <w:lang w:val="en-SG" w:eastAsia="en-SG"/>
              </w:rPr>
              <w:t>2014</w:t>
            </w:r>
          </w:p>
        </w:tc>
        <w:tc>
          <w:tcPr>
            <w:tcW w:w="522" w:type="pct"/>
            <w:tcBorders>
              <w:top w:val="dotted" w:sz="4" w:space="0" w:color="auto"/>
              <w:bottom w:val="single" w:sz="4" w:space="0" w:color="auto"/>
            </w:tcBorders>
            <w:shd w:val="clear" w:color="auto" w:fill="auto"/>
            <w:noWrap/>
            <w:hideMark/>
          </w:tcPr>
          <w:p w14:paraId="3308DBB3" w14:textId="77777777" w:rsidR="00A544AB" w:rsidRPr="00060311" w:rsidRDefault="00A544AB" w:rsidP="008671C0">
            <w:pPr>
              <w:jc w:val="right"/>
              <w:rPr>
                <w:rFonts w:ascii="Arial" w:hAnsi="Arial" w:cs="Arial"/>
                <w:b/>
                <w:bCs/>
                <w:color w:val="000000"/>
                <w:sz w:val="18"/>
                <w:szCs w:val="18"/>
                <w:lang w:val="en-SG" w:eastAsia="en-SG"/>
              </w:rPr>
            </w:pPr>
            <w:r w:rsidRPr="00060311">
              <w:rPr>
                <w:rFonts w:ascii="Arial" w:hAnsi="Arial" w:cs="Arial"/>
                <w:b/>
                <w:bCs/>
                <w:color w:val="000000"/>
                <w:sz w:val="18"/>
                <w:szCs w:val="18"/>
                <w:lang w:val="en-SG" w:eastAsia="en-SG"/>
              </w:rPr>
              <w:t>2015</w:t>
            </w:r>
          </w:p>
        </w:tc>
        <w:tc>
          <w:tcPr>
            <w:tcW w:w="523" w:type="pct"/>
            <w:tcBorders>
              <w:top w:val="dotted" w:sz="4" w:space="0" w:color="auto"/>
              <w:bottom w:val="single" w:sz="4" w:space="0" w:color="auto"/>
            </w:tcBorders>
            <w:shd w:val="clear" w:color="auto" w:fill="auto"/>
            <w:noWrap/>
            <w:hideMark/>
          </w:tcPr>
          <w:p w14:paraId="75E1424F" w14:textId="77777777" w:rsidR="00A544AB" w:rsidRPr="00060311" w:rsidRDefault="00A544AB" w:rsidP="008671C0">
            <w:pPr>
              <w:jc w:val="right"/>
              <w:rPr>
                <w:rFonts w:ascii="Arial" w:hAnsi="Arial" w:cs="Arial"/>
                <w:b/>
                <w:bCs/>
                <w:color w:val="000000"/>
                <w:sz w:val="18"/>
                <w:szCs w:val="18"/>
                <w:lang w:val="en-SG" w:eastAsia="en-SG"/>
              </w:rPr>
            </w:pPr>
            <w:r w:rsidRPr="00060311">
              <w:rPr>
                <w:rFonts w:ascii="Arial" w:hAnsi="Arial" w:cs="Arial"/>
                <w:b/>
                <w:bCs/>
                <w:color w:val="000000"/>
                <w:sz w:val="18"/>
                <w:szCs w:val="18"/>
                <w:lang w:val="en-SG" w:eastAsia="en-SG"/>
              </w:rPr>
              <w:t>2016</w:t>
            </w:r>
          </w:p>
        </w:tc>
        <w:tc>
          <w:tcPr>
            <w:tcW w:w="522" w:type="pct"/>
            <w:tcBorders>
              <w:top w:val="dotted" w:sz="4" w:space="0" w:color="auto"/>
              <w:bottom w:val="single" w:sz="4" w:space="0" w:color="auto"/>
            </w:tcBorders>
            <w:shd w:val="clear" w:color="auto" w:fill="auto"/>
            <w:noWrap/>
            <w:hideMark/>
          </w:tcPr>
          <w:p w14:paraId="5DB9BA32" w14:textId="77777777" w:rsidR="00A544AB" w:rsidRPr="00060311" w:rsidRDefault="00A544AB" w:rsidP="008671C0">
            <w:pPr>
              <w:jc w:val="right"/>
              <w:rPr>
                <w:rFonts w:ascii="Arial" w:hAnsi="Arial" w:cs="Arial"/>
                <w:b/>
                <w:bCs/>
                <w:color w:val="000000"/>
                <w:sz w:val="18"/>
                <w:szCs w:val="18"/>
                <w:lang w:val="en-SG" w:eastAsia="en-SG"/>
              </w:rPr>
            </w:pPr>
            <w:r w:rsidRPr="00060311">
              <w:rPr>
                <w:rFonts w:ascii="Arial" w:hAnsi="Arial" w:cs="Arial"/>
                <w:b/>
                <w:bCs/>
                <w:color w:val="000000"/>
                <w:sz w:val="18"/>
                <w:szCs w:val="18"/>
                <w:lang w:val="en-SG" w:eastAsia="en-SG"/>
              </w:rPr>
              <w:t>2017</w:t>
            </w:r>
          </w:p>
        </w:tc>
        <w:tc>
          <w:tcPr>
            <w:tcW w:w="523" w:type="pct"/>
            <w:tcBorders>
              <w:top w:val="dotted" w:sz="4" w:space="0" w:color="auto"/>
              <w:bottom w:val="single" w:sz="4" w:space="0" w:color="auto"/>
            </w:tcBorders>
            <w:shd w:val="clear" w:color="auto" w:fill="auto"/>
            <w:noWrap/>
            <w:hideMark/>
          </w:tcPr>
          <w:p w14:paraId="392906C7" w14:textId="77777777" w:rsidR="00A544AB" w:rsidRPr="00060311" w:rsidRDefault="00A544AB" w:rsidP="008671C0">
            <w:pPr>
              <w:jc w:val="right"/>
              <w:rPr>
                <w:rFonts w:ascii="Arial" w:hAnsi="Arial" w:cs="Arial"/>
                <w:b/>
                <w:bCs/>
                <w:color w:val="000000"/>
                <w:sz w:val="18"/>
                <w:szCs w:val="18"/>
                <w:lang w:val="en-SG" w:eastAsia="en-SG"/>
              </w:rPr>
            </w:pPr>
            <w:r w:rsidRPr="00060311">
              <w:rPr>
                <w:rFonts w:ascii="Arial" w:hAnsi="Arial" w:cs="Arial"/>
                <w:b/>
                <w:bCs/>
                <w:color w:val="000000"/>
                <w:sz w:val="18"/>
                <w:szCs w:val="18"/>
                <w:lang w:val="en-SG" w:eastAsia="en-SG"/>
              </w:rPr>
              <w:t>2018</w:t>
            </w:r>
          </w:p>
        </w:tc>
      </w:tr>
      <w:tr w:rsidR="00A544AB" w:rsidRPr="00B214F7" w14:paraId="50A2DD9D" w14:textId="77777777" w:rsidTr="00A544AB">
        <w:trPr>
          <w:trHeight w:val="60"/>
        </w:trPr>
        <w:tc>
          <w:tcPr>
            <w:tcW w:w="818" w:type="pct"/>
            <w:tcBorders>
              <w:top w:val="single" w:sz="4" w:space="0" w:color="auto"/>
            </w:tcBorders>
            <w:shd w:val="clear" w:color="auto" w:fill="auto"/>
            <w:noWrap/>
            <w:hideMark/>
          </w:tcPr>
          <w:p w14:paraId="4815E38F" w14:textId="208AE900" w:rsidR="00A544AB" w:rsidRPr="00947EB3" w:rsidRDefault="00A544AB" w:rsidP="008671C0">
            <w:pPr>
              <w:rPr>
                <w:rFonts w:ascii="Arial" w:hAnsi="Arial" w:cs="Arial"/>
                <w:b/>
                <w:bCs/>
                <w:color w:val="000000"/>
                <w:sz w:val="18"/>
                <w:szCs w:val="18"/>
                <w:lang w:val="en-SG" w:eastAsia="en-SG"/>
              </w:rPr>
            </w:pPr>
            <w:r w:rsidRPr="00947EB3">
              <w:rPr>
                <w:rFonts w:ascii="Arial" w:hAnsi="Arial" w:cs="Arial"/>
                <w:b/>
                <w:bCs/>
                <w:color w:val="000000"/>
                <w:sz w:val="18"/>
                <w:szCs w:val="18"/>
                <w:lang w:val="en-SG" w:eastAsia="en-SG"/>
              </w:rPr>
              <w:t>Global</w:t>
            </w:r>
          </w:p>
        </w:tc>
        <w:tc>
          <w:tcPr>
            <w:tcW w:w="522" w:type="pct"/>
            <w:tcBorders>
              <w:top w:val="single" w:sz="4" w:space="0" w:color="auto"/>
            </w:tcBorders>
            <w:shd w:val="clear" w:color="auto" w:fill="auto"/>
            <w:noWrap/>
            <w:hideMark/>
          </w:tcPr>
          <w:p w14:paraId="2970F9C4" w14:textId="77777777" w:rsidR="00A544AB" w:rsidRPr="00060311" w:rsidRDefault="00A544AB" w:rsidP="008671C0">
            <w:pPr>
              <w:rPr>
                <w:rFonts w:ascii="Arial" w:hAnsi="Arial" w:cs="Arial"/>
                <w:sz w:val="18"/>
                <w:szCs w:val="18"/>
                <w:lang w:val="en-SG" w:eastAsia="en-SG"/>
              </w:rPr>
            </w:pPr>
          </w:p>
        </w:tc>
        <w:tc>
          <w:tcPr>
            <w:tcW w:w="524" w:type="pct"/>
            <w:tcBorders>
              <w:top w:val="single" w:sz="4" w:space="0" w:color="auto"/>
            </w:tcBorders>
            <w:shd w:val="clear" w:color="auto" w:fill="auto"/>
            <w:noWrap/>
            <w:hideMark/>
          </w:tcPr>
          <w:p w14:paraId="6E2AA7BF" w14:textId="77777777" w:rsidR="00A544AB" w:rsidRPr="00060311" w:rsidRDefault="00A544AB" w:rsidP="008671C0">
            <w:pPr>
              <w:rPr>
                <w:rFonts w:ascii="Arial" w:hAnsi="Arial" w:cs="Arial"/>
                <w:sz w:val="18"/>
                <w:szCs w:val="18"/>
                <w:lang w:val="en-SG" w:eastAsia="en-SG"/>
              </w:rPr>
            </w:pPr>
          </w:p>
        </w:tc>
        <w:tc>
          <w:tcPr>
            <w:tcW w:w="522" w:type="pct"/>
            <w:tcBorders>
              <w:top w:val="single" w:sz="4" w:space="0" w:color="auto"/>
              <w:right w:val="single" w:sz="4" w:space="0" w:color="auto"/>
            </w:tcBorders>
            <w:shd w:val="clear" w:color="auto" w:fill="auto"/>
            <w:noWrap/>
            <w:hideMark/>
          </w:tcPr>
          <w:p w14:paraId="75723887" w14:textId="77777777" w:rsidR="00A544AB" w:rsidRPr="00060311" w:rsidRDefault="00A544AB" w:rsidP="008671C0">
            <w:pPr>
              <w:rPr>
                <w:rFonts w:ascii="Arial" w:hAnsi="Arial" w:cs="Arial"/>
                <w:sz w:val="18"/>
                <w:szCs w:val="18"/>
                <w:lang w:val="en-SG" w:eastAsia="en-SG"/>
              </w:rPr>
            </w:pPr>
          </w:p>
        </w:tc>
        <w:tc>
          <w:tcPr>
            <w:tcW w:w="524" w:type="pct"/>
            <w:tcBorders>
              <w:top w:val="single" w:sz="4" w:space="0" w:color="auto"/>
              <w:left w:val="single" w:sz="4" w:space="0" w:color="auto"/>
            </w:tcBorders>
            <w:shd w:val="clear" w:color="auto" w:fill="auto"/>
            <w:noWrap/>
            <w:hideMark/>
          </w:tcPr>
          <w:p w14:paraId="3707A89A" w14:textId="77777777" w:rsidR="00A544AB" w:rsidRPr="00060311" w:rsidRDefault="00A544AB" w:rsidP="008671C0">
            <w:pPr>
              <w:rPr>
                <w:rFonts w:ascii="Arial" w:hAnsi="Arial" w:cs="Arial"/>
                <w:sz w:val="18"/>
                <w:szCs w:val="18"/>
                <w:lang w:val="en-SG" w:eastAsia="en-SG"/>
              </w:rPr>
            </w:pPr>
          </w:p>
        </w:tc>
        <w:tc>
          <w:tcPr>
            <w:tcW w:w="522" w:type="pct"/>
            <w:tcBorders>
              <w:top w:val="single" w:sz="4" w:space="0" w:color="auto"/>
            </w:tcBorders>
            <w:shd w:val="clear" w:color="auto" w:fill="auto"/>
            <w:noWrap/>
            <w:hideMark/>
          </w:tcPr>
          <w:p w14:paraId="3BDBDB56" w14:textId="77777777" w:rsidR="00A544AB" w:rsidRPr="00060311" w:rsidRDefault="00A544AB" w:rsidP="008671C0">
            <w:pPr>
              <w:rPr>
                <w:rFonts w:ascii="Arial" w:hAnsi="Arial" w:cs="Arial"/>
                <w:sz w:val="18"/>
                <w:szCs w:val="18"/>
                <w:lang w:val="en-SG" w:eastAsia="en-SG"/>
              </w:rPr>
            </w:pPr>
          </w:p>
        </w:tc>
        <w:tc>
          <w:tcPr>
            <w:tcW w:w="523" w:type="pct"/>
            <w:tcBorders>
              <w:top w:val="single" w:sz="4" w:space="0" w:color="auto"/>
            </w:tcBorders>
            <w:shd w:val="clear" w:color="auto" w:fill="auto"/>
            <w:noWrap/>
            <w:hideMark/>
          </w:tcPr>
          <w:p w14:paraId="7C7A3F57" w14:textId="77777777" w:rsidR="00A544AB" w:rsidRPr="00060311" w:rsidRDefault="00A544AB" w:rsidP="008671C0">
            <w:pPr>
              <w:rPr>
                <w:rFonts w:ascii="Arial" w:hAnsi="Arial" w:cs="Arial"/>
                <w:sz w:val="18"/>
                <w:szCs w:val="18"/>
                <w:lang w:val="en-SG" w:eastAsia="en-SG"/>
              </w:rPr>
            </w:pPr>
          </w:p>
        </w:tc>
        <w:tc>
          <w:tcPr>
            <w:tcW w:w="522" w:type="pct"/>
            <w:tcBorders>
              <w:top w:val="single" w:sz="4" w:space="0" w:color="auto"/>
            </w:tcBorders>
            <w:shd w:val="clear" w:color="auto" w:fill="auto"/>
            <w:noWrap/>
            <w:hideMark/>
          </w:tcPr>
          <w:p w14:paraId="78DCE948" w14:textId="77777777" w:rsidR="00A544AB" w:rsidRPr="00060311" w:rsidRDefault="00A544AB" w:rsidP="008671C0">
            <w:pPr>
              <w:rPr>
                <w:rFonts w:ascii="Arial" w:hAnsi="Arial" w:cs="Arial"/>
                <w:sz w:val="18"/>
                <w:szCs w:val="18"/>
                <w:lang w:val="en-SG" w:eastAsia="en-SG"/>
              </w:rPr>
            </w:pPr>
          </w:p>
        </w:tc>
        <w:tc>
          <w:tcPr>
            <w:tcW w:w="523" w:type="pct"/>
            <w:tcBorders>
              <w:top w:val="single" w:sz="4" w:space="0" w:color="auto"/>
            </w:tcBorders>
            <w:shd w:val="clear" w:color="auto" w:fill="auto"/>
            <w:noWrap/>
            <w:hideMark/>
          </w:tcPr>
          <w:p w14:paraId="4DEE78F3" w14:textId="77777777" w:rsidR="00A544AB" w:rsidRPr="00060311" w:rsidRDefault="00A544AB" w:rsidP="008671C0">
            <w:pPr>
              <w:rPr>
                <w:rFonts w:ascii="Arial" w:hAnsi="Arial" w:cs="Arial"/>
                <w:sz w:val="18"/>
                <w:szCs w:val="18"/>
                <w:lang w:val="en-SG" w:eastAsia="en-SG"/>
              </w:rPr>
            </w:pPr>
          </w:p>
        </w:tc>
      </w:tr>
      <w:tr w:rsidR="00A544AB" w:rsidRPr="00B214F7" w14:paraId="2996BDEC" w14:textId="77777777" w:rsidTr="00A544AB">
        <w:trPr>
          <w:trHeight w:val="60"/>
        </w:trPr>
        <w:tc>
          <w:tcPr>
            <w:tcW w:w="818" w:type="pct"/>
            <w:tcBorders>
              <w:bottom w:val="nil"/>
            </w:tcBorders>
            <w:shd w:val="clear" w:color="auto" w:fill="auto"/>
            <w:noWrap/>
            <w:hideMark/>
          </w:tcPr>
          <w:p w14:paraId="5017CC3E" w14:textId="03E51B6E" w:rsidR="00A544AB" w:rsidRPr="00BD644A" w:rsidRDefault="00A544AB" w:rsidP="008671C0">
            <w:pPr>
              <w:rPr>
                <w:rFonts w:ascii="Arial" w:hAnsi="Arial" w:cs="Arial"/>
                <w:iCs/>
                <w:color w:val="000000"/>
                <w:sz w:val="18"/>
                <w:szCs w:val="18"/>
                <w:lang w:val="en-SG" w:eastAsia="en-SG"/>
              </w:rPr>
            </w:pPr>
            <w:r w:rsidRPr="00BD644A">
              <w:rPr>
                <w:rFonts w:ascii="Arial" w:hAnsi="Arial" w:cs="Arial"/>
                <w:iCs/>
                <w:color w:val="000000"/>
                <w:sz w:val="18"/>
                <w:szCs w:val="18"/>
                <w:lang w:val="en-SG" w:eastAsia="en-SG"/>
              </w:rPr>
              <w:t xml:space="preserve">GDP </w:t>
            </w:r>
          </w:p>
        </w:tc>
        <w:tc>
          <w:tcPr>
            <w:tcW w:w="522" w:type="pct"/>
            <w:tcBorders>
              <w:bottom w:val="nil"/>
            </w:tcBorders>
            <w:shd w:val="clear" w:color="auto" w:fill="auto"/>
            <w:noWrap/>
            <w:hideMark/>
          </w:tcPr>
          <w:p w14:paraId="632AE891"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72,611.6</w:t>
            </w:r>
          </w:p>
        </w:tc>
        <w:tc>
          <w:tcPr>
            <w:tcW w:w="524" w:type="pct"/>
            <w:tcBorders>
              <w:bottom w:val="nil"/>
            </w:tcBorders>
            <w:shd w:val="clear" w:color="auto" w:fill="auto"/>
            <w:noWrap/>
            <w:hideMark/>
          </w:tcPr>
          <w:p w14:paraId="0028FEE9"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74,492.8</w:t>
            </w:r>
          </w:p>
        </w:tc>
        <w:tc>
          <w:tcPr>
            <w:tcW w:w="522" w:type="pct"/>
            <w:tcBorders>
              <w:bottom w:val="nil"/>
              <w:right w:val="single" w:sz="4" w:space="0" w:color="auto"/>
            </w:tcBorders>
            <w:shd w:val="clear" w:color="auto" w:fill="auto"/>
            <w:noWrap/>
            <w:hideMark/>
          </w:tcPr>
          <w:p w14:paraId="3FC7EA44"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76,330.8</w:t>
            </w:r>
          </w:p>
        </w:tc>
        <w:tc>
          <w:tcPr>
            <w:tcW w:w="524" w:type="pct"/>
            <w:tcBorders>
              <w:left w:val="single" w:sz="4" w:space="0" w:color="auto"/>
              <w:bottom w:val="nil"/>
            </w:tcBorders>
            <w:shd w:val="clear" w:color="auto" w:fill="auto"/>
            <w:noWrap/>
            <w:hideMark/>
          </w:tcPr>
          <w:p w14:paraId="1DE085A3"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78,169.0</w:t>
            </w:r>
          </w:p>
        </w:tc>
        <w:tc>
          <w:tcPr>
            <w:tcW w:w="522" w:type="pct"/>
            <w:tcBorders>
              <w:bottom w:val="nil"/>
            </w:tcBorders>
            <w:shd w:val="clear" w:color="auto" w:fill="auto"/>
            <w:noWrap/>
            <w:hideMark/>
          </w:tcPr>
          <w:p w14:paraId="49738014"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73,591.4</w:t>
            </w:r>
          </w:p>
        </w:tc>
        <w:tc>
          <w:tcPr>
            <w:tcW w:w="523" w:type="pct"/>
            <w:tcBorders>
              <w:bottom w:val="nil"/>
            </w:tcBorders>
            <w:shd w:val="clear" w:color="auto" w:fill="auto"/>
            <w:noWrap/>
            <w:hideMark/>
          </w:tcPr>
          <w:p w14:paraId="6F054C24"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74,996.6</w:t>
            </w:r>
          </w:p>
        </w:tc>
        <w:tc>
          <w:tcPr>
            <w:tcW w:w="522" w:type="pct"/>
            <w:tcBorders>
              <w:bottom w:val="nil"/>
            </w:tcBorders>
            <w:shd w:val="clear" w:color="auto" w:fill="auto"/>
            <w:noWrap/>
            <w:hideMark/>
          </w:tcPr>
          <w:p w14:paraId="3946E8DB"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76,259.4</w:t>
            </w:r>
          </w:p>
        </w:tc>
        <w:tc>
          <w:tcPr>
            <w:tcW w:w="523" w:type="pct"/>
            <w:tcBorders>
              <w:bottom w:val="nil"/>
            </w:tcBorders>
            <w:shd w:val="clear" w:color="auto" w:fill="auto"/>
            <w:noWrap/>
            <w:hideMark/>
          </w:tcPr>
          <w:p w14:paraId="705FE310"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79,925.8</w:t>
            </w:r>
          </w:p>
        </w:tc>
      </w:tr>
      <w:tr w:rsidR="00A544AB" w:rsidRPr="00245772" w14:paraId="46567126" w14:textId="77777777" w:rsidTr="00A544AB">
        <w:trPr>
          <w:trHeight w:val="60"/>
        </w:trPr>
        <w:tc>
          <w:tcPr>
            <w:tcW w:w="818" w:type="pct"/>
            <w:tcBorders>
              <w:top w:val="nil"/>
              <w:bottom w:val="single" w:sz="4" w:space="0" w:color="auto"/>
            </w:tcBorders>
            <w:shd w:val="clear" w:color="auto" w:fill="auto"/>
            <w:noWrap/>
            <w:hideMark/>
          </w:tcPr>
          <w:p w14:paraId="1700C9CC" w14:textId="77777777" w:rsidR="00A544AB" w:rsidRPr="007A3C64" w:rsidRDefault="00A544AB" w:rsidP="008671C0">
            <w:pPr>
              <w:rPr>
                <w:rFonts w:ascii="Arial" w:hAnsi="Arial" w:cs="Arial"/>
                <w:color w:val="000000"/>
                <w:sz w:val="18"/>
                <w:szCs w:val="18"/>
                <w:lang w:val="en-SG" w:eastAsia="en-SG"/>
              </w:rPr>
            </w:pPr>
            <w:r w:rsidRPr="007A3C64">
              <w:rPr>
                <w:rFonts w:ascii="Arial" w:hAnsi="Arial" w:cs="Arial"/>
                <w:color w:val="000000"/>
                <w:sz w:val="18"/>
                <w:szCs w:val="18"/>
                <w:lang w:val="en-SG" w:eastAsia="en-SG"/>
              </w:rPr>
              <w:t>Growth YoY (%)</w:t>
            </w:r>
          </w:p>
        </w:tc>
        <w:tc>
          <w:tcPr>
            <w:tcW w:w="522" w:type="pct"/>
            <w:tcBorders>
              <w:top w:val="nil"/>
              <w:bottom w:val="single" w:sz="4" w:space="0" w:color="auto"/>
            </w:tcBorders>
            <w:shd w:val="clear" w:color="auto" w:fill="auto"/>
            <w:noWrap/>
            <w:hideMark/>
          </w:tcPr>
          <w:p w14:paraId="0460A889" w14:textId="77777777" w:rsidR="00A544AB" w:rsidRPr="00BD644A" w:rsidRDefault="00A544AB" w:rsidP="008671C0">
            <w:pPr>
              <w:jc w:val="right"/>
              <w:rPr>
                <w:rFonts w:ascii="Arial" w:hAnsi="Arial" w:cs="Arial"/>
                <w:iCs/>
                <w:color w:val="000000"/>
                <w:sz w:val="18"/>
                <w:szCs w:val="18"/>
              </w:rPr>
            </w:pPr>
            <w:r w:rsidRPr="00BD644A">
              <w:rPr>
                <w:rFonts w:ascii="Arial" w:hAnsi="Arial" w:cs="Arial"/>
                <w:iCs/>
                <w:color w:val="000000"/>
                <w:sz w:val="18"/>
                <w:szCs w:val="18"/>
              </w:rPr>
              <w:t>11.4</w:t>
            </w:r>
          </w:p>
        </w:tc>
        <w:tc>
          <w:tcPr>
            <w:tcW w:w="524" w:type="pct"/>
            <w:tcBorders>
              <w:top w:val="nil"/>
              <w:bottom w:val="single" w:sz="4" w:space="0" w:color="auto"/>
            </w:tcBorders>
            <w:shd w:val="clear" w:color="auto" w:fill="auto"/>
            <w:noWrap/>
            <w:hideMark/>
          </w:tcPr>
          <w:p w14:paraId="0B2E38D5" w14:textId="77777777" w:rsidR="00A544AB" w:rsidRPr="00BD644A" w:rsidRDefault="00A544AB" w:rsidP="008671C0">
            <w:pPr>
              <w:jc w:val="right"/>
              <w:rPr>
                <w:rFonts w:ascii="Arial" w:hAnsi="Arial" w:cs="Arial"/>
                <w:iCs/>
                <w:color w:val="000000"/>
                <w:sz w:val="18"/>
                <w:szCs w:val="18"/>
              </w:rPr>
            </w:pPr>
            <w:r w:rsidRPr="00BD644A">
              <w:rPr>
                <w:rFonts w:ascii="Arial" w:hAnsi="Arial" w:cs="Arial"/>
                <w:iCs/>
                <w:color w:val="000000"/>
                <w:sz w:val="18"/>
                <w:szCs w:val="18"/>
              </w:rPr>
              <w:t>2.6</w:t>
            </w:r>
          </w:p>
        </w:tc>
        <w:tc>
          <w:tcPr>
            <w:tcW w:w="522" w:type="pct"/>
            <w:tcBorders>
              <w:top w:val="nil"/>
              <w:bottom w:val="single" w:sz="4" w:space="0" w:color="auto"/>
              <w:right w:val="single" w:sz="4" w:space="0" w:color="auto"/>
            </w:tcBorders>
            <w:shd w:val="clear" w:color="auto" w:fill="auto"/>
            <w:noWrap/>
            <w:hideMark/>
          </w:tcPr>
          <w:p w14:paraId="07470B8A" w14:textId="77777777" w:rsidR="00A544AB" w:rsidRPr="00BD644A" w:rsidRDefault="00A544AB" w:rsidP="008671C0">
            <w:pPr>
              <w:jc w:val="right"/>
              <w:rPr>
                <w:rFonts w:ascii="Arial" w:hAnsi="Arial" w:cs="Arial"/>
                <w:iCs/>
                <w:color w:val="000000"/>
                <w:sz w:val="18"/>
                <w:szCs w:val="18"/>
              </w:rPr>
            </w:pPr>
            <w:r w:rsidRPr="00BD644A">
              <w:rPr>
                <w:rFonts w:ascii="Arial" w:hAnsi="Arial" w:cs="Arial"/>
                <w:iCs/>
                <w:color w:val="000000"/>
                <w:sz w:val="18"/>
                <w:szCs w:val="18"/>
              </w:rPr>
              <w:t>2.5</w:t>
            </w:r>
          </w:p>
        </w:tc>
        <w:tc>
          <w:tcPr>
            <w:tcW w:w="524" w:type="pct"/>
            <w:tcBorders>
              <w:top w:val="nil"/>
              <w:left w:val="single" w:sz="4" w:space="0" w:color="auto"/>
              <w:bottom w:val="single" w:sz="4" w:space="0" w:color="auto"/>
            </w:tcBorders>
            <w:shd w:val="clear" w:color="auto" w:fill="auto"/>
            <w:noWrap/>
            <w:hideMark/>
          </w:tcPr>
          <w:p w14:paraId="491B37A5" w14:textId="77777777" w:rsidR="00A544AB" w:rsidRPr="00BD644A" w:rsidRDefault="00A544AB" w:rsidP="008671C0">
            <w:pPr>
              <w:jc w:val="right"/>
              <w:rPr>
                <w:rFonts w:ascii="Arial" w:hAnsi="Arial" w:cs="Arial"/>
                <w:iCs/>
                <w:color w:val="000000"/>
                <w:sz w:val="18"/>
                <w:szCs w:val="18"/>
              </w:rPr>
            </w:pPr>
            <w:r w:rsidRPr="00BD644A">
              <w:rPr>
                <w:rFonts w:ascii="Arial" w:hAnsi="Arial" w:cs="Arial"/>
                <w:iCs/>
                <w:color w:val="000000"/>
                <w:sz w:val="18"/>
                <w:szCs w:val="18"/>
              </w:rPr>
              <w:t>2.4</w:t>
            </w:r>
          </w:p>
        </w:tc>
        <w:tc>
          <w:tcPr>
            <w:tcW w:w="522" w:type="pct"/>
            <w:tcBorders>
              <w:top w:val="nil"/>
              <w:bottom w:val="single" w:sz="4" w:space="0" w:color="auto"/>
            </w:tcBorders>
            <w:shd w:val="clear" w:color="auto" w:fill="auto"/>
            <w:noWrap/>
            <w:hideMark/>
          </w:tcPr>
          <w:p w14:paraId="34329DD8" w14:textId="77777777" w:rsidR="00A544AB" w:rsidRPr="00BD644A" w:rsidRDefault="00A544AB" w:rsidP="008671C0">
            <w:pPr>
              <w:jc w:val="right"/>
              <w:rPr>
                <w:rFonts w:ascii="Arial" w:hAnsi="Arial" w:cs="Arial"/>
                <w:iCs/>
                <w:color w:val="000000"/>
                <w:sz w:val="18"/>
                <w:szCs w:val="18"/>
              </w:rPr>
            </w:pPr>
            <w:r w:rsidRPr="00BD644A">
              <w:rPr>
                <w:rFonts w:ascii="Arial" w:hAnsi="Arial" w:cs="Arial"/>
                <w:iCs/>
                <w:color w:val="000000"/>
                <w:sz w:val="18"/>
                <w:szCs w:val="18"/>
              </w:rPr>
              <w:t>-5.9</w:t>
            </w:r>
          </w:p>
        </w:tc>
        <w:tc>
          <w:tcPr>
            <w:tcW w:w="523" w:type="pct"/>
            <w:tcBorders>
              <w:top w:val="nil"/>
              <w:bottom w:val="single" w:sz="4" w:space="0" w:color="auto"/>
            </w:tcBorders>
            <w:shd w:val="clear" w:color="auto" w:fill="auto"/>
            <w:noWrap/>
            <w:hideMark/>
          </w:tcPr>
          <w:p w14:paraId="14DE2656" w14:textId="77777777" w:rsidR="00A544AB" w:rsidRPr="00BD644A" w:rsidRDefault="00A544AB" w:rsidP="008671C0">
            <w:pPr>
              <w:jc w:val="right"/>
              <w:rPr>
                <w:rFonts w:ascii="Arial" w:hAnsi="Arial" w:cs="Arial"/>
                <w:iCs/>
                <w:color w:val="000000"/>
                <w:sz w:val="18"/>
                <w:szCs w:val="18"/>
              </w:rPr>
            </w:pPr>
            <w:r w:rsidRPr="00BD644A">
              <w:rPr>
                <w:rFonts w:ascii="Arial" w:hAnsi="Arial" w:cs="Arial"/>
                <w:iCs/>
                <w:color w:val="000000"/>
                <w:sz w:val="18"/>
                <w:szCs w:val="18"/>
              </w:rPr>
              <w:t>1.9</w:t>
            </w:r>
          </w:p>
        </w:tc>
        <w:tc>
          <w:tcPr>
            <w:tcW w:w="522" w:type="pct"/>
            <w:tcBorders>
              <w:top w:val="nil"/>
              <w:bottom w:val="single" w:sz="4" w:space="0" w:color="auto"/>
            </w:tcBorders>
            <w:shd w:val="clear" w:color="auto" w:fill="auto"/>
            <w:noWrap/>
            <w:hideMark/>
          </w:tcPr>
          <w:p w14:paraId="297173EE" w14:textId="77777777" w:rsidR="00A544AB" w:rsidRPr="00BD644A" w:rsidRDefault="00A544AB" w:rsidP="008671C0">
            <w:pPr>
              <w:jc w:val="right"/>
              <w:rPr>
                <w:rFonts w:ascii="Arial" w:hAnsi="Arial" w:cs="Arial"/>
                <w:iCs/>
                <w:color w:val="000000"/>
                <w:sz w:val="18"/>
                <w:szCs w:val="18"/>
              </w:rPr>
            </w:pPr>
            <w:r w:rsidRPr="00BD644A">
              <w:rPr>
                <w:rFonts w:ascii="Arial" w:hAnsi="Arial" w:cs="Arial"/>
                <w:iCs/>
                <w:color w:val="000000"/>
                <w:sz w:val="18"/>
                <w:szCs w:val="18"/>
              </w:rPr>
              <w:t>1.7</w:t>
            </w:r>
          </w:p>
        </w:tc>
        <w:tc>
          <w:tcPr>
            <w:tcW w:w="523" w:type="pct"/>
            <w:tcBorders>
              <w:top w:val="nil"/>
              <w:bottom w:val="single" w:sz="4" w:space="0" w:color="auto"/>
            </w:tcBorders>
            <w:shd w:val="clear" w:color="auto" w:fill="auto"/>
            <w:noWrap/>
            <w:hideMark/>
          </w:tcPr>
          <w:p w14:paraId="00793E44" w14:textId="77777777" w:rsidR="00A544AB" w:rsidRPr="00BD644A" w:rsidRDefault="00A544AB" w:rsidP="008671C0">
            <w:pPr>
              <w:jc w:val="right"/>
              <w:rPr>
                <w:rFonts w:ascii="Arial" w:hAnsi="Arial" w:cs="Arial"/>
                <w:iCs/>
                <w:color w:val="000000"/>
                <w:sz w:val="18"/>
                <w:szCs w:val="18"/>
              </w:rPr>
            </w:pPr>
            <w:r w:rsidRPr="00BD644A">
              <w:rPr>
                <w:rFonts w:ascii="Arial" w:hAnsi="Arial" w:cs="Arial"/>
                <w:iCs/>
                <w:color w:val="000000"/>
                <w:sz w:val="18"/>
                <w:szCs w:val="18"/>
              </w:rPr>
              <w:t>4.8</w:t>
            </w:r>
          </w:p>
        </w:tc>
      </w:tr>
      <w:tr w:rsidR="00A544AB" w:rsidRPr="00B214F7" w14:paraId="1817FFD4" w14:textId="77777777" w:rsidTr="00A544AB">
        <w:trPr>
          <w:trHeight w:val="60"/>
        </w:trPr>
        <w:tc>
          <w:tcPr>
            <w:tcW w:w="818" w:type="pct"/>
            <w:tcBorders>
              <w:top w:val="single" w:sz="4" w:space="0" w:color="auto"/>
            </w:tcBorders>
            <w:shd w:val="clear" w:color="auto" w:fill="auto"/>
            <w:noWrap/>
            <w:hideMark/>
          </w:tcPr>
          <w:p w14:paraId="09F8644A" w14:textId="29A62CA7" w:rsidR="00A544AB" w:rsidRPr="00947EB3" w:rsidRDefault="00A544AB" w:rsidP="008671C0">
            <w:pPr>
              <w:rPr>
                <w:rFonts w:ascii="Arial" w:hAnsi="Arial" w:cs="Arial"/>
                <w:b/>
                <w:bCs/>
                <w:color w:val="000000"/>
                <w:sz w:val="18"/>
                <w:szCs w:val="18"/>
                <w:lang w:val="en-SG" w:eastAsia="en-SG"/>
              </w:rPr>
            </w:pPr>
            <w:r w:rsidRPr="00947EB3">
              <w:rPr>
                <w:rFonts w:ascii="Arial" w:hAnsi="Arial" w:cs="Arial"/>
                <w:b/>
                <w:bCs/>
                <w:color w:val="000000"/>
                <w:sz w:val="18"/>
                <w:szCs w:val="18"/>
                <w:lang w:val="en-SG" w:eastAsia="en-SG"/>
              </w:rPr>
              <w:t>Europe</w:t>
            </w:r>
          </w:p>
        </w:tc>
        <w:tc>
          <w:tcPr>
            <w:tcW w:w="522" w:type="pct"/>
            <w:tcBorders>
              <w:top w:val="single" w:sz="4" w:space="0" w:color="auto"/>
            </w:tcBorders>
            <w:shd w:val="clear" w:color="auto" w:fill="auto"/>
            <w:noWrap/>
            <w:hideMark/>
          </w:tcPr>
          <w:p w14:paraId="4EDFE6B6" w14:textId="77777777" w:rsidR="00A544AB" w:rsidRPr="00060311" w:rsidRDefault="00A544AB" w:rsidP="008671C0">
            <w:pPr>
              <w:rPr>
                <w:rFonts w:ascii="Arial" w:hAnsi="Arial" w:cs="Arial"/>
                <w:sz w:val="18"/>
                <w:szCs w:val="18"/>
                <w:lang w:val="en-SG" w:eastAsia="en-SG"/>
              </w:rPr>
            </w:pPr>
          </w:p>
        </w:tc>
        <w:tc>
          <w:tcPr>
            <w:tcW w:w="524" w:type="pct"/>
            <w:tcBorders>
              <w:top w:val="single" w:sz="4" w:space="0" w:color="auto"/>
            </w:tcBorders>
            <w:shd w:val="clear" w:color="auto" w:fill="auto"/>
            <w:noWrap/>
            <w:hideMark/>
          </w:tcPr>
          <w:p w14:paraId="7EA2B0CD" w14:textId="77777777" w:rsidR="00A544AB" w:rsidRPr="00060311" w:rsidRDefault="00A544AB" w:rsidP="008671C0">
            <w:pPr>
              <w:rPr>
                <w:rFonts w:ascii="Arial" w:hAnsi="Arial" w:cs="Arial"/>
                <w:sz w:val="18"/>
                <w:szCs w:val="18"/>
                <w:lang w:val="en-SG" w:eastAsia="en-SG"/>
              </w:rPr>
            </w:pPr>
          </w:p>
        </w:tc>
        <w:tc>
          <w:tcPr>
            <w:tcW w:w="522" w:type="pct"/>
            <w:tcBorders>
              <w:top w:val="single" w:sz="4" w:space="0" w:color="auto"/>
              <w:right w:val="single" w:sz="4" w:space="0" w:color="auto"/>
            </w:tcBorders>
            <w:shd w:val="clear" w:color="auto" w:fill="auto"/>
            <w:noWrap/>
            <w:hideMark/>
          </w:tcPr>
          <w:p w14:paraId="42659CC3" w14:textId="77777777" w:rsidR="00A544AB" w:rsidRPr="00060311" w:rsidRDefault="00A544AB" w:rsidP="008671C0">
            <w:pPr>
              <w:rPr>
                <w:rFonts w:ascii="Arial" w:hAnsi="Arial" w:cs="Arial"/>
                <w:sz w:val="18"/>
                <w:szCs w:val="18"/>
                <w:lang w:val="en-SG" w:eastAsia="en-SG"/>
              </w:rPr>
            </w:pPr>
          </w:p>
        </w:tc>
        <w:tc>
          <w:tcPr>
            <w:tcW w:w="524" w:type="pct"/>
            <w:tcBorders>
              <w:top w:val="single" w:sz="4" w:space="0" w:color="auto"/>
              <w:left w:val="single" w:sz="4" w:space="0" w:color="auto"/>
            </w:tcBorders>
            <w:shd w:val="clear" w:color="auto" w:fill="auto"/>
            <w:noWrap/>
            <w:hideMark/>
          </w:tcPr>
          <w:p w14:paraId="4184F117" w14:textId="77777777" w:rsidR="00A544AB" w:rsidRPr="00060311" w:rsidRDefault="00A544AB" w:rsidP="008671C0">
            <w:pPr>
              <w:rPr>
                <w:rFonts w:ascii="Arial" w:hAnsi="Arial" w:cs="Arial"/>
                <w:sz w:val="18"/>
                <w:szCs w:val="18"/>
                <w:lang w:val="en-SG" w:eastAsia="en-SG"/>
              </w:rPr>
            </w:pPr>
          </w:p>
        </w:tc>
        <w:tc>
          <w:tcPr>
            <w:tcW w:w="522" w:type="pct"/>
            <w:tcBorders>
              <w:top w:val="single" w:sz="4" w:space="0" w:color="auto"/>
            </w:tcBorders>
            <w:shd w:val="clear" w:color="auto" w:fill="auto"/>
            <w:noWrap/>
            <w:hideMark/>
          </w:tcPr>
          <w:p w14:paraId="2421DEBE" w14:textId="77777777" w:rsidR="00A544AB" w:rsidRPr="00060311" w:rsidRDefault="00A544AB" w:rsidP="008671C0">
            <w:pPr>
              <w:rPr>
                <w:rFonts w:ascii="Arial" w:hAnsi="Arial" w:cs="Arial"/>
                <w:sz w:val="18"/>
                <w:szCs w:val="18"/>
                <w:lang w:val="en-SG" w:eastAsia="en-SG"/>
              </w:rPr>
            </w:pPr>
          </w:p>
        </w:tc>
        <w:tc>
          <w:tcPr>
            <w:tcW w:w="523" w:type="pct"/>
            <w:tcBorders>
              <w:top w:val="single" w:sz="4" w:space="0" w:color="auto"/>
            </w:tcBorders>
            <w:shd w:val="clear" w:color="auto" w:fill="auto"/>
            <w:noWrap/>
            <w:hideMark/>
          </w:tcPr>
          <w:p w14:paraId="426ADB44" w14:textId="77777777" w:rsidR="00A544AB" w:rsidRPr="00060311" w:rsidRDefault="00A544AB" w:rsidP="008671C0">
            <w:pPr>
              <w:rPr>
                <w:rFonts w:ascii="Arial" w:hAnsi="Arial" w:cs="Arial"/>
                <w:sz w:val="18"/>
                <w:szCs w:val="18"/>
                <w:lang w:val="en-SG" w:eastAsia="en-SG"/>
              </w:rPr>
            </w:pPr>
          </w:p>
        </w:tc>
        <w:tc>
          <w:tcPr>
            <w:tcW w:w="522" w:type="pct"/>
            <w:tcBorders>
              <w:top w:val="single" w:sz="4" w:space="0" w:color="auto"/>
            </w:tcBorders>
            <w:shd w:val="clear" w:color="auto" w:fill="auto"/>
            <w:noWrap/>
            <w:hideMark/>
          </w:tcPr>
          <w:p w14:paraId="186A9B0B" w14:textId="77777777" w:rsidR="00A544AB" w:rsidRPr="00060311" w:rsidRDefault="00A544AB" w:rsidP="008671C0">
            <w:pPr>
              <w:rPr>
                <w:rFonts w:ascii="Arial" w:hAnsi="Arial" w:cs="Arial"/>
                <w:sz w:val="18"/>
                <w:szCs w:val="18"/>
                <w:lang w:val="en-SG" w:eastAsia="en-SG"/>
              </w:rPr>
            </w:pPr>
          </w:p>
        </w:tc>
        <w:tc>
          <w:tcPr>
            <w:tcW w:w="523" w:type="pct"/>
            <w:tcBorders>
              <w:top w:val="single" w:sz="4" w:space="0" w:color="auto"/>
            </w:tcBorders>
            <w:shd w:val="clear" w:color="auto" w:fill="auto"/>
            <w:noWrap/>
            <w:hideMark/>
          </w:tcPr>
          <w:p w14:paraId="4CCAB895" w14:textId="77777777" w:rsidR="00A544AB" w:rsidRPr="00060311" w:rsidRDefault="00A544AB" w:rsidP="008671C0">
            <w:pPr>
              <w:rPr>
                <w:rFonts w:ascii="Arial" w:hAnsi="Arial" w:cs="Arial"/>
                <w:sz w:val="18"/>
                <w:szCs w:val="18"/>
                <w:lang w:val="en-SG" w:eastAsia="en-SG"/>
              </w:rPr>
            </w:pPr>
          </w:p>
        </w:tc>
      </w:tr>
      <w:tr w:rsidR="00A544AB" w:rsidRPr="00B214F7" w14:paraId="12F1F14F" w14:textId="77777777" w:rsidTr="00A544AB">
        <w:trPr>
          <w:trHeight w:val="60"/>
        </w:trPr>
        <w:tc>
          <w:tcPr>
            <w:tcW w:w="818" w:type="pct"/>
            <w:tcBorders>
              <w:bottom w:val="nil"/>
            </w:tcBorders>
            <w:shd w:val="clear" w:color="auto" w:fill="auto"/>
            <w:noWrap/>
            <w:hideMark/>
          </w:tcPr>
          <w:p w14:paraId="7693698E" w14:textId="688B9C4F" w:rsidR="00A544AB" w:rsidRPr="00BD644A" w:rsidRDefault="00A544AB" w:rsidP="008671C0">
            <w:pPr>
              <w:rPr>
                <w:rFonts w:ascii="Arial" w:hAnsi="Arial" w:cs="Arial"/>
                <w:iCs/>
                <w:color w:val="000000"/>
                <w:sz w:val="18"/>
                <w:szCs w:val="18"/>
                <w:lang w:val="en-SG" w:eastAsia="en-SG"/>
              </w:rPr>
            </w:pPr>
            <w:r w:rsidRPr="00BD644A">
              <w:rPr>
                <w:rFonts w:ascii="Arial" w:hAnsi="Arial" w:cs="Arial"/>
                <w:iCs/>
                <w:color w:val="000000"/>
                <w:sz w:val="18"/>
                <w:szCs w:val="18"/>
                <w:lang w:val="en-SG" w:eastAsia="en-SG"/>
              </w:rPr>
              <w:t xml:space="preserve">GDP </w:t>
            </w:r>
          </w:p>
        </w:tc>
        <w:tc>
          <w:tcPr>
            <w:tcW w:w="522" w:type="pct"/>
            <w:tcBorders>
              <w:bottom w:val="nil"/>
            </w:tcBorders>
            <w:shd w:val="clear" w:color="auto" w:fill="auto"/>
            <w:noWrap/>
            <w:hideMark/>
          </w:tcPr>
          <w:p w14:paraId="51D5D9DB"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13,618.9</w:t>
            </w:r>
          </w:p>
        </w:tc>
        <w:tc>
          <w:tcPr>
            <w:tcW w:w="524" w:type="pct"/>
            <w:tcBorders>
              <w:bottom w:val="nil"/>
            </w:tcBorders>
            <w:shd w:val="clear" w:color="auto" w:fill="auto"/>
            <w:noWrap/>
            <w:hideMark/>
          </w:tcPr>
          <w:p w14:paraId="14137709"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12,626.7</w:t>
            </w:r>
          </w:p>
        </w:tc>
        <w:tc>
          <w:tcPr>
            <w:tcW w:w="522" w:type="pct"/>
            <w:tcBorders>
              <w:bottom w:val="nil"/>
              <w:right w:val="single" w:sz="4" w:space="0" w:color="auto"/>
            </w:tcBorders>
            <w:shd w:val="clear" w:color="auto" w:fill="auto"/>
            <w:noWrap/>
            <w:hideMark/>
          </w:tcPr>
          <w:p w14:paraId="49CA4AE4"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13,172.4</w:t>
            </w:r>
          </w:p>
        </w:tc>
        <w:tc>
          <w:tcPr>
            <w:tcW w:w="524" w:type="pct"/>
            <w:tcBorders>
              <w:left w:val="single" w:sz="4" w:space="0" w:color="auto"/>
              <w:bottom w:val="nil"/>
            </w:tcBorders>
            <w:shd w:val="clear" w:color="auto" w:fill="auto"/>
            <w:noWrap/>
            <w:hideMark/>
          </w:tcPr>
          <w:p w14:paraId="76AD443E"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13,421.4</w:t>
            </w:r>
          </w:p>
        </w:tc>
        <w:tc>
          <w:tcPr>
            <w:tcW w:w="522" w:type="pct"/>
            <w:tcBorders>
              <w:bottom w:val="nil"/>
            </w:tcBorders>
            <w:shd w:val="clear" w:color="auto" w:fill="auto"/>
            <w:noWrap/>
            <w:hideMark/>
          </w:tcPr>
          <w:p w14:paraId="702002EB"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11,592.1</w:t>
            </w:r>
          </w:p>
        </w:tc>
        <w:tc>
          <w:tcPr>
            <w:tcW w:w="523" w:type="pct"/>
            <w:tcBorders>
              <w:bottom w:val="nil"/>
            </w:tcBorders>
            <w:shd w:val="clear" w:color="auto" w:fill="auto"/>
            <w:noWrap/>
            <w:hideMark/>
          </w:tcPr>
          <w:p w14:paraId="171CF014"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11,825.5</w:t>
            </w:r>
          </w:p>
        </w:tc>
        <w:tc>
          <w:tcPr>
            <w:tcW w:w="522" w:type="pct"/>
            <w:tcBorders>
              <w:bottom w:val="nil"/>
            </w:tcBorders>
            <w:shd w:val="clear" w:color="auto" w:fill="auto"/>
            <w:noWrap/>
            <w:hideMark/>
          </w:tcPr>
          <w:p w14:paraId="4C32E8BC"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11,331.2</w:t>
            </w:r>
          </w:p>
        </w:tc>
        <w:tc>
          <w:tcPr>
            <w:tcW w:w="523" w:type="pct"/>
            <w:tcBorders>
              <w:bottom w:val="nil"/>
            </w:tcBorders>
            <w:shd w:val="clear" w:color="auto" w:fill="auto"/>
            <w:noWrap/>
            <w:hideMark/>
          </w:tcPr>
          <w:p w14:paraId="58175A59"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11,583.7</w:t>
            </w:r>
          </w:p>
        </w:tc>
      </w:tr>
      <w:tr w:rsidR="00A544AB" w:rsidRPr="00B214F7" w14:paraId="0E4BA676" w14:textId="77777777" w:rsidTr="00A544AB">
        <w:trPr>
          <w:trHeight w:val="60"/>
        </w:trPr>
        <w:tc>
          <w:tcPr>
            <w:tcW w:w="818" w:type="pct"/>
            <w:tcBorders>
              <w:top w:val="nil"/>
              <w:bottom w:val="single" w:sz="4" w:space="0" w:color="auto"/>
            </w:tcBorders>
            <w:shd w:val="clear" w:color="auto" w:fill="auto"/>
            <w:noWrap/>
            <w:hideMark/>
          </w:tcPr>
          <w:p w14:paraId="66C32988" w14:textId="77777777" w:rsidR="00A544AB" w:rsidRPr="00060311" w:rsidRDefault="00A544AB" w:rsidP="008671C0">
            <w:pPr>
              <w:rPr>
                <w:rFonts w:ascii="Arial" w:hAnsi="Arial" w:cs="Arial"/>
                <w:color w:val="000000"/>
                <w:sz w:val="18"/>
                <w:szCs w:val="18"/>
                <w:lang w:val="en-SG" w:eastAsia="en-SG"/>
              </w:rPr>
            </w:pPr>
            <w:r w:rsidRPr="00060311">
              <w:rPr>
                <w:rFonts w:ascii="Arial" w:hAnsi="Arial" w:cs="Arial"/>
                <w:color w:val="000000"/>
                <w:sz w:val="18"/>
                <w:szCs w:val="18"/>
                <w:lang w:val="en-SG" w:eastAsia="en-SG"/>
              </w:rPr>
              <w:t>Growth YoY (%)</w:t>
            </w:r>
          </w:p>
        </w:tc>
        <w:tc>
          <w:tcPr>
            <w:tcW w:w="522" w:type="pct"/>
            <w:tcBorders>
              <w:top w:val="nil"/>
              <w:bottom w:val="single" w:sz="4" w:space="0" w:color="auto"/>
            </w:tcBorders>
            <w:shd w:val="clear" w:color="auto" w:fill="auto"/>
            <w:noWrap/>
            <w:hideMark/>
          </w:tcPr>
          <w:p w14:paraId="42144F6B"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7.8</w:t>
            </w:r>
          </w:p>
        </w:tc>
        <w:tc>
          <w:tcPr>
            <w:tcW w:w="524" w:type="pct"/>
            <w:tcBorders>
              <w:top w:val="nil"/>
              <w:bottom w:val="single" w:sz="4" w:space="0" w:color="auto"/>
            </w:tcBorders>
            <w:shd w:val="clear" w:color="auto" w:fill="auto"/>
            <w:noWrap/>
            <w:hideMark/>
          </w:tcPr>
          <w:p w14:paraId="20379929" w14:textId="62894973" w:rsidR="00A544AB" w:rsidRPr="00060311" w:rsidRDefault="00A544AB" w:rsidP="008671C0">
            <w:pPr>
              <w:jc w:val="right"/>
              <w:rPr>
                <w:rFonts w:ascii="Arial" w:hAnsi="Arial" w:cs="Arial"/>
                <w:sz w:val="18"/>
                <w:szCs w:val="18"/>
                <w:lang w:val="en-SG" w:eastAsia="en-SG"/>
              </w:rPr>
            </w:pPr>
            <w:r w:rsidRPr="00513DA4">
              <w:rPr>
                <w:rFonts w:ascii="Arial" w:hAnsi="Arial" w:cs="Arial"/>
                <w:sz w:val="18"/>
                <w:szCs w:val="18"/>
                <w:lang w:val="en-SG" w:eastAsia="en-SG"/>
              </w:rPr>
              <w:t>−</w:t>
            </w:r>
            <w:r w:rsidRPr="00060311">
              <w:rPr>
                <w:rFonts w:ascii="Arial" w:hAnsi="Arial" w:cs="Arial"/>
                <w:sz w:val="18"/>
                <w:szCs w:val="18"/>
                <w:lang w:val="en-SG" w:eastAsia="en-SG"/>
              </w:rPr>
              <w:t>7.3</w:t>
            </w:r>
          </w:p>
        </w:tc>
        <w:tc>
          <w:tcPr>
            <w:tcW w:w="522" w:type="pct"/>
            <w:tcBorders>
              <w:top w:val="nil"/>
              <w:bottom w:val="single" w:sz="4" w:space="0" w:color="auto"/>
              <w:right w:val="single" w:sz="4" w:space="0" w:color="auto"/>
            </w:tcBorders>
            <w:shd w:val="clear" w:color="auto" w:fill="auto"/>
            <w:noWrap/>
            <w:hideMark/>
          </w:tcPr>
          <w:p w14:paraId="0FFB72D8"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4.3</w:t>
            </w:r>
          </w:p>
        </w:tc>
        <w:tc>
          <w:tcPr>
            <w:tcW w:w="524" w:type="pct"/>
            <w:tcBorders>
              <w:top w:val="nil"/>
              <w:left w:val="single" w:sz="4" w:space="0" w:color="auto"/>
              <w:bottom w:val="single" w:sz="4" w:space="0" w:color="auto"/>
            </w:tcBorders>
            <w:shd w:val="clear" w:color="auto" w:fill="auto"/>
            <w:noWrap/>
            <w:hideMark/>
          </w:tcPr>
          <w:p w14:paraId="68F1C17B"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1.9</w:t>
            </w:r>
          </w:p>
        </w:tc>
        <w:tc>
          <w:tcPr>
            <w:tcW w:w="522" w:type="pct"/>
            <w:tcBorders>
              <w:top w:val="nil"/>
              <w:bottom w:val="single" w:sz="4" w:space="0" w:color="auto"/>
            </w:tcBorders>
            <w:shd w:val="clear" w:color="auto" w:fill="auto"/>
            <w:noWrap/>
            <w:hideMark/>
          </w:tcPr>
          <w:p w14:paraId="1D987543" w14:textId="24AD06C7" w:rsidR="00A544AB" w:rsidRPr="00060311" w:rsidRDefault="00A544AB" w:rsidP="008671C0">
            <w:pPr>
              <w:jc w:val="right"/>
              <w:rPr>
                <w:rFonts w:ascii="Arial" w:hAnsi="Arial" w:cs="Arial"/>
                <w:sz w:val="18"/>
                <w:szCs w:val="18"/>
                <w:lang w:val="en-SG" w:eastAsia="en-SG"/>
              </w:rPr>
            </w:pPr>
            <w:r w:rsidRPr="00513DA4">
              <w:rPr>
                <w:rFonts w:ascii="Arial" w:hAnsi="Arial" w:cs="Arial"/>
                <w:sz w:val="18"/>
                <w:szCs w:val="18"/>
                <w:lang w:val="en-SG" w:eastAsia="en-SG"/>
              </w:rPr>
              <w:t>−</w:t>
            </w:r>
            <w:r w:rsidRPr="00060311">
              <w:rPr>
                <w:rFonts w:ascii="Arial" w:hAnsi="Arial" w:cs="Arial"/>
                <w:sz w:val="18"/>
                <w:szCs w:val="18"/>
                <w:lang w:val="en-SG" w:eastAsia="en-SG"/>
              </w:rPr>
              <w:t>13.6</w:t>
            </w:r>
          </w:p>
        </w:tc>
        <w:tc>
          <w:tcPr>
            <w:tcW w:w="523" w:type="pct"/>
            <w:tcBorders>
              <w:top w:val="nil"/>
              <w:bottom w:val="single" w:sz="4" w:space="0" w:color="auto"/>
            </w:tcBorders>
            <w:shd w:val="clear" w:color="auto" w:fill="auto"/>
            <w:noWrap/>
            <w:hideMark/>
          </w:tcPr>
          <w:p w14:paraId="7CD73C31"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2.0</w:t>
            </w:r>
          </w:p>
        </w:tc>
        <w:tc>
          <w:tcPr>
            <w:tcW w:w="522" w:type="pct"/>
            <w:tcBorders>
              <w:top w:val="nil"/>
              <w:bottom w:val="single" w:sz="4" w:space="0" w:color="auto"/>
            </w:tcBorders>
            <w:shd w:val="clear" w:color="auto" w:fill="auto"/>
            <w:noWrap/>
            <w:hideMark/>
          </w:tcPr>
          <w:p w14:paraId="682D0E1F" w14:textId="28448B48" w:rsidR="00A544AB" w:rsidRPr="00060311" w:rsidRDefault="00A544AB" w:rsidP="008671C0">
            <w:pPr>
              <w:jc w:val="right"/>
              <w:rPr>
                <w:rFonts w:ascii="Arial" w:hAnsi="Arial" w:cs="Arial"/>
                <w:sz w:val="18"/>
                <w:szCs w:val="18"/>
                <w:lang w:val="en-SG" w:eastAsia="en-SG"/>
              </w:rPr>
            </w:pPr>
            <w:r>
              <w:rPr>
                <w:rFonts w:ascii="Arial" w:hAnsi="Arial" w:cs="Arial"/>
                <w:sz w:val="18"/>
                <w:szCs w:val="18"/>
                <w:lang w:val="en-SG" w:eastAsia="en-SG"/>
              </w:rPr>
              <w:t>−</w:t>
            </w:r>
            <w:r w:rsidRPr="00060311">
              <w:rPr>
                <w:rFonts w:ascii="Arial" w:hAnsi="Arial" w:cs="Arial"/>
                <w:sz w:val="18"/>
                <w:szCs w:val="18"/>
                <w:lang w:val="en-SG" w:eastAsia="en-SG"/>
              </w:rPr>
              <w:t>4.2</w:t>
            </w:r>
          </w:p>
        </w:tc>
        <w:tc>
          <w:tcPr>
            <w:tcW w:w="523" w:type="pct"/>
            <w:tcBorders>
              <w:top w:val="nil"/>
              <w:bottom w:val="single" w:sz="4" w:space="0" w:color="auto"/>
            </w:tcBorders>
            <w:shd w:val="clear" w:color="auto" w:fill="auto"/>
            <w:noWrap/>
            <w:hideMark/>
          </w:tcPr>
          <w:p w14:paraId="2383B1E0"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2.2</w:t>
            </w:r>
          </w:p>
        </w:tc>
      </w:tr>
      <w:tr w:rsidR="00A544AB" w:rsidRPr="00B214F7" w14:paraId="508E4FE2" w14:textId="77777777" w:rsidTr="00A544AB">
        <w:trPr>
          <w:trHeight w:val="60"/>
        </w:trPr>
        <w:tc>
          <w:tcPr>
            <w:tcW w:w="818" w:type="pct"/>
            <w:tcBorders>
              <w:top w:val="single" w:sz="4" w:space="0" w:color="auto"/>
            </w:tcBorders>
            <w:shd w:val="clear" w:color="auto" w:fill="auto"/>
            <w:noWrap/>
            <w:hideMark/>
          </w:tcPr>
          <w:p w14:paraId="6321C2F8" w14:textId="4033496D" w:rsidR="00A544AB" w:rsidRPr="00947EB3" w:rsidRDefault="00A544AB" w:rsidP="008671C0">
            <w:pPr>
              <w:rPr>
                <w:rFonts w:ascii="Arial" w:hAnsi="Arial" w:cs="Arial"/>
                <w:b/>
                <w:bCs/>
                <w:color w:val="000000"/>
                <w:sz w:val="18"/>
                <w:szCs w:val="18"/>
                <w:lang w:val="en-SG" w:eastAsia="en-SG"/>
              </w:rPr>
            </w:pPr>
            <w:r w:rsidRPr="00947EB3">
              <w:rPr>
                <w:rFonts w:ascii="Arial" w:hAnsi="Arial" w:cs="Arial"/>
                <w:b/>
                <w:bCs/>
                <w:color w:val="000000"/>
                <w:sz w:val="18"/>
                <w:szCs w:val="18"/>
                <w:lang w:val="en-SG" w:eastAsia="en-SG"/>
              </w:rPr>
              <w:t>Asia</w:t>
            </w:r>
          </w:p>
        </w:tc>
        <w:tc>
          <w:tcPr>
            <w:tcW w:w="522" w:type="pct"/>
            <w:tcBorders>
              <w:top w:val="single" w:sz="4" w:space="0" w:color="auto"/>
            </w:tcBorders>
            <w:shd w:val="clear" w:color="auto" w:fill="auto"/>
            <w:noWrap/>
            <w:hideMark/>
          </w:tcPr>
          <w:p w14:paraId="6ABC7225" w14:textId="77777777" w:rsidR="00A544AB" w:rsidRPr="00060311" w:rsidRDefault="00A544AB" w:rsidP="008671C0">
            <w:pPr>
              <w:rPr>
                <w:rFonts w:ascii="Arial" w:hAnsi="Arial" w:cs="Arial"/>
                <w:sz w:val="18"/>
                <w:szCs w:val="18"/>
                <w:lang w:val="en-SG" w:eastAsia="en-SG"/>
              </w:rPr>
            </w:pPr>
          </w:p>
        </w:tc>
        <w:tc>
          <w:tcPr>
            <w:tcW w:w="524" w:type="pct"/>
            <w:tcBorders>
              <w:top w:val="single" w:sz="4" w:space="0" w:color="auto"/>
            </w:tcBorders>
            <w:shd w:val="clear" w:color="auto" w:fill="auto"/>
            <w:noWrap/>
            <w:hideMark/>
          </w:tcPr>
          <w:p w14:paraId="5A73F318" w14:textId="77777777" w:rsidR="00A544AB" w:rsidRPr="00060311" w:rsidRDefault="00A544AB" w:rsidP="008671C0">
            <w:pPr>
              <w:rPr>
                <w:rFonts w:ascii="Arial" w:hAnsi="Arial" w:cs="Arial"/>
                <w:sz w:val="18"/>
                <w:szCs w:val="18"/>
                <w:lang w:val="en-SG" w:eastAsia="en-SG"/>
              </w:rPr>
            </w:pPr>
          </w:p>
        </w:tc>
        <w:tc>
          <w:tcPr>
            <w:tcW w:w="522" w:type="pct"/>
            <w:tcBorders>
              <w:top w:val="single" w:sz="4" w:space="0" w:color="auto"/>
              <w:right w:val="single" w:sz="4" w:space="0" w:color="auto"/>
            </w:tcBorders>
            <w:shd w:val="clear" w:color="auto" w:fill="auto"/>
            <w:noWrap/>
            <w:hideMark/>
          </w:tcPr>
          <w:p w14:paraId="2D41D103" w14:textId="77777777" w:rsidR="00A544AB" w:rsidRPr="00060311" w:rsidRDefault="00A544AB" w:rsidP="008671C0">
            <w:pPr>
              <w:rPr>
                <w:rFonts w:ascii="Arial" w:hAnsi="Arial" w:cs="Arial"/>
                <w:sz w:val="18"/>
                <w:szCs w:val="18"/>
                <w:lang w:val="en-SG" w:eastAsia="en-SG"/>
              </w:rPr>
            </w:pPr>
          </w:p>
        </w:tc>
        <w:tc>
          <w:tcPr>
            <w:tcW w:w="524" w:type="pct"/>
            <w:tcBorders>
              <w:top w:val="single" w:sz="4" w:space="0" w:color="auto"/>
              <w:left w:val="single" w:sz="4" w:space="0" w:color="auto"/>
            </w:tcBorders>
            <w:shd w:val="clear" w:color="auto" w:fill="auto"/>
            <w:noWrap/>
            <w:hideMark/>
          </w:tcPr>
          <w:p w14:paraId="753648ED" w14:textId="77777777" w:rsidR="00A544AB" w:rsidRPr="00060311" w:rsidRDefault="00A544AB" w:rsidP="008671C0">
            <w:pPr>
              <w:rPr>
                <w:rFonts w:ascii="Arial" w:hAnsi="Arial" w:cs="Arial"/>
                <w:sz w:val="18"/>
                <w:szCs w:val="18"/>
                <w:lang w:val="en-SG" w:eastAsia="en-SG"/>
              </w:rPr>
            </w:pPr>
          </w:p>
        </w:tc>
        <w:tc>
          <w:tcPr>
            <w:tcW w:w="522" w:type="pct"/>
            <w:tcBorders>
              <w:top w:val="single" w:sz="4" w:space="0" w:color="auto"/>
            </w:tcBorders>
            <w:shd w:val="clear" w:color="auto" w:fill="auto"/>
            <w:noWrap/>
            <w:hideMark/>
          </w:tcPr>
          <w:p w14:paraId="3E98A2DC" w14:textId="77777777" w:rsidR="00A544AB" w:rsidRPr="00060311" w:rsidRDefault="00A544AB" w:rsidP="008671C0">
            <w:pPr>
              <w:rPr>
                <w:rFonts w:ascii="Arial" w:hAnsi="Arial" w:cs="Arial"/>
                <w:sz w:val="18"/>
                <w:szCs w:val="18"/>
                <w:lang w:val="en-SG" w:eastAsia="en-SG"/>
              </w:rPr>
            </w:pPr>
          </w:p>
        </w:tc>
        <w:tc>
          <w:tcPr>
            <w:tcW w:w="523" w:type="pct"/>
            <w:tcBorders>
              <w:top w:val="single" w:sz="4" w:space="0" w:color="auto"/>
            </w:tcBorders>
            <w:shd w:val="clear" w:color="auto" w:fill="auto"/>
            <w:noWrap/>
            <w:hideMark/>
          </w:tcPr>
          <w:p w14:paraId="00ACA805" w14:textId="77777777" w:rsidR="00A544AB" w:rsidRPr="00060311" w:rsidRDefault="00A544AB" w:rsidP="008671C0">
            <w:pPr>
              <w:rPr>
                <w:rFonts w:ascii="Arial" w:hAnsi="Arial" w:cs="Arial"/>
                <w:sz w:val="18"/>
                <w:szCs w:val="18"/>
                <w:lang w:val="en-SG" w:eastAsia="en-SG"/>
              </w:rPr>
            </w:pPr>
          </w:p>
        </w:tc>
        <w:tc>
          <w:tcPr>
            <w:tcW w:w="522" w:type="pct"/>
            <w:tcBorders>
              <w:top w:val="single" w:sz="4" w:space="0" w:color="auto"/>
            </w:tcBorders>
            <w:shd w:val="clear" w:color="auto" w:fill="auto"/>
            <w:noWrap/>
            <w:hideMark/>
          </w:tcPr>
          <w:p w14:paraId="7AB66FFA" w14:textId="77777777" w:rsidR="00A544AB" w:rsidRPr="00060311" w:rsidRDefault="00A544AB" w:rsidP="008671C0">
            <w:pPr>
              <w:rPr>
                <w:rFonts w:ascii="Arial" w:hAnsi="Arial" w:cs="Arial"/>
                <w:sz w:val="18"/>
                <w:szCs w:val="18"/>
                <w:lang w:val="en-SG" w:eastAsia="en-SG"/>
              </w:rPr>
            </w:pPr>
          </w:p>
        </w:tc>
        <w:tc>
          <w:tcPr>
            <w:tcW w:w="523" w:type="pct"/>
            <w:tcBorders>
              <w:top w:val="single" w:sz="4" w:space="0" w:color="auto"/>
            </w:tcBorders>
            <w:shd w:val="clear" w:color="auto" w:fill="auto"/>
            <w:noWrap/>
            <w:hideMark/>
          </w:tcPr>
          <w:p w14:paraId="43F2B173" w14:textId="77777777" w:rsidR="00A544AB" w:rsidRPr="00060311" w:rsidRDefault="00A544AB" w:rsidP="008671C0">
            <w:pPr>
              <w:rPr>
                <w:rFonts w:ascii="Arial" w:hAnsi="Arial" w:cs="Arial"/>
                <w:sz w:val="18"/>
                <w:szCs w:val="18"/>
                <w:lang w:val="en-SG" w:eastAsia="en-SG"/>
              </w:rPr>
            </w:pPr>
          </w:p>
        </w:tc>
      </w:tr>
      <w:tr w:rsidR="00A544AB" w:rsidRPr="00B214F7" w14:paraId="74798883" w14:textId="77777777" w:rsidTr="00A544AB">
        <w:trPr>
          <w:trHeight w:val="60"/>
        </w:trPr>
        <w:tc>
          <w:tcPr>
            <w:tcW w:w="818" w:type="pct"/>
            <w:tcBorders>
              <w:bottom w:val="nil"/>
            </w:tcBorders>
            <w:shd w:val="clear" w:color="auto" w:fill="auto"/>
            <w:noWrap/>
            <w:hideMark/>
          </w:tcPr>
          <w:p w14:paraId="2D8D3844" w14:textId="47A48241" w:rsidR="00A544AB" w:rsidRPr="00BD644A" w:rsidRDefault="00A544AB" w:rsidP="008671C0">
            <w:pPr>
              <w:rPr>
                <w:rFonts w:ascii="Arial" w:hAnsi="Arial" w:cs="Arial"/>
                <w:iCs/>
                <w:color w:val="000000"/>
                <w:sz w:val="18"/>
                <w:szCs w:val="18"/>
                <w:lang w:val="en-SG" w:eastAsia="en-SG"/>
              </w:rPr>
            </w:pPr>
            <w:r w:rsidRPr="00BD644A">
              <w:rPr>
                <w:rFonts w:ascii="Arial" w:hAnsi="Arial" w:cs="Arial"/>
                <w:iCs/>
                <w:color w:val="000000"/>
                <w:sz w:val="18"/>
                <w:szCs w:val="18"/>
                <w:lang w:val="en-SG" w:eastAsia="en-SG"/>
              </w:rPr>
              <w:t xml:space="preserve">GDP </w:t>
            </w:r>
          </w:p>
        </w:tc>
        <w:tc>
          <w:tcPr>
            <w:tcW w:w="522" w:type="pct"/>
            <w:tcBorders>
              <w:bottom w:val="nil"/>
            </w:tcBorders>
            <w:shd w:val="clear" w:color="auto" w:fill="auto"/>
            <w:noWrap/>
            <w:hideMark/>
          </w:tcPr>
          <w:p w14:paraId="27F0F150"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21,663.4</w:t>
            </w:r>
          </w:p>
        </w:tc>
        <w:tc>
          <w:tcPr>
            <w:tcW w:w="524" w:type="pct"/>
            <w:tcBorders>
              <w:bottom w:val="nil"/>
            </w:tcBorders>
            <w:shd w:val="clear" w:color="auto" w:fill="auto"/>
            <w:noWrap/>
            <w:hideMark/>
          </w:tcPr>
          <w:p w14:paraId="61665C8F"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23,367.3</w:t>
            </w:r>
          </w:p>
        </w:tc>
        <w:tc>
          <w:tcPr>
            <w:tcW w:w="522" w:type="pct"/>
            <w:tcBorders>
              <w:bottom w:val="nil"/>
              <w:right w:val="single" w:sz="4" w:space="0" w:color="auto"/>
            </w:tcBorders>
            <w:shd w:val="clear" w:color="auto" w:fill="auto"/>
            <w:noWrap/>
            <w:hideMark/>
          </w:tcPr>
          <w:p w14:paraId="2EF9B344"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23,475.3</w:t>
            </w:r>
          </w:p>
        </w:tc>
        <w:tc>
          <w:tcPr>
            <w:tcW w:w="524" w:type="pct"/>
            <w:tcBorders>
              <w:left w:val="single" w:sz="4" w:space="0" w:color="auto"/>
              <w:bottom w:val="nil"/>
            </w:tcBorders>
            <w:shd w:val="clear" w:color="auto" w:fill="auto"/>
            <w:noWrap/>
            <w:hideMark/>
          </w:tcPr>
          <w:p w14:paraId="2367F33E"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24,167.2</w:t>
            </w:r>
          </w:p>
        </w:tc>
        <w:tc>
          <w:tcPr>
            <w:tcW w:w="522" w:type="pct"/>
            <w:tcBorders>
              <w:bottom w:val="nil"/>
            </w:tcBorders>
            <w:shd w:val="clear" w:color="auto" w:fill="auto"/>
            <w:noWrap/>
            <w:hideMark/>
          </w:tcPr>
          <w:p w14:paraId="65EB5D20"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24,198.6</w:t>
            </w:r>
          </w:p>
        </w:tc>
        <w:tc>
          <w:tcPr>
            <w:tcW w:w="523" w:type="pct"/>
            <w:tcBorders>
              <w:bottom w:val="nil"/>
            </w:tcBorders>
            <w:shd w:val="clear" w:color="auto" w:fill="auto"/>
            <w:noWrap/>
            <w:hideMark/>
          </w:tcPr>
          <w:p w14:paraId="11607908"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25,317.0</w:t>
            </w:r>
          </w:p>
        </w:tc>
        <w:tc>
          <w:tcPr>
            <w:tcW w:w="522" w:type="pct"/>
            <w:tcBorders>
              <w:bottom w:val="nil"/>
            </w:tcBorders>
            <w:shd w:val="clear" w:color="auto" w:fill="auto"/>
            <w:noWrap/>
            <w:hideMark/>
          </w:tcPr>
          <w:p w14:paraId="3D0FEAAB"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26,604.3</w:t>
            </w:r>
          </w:p>
        </w:tc>
        <w:tc>
          <w:tcPr>
            <w:tcW w:w="523" w:type="pct"/>
            <w:tcBorders>
              <w:bottom w:val="nil"/>
            </w:tcBorders>
            <w:shd w:val="clear" w:color="auto" w:fill="auto"/>
            <w:noWrap/>
            <w:hideMark/>
          </w:tcPr>
          <w:p w14:paraId="26AA75E5"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28,008.1</w:t>
            </w:r>
          </w:p>
        </w:tc>
      </w:tr>
      <w:tr w:rsidR="00A544AB" w:rsidRPr="00B214F7" w14:paraId="1E8E0F85" w14:textId="77777777" w:rsidTr="00A544AB">
        <w:trPr>
          <w:trHeight w:val="60"/>
        </w:trPr>
        <w:tc>
          <w:tcPr>
            <w:tcW w:w="818" w:type="pct"/>
            <w:tcBorders>
              <w:top w:val="nil"/>
              <w:bottom w:val="single" w:sz="4" w:space="0" w:color="auto"/>
            </w:tcBorders>
            <w:shd w:val="clear" w:color="auto" w:fill="auto"/>
            <w:noWrap/>
            <w:hideMark/>
          </w:tcPr>
          <w:p w14:paraId="7576FDE0" w14:textId="77777777" w:rsidR="00A544AB" w:rsidRPr="00060311" w:rsidRDefault="00A544AB" w:rsidP="008671C0">
            <w:pPr>
              <w:rPr>
                <w:rFonts w:ascii="Arial" w:hAnsi="Arial" w:cs="Arial"/>
                <w:color w:val="000000"/>
                <w:sz w:val="18"/>
                <w:szCs w:val="18"/>
                <w:lang w:val="en-SG" w:eastAsia="en-SG"/>
              </w:rPr>
            </w:pPr>
            <w:r w:rsidRPr="00060311">
              <w:rPr>
                <w:rFonts w:ascii="Arial" w:hAnsi="Arial" w:cs="Arial"/>
                <w:color w:val="000000"/>
                <w:sz w:val="18"/>
                <w:szCs w:val="18"/>
                <w:lang w:val="en-SG" w:eastAsia="en-SG"/>
              </w:rPr>
              <w:t>Growth YoY (%)</w:t>
            </w:r>
          </w:p>
        </w:tc>
        <w:tc>
          <w:tcPr>
            <w:tcW w:w="522" w:type="pct"/>
            <w:tcBorders>
              <w:top w:val="nil"/>
              <w:bottom w:val="single" w:sz="4" w:space="0" w:color="auto"/>
            </w:tcBorders>
            <w:shd w:val="clear" w:color="auto" w:fill="auto"/>
            <w:noWrap/>
            <w:hideMark/>
          </w:tcPr>
          <w:p w14:paraId="3A3F57B9"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5.0</w:t>
            </w:r>
          </w:p>
        </w:tc>
        <w:tc>
          <w:tcPr>
            <w:tcW w:w="524" w:type="pct"/>
            <w:tcBorders>
              <w:top w:val="nil"/>
              <w:bottom w:val="single" w:sz="4" w:space="0" w:color="auto"/>
            </w:tcBorders>
            <w:shd w:val="clear" w:color="auto" w:fill="auto"/>
            <w:noWrap/>
            <w:hideMark/>
          </w:tcPr>
          <w:p w14:paraId="2B151446"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5.0</w:t>
            </w:r>
          </w:p>
        </w:tc>
        <w:tc>
          <w:tcPr>
            <w:tcW w:w="522" w:type="pct"/>
            <w:tcBorders>
              <w:top w:val="nil"/>
              <w:bottom w:val="single" w:sz="4" w:space="0" w:color="auto"/>
              <w:right w:val="single" w:sz="4" w:space="0" w:color="auto"/>
            </w:tcBorders>
            <w:shd w:val="clear" w:color="auto" w:fill="auto"/>
            <w:noWrap/>
            <w:hideMark/>
          </w:tcPr>
          <w:p w14:paraId="62B78084"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5.1</w:t>
            </w:r>
          </w:p>
        </w:tc>
        <w:tc>
          <w:tcPr>
            <w:tcW w:w="524" w:type="pct"/>
            <w:tcBorders>
              <w:top w:val="nil"/>
              <w:left w:val="single" w:sz="4" w:space="0" w:color="auto"/>
              <w:bottom w:val="single" w:sz="4" w:space="0" w:color="auto"/>
            </w:tcBorders>
            <w:shd w:val="clear" w:color="auto" w:fill="auto"/>
            <w:noWrap/>
            <w:hideMark/>
          </w:tcPr>
          <w:p w14:paraId="4EE8BC15"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4.9</w:t>
            </w:r>
          </w:p>
        </w:tc>
        <w:tc>
          <w:tcPr>
            <w:tcW w:w="522" w:type="pct"/>
            <w:tcBorders>
              <w:top w:val="nil"/>
              <w:bottom w:val="single" w:sz="4" w:space="0" w:color="auto"/>
            </w:tcBorders>
            <w:shd w:val="clear" w:color="auto" w:fill="auto"/>
            <w:noWrap/>
            <w:hideMark/>
          </w:tcPr>
          <w:p w14:paraId="5184538F"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0.1</w:t>
            </w:r>
          </w:p>
        </w:tc>
        <w:tc>
          <w:tcPr>
            <w:tcW w:w="523" w:type="pct"/>
            <w:tcBorders>
              <w:top w:val="nil"/>
              <w:bottom w:val="single" w:sz="4" w:space="0" w:color="auto"/>
            </w:tcBorders>
            <w:shd w:val="clear" w:color="auto" w:fill="auto"/>
            <w:noWrap/>
            <w:hideMark/>
          </w:tcPr>
          <w:p w14:paraId="5C867E4C"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4.6</w:t>
            </w:r>
          </w:p>
        </w:tc>
        <w:tc>
          <w:tcPr>
            <w:tcW w:w="522" w:type="pct"/>
            <w:tcBorders>
              <w:top w:val="nil"/>
              <w:bottom w:val="single" w:sz="4" w:space="0" w:color="auto"/>
            </w:tcBorders>
            <w:shd w:val="clear" w:color="auto" w:fill="auto"/>
            <w:noWrap/>
            <w:hideMark/>
          </w:tcPr>
          <w:p w14:paraId="2EA81249"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5.1</w:t>
            </w:r>
          </w:p>
        </w:tc>
        <w:tc>
          <w:tcPr>
            <w:tcW w:w="523" w:type="pct"/>
            <w:tcBorders>
              <w:top w:val="nil"/>
              <w:bottom w:val="single" w:sz="4" w:space="0" w:color="auto"/>
            </w:tcBorders>
            <w:shd w:val="clear" w:color="auto" w:fill="auto"/>
            <w:noWrap/>
            <w:hideMark/>
          </w:tcPr>
          <w:p w14:paraId="00D24AD9"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5.3</w:t>
            </w:r>
          </w:p>
        </w:tc>
      </w:tr>
      <w:tr w:rsidR="00A544AB" w:rsidRPr="00B214F7" w14:paraId="5BA82235" w14:textId="77777777" w:rsidTr="00A544AB">
        <w:trPr>
          <w:trHeight w:val="60"/>
        </w:trPr>
        <w:tc>
          <w:tcPr>
            <w:tcW w:w="818" w:type="pct"/>
            <w:tcBorders>
              <w:top w:val="single" w:sz="4" w:space="0" w:color="auto"/>
            </w:tcBorders>
            <w:shd w:val="clear" w:color="auto" w:fill="auto"/>
            <w:noWrap/>
            <w:hideMark/>
          </w:tcPr>
          <w:p w14:paraId="61290325" w14:textId="6F1EEA39" w:rsidR="00A544AB" w:rsidRPr="00947EB3" w:rsidRDefault="00A544AB" w:rsidP="008671C0">
            <w:pPr>
              <w:rPr>
                <w:rFonts w:ascii="Arial" w:hAnsi="Arial" w:cs="Arial"/>
                <w:b/>
                <w:bCs/>
                <w:color w:val="000000"/>
                <w:sz w:val="18"/>
                <w:szCs w:val="18"/>
                <w:lang w:val="en-SG" w:eastAsia="en-SG"/>
              </w:rPr>
            </w:pPr>
            <w:r w:rsidRPr="00947EB3">
              <w:rPr>
                <w:rFonts w:ascii="Arial" w:hAnsi="Arial" w:cs="Arial"/>
                <w:b/>
                <w:bCs/>
                <w:color w:val="000000"/>
                <w:sz w:val="18"/>
                <w:szCs w:val="18"/>
                <w:lang w:val="en-SG" w:eastAsia="en-SG"/>
              </w:rPr>
              <w:t>Australia</w:t>
            </w:r>
          </w:p>
        </w:tc>
        <w:tc>
          <w:tcPr>
            <w:tcW w:w="522" w:type="pct"/>
            <w:tcBorders>
              <w:top w:val="single" w:sz="4" w:space="0" w:color="auto"/>
            </w:tcBorders>
            <w:shd w:val="clear" w:color="auto" w:fill="auto"/>
            <w:noWrap/>
            <w:hideMark/>
          </w:tcPr>
          <w:p w14:paraId="7D0E5B35" w14:textId="77777777" w:rsidR="00A544AB" w:rsidRPr="00060311" w:rsidRDefault="00A544AB" w:rsidP="008671C0">
            <w:pPr>
              <w:rPr>
                <w:rFonts w:ascii="Arial" w:hAnsi="Arial" w:cs="Arial"/>
                <w:sz w:val="18"/>
                <w:szCs w:val="18"/>
                <w:lang w:val="en-SG" w:eastAsia="en-SG"/>
              </w:rPr>
            </w:pPr>
          </w:p>
        </w:tc>
        <w:tc>
          <w:tcPr>
            <w:tcW w:w="524" w:type="pct"/>
            <w:tcBorders>
              <w:top w:val="single" w:sz="4" w:space="0" w:color="auto"/>
            </w:tcBorders>
            <w:shd w:val="clear" w:color="auto" w:fill="auto"/>
            <w:noWrap/>
            <w:hideMark/>
          </w:tcPr>
          <w:p w14:paraId="2ACDFDC3" w14:textId="77777777" w:rsidR="00A544AB" w:rsidRPr="00060311" w:rsidRDefault="00A544AB" w:rsidP="008671C0">
            <w:pPr>
              <w:rPr>
                <w:rFonts w:ascii="Arial" w:hAnsi="Arial" w:cs="Arial"/>
                <w:sz w:val="18"/>
                <w:szCs w:val="18"/>
                <w:lang w:val="en-SG" w:eastAsia="en-SG"/>
              </w:rPr>
            </w:pPr>
          </w:p>
        </w:tc>
        <w:tc>
          <w:tcPr>
            <w:tcW w:w="522" w:type="pct"/>
            <w:tcBorders>
              <w:top w:val="single" w:sz="4" w:space="0" w:color="auto"/>
              <w:right w:val="single" w:sz="4" w:space="0" w:color="auto"/>
            </w:tcBorders>
            <w:shd w:val="clear" w:color="auto" w:fill="auto"/>
            <w:noWrap/>
            <w:hideMark/>
          </w:tcPr>
          <w:p w14:paraId="3B8CDEE8" w14:textId="77777777" w:rsidR="00A544AB" w:rsidRPr="00060311" w:rsidRDefault="00A544AB" w:rsidP="008671C0">
            <w:pPr>
              <w:rPr>
                <w:rFonts w:ascii="Arial" w:hAnsi="Arial" w:cs="Arial"/>
                <w:sz w:val="18"/>
                <w:szCs w:val="18"/>
                <w:lang w:val="en-SG" w:eastAsia="en-SG"/>
              </w:rPr>
            </w:pPr>
          </w:p>
        </w:tc>
        <w:tc>
          <w:tcPr>
            <w:tcW w:w="524" w:type="pct"/>
            <w:tcBorders>
              <w:top w:val="single" w:sz="4" w:space="0" w:color="auto"/>
              <w:left w:val="single" w:sz="4" w:space="0" w:color="auto"/>
            </w:tcBorders>
            <w:shd w:val="clear" w:color="auto" w:fill="auto"/>
            <w:noWrap/>
            <w:hideMark/>
          </w:tcPr>
          <w:p w14:paraId="7088C879" w14:textId="77777777" w:rsidR="00A544AB" w:rsidRPr="00060311" w:rsidRDefault="00A544AB" w:rsidP="008671C0">
            <w:pPr>
              <w:rPr>
                <w:rFonts w:ascii="Arial" w:hAnsi="Arial" w:cs="Arial"/>
                <w:sz w:val="18"/>
                <w:szCs w:val="18"/>
                <w:lang w:val="en-SG" w:eastAsia="en-SG"/>
              </w:rPr>
            </w:pPr>
          </w:p>
        </w:tc>
        <w:tc>
          <w:tcPr>
            <w:tcW w:w="522" w:type="pct"/>
            <w:tcBorders>
              <w:top w:val="single" w:sz="4" w:space="0" w:color="auto"/>
            </w:tcBorders>
            <w:shd w:val="clear" w:color="auto" w:fill="auto"/>
            <w:noWrap/>
            <w:hideMark/>
          </w:tcPr>
          <w:p w14:paraId="4A7FC823" w14:textId="77777777" w:rsidR="00A544AB" w:rsidRPr="00060311" w:rsidRDefault="00A544AB" w:rsidP="008671C0">
            <w:pPr>
              <w:rPr>
                <w:rFonts w:ascii="Arial" w:hAnsi="Arial" w:cs="Arial"/>
                <w:sz w:val="18"/>
                <w:szCs w:val="18"/>
                <w:lang w:val="en-SG" w:eastAsia="en-SG"/>
              </w:rPr>
            </w:pPr>
          </w:p>
        </w:tc>
        <w:tc>
          <w:tcPr>
            <w:tcW w:w="523" w:type="pct"/>
            <w:tcBorders>
              <w:top w:val="single" w:sz="4" w:space="0" w:color="auto"/>
            </w:tcBorders>
            <w:shd w:val="clear" w:color="auto" w:fill="auto"/>
            <w:noWrap/>
            <w:hideMark/>
          </w:tcPr>
          <w:p w14:paraId="232DBC0F" w14:textId="77777777" w:rsidR="00A544AB" w:rsidRPr="00060311" w:rsidRDefault="00A544AB" w:rsidP="008671C0">
            <w:pPr>
              <w:rPr>
                <w:rFonts w:ascii="Arial" w:hAnsi="Arial" w:cs="Arial"/>
                <w:sz w:val="18"/>
                <w:szCs w:val="18"/>
                <w:lang w:val="en-SG" w:eastAsia="en-SG"/>
              </w:rPr>
            </w:pPr>
          </w:p>
        </w:tc>
        <w:tc>
          <w:tcPr>
            <w:tcW w:w="522" w:type="pct"/>
            <w:tcBorders>
              <w:top w:val="single" w:sz="4" w:space="0" w:color="auto"/>
            </w:tcBorders>
            <w:shd w:val="clear" w:color="auto" w:fill="auto"/>
            <w:noWrap/>
            <w:hideMark/>
          </w:tcPr>
          <w:p w14:paraId="2C946105" w14:textId="77777777" w:rsidR="00A544AB" w:rsidRPr="00060311" w:rsidRDefault="00A544AB" w:rsidP="008671C0">
            <w:pPr>
              <w:rPr>
                <w:rFonts w:ascii="Arial" w:hAnsi="Arial" w:cs="Arial"/>
                <w:sz w:val="18"/>
                <w:szCs w:val="18"/>
                <w:lang w:val="en-SG" w:eastAsia="en-SG"/>
              </w:rPr>
            </w:pPr>
          </w:p>
        </w:tc>
        <w:tc>
          <w:tcPr>
            <w:tcW w:w="523" w:type="pct"/>
            <w:tcBorders>
              <w:top w:val="single" w:sz="4" w:space="0" w:color="auto"/>
            </w:tcBorders>
            <w:shd w:val="clear" w:color="auto" w:fill="auto"/>
            <w:noWrap/>
            <w:hideMark/>
          </w:tcPr>
          <w:p w14:paraId="535AC0ED" w14:textId="77777777" w:rsidR="00A544AB" w:rsidRPr="00060311" w:rsidRDefault="00A544AB" w:rsidP="008671C0">
            <w:pPr>
              <w:rPr>
                <w:rFonts w:ascii="Arial" w:hAnsi="Arial" w:cs="Arial"/>
                <w:sz w:val="18"/>
                <w:szCs w:val="18"/>
                <w:lang w:val="en-SG" w:eastAsia="en-SG"/>
              </w:rPr>
            </w:pPr>
          </w:p>
        </w:tc>
      </w:tr>
      <w:tr w:rsidR="00A544AB" w:rsidRPr="00B214F7" w14:paraId="187A5130" w14:textId="77777777" w:rsidTr="00A544AB">
        <w:trPr>
          <w:trHeight w:val="60"/>
        </w:trPr>
        <w:tc>
          <w:tcPr>
            <w:tcW w:w="818" w:type="pct"/>
            <w:tcBorders>
              <w:bottom w:val="nil"/>
            </w:tcBorders>
            <w:shd w:val="clear" w:color="auto" w:fill="auto"/>
            <w:noWrap/>
            <w:hideMark/>
          </w:tcPr>
          <w:p w14:paraId="7EABD213" w14:textId="607131B9" w:rsidR="00A544AB" w:rsidRPr="00BD644A" w:rsidRDefault="00A544AB" w:rsidP="008671C0">
            <w:pPr>
              <w:rPr>
                <w:rFonts w:ascii="Arial" w:hAnsi="Arial" w:cs="Arial"/>
                <w:iCs/>
                <w:color w:val="000000"/>
                <w:sz w:val="18"/>
                <w:szCs w:val="18"/>
                <w:lang w:val="en-SG" w:eastAsia="en-SG"/>
              </w:rPr>
            </w:pPr>
            <w:r w:rsidRPr="00BD644A">
              <w:rPr>
                <w:rFonts w:ascii="Arial" w:hAnsi="Arial" w:cs="Arial"/>
                <w:iCs/>
                <w:color w:val="000000"/>
                <w:sz w:val="18"/>
                <w:szCs w:val="18"/>
                <w:lang w:val="en-SG" w:eastAsia="en-SG"/>
              </w:rPr>
              <w:t xml:space="preserve">GDP </w:t>
            </w:r>
          </w:p>
        </w:tc>
        <w:tc>
          <w:tcPr>
            <w:tcW w:w="522" w:type="pct"/>
            <w:tcBorders>
              <w:bottom w:val="nil"/>
            </w:tcBorders>
            <w:shd w:val="clear" w:color="auto" w:fill="auto"/>
            <w:noWrap/>
            <w:hideMark/>
          </w:tcPr>
          <w:p w14:paraId="487043BE"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1,503.7</w:t>
            </w:r>
          </w:p>
        </w:tc>
        <w:tc>
          <w:tcPr>
            <w:tcW w:w="524" w:type="pct"/>
            <w:tcBorders>
              <w:bottom w:val="nil"/>
            </w:tcBorders>
            <w:shd w:val="clear" w:color="auto" w:fill="auto"/>
            <w:noWrap/>
            <w:hideMark/>
          </w:tcPr>
          <w:p w14:paraId="15E3B1BC"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1,559.0</w:t>
            </w:r>
          </w:p>
        </w:tc>
        <w:tc>
          <w:tcPr>
            <w:tcW w:w="522" w:type="pct"/>
            <w:tcBorders>
              <w:bottom w:val="nil"/>
              <w:right w:val="single" w:sz="4" w:space="0" w:color="auto"/>
            </w:tcBorders>
            <w:shd w:val="clear" w:color="auto" w:fill="auto"/>
            <w:noWrap/>
            <w:hideMark/>
          </w:tcPr>
          <w:p w14:paraId="5B262760"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1,500.4</w:t>
            </w:r>
          </w:p>
        </w:tc>
        <w:tc>
          <w:tcPr>
            <w:tcW w:w="524" w:type="pct"/>
            <w:tcBorders>
              <w:left w:val="single" w:sz="4" w:space="0" w:color="auto"/>
              <w:bottom w:val="nil"/>
            </w:tcBorders>
            <w:shd w:val="clear" w:color="auto" w:fill="auto"/>
            <w:noWrap/>
            <w:hideMark/>
          </w:tcPr>
          <w:p w14:paraId="57C81A35"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1,448.4</w:t>
            </w:r>
          </w:p>
        </w:tc>
        <w:tc>
          <w:tcPr>
            <w:tcW w:w="522" w:type="pct"/>
            <w:tcBorders>
              <w:bottom w:val="nil"/>
            </w:tcBorders>
            <w:shd w:val="clear" w:color="auto" w:fill="auto"/>
            <w:noWrap/>
            <w:hideMark/>
          </w:tcPr>
          <w:p w14:paraId="32A23CDF"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1,219.1</w:t>
            </w:r>
          </w:p>
        </w:tc>
        <w:tc>
          <w:tcPr>
            <w:tcW w:w="523" w:type="pct"/>
            <w:tcBorders>
              <w:bottom w:val="nil"/>
            </w:tcBorders>
            <w:shd w:val="clear" w:color="auto" w:fill="auto"/>
            <w:noWrap/>
            <w:hideMark/>
          </w:tcPr>
          <w:p w14:paraId="1505F3C8"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1,252.2</w:t>
            </w:r>
          </w:p>
        </w:tc>
        <w:tc>
          <w:tcPr>
            <w:tcW w:w="522" w:type="pct"/>
            <w:tcBorders>
              <w:bottom w:val="nil"/>
            </w:tcBorders>
            <w:shd w:val="clear" w:color="auto" w:fill="auto"/>
            <w:noWrap/>
            <w:hideMark/>
          </w:tcPr>
          <w:p w14:paraId="2065FF0C"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1,295.3</w:t>
            </w:r>
          </w:p>
        </w:tc>
        <w:tc>
          <w:tcPr>
            <w:tcW w:w="523" w:type="pct"/>
            <w:tcBorders>
              <w:bottom w:val="nil"/>
            </w:tcBorders>
            <w:shd w:val="clear" w:color="auto" w:fill="auto"/>
            <w:noWrap/>
            <w:hideMark/>
          </w:tcPr>
          <w:p w14:paraId="03F63C77"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1,307.9</w:t>
            </w:r>
          </w:p>
        </w:tc>
      </w:tr>
      <w:tr w:rsidR="00A544AB" w:rsidRPr="00B214F7" w14:paraId="600C7AAC" w14:textId="77777777" w:rsidTr="00A544AB">
        <w:trPr>
          <w:trHeight w:val="60"/>
        </w:trPr>
        <w:tc>
          <w:tcPr>
            <w:tcW w:w="818" w:type="pct"/>
            <w:tcBorders>
              <w:top w:val="nil"/>
              <w:bottom w:val="single" w:sz="4" w:space="0" w:color="auto"/>
            </w:tcBorders>
            <w:shd w:val="clear" w:color="auto" w:fill="auto"/>
            <w:noWrap/>
            <w:hideMark/>
          </w:tcPr>
          <w:p w14:paraId="27895B82" w14:textId="77777777" w:rsidR="00A544AB" w:rsidRPr="00060311" w:rsidRDefault="00A544AB" w:rsidP="008671C0">
            <w:pPr>
              <w:rPr>
                <w:rFonts w:ascii="Arial" w:hAnsi="Arial" w:cs="Arial"/>
                <w:color w:val="000000"/>
                <w:sz w:val="18"/>
                <w:szCs w:val="18"/>
                <w:lang w:val="en-SG" w:eastAsia="en-SG"/>
              </w:rPr>
            </w:pPr>
            <w:r w:rsidRPr="00060311">
              <w:rPr>
                <w:rFonts w:ascii="Arial" w:hAnsi="Arial" w:cs="Arial"/>
                <w:color w:val="000000"/>
                <w:sz w:val="18"/>
                <w:szCs w:val="18"/>
                <w:lang w:val="en-SG" w:eastAsia="en-SG"/>
              </w:rPr>
              <w:t>Growth YoY (%)</w:t>
            </w:r>
          </w:p>
        </w:tc>
        <w:tc>
          <w:tcPr>
            <w:tcW w:w="522" w:type="pct"/>
            <w:tcBorders>
              <w:top w:val="nil"/>
              <w:bottom w:val="single" w:sz="4" w:space="0" w:color="auto"/>
            </w:tcBorders>
            <w:shd w:val="clear" w:color="auto" w:fill="auto"/>
            <w:noWrap/>
            <w:hideMark/>
          </w:tcPr>
          <w:p w14:paraId="14EA919C"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20.6</w:t>
            </w:r>
          </w:p>
        </w:tc>
        <w:tc>
          <w:tcPr>
            <w:tcW w:w="524" w:type="pct"/>
            <w:tcBorders>
              <w:top w:val="nil"/>
              <w:bottom w:val="single" w:sz="4" w:space="0" w:color="auto"/>
            </w:tcBorders>
            <w:shd w:val="clear" w:color="auto" w:fill="auto"/>
            <w:noWrap/>
            <w:hideMark/>
          </w:tcPr>
          <w:p w14:paraId="05E0BF21"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3.7</w:t>
            </w:r>
          </w:p>
        </w:tc>
        <w:tc>
          <w:tcPr>
            <w:tcW w:w="522" w:type="pct"/>
            <w:tcBorders>
              <w:top w:val="nil"/>
              <w:bottom w:val="single" w:sz="4" w:space="0" w:color="auto"/>
              <w:right w:val="single" w:sz="4" w:space="0" w:color="auto"/>
            </w:tcBorders>
            <w:shd w:val="clear" w:color="auto" w:fill="auto"/>
            <w:noWrap/>
            <w:hideMark/>
          </w:tcPr>
          <w:p w14:paraId="1A1103F9" w14:textId="5F137B02" w:rsidR="00A544AB" w:rsidRPr="00060311" w:rsidRDefault="00A544AB" w:rsidP="008671C0">
            <w:pPr>
              <w:jc w:val="right"/>
              <w:rPr>
                <w:rFonts w:ascii="Arial" w:hAnsi="Arial" w:cs="Arial"/>
                <w:sz w:val="18"/>
                <w:szCs w:val="18"/>
                <w:lang w:val="en-SG" w:eastAsia="en-SG"/>
              </w:rPr>
            </w:pPr>
            <w:r w:rsidRPr="00513DA4">
              <w:rPr>
                <w:rFonts w:ascii="Arial" w:hAnsi="Arial" w:cs="Arial"/>
                <w:sz w:val="18"/>
                <w:szCs w:val="18"/>
                <w:lang w:val="en-SG" w:eastAsia="en-SG"/>
              </w:rPr>
              <w:t>−</w:t>
            </w:r>
            <w:r w:rsidRPr="00060311">
              <w:rPr>
                <w:rFonts w:ascii="Arial" w:hAnsi="Arial" w:cs="Arial"/>
                <w:sz w:val="18"/>
                <w:szCs w:val="18"/>
                <w:lang w:val="en-SG" w:eastAsia="en-SG"/>
              </w:rPr>
              <w:t>3.8</w:t>
            </w:r>
          </w:p>
        </w:tc>
        <w:tc>
          <w:tcPr>
            <w:tcW w:w="524" w:type="pct"/>
            <w:tcBorders>
              <w:top w:val="nil"/>
              <w:left w:val="single" w:sz="4" w:space="0" w:color="auto"/>
              <w:bottom w:val="single" w:sz="4" w:space="0" w:color="auto"/>
            </w:tcBorders>
            <w:shd w:val="clear" w:color="auto" w:fill="auto"/>
            <w:noWrap/>
            <w:hideMark/>
          </w:tcPr>
          <w:p w14:paraId="2BBC3BDF" w14:textId="2679BD58" w:rsidR="00A544AB" w:rsidRPr="00060311" w:rsidRDefault="00A544AB" w:rsidP="008671C0">
            <w:pPr>
              <w:jc w:val="right"/>
              <w:rPr>
                <w:rFonts w:ascii="Arial" w:hAnsi="Arial" w:cs="Arial"/>
                <w:sz w:val="18"/>
                <w:szCs w:val="18"/>
                <w:lang w:val="en-SG" w:eastAsia="en-SG"/>
              </w:rPr>
            </w:pPr>
            <w:r w:rsidRPr="00513DA4">
              <w:rPr>
                <w:rFonts w:ascii="Arial" w:hAnsi="Arial" w:cs="Arial"/>
                <w:sz w:val="18"/>
                <w:szCs w:val="18"/>
                <w:lang w:val="en-SG" w:eastAsia="en-SG"/>
              </w:rPr>
              <w:t>−</w:t>
            </w:r>
            <w:r w:rsidRPr="00060311">
              <w:rPr>
                <w:rFonts w:ascii="Arial" w:hAnsi="Arial" w:cs="Arial"/>
                <w:sz w:val="18"/>
                <w:szCs w:val="18"/>
                <w:lang w:val="en-SG" w:eastAsia="en-SG"/>
              </w:rPr>
              <w:t>3.5</w:t>
            </w:r>
          </w:p>
        </w:tc>
        <w:tc>
          <w:tcPr>
            <w:tcW w:w="522" w:type="pct"/>
            <w:tcBorders>
              <w:top w:val="nil"/>
              <w:bottom w:val="single" w:sz="4" w:space="0" w:color="auto"/>
            </w:tcBorders>
            <w:shd w:val="clear" w:color="auto" w:fill="auto"/>
            <w:noWrap/>
            <w:hideMark/>
          </w:tcPr>
          <w:p w14:paraId="6F5191C1" w14:textId="0205A8CE" w:rsidR="00A544AB" w:rsidRPr="00060311" w:rsidRDefault="00A544AB" w:rsidP="008671C0">
            <w:pPr>
              <w:jc w:val="right"/>
              <w:rPr>
                <w:rFonts w:ascii="Arial" w:hAnsi="Arial" w:cs="Arial"/>
                <w:sz w:val="18"/>
                <w:szCs w:val="18"/>
                <w:lang w:val="en-SG" w:eastAsia="en-SG"/>
              </w:rPr>
            </w:pPr>
            <w:r w:rsidRPr="00513DA4">
              <w:rPr>
                <w:rFonts w:ascii="Arial" w:hAnsi="Arial" w:cs="Arial"/>
                <w:sz w:val="18"/>
                <w:szCs w:val="18"/>
                <w:lang w:val="en-SG" w:eastAsia="en-SG"/>
              </w:rPr>
              <w:t>−</w:t>
            </w:r>
            <w:r w:rsidRPr="00060311">
              <w:rPr>
                <w:rFonts w:ascii="Arial" w:hAnsi="Arial" w:cs="Arial"/>
                <w:sz w:val="18"/>
                <w:szCs w:val="18"/>
                <w:lang w:val="en-SG" w:eastAsia="en-SG"/>
              </w:rPr>
              <w:t>15.8</w:t>
            </w:r>
          </w:p>
        </w:tc>
        <w:tc>
          <w:tcPr>
            <w:tcW w:w="523" w:type="pct"/>
            <w:tcBorders>
              <w:top w:val="nil"/>
              <w:bottom w:val="single" w:sz="4" w:space="0" w:color="auto"/>
            </w:tcBorders>
            <w:shd w:val="clear" w:color="auto" w:fill="auto"/>
            <w:noWrap/>
            <w:hideMark/>
          </w:tcPr>
          <w:p w14:paraId="27519EB6"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2.7</w:t>
            </w:r>
          </w:p>
        </w:tc>
        <w:tc>
          <w:tcPr>
            <w:tcW w:w="522" w:type="pct"/>
            <w:tcBorders>
              <w:top w:val="nil"/>
              <w:bottom w:val="single" w:sz="4" w:space="0" w:color="auto"/>
            </w:tcBorders>
            <w:shd w:val="clear" w:color="auto" w:fill="auto"/>
            <w:noWrap/>
            <w:hideMark/>
          </w:tcPr>
          <w:p w14:paraId="014280DE"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3.4</w:t>
            </w:r>
          </w:p>
        </w:tc>
        <w:tc>
          <w:tcPr>
            <w:tcW w:w="523" w:type="pct"/>
            <w:tcBorders>
              <w:top w:val="nil"/>
              <w:bottom w:val="single" w:sz="4" w:space="0" w:color="auto"/>
            </w:tcBorders>
            <w:shd w:val="clear" w:color="auto" w:fill="auto"/>
            <w:noWrap/>
            <w:hideMark/>
          </w:tcPr>
          <w:p w14:paraId="6F566278"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1.0</w:t>
            </w:r>
          </w:p>
        </w:tc>
      </w:tr>
      <w:tr w:rsidR="00A544AB" w:rsidRPr="00B214F7" w14:paraId="6C805DC1" w14:textId="77777777" w:rsidTr="00A544AB">
        <w:trPr>
          <w:trHeight w:val="60"/>
        </w:trPr>
        <w:tc>
          <w:tcPr>
            <w:tcW w:w="818" w:type="pct"/>
            <w:tcBorders>
              <w:top w:val="single" w:sz="4" w:space="0" w:color="auto"/>
            </w:tcBorders>
            <w:shd w:val="clear" w:color="auto" w:fill="auto"/>
            <w:noWrap/>
            <w:hideMark/>
          </w:tcPr>
          <w:p w14:paraId="5BAD9594" w14:textId="113110A6" w:rsidR="00A544AB" w:rsidRPr="00947EB3" w:rsidRDefault="00A544AB" w:rsidP="008671C0">
            <w:pPr>
              <w:rPr>
                <w:rFonts w:ascii="Arial" w:hAnsi="Arial" w:cs="Arial"/>
                <w:b/>
                <w:bCs/>
                <w:color w:val="000000"/>
                <w:sz w:val="18"/>
                <w:szCs w:val="18"/>
                <w:lang w:val="en-SG" w:eastAsia="en-SG"/>
              </w:rPr>
            </w:pPr>
            <w:r w:rsidRPr="00947EB3">
              <w:rPr>
                <w:rFonts w:ascii="Arial" w:hAnsi="Arial" w:cs="Arial"/>
                <w:b/>
                <w:bCs/>
                <w:color w:val="000000"/>
                <w:sz w:val="18"/>
                <w:szCs w:val="18"/>
                <w:lang w:val="en-SG" w:eastAsia="en-SG"/>
              </w:rPr>
              <w:t>China</w:t>
            </w:r>
          </w:p>
        </w:tc>
        <w:tc>
          <w:tcPr>
            <w:tcW w:w="522" w:type="pct"/>
            <w:tcBorders>
              <w:top w:val="single" w:sz="4" w:space="0" w:color="auto"/>
            </w:tcBorders>
            <w:shd w:val="clear" w:color="auto" w:fill="auto"/>
            <w:noWrap/>
            <w:hideMark/>
          </w:tcPr>
          <w:p w14:paraId="7A23B218" w14:textId="77777777" w:rsidR="00A544AB" w:rsidRPr="00060311" w:rsidRDefault="00A544AB" w:rsidP="008671C0">
            <w:pPr>
              <w:rPr>
                <w:rFonts w:ascii="Arial" w:hAnsi="Arial" w:cs="Arial"/>
                <w:sz w:val="18"/>
                <w:szCs w:val="18"/>
                <w:lang w:val="en-SG" w:eastAsia="en-SG"/>
              </w:rPr>
            </w:pPr>
          </w:p>
        </w:tc>
        <w:tc>
          <w:tcPr>
            <w:tcW w:w="524" w:type="pct"/>
            <w:tcBorders>
              <w:top w:val="single" w:sz="4" w:space="0" w:color="auto"/>
            </w:tcBorders>
            <w:shd w:val="clear" w:color="auto" w:fill="auto"/>
            <w:noWrap/>
            <w:hideMark/>
          </w:tcPr>
          <w:p w14:paraId="46743CED" w14:textId="77777777" w:rsidR="00A544AB" w:rsidRPr="00060311" w:rsidRDefault="00A544AB" w:rsidP="008671C0">
            <w:pPr>
              <w:rPr>
                <w:rFonts w:ascii="Arial" w:hAnsi="Arial" w:cs="Arial"/>
                <w:sz w:val="18"/>
                <w:szCs w:val="18"/>
                <w:lang w:val="en-SG" w:eastAsia="en-SG"/>
              </w:rPr>
            </w:pPr>
          </w:p>
        </w:tc>
        <w:tc>
          <w:tcPr>
            <w:tcW w:w="522" w:type="pct"/>
            <w:tcBorders>
              <w:top w:val="single" w:sz="4" w:space="0" w:color="auto"/>
              <w:right w:val="single" w:sz="4" w:space="0" w:color="auto"/>
            </w:tcBorders>
            <w:shd w:val="clear" w:color="auto" w:fill="auto"/>
            <w:noWrap/>
            <w:hideMark/>
          </w:tcPr>
          <w:p w14:paraId="745233D3" w14:textId="77777777" w:rsidR="00A544AB" w:rsidRPr="00060311" w:rsidRDefault="00A544AB" w:rsidP="008671C0">
            <w:pPr>
              <w:rPr>
                <w:rFonts w:ascii="Arial" w:hAnsi="Arial" w:cs="Arial"/>
                <w:sz w:val="18"/>
                <w:szCs w:val="18"/>
                <w:lang w:val="en-SG" w:eastAsia="en-SG"/>
              </w:rPr>
            </w:pPr>
          </w:p>
        </w:tc>
        <w:tc>
          <w:tcPr>
            <w:tcW w:w="524" w:type="pct"/>
            <w:tcBorders>
              <w:top w:val="single" w:sz="4" w:space="0" w:color="auto"/>
              <w:left w:val="single" w:sz="4" w:space="0" w:color="auto"/>
            </w:tcBorders>
            <w:shd w:val="clear" w:color="auto" w:fill="auto"/>
            <w:noWrap/>
            <w:hideMark/>
          </w:tcPr>
          <w:p w14:paraId="29AC4408" w14:textId="77777777" w:rsidR="00A544AB" w:rsidRPr="00060311" w:rsidRDefault="00A544AB" w:rsidP="008671C0">
            <w:pPr>
              <w:rPr>
                <w:rFonts w:ascii="Arial" w:hAnsi="Arial" w:cs="Arial"/>
                <w:sz w:val="18"/>
                <w:szCs w:val="18"/>
                <w:lang w:val="en-SG" w:eastAsia="en-SG"/>
              </w:rPr>
            </w:pPr>
          </w:p>
        </w:tc>
        <w:tc>
          <w:tcPr>
            <w:tcW w:w="522" w:type="pct"/>
            <w:tcBorders>
              <w:top w:val="single" w:sz="4" w:space="0" w:color="auto"/>
            </w:tcBorders>
            <w:shd w:val="clear" w:color="auto" w:fill="auto"/>
            <w:noWrap/>
            <w:hideMark/>
          </w:tcPr>
          <w:p w14:paraId="50BAA7CB" w14:textId="77777777" w:rsidR="00A544AB" w:rsidRPr="00060311" w:rsidRDefault="00A544AB" w:rsidP="008671C0">
            <w:pPr>
              <w:rPr>
                <w:rFonts w:ascii="Arial" w:hAnsi="Arial" w:cs="Arial"/>
                <w:sz w:val="18"/>
                <w:szCs w:val="18"/>
                <w:lang w:val="en-SG" w:eastAsia="en-SG"/>
              </w:rPr>
            </w:pPr>
          </w:p>
        </w:tc>
        <w:tc>
          <w:tcPr>
            <w:tcW w:w="523" w:type="pct"/>
            <w:tcBorders>
              <w:top w:val="single" w:sz="4" w:space="0" w:color="auto"/>
            </w:tcBorders>
            <w:shd w:val="clear" w:color="auto" w:fill="auto"/>
            <w:noWrap/>
            <w:hideMark/>
          </w:tcPr>
          <w:p w14:paraId="23C3FC20" w14:textId="77777777" w:rsidR="00A544AB" w:rsidRPr="00060311" w:rsidRDefault="00A544AB" w:rsidP="008671C0">
            <w:pPr>
              <w:rPr>
                <w:rFonts w:ascii="Arial" w:hAnsi="Arial" w:cs="Arial"/>
                <w:sz w:val="18"/>
                <w:szCs w:val="18"/>
                <w:lang w:val="en-SG" w:eastAsia="en-SG"/>
              </w:rPr>
            </w:pPr>
          </w:p>
        </w:tc>
        <w:tc>
          <w:tcPr>
            <w:tcW w:w="522" w:type="pct"/>
            <w:tcBorders>
              <w:top w:val="single" w:sz="4" w:space="0" w:color="auto"/>
            </w:tcBorders>
            <w:shd w:val="clear" w:color="auto" w:fill="auto"/>
            <w:noWrap/>
            <w:hideMark/>
          </w:tcPr>
          <w:p w14:paraId="30AC2840" w14:textId="77777777" w:rsidR="00A544AB" w:rsidRPr="00060311" w:rsidRDefault="00A544AB" w:rsidP="008671C0">
            <w:pPr>
              <w:rPr>
                <w:rFonts w:ascii="Arial" w:hAnsi="Arial" w:cs="Arial"/>
                <w:sz w:val="18"/>
                <w:szCs w:val="18"/>
                <w:lang w:val="en-SG" w:eastAsia="en-SG"/>
              </w:rPr>
            </w:pPr>
          </w:p>
        </w:tc>
        <w:tc>
          <w:tcPr>
            <w:tcW w:w="523" w:type="pct"/>
            <w:tcBorders>
              <w:top w:val="single" w:sz="4" w:space="0" w:color="auto"/>
            </w:tcBorders>
            <w:shd w:val="clear" w:color="auto" w:fill="auto"/>
            <w:noWrap/>
            <w:hideMark/>
          </w:tcPr>
          <w:p w14:paraId="5790E3CF" w14:textId="77777777" w:rsidR="00A544AB" w:rsidRPr="00060311" w:rsidRDefault="00A544AB" w:rsidP="008671C0">
            <w:pPr>
              <w:rPr>
                <w:rFonts w:ascii="Arial" w:hAnsi="Arial" w:cs="Arial"/>
                <w:sz w:val="18"/>
                <w:szCs w:val="18"/>
                <w:lang w:val="en-SG" w:eastAsia="en-SG"/>
              </w:rPr>
            </w:pPr>
          </w:p>
        </w:tc>
      </w:tr>
      <w:tr w:rsidR="00A544AB" w:rsidRPr="00B214F7" w14:paraId="76A52066" w14:textId="77777777" w:rsidTr="00A544AB">
        <w:trPr>
          <w:trHeight w:val="60"/>
        </w:trPr>
        <w:tc>
          <w:tcPr>
            <w:tcW w:w="818" w:type="pct"/>
            <w:tcBorders>
              <w:bottom w:val="nil"/>
            </w:tcBorders>
            <w:shd w:val="clear" w:color="auto" w:fill="auto"/>
            <w:noWrap/>
            <w:hideMark/>
          </w:tcPr>
          <w:p w14:paraId="07E8178B" w14:textId="47E0BEDA" w:rsidR="00A544AB" w:rsidRPr="00BD644A" w:rsidRDefault="00A544AB" w:rsidP="008671C0">
            <w:pPr>
              <w:rPr>
                <w:rFonts w:ascii="Arial" w:hAnsi="Arial" w:cs="Arial"/>
                <w:iCs/>
                <w:color w:val="000000"/>
                <w:sz w:val="18"/>
                <w:szCs w:val="18"/>
                <w:lang w:val="en-SG" w:eastAsia="en-SG"/>
              </w:rPr>
            </w:pPr>
            <w:r w:rsidRPr="00BD644A">
              <w:rPr>
                <w:rFonts w:ascii="Arial" w:hAnsi="Arial" w:cs="Arial"/>
                <w:iCs/>
                <w:color w:val="000000"/>
                <w:sz w:val="18"/>
                <w:szCs w:val="18"/>
                <w:lang w:val="en-SG" w:eastAsia="en-SG"/>
              </w:rPr>
              <w:t xml:space="preserve">GDP </w:t>
            </w:r>
          </w:p>
        </w:tc>
        <w:tc>
          <w:tcPr>
            <w:tcW w:w="522" w:type="pct"/>
            <w:tcBorders>
              <w:bottom w:val="nil"/>
            </w:tcBorders>
            <w:shd w:val="clear" w:color="auto" w:fill="auto"/>
            <w:noWrap/>
            <w:hideMark/>
          </w:tcPr>
          <w:p w14:paraId="26F5A3C3"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7,438.5</w:t>
            </w:r>
          </w:p>
        </w:tc>
        <w:tc>
          <w:tcPr>
            <w:tcW w:w="524" w:type="pct"/>
            <w:tcBorders>
              <w:bottom w:val="nil"/>
            </w:tcBorders>
            <w:shd w:val="clear" w:color="auto" w:fill="auto"/>
            <w:noWrap/>
            <w:hideMark/>
          </w:tcPr>
          <w:p w14:paraId="38982FE8"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8,542.2</w:t>
            </w:r>
          </w:p>
        </w:tc>
        <w:tc>
          <w:tcPr>
            <w:tcW w:w="522" w:type="pct"/>
            <w:tcBorders>
              <w:bottom w:val="nil"/>
              <w:right w:val="single" w:sz="4" w:space="0" w:color="auto"/>
            </w:tcBorders>
            <w:shd w:val="clear" w:color="auto" w:fill="auto"/>
            <w:noWrap/>
            <w:hideMark/>
          </w:tcPr>
          <w:p w14:paraId="4172965F"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9,793.7</w:t>
            </w:r>
          </w:p>
        </w:tc>
        <w:tc>
          <w:tcPr>
            <w:tcW w:w="524" w:type="pct"/>
            <w:tcBorders>
              <w:left w:val="single" w:sz="4" w:space="0" w:color="auto"/>
              <w:bottom w:val="nil"/>
            </w:tcBorders>
            <w:shd w:val="clear" w:color="auto" w:fill="auto"/>
            <w:noWrap/>
            <w:hideMark/>
          </w:tcPr>
          <w:p w14:paraId="5E94D63F"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10,655.0</w:t>
            </w:r>
          </w:p>
        </w:tc>
        <w:tc>
          <w:tcPr>
            <w:tcW w:w="522" w:type="pct"/>
            <w:tcBorders>
              <w:bottom w:val="nil"/>
            </w:tcBorders>
            <w:shd w:val="clear" w:color="auto" w:fill="auto"/>
            <w:noWrap/>
            <w:hideMark/>
          </w:tcPr>
          <w:p w14:paraId="0EEC10D2"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11,255.4</w:t>
            </w:r>
          </w:p>
        </w:tc>
        <w:tc>
          <w:tcPr>
            <w:tcW w:w="523" w:type="pct"/>
            <w:tcBorders>
              <w:bottom w:val="nil"/>
            </w:tcBorders>
            <w:shd w:val="clear" w:color="auto" w:fill="auto"/>
            <w:noWrap/>
            <w:hideMark/>
          </w:tcPr>
          <w:p w14:paraId="114E0B47"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11,5980</w:t>
            </w:r>
          </w:p>
        </w:tc>
        <w:tc>
          <w:tcPr>
            <w:tcW w:w="522" w:type="pct"/>
            <w:tcBorders>
              <w:bottom w:val="nil"/>
            </w:tcBorders>
            <w:shd w:val="clear" w:color="auto" w:fill="auto"/>
            <w:noWrap/>
            <w:hideMark/>
          </w:tcPr>
          <w:p w14:paraId="7A13651A"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11,826.1</w:t>
            </w:r>
          </w:p>
        </w:tc>
        <w:tc>
          <w:tcPr>
            <w:tcW w:w="523" w:type="pct"/>
            <w:tcBorders>
              <w:bottom w:val="nil"/>
            </w:tcBorders>
            <w:shd w:val="clear" w:color="auto" w:fill="auto"/>
            <w:noWrap/>
            <w:hideMark/>
          </w:tcPr>
          <w:p w14:paraId="551A8D21"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12,420.8</w:t>
            </w:r>
          </w:p>
        </w:tc>
      </w:tr>
      <w:tr w:rsidR="00A544AB" w:rsidRPr="00B214F7" w14:paraId="5746B8F0" w14:textId="77777777" w:rsidTr="00A544AB">
        <w:trPr>
          <w:trHeight w:val="60"/>
        </w:trPr>
        <w:tc>
          <w:tcPr>
            <w:tcW w:w="818" w:type="pct"/>
            <w:tcBorders>
              <w:top w:val="nil"/>
              <w:bottom w:val="single" w:sz="4" w:space="0" w:color="auto"/>
            </w:tcBorders>
            <w:shd w:val="clear" w:color="auto" w:fill="auto"/>
            <w:noWrap/>
            <w:hideMark/>
          </w:tcPr>
          <w:p w14:paraId="37D8DB19" w14:textId="77777777" w:rsidR="00A544AB" w:rsidRPr="00060311" w:rsidRDefault="00A544AB" w:rsidP="008671C0">
            <w:pPr>
              <w:rPr>
                <w:rFonts w:ascii="Arial" w:hAnsi="Arial" w:cs="Arial"/>
                <w:color w:val="000000"/>
                <w:sz w:val="18"/>
                <w:szCs w:val="18"/>
                <w:lang w:val="en-SG" w:eastAsia="en-SG"/>
              </w:rPr>
            </w:pPr>
            <w:r w:rsidRPr="00060311">
              <w:rPr>
                <w:rFonts w:ascii="Arial" w:hAnsi="Arial" w:cs="Arial"/>
                <w:color w:val="000000"/>
                <w:sz w:val="18"/>
                <w:szCs w:val="18"/>
                <w:lang w:val="en-SG" w:eastAsia="en-SG"/>
              </w:rPr>
              <w:t>Growth YoY (%)</w:t>
            </w:r>
          </w:p>
        </w:tc>
        <w:tc>
          <w:tcPr>
            <w:tcW w:w="522" w:type="pct"/>
            <w:tcBorders>
              <w:top w:val="nil"/>
              <w:bottom w:val="single" w:sz="4" w:space="0" w:color="auto"/>
            </w:tcBorders>
            <w:shd w:val="clear" w:color="auto" w:fill="auto"/>
            <w:noWrap/>
            <w:hideMark/>
          </w:tcPr>
          <w:p w14:paraId="3BA0FE1A"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23.8</w:t>
            </w:r>
          </w:p>
        </w:tc>
        <w:tc>
          <w:tcPr>
            <w:tcW w:w="524" w:type="pct"/>
            <w:tcBorders>
              <w:top w:val="nil"/>
              <w:bottom w:val="single" w:sz="4" w:space="0" w:color="auto"/>
            </w:tcBorders>
            <w:shd w:val="clear" w:color="auto" w:fill="auto"/>
            <w:noWrap/>
            <w:hideMark/>
          </w:tcPr>
          <w:p w14:paraId="2A40F759"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14.8</w:t>
            </w:r>
          </w:p>
        </w:tc>
        <w:tc>
          <w:tcPr>
            <w:tcW w:w="522" w:type="pct"/>
            <w:tcBorders>
              <w:top w:val="nil"/>
              <w:bottom w:val="single" w:sz="4" w:space="0" w:color="auto"/>
              <w:right w:val="single" w:sz="4" w:space="0" w:color="auto"/>
            </w:tcBorders>
            <w:shd w:val="clear" w:color="auto" w:fill="auto"/>
            <w:noWrap/>
            <w:hideMark/>
          </w:tcPr>
          <w:p w14:paraId="195DEB40"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14.7</w:t>
            </w:r>
          </w:p>
        </w:tc>
        <w:tc>
          <w:tcPr>
            <w:tcW w:w="524" w:type="pct"/>
            <w:tcBorders>
              <w:top w:val="nil"/>
              <w:left w:val="single" w:sz="4" w:space="0" w:color="auto"/>
              <w:bottom w:val="single" w:sz="4" w:space="0" w:color="auto"/>
            </w:tcBorders>
            <w:shd w:val="clear" w:color="auto" w:fill="auto"/>
            <w:noWrap/>
            <w:hideMark/>
          </w:tcPr>
          <w:p w14:paraId="574C184F"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8.8</w:t>
            </w:r>
          </w:p>
        </w:tc>
        <w:tc>
          <w:tcPr>
            <w:tcW w:w="522" w:type="pct"/>
            <w:tcBorders>
              <w:top w:val="nil"/>
              <w:bottom w:val="single" w:sz="4" w:space="0" w:color="auto"/>
            </w:tcBorders>
            <w:shd w:val="clear" w:color="auto" w:fill="auto"/>
            <w:noWrap/>
            <w:hideMark/>
          </w:tcPr>
          <w:p w14:paraId="1D4D83AA"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5.6</w:t>
            </w:r>
          </w:p>
        </w:tc>
        <w:tc>
          <w:tcPr>
            <w:tcW w:w="523" w:type="pct"/>
            <w:tcBorders>
              <w:top w:val="nil"/>
              <w:bottom w:val="single" w:sz="4" w:space="0" w:color="auto"/>
            </w:tcBorders>
            <w:shd w:val="clear" w:color="auto" w:fill="auto"/>
            <w:noWrap/>
            <w:hideMark/>
          </w:tcPr>
          <w:p w14:paraId="41C0D8FD"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2.2</w:t>
            </w:r>
          </w:p>
        </w:tc>
        <w:tc>
          <w:tcPr>
            <w:tcW w:w="522" w:type="pct"/>
            <w:tcBorders>
              <w:top w:val="nil"/>
              <w:bottom w:val="single" w:sz="4" w:space="0" w:color="auto"/>
            </w:tcBorders>
            <w:shd w:val="clear" w:color="auto" w:fill="auto"/>
            <w:noWrap/>
            <w:hideMark/>
          </w:tcPr>
          <w:p w14:paraId="1E513FA6"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2.8</w:t>
            </w:r>
          </w:p>
        </w:tc>
        <w:tc>
          <w:tcPr>
            <w:tcW w:w="523" w:type="pct"/>
            <w:tcBorders>
              <w:top w:val="nil"/>
              <w:bottom w:val="single" w:sz="4" w:space="0" w:color="auto"/>
            </w:tcBorders>
            <w:shd w:val="clear" w:color="auto" w:fill="auto"/>
            <w:noWrap/>
            <w:hideMark/>
          </w:tcPr>
          <w:p w14:paraId="2E037FB3"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5.0</w:t>
            </w:r>
          </w:p>
        </w:tc>
      </w:tr>
      <w:tr w:rsidR="00A544AB" w:rsidRPr="00B214F7" w14:paraId="313D3AF2" w14:textId="77777777" w:rsidTr="00A544AB">
        <w:trPr>
          <w:trHeight w:val="60"/>
        </w:trPr>
        <w:tc>
          <w:tcPr>
            <w:tcW w:w="818" w:type="pct"/>
            <w:tcBorders>
              <w:top w:val="single" w:sz="4" w:space="0" w:color="auto"/>
            </w:tcBorders>
            <w:shd w:val="clear" w:color="auto" w:fill="auto"/>
            <w:noWrap/>
            <w:hideMark/>
          </w:tcPr>
          <w:p w14:paraId="405C15A3" w14:textId="09FDAB57" w:rsidR="00A544AB" w:rsidRPr="00947EB3" w:rsidRDefault="00A544AB" w:rsidP="008671C0">
            <w:pPr>
              <w:rPr>
                <w:rFonts w:ascii="Arial" w:hAnsi="Arial" w:cs="Arial"/>
                <w:b/>
                <w:bCs/>
                <w:color w:val="000000"/>
                <w:sz w:val="18"/>
                <w:szCs w:val="18"/>
                <w:lang w:val="en-SG" w:eastAsia="en-SG"/>
              </w:rPr>
            </w:pPr>
            <w:r w:rsidRPr="00947EB3">
              <w:rPr>
                <w:rFonts w:ascii="Arial" w:hAnsi="Arial" w:cs="Arial"/>
                <w:b/>
                <w:bCs/>
                <w:color w:val="000000"/>
                <w:sz w:val="18"/>
                <w:szCs w:val="18"/>
                <w:lang w:val="en-SG" w:eastAsia="en-SG"/>
              </w:rPr>
              <w:t>Singapore</w:t>
            </w:r>
          </w:p>
        </w:tc>
        <w:tc>
          <w:tcPr>
            <w:tcW w:w="522" w:type="pct"/>
            <w:tcBorders>
              <w:top w:val="single" w:sz="4" w:space="0" w:color="auto"/>
            </w:tcBorders>
            <w:shd w:val="clear" w:color="auto" w:fill="auto"/>
            <w:noWrap/>
            <w:hideMark/>
          </w:tcPr>
          <w:p w14:paraId="2D44E607" w14:textId="77777777" w:rsidR="00A544AB" w:rsidRPr="00060311" w:rsidRDefault="00A544AB" w:rsidP="008671C0">
            <w:pPr>
              <w:rPr>
                <w:rFonts w:ascii="Arial" w:hAnsi="Arial" w:cs="Arial"/>
                <w:sz w:val="18"/>
                <w:szCs w:val="18"/>
                <w:lang w:val="en-SG" w:eastAsia="en-SG"/>
              </w:rPr>
            </w:pPr>
          </w:p>
        </w:tc>
        <w:tc>
          <w:tcPr>
            <w:tcW w:w="524" w:type="pct"/>
            <w:tcBorders>
              <w:top w:val="single" w:sz="4" w:space="0" w:color="auto"/>
            </w:tcBorders>
            <w:shd w:val="clear" w:color="auto" w:fill="auto"/>
            <w:noWrap/>
            <w:hideMark/>
          </w:tcPr>
          <w:p w14:paraId="47397428" w14:textId="77777777" w:rsidR="00A544AB" w:rsidRPr="00060311" w:rsidRDefault="00A544AB" w:rsidP="008671C0">
            <w:pPr>
              <w:rPr>
                <w:rFonts w:ascii="Arial" w:hAnsi="Arial" w:cs="Arial"/>
                <w:sz w:val="18"/>
                <w:szCs w:val="18"/>
                <w:lang w:val="en-SG" w:eastAsia="en-SG"/>
              </w:rPr>
            </w:pPr>
          </w:p>
        </w:tc>
        <w:tc>
          <w:tcPr>
            <w:tcW w:w="522" w:type="pct"/>
            <w:tcBorders>
              <w:top w:val="single" w:sz="4" w:space="0" w:color="auto"/>
              <w:right w:val="single" w:sz="4" w:space="0" w:color="auto"/>
            </w:tcBorders>
            <w:shd w:val="clear" w:color="auto" w:fill="auto"/>
            <w:noWrap/>
            <w:hideMark/>
          </w:tcPr>
          <w:p w14:paraId="022A05AA" w14:textId="77777777" w:rsidR="00A544AB" w:rsidRPr="00060311" w:rsidRDefault="00A544AB" w:rsidP="008671C0">
            <w:pPr>
              <w:rPr>
                <w:rFonts w:ascii="Arial" w:hAnsi="Arial" w:cs="Arial"/>
                <w:sz w:val="18"/>
                <w:szCs w:val="18"/>
                <w:lang w:val="en-SG" w:eastAsia="en-SG"/>
              </w:rPr>
            </w:pPr>
          </w:p>
        </w:tc>
        <w:tc>
          <w:tcPr>
            <w:tcW w:w="524" w:type="pct"/>
            <w:tcBorders>
              <w:top w:val="single" w:sz="4" w:space="0" w:color="auto"/>
              <w:left w:val="single" w:sz="4" w:space="0" w:color="auto"/>
            </w:tcBorders>
            <w:shd w:val="clear" w:color="auto" w:fill="auto"/>
            <w:noWrap/>
            <w:hideMark/>
          </w:tcPr>
          <w:p w14:paraId="181A20E9" w14:textId="77777777" w:rsidR="00A544AB" w:rsidRPr="00060311" w:rsidRDefault="00A544AB" w:rsidP="008671C0">
            <w:pPr>
              <w:rPr>
                <w:rFonts w:ascii="Arial" w:hAnsi="Arial" w:cs="Arial"/>
                <w:sz w:val="18"/>
                <w:szCs w:val="18"/>
                <w:lang w:val="en-SG" w:eastAsia="en-SG"/>
              </w:rPr>
            </w:pPr>
          </w:p>
        </w:tc>
        <w:tc>
          <w:tcPr>
            <w:tcW w:w="522" w:type="pct"/>
            <w:tcBorders>
              <w:top w:val="single" w:sz="4" w:space="0" w:color="auto"/>
            </w:tcBorders>
            <w:shd w:val="clear" w:color="auto" w:fill="auto"/>
            <w:noWrap/>
            <w:hideMark/>
          </w:tcPr>
          <w:p w14:paraId="3D6D519A" w14:textId="77777777" w:rsidR="00A544AB" w:rsidRPr="00060311" w:rsidRDefault="00A544AB" w:rsidP="008671C0">
            <w:pPr>
              <w:rPr>
                <w:rFonts w:ascii="Arial" w:hAnsi="Arial" w:cs="Arial"/>
                <w:sz w:val="18"/>
                <w:szCs w:val="18"/>
                <w:lang w:val="en-SG" w:eastAsia="en-SG"/>
              </w:rPr>
            </w:pPr>
          </w:p>
        </w:tc>
        <w:tc>
          <w:tcPr>
            <w:tcW w:w="523" w:type="pct"/>
            <w:tcBorders>
              <w:top w:val="single" w:sz="4" w:space="0" w:color="auto"/>
            </w:tcBorders>
            <w:shd w:val="clear" w:color="auto" w:fill="auto"/>
            <w:noWrap/>
            <w:hideMark/>
          </w:tcPr>
          <w:p w14:paraId="25E05B50" w14:textId="77777777" w:rsidR="00A544AB" w:rsidRPr="00060311" w:rsidRDefault="00A544AB" w:rsidP="008671C0">
            <w:pPr>
              <w:rPr>
                <w:rFonts w:ascii="Arial" w:hAnsi="Arial" w:cs="Arial"/>
                <w:sz w:val="18"/>
                <w:szCs w:val="18"/>
                <w:lang w:val="en-SG" w:eastAsia="en-SG"/>
              </w:rPr>
            </w:pPr>
          </w:p>
        </w:tc>
        <w:tc>
          <w:tcPr>
            <w:tcW w:w="522" w:type="pct"/>
            <w:tcBorders>
              <w:top w:val="single" w:sz="4" w:space="0" w:color="auto"/>
            </w:tcBorders>
            <w:shd w:val="clear" w:color="auto" w:fill="auto"/>
            <w:noWrap/>
            <w:hideMark/>
          </w:tcPr>
          <w:p w14:paraId="2B1BC1CA" w14:textId="77777777" w:rsidR="00A544AB" w:rsidRPr="00060311" w:rsidRDefault="00A544AB" w:rsidP="008671C0">
            <w:pPr>
              <w:rPr>
                <w:rFonts w:ascii="Arial" w:hAnsi="Arial" w:cs="Arial"/>
                <w:sz w:val="18"/>
                <w:szCs w:val="18"/>
                <w:lang w:val="en-SG" w:eastAsia="en-SG"/>
              </w:rPr>
            </w:pPr>
          </w:p>
        </w:tc>
        <w:tc>
          <w:tcPr>
            <w:tcW w:w="523" w:type="pct"/>
            <w:tcBorders>
              <w:top w:val="single" w:sz="4" w:space="0" w:color="auto"/>
            </w:tcBorders>
            <w:shd w:val="clear" w:color="auto" w:fill="auto"/>
            <w:noWrap/>
            <w:hideMark/>
          </w:tcPr>
          <w:p w14:paraId="62E61EEC" w14:textId="77777777" w:rsidR="00A544AB" w:rsidRPr="00060311" w:rsidRDefault="00A544AB" w:rsidP="008671C0">
            <w:pPr>
              <w:rPr>
                <w:rFonts w:ascii="Arial" w:hAnsi="Arial" w:cs="Arial"/>
                <w:sz w:val="18"/>
                <w:szCs w:val="18"/>
                <w:lang w:val="en-SG" w:eastAsia="en-SG"/>
              </w:rPr>
            </w:pPr>
          </w:p>
        </w:tc>
      </w:tr>
      <w:tr w:rsidR="00A544AB" w:rsidRPr="00B214F7" w14:paraId="3685EE92" w14:textId="77777777" w:rsidTr="00A544AB">
        <w:trPr>
          <w:trHeight w:val="60"/>
        </w:trPr>
        <w:tc>
          <w:tcPr>
            <w:tcW w:w="818" w:type="pct"/>
            <w:shd w:val="clear" w:color="auto" w:fill="auto"/>
            <w:noWrap/>
            <w:hideMark/>
          </w:tcPr>
          <w:p w14:paraId="6925716E" w14:textId="107A7BCD" w:rsidR="00A544AB" w:rsidRPr="00BD644A" w:rsidRDefault="00A544AB" w:rsidP="008671C0">
            <w:pPr>
              <w:rPr>
                <w:rFonts w:ascii="Arial" w:hAnsi="Arial" w:cs="Arial"/>
                <w:iCs/>
                <w:color w:val="000000"/>
                <w:sz w:val="18"/>
                <w:szCs w:val="18"/>
                <w:lang w:val="en-SG" w:eastAsia="en-SG"/>
              </w:rPr>
            </w:pPr>
            <w:r w:rsidRPr="00BD644A">
              <w:rPr>
                <w:rFonts w:ascii="Arial" w:hAnsi="Arial" w:cs="Arial"/>
                <w:iCs/>
                <w:color w:val="000000"/>
                <w:sz w:val="18"/>
                <w:szCs w:val="18"/>
                <w:lang w:val="en-SG" w:eastAsia="en-SG"/>
              </w:rPr>
              <w:t xml:space="preserve">GDP </w:t>
            </w:r>
          </w:p>
        </w:tc>
        <w:tc>
          <w:tcPr>
            <w:tcW w:w="522" w:type="pct"/>
            <w:shd w:val="clear" w:color="auto" w:fill="auto"/>
            <w:noWrap/>
            <w:hideMark/>
          </w:tcPr>
          <w:p w14:paraId="5449615B"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267.1</w:t>
            </w:r>
          </w:p>
        </w:tc>
        <w:tc>
          <w:tcPr>
            <w:tcW w:w="524" w:type="pct"/>
            <w:shd w:val="clear" w:color="auto" w:fill="auto"/>
            <w:noWrap/>
            <w:hideMark/>
          </w:tcPr>
          <w:p w14:paraId="1E28BD6C"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296.6</w:t>
            </w:r>
          </w:p>
        </w:tc>
        <w:tc>
          <w:tcPr>
            <w:tcW w:w="522" w:type="pct"/>
            <w:tcBorders>
              <w:right w:val="single" w:sz="4" w:space="0" w:color="auto"/>
            </w:tcBorders>
            <w:shd w:val="clear" w:color="auto" w:fill="auto"/>
            <w:noWrap/>
            <w:hideMark/>
          </w:tcPr>
          <w:p w14:paraId="1BF79827"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299.4</w:t>
            </w:r>
          </w:p>
        </w:tc>
        <w:tc>
          <w:tcPr>
            <w:tcW w:w="524" w:type="pct"/>
            <w:tcBorders>
              <w:left w:val="single" w:sz="4" w:space="0" w:color="auto"/>
            </w:tcBorders>
            <w:shd w:val="clear" w:color="auto" w:fill="auto"/>
            <w:noWrap/>
            <w:hideMark/>
          </w:tcPr>
          <w:p w14:paraId="59C9469F"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292.8</w:t>
            </w:r>
          </w:p>
        </w:tc>
        <w:tc>
          <w:tcPr>
            <w:tcW w:w="522" w:type="pct"/>
            <w:shd w:val="clear" w:color="auto" w:fill="auto"/>
            <w:noWrap/>
            <w:hideMark/>
          </w:tcPr>
          <w:p w14:paraId="19A727D1"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278.2</w:t>
            </w:r>
          </w:p>
        </w:tc>
        <w:tc>
          <w:tcPr>
            <w:tcW w:w="523" w:type="pct"/>
            <w:shd w:val="clear" w:color="auto" w:fill="auto"/>
            <w:noWrap/>
            <w:hideMark/>
          </w:tcPr>
          <w:p w14:paraId="3CAF3F8A"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284.9</w:t>
            </w:r>
          </w:p>
        </w:tc>
        <w:tc>
          <w:tcPr>
            <w:tcW w:w="522" w:type="pct"/>
            <w:shd w:val="clear" w:color="auto" w:fill="auto"/>
            <w:noWrap/>
            <w:hideMark/>
          </w:tcPr>
          <w:p w14:paraId="2A2556F8"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299.6</w:t>
            </w:r>
          </w:p>
        </w:tc>
        <w:tc>
          <w:tcPr>
            <w:tcW w:w="523" w:type="pct"/>
            <w:shd w:val="clear" w:color="auto" w:fill="auto"/>
            <w:noWrap/>
            <w:hideMark/>
          </w:tcPr>
          <w:p w14:paraId="758626A8"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322.4</w:t>
            </w:r>
          </w:p>
        </w:tc>
      </w:tr>
      <w:tr w:rsidR="00A544AB" w:rsidRPr="00B214F7" w14:paraId="4AD03AEF" w14:textId="77777777" w:rsidTr="00A544AB">
        <w:trPr>
          <w:trHeight w:val="60"/>
        </w:trPr>
        <w:tc>
          <w:tcPr>
            <w:tcW w:w="818" w:type="pct"/>
            <w:shd w:val="clear" w:color="auto" w:fill="auto"/>
            <w:noWrap/>
            <w:hideMark/>
          </w:tcPr>
          <w:p w14:paraId="4B1E3479" w14:textId="77777777" w:rsidR="00A544AB" w:rsidRPr="00060311" w:rsidRDefault="00A544AB" w:rsidP="008671C0">
            <w:pPr>
              <w:rPr>
                <w:rFonts w:ascii="Arial" w:hAnsi="Arial" w:cs="Arial"/>
                <w:color w:val="000000"/>
                <w:sz w:val="18"/>
                <w:szCs w:val="18"/>
                <w:lang w:val="en-SG" w:eastAsia="en-SG"/>
              </w:rPr>
            </w:pPr>
            <w:r w:rsidRPr="00060311">
              <w:rPr>
                <w:rFonts w:ascii="Arial" w:hAnsi="Arial" w:cs="Arial"/>
                <w:color w:val="000000"/>
                <w:sz w:val="18"/>
                <w:szCs w:val="18"/>
                <w:lang w:val="en-SG" w:eastAsia="en-SG"/>
              </w:rPr>
              <w:t>Growth YoY (%)</w:t>
            </w:r>
          </w:p>
        </w:tc>
        <w:tc>
          <w:tcPr>
            <w:tcW w:w="522" w:type="pct"/>
            <w:shd w:val="clear" w:color="auto" w:fill="auto"/>
            <w:noWrap/>
            <w:hideMark/>
          </w:tcPr>
          <w:p w14:paraId="24B1E54A"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13.0</w:t>
            </w:r>
          </w:p>
        </w:tc>
        <w:tc>
          <w:tcPr>
            <w:tcW w:w="524" w:type="pct"/>
            <w:shd w:val="clear" w:color="auto" w:fill="auto"/>
            <w:noWrap/>
            <w:hideMark/>
          </w:tcPr>
          <w:p w14:paraId="57B601BA"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11.0</w:t>
            </w:r>
          </w:p>
        </w:tc>
        <w:tc>
          <w:tcPr>
            <w:tcW w:w="522" w:type="pct"/>
            <w:tcBorders>
              <w:right w:val="single" w:sz="4" w:space="0" w:color="auto"/>
            </w:tcBorders>
            <w:shd w:val="clear" w:color="auto" w:fill="auto"/>
            <w:noWrap/>
            <w:hideMark/>
          </w:tcPr>
          <w:p w14:paraId="7C6D1F19"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1.0</w:t>
            </w:r>
          </w:p>
        </w:tc>
        <w:tc>
          <w:tcPr>
            <w:tcW w:w="524" w:type="pct"/>
            <w:tcBorders>
              <w:left w:val="single" w:sz="4" w:space="0" w:color="auto"/>
              <w:bottom w:val="double" w:sz="4" w:space="0" w:color="auto"/>
            </w:tcBorders>
            <w:shd w:val="clear" w:color="auto" w:fill="auto"/>
            <w:noWrap/>
            <w:hideMark/>
          </w:tcPr>
          <w:p w14:paraId="4E45A5C8" w14:textId="35D8B92A" w:rsidR="00A544AB" w:rsidRPr="00060311" w:rsidRDefault="00A544AB" w:rsidP="008671C0">
            <w:pPr>
              <w:jc w:val="right"/>
              <w:rPr>
                <w:rFonts w:ascii="Arial" w:hAnsi="Arial" w:cs="Arial"/>
                <w:sz w:val="18"/>
                <w:szCs w:val="18"/>
                <w:lang w:val="en-SG" w:eastAsia="en-SG"/>
              </w:rPr>
            </w:pPr>
            <w:r w:rsidRPr="00513DA4">
              <w:rPr>
                <w:rFonts w:ascii="Arial" w:hAnsi="Arial" w:cs="Arial"/>
                <w:sz w:val="18"/>
                <w:szCs w:val="18"/>
                <w:lang w:val="en-SG" w:eastAsia="en-SG"/>
              </w:rPr>
              <w:t>−</w:t>
            </w:r>
            <w:r w:rsidRPr="00060311">
              <w:rPr>
                <w:rFonts w:ascii="Arial" w:hAnsi="Arial" w:cs="Arial"/>
                <w:sz w:val="18"/>
                <w:szCs w:val="18"/>
                <w:lang w:val="en-SG" w:eastAsia="en-SG"/>
              </w:rPr>
              <w:t>2.2</w:t>
            </w:r>
          </w:p>
        </w:tc>
        <w:tc>
          <w:tcPr>
            <w:tcW w:w="522" w:type="pct"/>
            <w:tcBorders>
              <w:bottom w:val="double" w:sz="4" w:space="0" w:color="auto"/>
            </w:tcBorders>
            <w:shd w:val="clear" w:color="auto" w:fill="auto"/>
            <w:noWrap/>
            <w:hideMark/>
          </w:tcPr>
          <w:p w14:paraId="60F5CAEA" w14:textId="4B361A6A" w:rsidR="00A544AB" w:rsidRPr="00060311" w:rsidRDefault="00A544AB" w:rsidP="008671C0">
            <w:pPr>
              <w:jc w:val="right"/>
              <w:rPr>
                <w:rFonts w:ascii="Arial" w:hAnsi="Arial" w:cs="Arial"/>
                <w:sz w:val="18"/>
                <w:szCs w:val="18"/>
                <w:lang w:val="en-SG" w:eastAsia="en-SG"/>
              </w:rPr>
            </w:pPr>
            <w:r w:rsidRPr="00513DA4">
              <w:rPr>
                <w:rFonts w:ascii="Arial" w:hAnsi="Arial" w:cs="Arial"/>
                <w:sz w:val="18"/>
                <w:szCs w:val="18"/>
                <w:lang w:val="en-SG" w:eastAsia="en-SG"/>
              </w:rPr>
              <w:t>−</w:t>
            </w:r>
            <w:r w:rsidRPr="00060311">
              <w:rPr>
                <w:rFonts w:ascii="Arial" w:hAnsi="Arial" w:cs="Arial"/>
                <w:sz w:val="18"/>
                <w:szCs w:val="18"/>
                <w:lang w:val="en-SG" w:eastAsia="en-SG"/>
              </w:rPr>
              <w:t>5.0</w:t>
            </w:r>
          </w:p>
        </w:tc>
        <w:tc>
          <w:tcPr>
            <w:tcW w:w="523" w:type="pct"/>
            <w:shd w:val="clear" w:color="auto" w:fill="auto"/>
            <w:noWrap/>
            <w:hideMark/>
          </w:tcPr>
          <w:p w14:paraId="50764F78"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2.4</w:t>
            </w:r>
          </w:p>
        </w:tc>
        <w:tc>
          <w:tcPr>
            <w:tcW w:w="522" w:type="pct"/>
            <w:shd w:val="clear" w:color="auto" w:fill="auto"/>
            <w:noWrap/>
            <w:hideMark/>
          </w:tcPr>
          <w:p w14:paraId="65D38DFA"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5.2</w:t>
            </w:r>
          </w:p>
        </w:tc>
        <w:tc>
          <w:tcPr>
            <w:tcW w:w="523" w:type="pct"/>
            <w:shd w:val="clear" w:color="auto" w:fill="auto"/>
            <w:noWrap/>
            <w:hideMark/>
          </w:tcPr>
          <w:p w14:paraId="7FFA926C" w14:textId="77777777" w:rsidR="00A544AB" w:rsidRPr="00060311" w:rsidRDefault="00A544AB" w:rsidP="008671C0">
            <w:pPr>
              <w:jc w:val="right"/>
              <w:rPr>
                <w:rFonts w:ascii="Arial" w:hAnsi="Arial" w:cs="Arial"/>
                <w:sz w:val="18"/>
                <w:szCs w:val="18"/>
                <w:lang w:val="en-SG" w:eastAsia="en-SG"/>
              </w:rPr>
            </w:pPr>
            <w:r w:rsidRPr="00060311">
              <w:rPr>
                <w:rFonts w:ascii="Arial" w:hAnsi="Arial" w:cs="Arial"/>
                <w:sz w:val="18"/>
                <w:szCs w:val="18"/>
                <w:lang w:val="en-SG" w:eastAsia="en-SG"/>
              </w:rPr>
              <w:t>7.6</w:t>
            </w:r>
          </w:p>
        </w:tc>
      </w:tr>
    </w:tbl>
    <w:p w14:paraId="3171CCD9" w14:textId="77777777" w:rsidR="001E2425" w:rsidRPr="00B214F7" w:rsidRDefault="001E2425" w:rsidP="00BD644A">
      <w:pPr>
        <w:pStyle w:val="ExhibitText"/>
        <w:rPr>
          <w:lang w:val="en-CA"/>
        </w:rPr>
      </w:pPr>
    </w:p>
    <w:p w14:paraId="75CC7B7E" w14:textId="4EEC6543" w:rsidR="00245772" w:rsidRDefault="001E2425" w:rsidP="00245772">
      <w:pPr>
        <w:pStyle w:val="Footnote"/>
        <w:rPr>
          <w:lang w:val="en-CA"/>
        </w:rPr>
      </w:pPr>
      <w:r>
        <w:rPr>
          <w:lang w:val="en-CA"/>
        </w:rPr>
        <w:t xml:space="preserve">Source: </w:t>
      </w:r>
      <w:r w:rsidR="00A601AA">
        <w:rPr>
          <w:lang w:val="en-CA"/>
        </w:rPr>
        <w:t xml:space="preserve">Created by the </w:t>
      </w:r>
      <w:r w:rsidR="00F368CB">
        <w:rPr>
          <w:lang w:val="en-CA"/>
        </w:rPr>
        <w:t xml:space="preserve">case </w:t>
      </w:r>
      <w:r w:rsidR="00A601AA">
        <w:rPr>
          <w:lang w:val="en-CA"/>
        </w:rPr>
        <w:t xml:space="preserve">authors using </w:t>
      </w:r>
      <w:r w:rsidR="00BE11C2">
        <w:rPr>
          <w:lang w:val="en-CA"/>
        </w:rPr>
        <w:t>“Real GDP Growth,”</w:t>
      </w:r>
      <w:r w:rsidR="00A601AA">
        <w:rPr>
          <w:lang w:val="en-CA"/>
        </w:rPr>
        <w:t xml:space="preserve"> </w:t>
      </w:r>
      <w:r>
        <w:rPr>
          <w:lang w:val="en-CA"/>
        </w:rPr>
        <w:t xml:space="preserve">BMI Research, accessed </w:t>
      </w:r>
      <w:r w:rsidRPr="00C85DF7">
        <w:rPr>
          <w:lang w:val="en-CA"/>
        </w:rPr>
        <w:t>January</w:t>
      </w:r>
      <w:r>
        <w:rPr>
          <w:lang w:val="en-CA"/>
        </w:rPr>
        <w:t xml:space="preserve"> 27,</w:t>
      </w:r>
      <w:r w:rsidRPr="00C85DF7">
        <w:rPr>
          <w:lang w:val="en-CA"/>
        </w:rPr>
        <w:t xml:space="preserve"> 2017</w:t>
      </w:r>
      <w:r w:rsidR="00803EE5">
        <w:rPr>
          <w:lang w:val="en-CA"/>
        </w:rPr>
        <w:t>.</w:t>
      </w:r>
    </w:p>
    <w:p w14:paraId="2909EACB" w14:textId="77777777" w:rsidR="00245772" w:rsidRDefault="00245772">
      <w:pPr>
        <w:spacing w:after="200" w:line="276" w:lineRule="auto"/>
        <w:rPr>
          <w:rFonts w:ascii="Arial" w:hAnsi="Arial" w:cs="Arial"/>
          <w:sz w:val="17"/>
          <w:szCs w:val="17"/>
          <w:lang w:val="en-CA"/>
        </w:rPr>
      </w:pPr>
      <w:r>
        <w:rPr>
          <w:lang w:val="en-CA"/>
        </w:rPr>
        <w:br w:type="page"/>
      </w:r>
    </w:p>
    <w:p w14:paraId="17805CB4" w14:textId="128EEF8F" w:rsidR="007F0E99" w:rsidRDefault="007F0E99" w:rsidP="005F30D2">
      <w:pPr>
        <w:pStyle w:val="ExhibitHeading"/>
        <w:keepLines/>
        <w:rPr>
          <w:lang w:val="en-CA"/>
        </w:rPr>
      </w:pPr>
      <w:r>
        <w:rPr>
          <w:lang w:val="en-CA"/>
        </w:rPr>
        <w:t xml:space="preserve">Exhibit </w:t>
      </w:r>
      <w:r w:rsidR="00694839">
        <w:rPr>
          <w:lang w:val="en-CA"/>
        </w:rPr>
        <w:t>7</w:t>
      </w:r>
      <w:r w:rsidRPr="0085053B">
        <w:rPr>
          <w:lang w:val="en-CA"/>
        </w:rPr>
        <w:t>: Financial ratios and nature of operations of potential peers</w:t>
      </w:r>
    </w:p>
    <w:p w14:paraId="32711FE9" w14:textId="77777777" w:rsidR="007F0E99" w:rsidRDefault="007F0E99" w:rsidP="00BD644A">
      <w:pPr>
        <w:pStyle w:val="ExhibitText"/>
        <w:rPr>
          <w:lang w:val="en-CA"/>
        </w:rPr>
      </w:pPr>
    </w:p>
    <w:tbl>
      <w:tblPr>
        <w:tblW w:w="4952" w:type="pct"/>
        <w:tblLayout w:type="fixed"/>
        <w:tblLook w:val="04A0" w:firstRow="1" w:lastRow="0" w:firstColumn="1" w:lastColumn="0" w:noHBand="0" w:noVBand="1"/>
      </w:tblPr>
      <w:tblGrid>
        <w:gridCol w:w="2552"/>
        <w:gridCol w:w="239"/>
        <w:gridCol w:w="1081"/>
        <w:gridCol w:w="988"/>
        <w:gridCol w:w="1079"/>
        <w:gridCol w:w="1081"/>
        <w:gridCol w:w="1175"/>
        <w:gridCol w:w="1075"/>
      </w:tblGrid>
      <w:tr w:rsidR="007F0E99" w:rsidRPr="0038701A" w14:paraId="490D8ED7" w14:textId="77777777" w:rsidTr="004600F4">
        <w:trPr>
          <w:trHeight w:val="293"/>
        </w:trPr>
        <w:tc>
          <w:tcPr>
            <w:tcW w:w="1376" w:type="pct"/>
            <w:tcBorders>
              <w:top w:val="double" w:sz="6" w:space="0" w:color="auto"/>
              <w:left w:val="nil"/>
              <w:bottom w:val="single" w:sz="4" w:space="0" w:color="auto"/>
              <w:right w:val="nil"/>
            </w:tcBorders>
            <w:shd w:val="clear" w:color="auto" w:fill="auto"/>
            <w:noWrap/>
            <w:vAlign w:val="center"/>
            <w:hideMark/>
          </w:tcPr>
          <w:p w14:paraId="38E2022A" w14:textId="10B54424" w:rsidR="007F0E99" w:rsidRPr="00060311" w:rsidRDefault="007F0E99" w:rsidP="004600F4">
            <w:pPr>
              <w:keepNext/>
              <w:keepLines/>
              <w:jc w:val="center"/>
              <w:rPr>
                <w:rFonts w:ascii="Arial" w:hAnsi="Arial" w:cs="Arial"/>
                <w:sz w:val="18"/>
                <w:szCs w:val="18"/>
                <w:lang w:eastAsia="en-SG"/>
              </w:rPr>
            </w:pPr>
          </w:p>
        </w:tc>
        <w:tc>
          <w:tcPr>
            <w:tcW w:w="129" w:type="pct"/>
            <w:tcBorders>
              <w:top w:val="double" w:sz="6" w:space="0" w:color="auto"/>
              <w:left w:val="nil"/>
              <w:bottom w:val="single" w:sz="4" w:space="0" w:color="auto"/>
              <w:right w:val="nil"/>
            </w:tcBorders>
            <w:shd w:val="clear" w:color="auto" w:fill="auto"/>
            <w:noWrap/>
            <w:vAlign w:val="center"/>
            <w:hideMark/>
          </w:tcPr>
          <w:p w14:paraId="5179DAE6" w14:textId="1503D7A5" w:rsidR="007F0E99" w:rsidRPr="00060311" w:rsidRDefault="007F0E99" w:rsidP="004600F4">
            <w:pPr>
              <w:keepNext/>
              <w:keepLines/>
              <w:jc w:val="center"/>
              <w:rPr>
                <w:rFonts w:ascii="Arial" w:hAnsi="Arial" w:cs="Arial"/>
                <w:sz w:val="18"/>
                <w:szCs w:val="18"/>
                <w:lang w:eastAsia="en-SG"/>
              </w:rPr>
            </w:pPr>
          </w:p>
        </w:tc>
        <w:tc>
          <w:tcPr>
            <w:tcW w:w="583" w:type="pct"/>
            <w:tcBorders>
              <w:top w:val="double" w:sz="6" w:space="0" w:color="auto"/>
              <w:left w:val="nil"/>
              <w:bottom w:val="single" w:sz="4" w:space="0" w:color="auto"/>
              <w:right w:val="nil"/>
            </w:tcBorders>
            <w:shd w:val="clear" w:color="auto" w:fill="auto"/>
            <w:noWrap/>
            <w:vAlign w:val="center"/>
            <w:hideMark/>
          </w:tcPr>
          <w:p w14:paraId="4ACF9AFF" w14:textId="77777777" w:rsidR="007F0E99" w:rsidRPr="00060311" w:rsidRDefault="007F0E99" w:rsidP="004600F4">
            <w:pPr>
              <w:keepNext/>
              <w:keepLines/>
              <w:jc w:val="center"/>
              <w:rPr>
                <w:rFonts w:ascii="Arial" w:hAnsi="Arial" w:cs="Arial"/>
                <w:b/>
                <w:bCs/>
                <w:sz w:val="18"/>
                <w:szCs w:val="18"/>
                <w:lang w:eastAsia="en-SG"/>
              </w:rPr>
            </w:pPr>
            <w:r w:rsidRPr="00060311">
              <w:rPr>
                <w:rFonts w:ascii="Arial" w:hAnsi="Arial" w:cs="Arial"/>
                <w:b/>
                <w:bCs/>
                <w:sz w:val="18"/>
                <w:szCs w:val="18"/>
                <w:lang w:eastAsia="en-SG"/>
              </w:rPr>
              <w:t>Current Ratio</w:t>
            </w:r>
          </w:p>
        </w:tc>
        <w:tc>
          <w:tcPr>
            <w:tcW w:w="533" w:type="pct"/>
            <w:tcBorders>
              <w:top w:val="double" w:sz="6" w:space="0" w:color="auto"/>
              <w:left w:val="nil"/>
              <w:bottom w:val="single" w:sz="4" w:space="0" w:color="auto"/>
              <w:right w:val="nil"/>
            </w:tcBorders>
            <w:shd w:val="clear" w:color="auto" w:fill="auto"/>
            <w:noWrap/>
            <w:vAlign w:val="center"/>
            <w:hideMark/>
          </w:tcPr>
          <w:p w14:paraId="197A02A1" w14:textId="77777777" w:rsidR="007F0E99" w:rsidRPr="00060311" w:rsidRDefault="007F0E99" w:rsidP="004600F4">
            <w:pPr>
              <w:keepNext/>
              <w:keepLines/>
              <w:jc w:val="center"/>
              <w:rPr>
                <w:rFonts w:ascii="Arial" w:hAnsi="Arial" w:cs="Arial"/>
                <w:b/>
                <w:bCs/>
                <w:sz w:val="18"/>
                <w:szCs w:val="18"/>
                <w:lang w:eastAsia="en-SG"/>
              </w:rPr>
            </w:pPr>
            <w:r w:rsidRPr="00060311">
              <w:rPr>
                <w:rFonts w:ascii="Arial" w:hAnsi="Arial" w:cs="Arial"/>
                <w:b/>
                <w:bCs/>
                <w:sz w:val="18"/>
                <w:szCs w:val="18"/>
                <w:lang w:eastAsia="en-SG"/>
              </w:rPr>
              <w:t>Quick Ratio</w:t>
            </w:r>
          </w:p>
        </w:tc>
        <w:tc>
          <w:tcPr>
            <w:tcW w:w="582" w:type="pct"/>
            <w:tcBorders>
              <w:top w:val="double" w:sz="6" w:space="0" w:color="auto"/>
              <w:left w:val="nil"/>
              <w:bottom w:val="single" w:sz="4" w:space="0" w:color="auto"/>
              <w:right w:val="nil"/>
            </w:tcBorders>
            <w:shd w:val="clear" w:color="auto" w:fill="auto"/>
            <w:noWrap/>
            <w:vAlign w:val="center"/>
            <w:hideMark/>
          </w:tcPr>
          <w:p w14:paraId="78C393BB" w14:textId="77777777" w:rsidR="007F0E99" w:rsidRPr="00060311" w:rsidRDefault="007F0E99" w:rsidP="004600F4">
            <w:pPr>
              <w:keepNext/>
              <w:keepLines/>
              <w:jc w:val="center"/>
              <w:rPr>
                <w:rFonts w:ascii="Arial" w:hAnsi="Arial" w:cs="Arial"/>
                <w:b/>
                <w:bCs/>
                <w:sz w:val="18"/>
                <w:szCs w:val="18"/>
                <w:lang w:eastAsia="en-SG"/>
              </w:rPr>
            </w:pPr>
            <w:r w:rsidRPr="00060311">
              <w:rPr>
                <w:rFonts w:ascii="Arial" w:hAnsi="Arial" w:cs="Arial"/>
                <w:b/>
                <w:bCs/>
                <w:sz w:val="18"/>
                <w:szCs w:val="18"/>
                <w:lang w:eastAsia="en-SG"/>
              </w:rPr>
              <w:t>Solvency Ratio</w:t>
            </w:r>
          </w:p>
        </w:tc>
        <w:tc>
          <w:tcPr>
            <w:tcW w:w="583" w:type="pct"/>
            <w:tcBorders>
              <w:top w:val="double" w:sz="6" w:space="0" w:color="auto"/>
              <w:left w:val="nil"/>
              <w:bottom w:val="single" w:sz="4" w:space="0" w:color="auto"/>
              <w:right w:val="nil"/>
            </w:tcBorders>
            <w:shd w:val="clear" w:color="auto" w:fill="auto"/>
            <w:noWrap/>
            <w:vAlign w:val="center"/>
            <w:hideMark/>
          </w:tcPr>
          <w:p w14:paraId="02076473" w14:textId="77777777" w:rsidR="007F0E99" w:rsidRPr="00060311" w:rsidRDefault="007F0E99" w:rsidP="004600F4">
            <w:pPr>
              <w:keepNext/>
              <w:keepLines/>
              <w:jc w:val="center"/>
              <w:rPr>
                <w:rFonts w:ascii="Arial" w:hAnsi="Arial" w:cs="Arial"/>
                <w:b/>
                <w:bCs/>
                <w:sz w:val="18"/>
                <w:szCs w:val="18"/>
                <w:lang w:eastAsia="en-SG"/>
              </w:rPr>
            </w:pPr>
            <w:r w:rsidRPr="00060311">
              <w:rPr>
                <w:rFonts w:ascii="Arial" w:hAnsi="Arial" w:cs="Arial"/>
                <w:b/>
                <w:bCs/>
                <w:sz w:val="18"/>
                <w:szCs w:val="18"/>
                <w:lang w:eastAsia="en-SG"/>
              </w:rPr>
              <w:t>Debt/</w:t>
            </w:r>
          </w:p>
          <w:p w14:paraId="70A53876" w14:textId="77777777" w:rsidR="007F0E99" w:rsidRPr="00060311" w:rsidRDefault="007F0E99" w:rsidP="004600F4">
            <w:pPr>
              <w:keepNext/>
              <w:keepLines/>
              <w:jc w:val="center"/>
              <w:rPr>
                <w:rFonts w:ascii="Arial" w:hAnsi="Arial" w:cs="Arial"/>
                <w:b/>
                <w:bCs/>
                <w:sz w:val="18"/>
                <w:szCs w:val="18"/>
                <w:lang w:eastAsia="en-SG"/>
              </w:rPr>
            </w:pPr>
            <w:r w:rsidRPr="00060311">
              <w:rPr>
                <w:rFonts w:ascii="Arial" w:hAnsi="Arial" w:cs="Arial"/>
                <w:b/>
                <w:bCs/>
                <w:sz w:val="18"/>
                <w:szCs w:val="18"/>
                <w:lang w:eastAsia="en-SG"/>
              </w:rPr>
              <w:t>Equity</w:t>
            </w:r>
          </w:p>
        </w:tc>
        <w:tc>
          <w:tcPr>
            <w:tcW w:w="634" w:type="pct"/>
            <w:tcBorders>
              <w:top w:val="double" w:sz="6" w:space="0" w:color="auto"/>
              <w:left w:val="nil"/>
              <w:bottom w:val="single" w:sz="4" w:space="0" w:color="auto"/>
              <w:right w:val="nil"/>
            </w:tcBorders>
            <w:shd w:val="clear" w:color="auto" w:fill="auto"/>
            <w:noWrap/>
            <w:vAlign w:val="center"/>
            <w:hideMark/>
          </w:tcPr>
          <w:p w14:paraId="0D73F8EA" w14:textId="77777777" w:rsidR="007F0E99" w:rsidRPr="00060311" w:rsidRDefault="007F0E99" w:rsidP="004600F4">
            <w:pPr>
              <w:keepNext/>
              <w:keepLines/>
              <w:jc w:val="center"/>
              <w:rPr>
                <w:rFonts w:ascii="Arial" w:hAnsi="Arial" w:cs="Arial"/>
                <w:b/>
                <w:bCs/>
                <w:sz w:val="18"/>
                <w:szCs w:val="18"/>
                <w:lang w:eastAsia="en-SG"/>
              </w:rPr>
            </w:pPr>
            <w:r w:rsidRPr="00060311">
              <w:rPr>
                <w:rFonts w:ascii="Arial" w:hAnsi="Arial" w:cs="Arial"/>
                <w:b/>
                <w:bCs/>
                <w:sz w:val="18"/>
                <w:szCs w:val="18"/>
                <w:lang w:eastAsia="en-SG"/>
              </w:rPr>
              <w:t>Equity Multiplier</w:t>
            </w:r>
          </w:p>
        </w:tc>
        <w:tc>
          <w:tcPr>
            <w:tcW w:w="580" w:type="pct"/>
            <w:tcBorders>
              <w:top w:val="double" w:sz="6" w:space="0" w:color="auto"/>
              <w:left w:val="nil"/>
              <w:bottom w:val="single" w:sz="4" w:space="0" w:color="auto"/>
              <w:right w:val="nil"/>
            </w:tcBorders>
            <w:shd w:val="clear" w:color="auto" w:fill="auto"/>
            <w:noWrap/>
            <w:vAlign w:val="center"/>
            <w:hideMark/>
          </w:tcPr>
          <w:p w14:paraId="3520DEBB" w14:textId="77777777" w:rsidR="007F0E99" w:rsidRPr="00060311" w:rsidRDefault="007F0E99" w:rsidP="004600F4">
            <w:pPr>
              <w:keepNext/>
              <w:keepLines/>
              <w:jc w:val="center"/>
              <w:rPr>
                <w:rFonts w:ascii="Arial" w:hAnsi="Arial" w:cs="Arial"/>
                <w:b/>
                <w:bCs/>
                <w:sz w:val="18"/>
                <w:szCs w:val="18"/>
                <w:lang w:eastAsia="en-SG"/>
              </w:rPr>
            </w:pPr>
            <w:r w:rsidRPr="00060311">
              <w:rPr>
                <w:rFonts w:ascii="Arial" w:hAnsi="Arial" w:cs="Arial"/>
                <w:b/>
                <w:bCs/>
                <w:sz w:val="18"/>
                <w:szCs w:val="18"/>
                <w:lang w:eastAsia="en-SG"/>
              </w:rPr>
              <w:t>Effective Tax Rate</w:t>
            </w:r>
          </w:p>
        </w:tc>
      </w:tr>
      <w:tr w:rsidR="008A50B9" w:rsidRPr="0038701A" w14:paraId="0B83F298" w14:textId="77777777" w:rsidTr="004600F4">
        <w:trPr>
          <w:trHeight w:val="285"/>
        </w:trPr>
        <w:tc>
          <w:tcPr>
            <w:tcW w:w="1376" w:type="pct"/>
            <w:tcBorders>
              <w:top w:val="nil"/>
              <w:left w:val="nil"/>
              <w:bottom w:val="nil"/>
              <w:right w:val="nil"/>
            </w:tcBorders>
            <w:shd w:val="clear" w:color="auto" w:fill="auto"/>
            <w:noWrap/>
            <w:vAlign w:val="center"/>
            <w:hideMark/>
          </w:tcPr>
          <w:p w14:paraId="282D9EF4" w14:textId="77777777" w:rsidR="008A50B9" w:rsidRPr="00060311" w:rsidRDefault="008A50B9" w:rsidP="004600F4">
            <w:pPr>
              <w:keepNext/>
              <w:keepLines/>
              <w:rPr>
                <w:rFonts w:ascii="Arial" w:hAnsi="Arial" w:cs="Arial"/>
                <w:bCs/>
                <w:color w:val="000000"/>
                <w:sz w:val="18"/>
                <w:szCs w:val="18"/>
              </w:rPr>
            </w:pPr>
            <w:r w:rsidRPr="00060311">
              <w:rPr>
                <w:rFonts w:ascii="Arial" w:hAnsi="Arial" w:cs="Arial"/>
                <w:bCs/>
                <w:color w:val="000000"/>
                <w:sz w:val="18"/>
                <w:szCs w:val="18"/>
              </w:rPr>
              <w:t>Bukit Sembawang Estates</w:t>
            </w:r>
          </w:p>
        </w:tc>
        <w:tc>
          <w:tcPr>
            <w:tcW w:w="129" w:type="pct"/>
            <w:tcBorders>
              <w:top w:val="nil"/>
              <w:left w:val="nil"/>
              <w:bottom w:val="nil"/>
              <w:right w:val="nil"/>
            </w:tcBorders>
            <w:shd w:val="clear" w:color="auto" w:fill="auto"/>
            <w:noWrap/>
            <w:vAlign w:val="bottom"/>
            <w:hideMark/>
          </w:tcPr>
          <w:p w14:paraId="7937D01A" w14:textId="77777777" w:rsidR="008A50B9" w:rsidRPr="00060311" w:rsidRDefault="008A50B9" w:rsidP="005F30D2">
            <w:pPr>
              <w:keepNext/>
              <w:keepLines/>
              <w:jc w:val="right"/>
              <w:rPr>
                <w:rFonts w:ascii="Arial" w:hAnsi="Arial" w:cs="Arial"/>
                <w:b/>
                <w:bCs/>
                <w:sz w:val="18"/>
                <w:szCs w:val="18"/>
                <w:lang w:eastAsia="en-SG"/>
              </w:rPr>
            </w:pPr>
          </w:p>
        </w:tc>
        <w:tc>
          <w:tcPr>
            <w:tcW w:w="583" w:type="pct"/>
            <w:tcBorders>
              <w:top w:val="nil"/>
              <w:left w:val="nil"/>
              <w:bottom w:val="nil"/>
              <w:right w:val="nil"/>
            </w:tcBorders>
            <w:shd w:val="clear" w:color="auto" w:fill="auto"/>
            <w:noWrap/>
            <w:vAlign w:val="center"/>
            <w:hideMark/>
          </w:tcPr>
          <w:p w14:paraId="6D377100"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16.61</w:t>
            </w:r>
          </w:p>
        </w:tc>
        <w:tc>
          <w:tcPr>
            <w:tcW w:w="533" w:type="pct"/>
            <w:tcBorders>
              <w:top w:val="nil"/>
              <w:left w:val="nil"/>
              <w:bottom w:val="nil"/>
              <w:right w:val="nil"/>
            </w:tcBorders>
            <w:shd w:val="clear" w:color="auto" w:fill="auto"/>
            <w:noWrap/>
            <w:vAlign w:val="center"/>
            <w:hideMark/>
          </w:tcPr>
          <w:p w14:paraId="02F6FB13"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2.12</w:t>
            </w:r>
          </w:p>
        </w:tc>
        <w:tc>
          <w:tcPr>
            <w:tcW w:w="582" w:type="pct"/>
            <w:tcBorders>
              <w:top w:val="nil"/>
              <w:left w:val="nil"/>
              <w:bottom w:val="nil"/>
              <w:right w:val="nil"/>
            </w:tcBorders>
            <w:shd w:val="clear" w:color="auto" w:fill="auto"/>
            <w:noWrap/>
            <w:vAlign w:val="center"/>
            <w:hideMark/>
          </w:tcPr>
          <w:p w14:paraId="580AB4EF"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0.55</w:t>
            </w:r>
          </w:p>
        </w:tc>
        <w:tc>
          <w:tcPr>
            <w:tcW w:w="583" w:type="pct"/>
            <w:tcBorders>
              <w:top w:val="nil"/>
              <w:left w:val="nil"/>
              <w:bottom w:val="nil"/>
              <w:right w:val="nil"/>
            </w:tcBorders>
            <w:shd w:val="clear" w:color="auto" w:fill="auto"/>
            <w:noWrap/>
            <w:vAlign w:val="center"/>
            <w:hideMark/>
          </w:tcPr>
          <w:p w14:paraId="2DCC1509"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0.00</w:t>
            </w:r>
          </w:p>
        </w:tc>
        <w:tc>
          <w:tcPr>
            <w:tcW w:w="634" w:type="pct"/>
            <w:tcBorders>
              <w:top w:val="nil"/>
              <w:left w:val="nil"/>
              <w:bottom w:val="nil"/>
              <w:right w:val="nil"/>
            </w:tcBorders>
            <w:shd w:val="clear" w:color="auto" w:fill="auto"/>
            <w:noWrap/>
            <w:vAlign w:val="center"/>
            <w:hideMark/>
          </w:tcPr>
          <w:p w14:paraId="094FCD72"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0.00</w:t>
            </w:r>
          </w:p>
        </w:tc>
        <w:tc>
          <w:tcPr>
            <w:tcW w:w="580" w:type="pct"/>
            <w:tcBorders>
              <w:top w:val="nil"/>
              <w:left w:val="nil"/>
              <w:bottom w:val="nil"/>
              <w:right w:val="nil"/>
            </w:tcBorders>
            <w:shd w:val="clear" w:color="auto" w:fill="auto"/>
            <w:noWrap/>
            <w:vAlign w:val="center"/>
            <w:hideMark/>
          </w:tcPr>
          <w:p w14:paraId="5589335A"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19.81</w:t>
            </w:r>
          </w:p>
        </w:tc>
      </w:tr>
      <w:tr w:rsidR="008A50B9" w:rsidRPr="0038701A" w14:paraId="21F14A2A" w14:textId="77777777" w:rsidTr="004600F4">
        <w:trPr>
          <w:trHeight w:val="285"/>
        </w:trPr>
        <w:tc>
          <w:tcPr>
            <w:tcW w:w="1376" w:type="pct"/>
            <w:tcBorders>
              <w:top w:val="nil"/>
              <w:left w:val="nil"/>
              <w:bottom w:val="nil"/>
              <w:right w:val="nil"/>
            </w:tcBorders>
            <w:shd w:val="clear" w:color="auto" w:fill="auto"/>
            <w:noWrap/>
            <w:vAlign w:val="center"/>
            <w:hideMark/>
          </w:tcPr>
          <w:p w14:paraId="5FFE5E19" w14:textId="77777777" w:rsidR="008A50B9" w:rsidRPr="00060311" w:rsidRDefault="008A50B9" w:rsidP="004600F4">
            <w:pPr>
              <w:keepNext/>
              <w:keepLines/>
              <w:rPr>
                <w:rFonts w:ascii="Arial" w:hAnsi="Arial" w:cs="Arial"/>
                <w:bCs/>
                <w:color w:val="000000"/>
                <w:sz w:val="18"/>
                <w:szCs w:val="18"/>
              </w:rPr>
            </w:pPr>
            <w:r w:rsidRPr="00060311">
              <w:rPr>
                <w:rFonts w:ascii="Arial" w:hAnsi="Arial" w:cs="Arial"/>
                <w:bCs/>
                <w:color w:val="000000"/>
                <w:sz w:val="18"/>
                <w:szCs w:val="18"/>
              </w:rPr>
              <w:t>City Developments Ltd</w:t>
            </w:r>
          </w:p>
        </w:tc>
        <w:tc>
          <w:tcPr>
            <w:tcW w:w="129" w:type="pct"/>
            <w:tcBorders>
              <w:top w:val="nil"/>
              <w:left w:val="nil"/>
              <w:bottom w:val="nil"/>
              <w:right w:val="nil"/>
            </w:tcBorders>
            <w:shd w:val="clear" w:color="auto" w:fill="auto"/>
            <w:noWrap/>
            <w:vAlign w:val="bottom"/>
            <w:hideMark/>
          </w:tcPr>
          <w:p w14:paraId="3C6CDDB8" w14:textId="77777777" w:rsidR="008A50B9" w:rsidRPr="00060311" w:rsidRDefault="008A50B9" w:rsidP="005F30D2">
            <w:pPr>
              <w:keepNext/>
              <w:keepLines/>
              <w:jc w:val="right"/>
              <w:rPr>
                <w:rFonts w:ascii="Arial" w:hAnsi="Arial" w:cs="Arial"/>
                <w:b/>
                <w:bCs/>
                <w:sz w:val="18"/>
                <w:szCs w:val="18"/>
                <w:lang w:eastAsia="en-SG"/>
              </w:rPr>
            </w:pPr>
          </w:p>
        </w:tc>
        <w:tc>
          <w:tcPr>
            <w:tcW w:w="583" w:type="pct"/>
            <w:tcBorders>
              <w:top w:val="nil"/>
              <w:left w:val="nil"/>
              <w:bottom w:val="nil"/>
              <w:right w:val="nil"/>
            </w:tcBorders>
            <w:shd w:val="clear" w:color="auto" w:fill="auto"/>
            <w:noWrap/>
            <w:vAlign w:val="center"/>
            <w:hideMark/>
          </w:tcPr>
          <w:p w14:paraId="3782A041"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3.57</w:t>
            </w:r>
          </w:p>
        </w:tc>
        <w:tc>
          <w:tcPr>
            <w:tcW w:w="533" w:type="pct"/>
            <w:tcBorders>
              <w:top w:val="nil"/>
              <w:left w:val="nil"/>
              <w:bottom w:val="nil"/>
              <w:right w:val="nil"/>
            </w:tcBorders>
            <w:shd w:val="clear" w:color="auto" w:fill="auto"/>
            <w:noWrap/>
            <w:vAlign w:val="center"/>
            <w:hideMark/>
          </w:tcPr>
          <w:p w14:paraId="294AB13C"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1.18</w:t>
            </w:r>
          </w:p>
        </w:tc>
        <w:tc>
          <w:tcPr>
            <w:tcW w:w="582" w:type="pct"/>
            <w:tcBorders>
              <w:top w:val="nil"/>
              <w:left w:val="nil"/>
              <w:bottom w:val="nil"/>
              <w:right w:val="nil"/>
            </w:tcBorders>
            <w:shd w:val="clear" w:color="auto" w:fill="auto"/>
            <w:noWrap/>
            <w:vAlign w:val="center"/>
            <w:hideMark/>
          </w:tcPr>
          <w:p w14:paraId="317E198C"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0.12</w:t>
            </w:r>
          </w:p>
        </w:tc>
        <w:tc>
          <w:tcPr>
            <w:tcW w:w="583" w:type="pct"/>
            <w:tcBorders>
              <w:top w:val="nil"/>
              <w:left w:val="nil"/>
              <w:bottom w:val="nil"/>
              <w:right w:val="nil"/>
            </w:tcBorders>
            <w:shd w:val="clear" w:color="auto" w:fill="auto"/>
            <w:noWrap/>
            <w:vAlign w:val="center"/>
            <w:hideMark/>
          </w:tcPr>
          <w:p w14:paraId="4DA6E607"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51.82</w:t>
            </w:r>
          </w:p>
        </w:tc>
        <w:tc>
          <w:tcPr>
            <w:tcW w:w="634" w:type="pct"/>
            <w:tcBorders>
              <w:top w:val="nil"/>
              <w:left w:val="nil"/>
              <w:bottom w:val="nil"/>
              <w:right w:val="nil"/>
            </w:tcBorders>
            <w:shd w:val="clear" w:color="auto" w:fill="auto"/>
            <w:noWrap/>
            <w:vAlign w:val="center"/>
            <w:hideMark/>
          </w:tcPr>
          <w:p w14:paraId="16D3700A"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30.16</w:t>
            </w:r>
          </w:p>
        </w:tc>
        <w:tc>
          <w:tcPr>
            <w:tcW w:w="580" w:type="pct"/>
            <w:tcBorders>
              <w:top w:val="nil"/>
              <w:left w:val="nil"/>
              <w:bottom w:val="nil"/>
              <w:right w:val="nil"/>
            </w:tcBorders>
            <w:shd w:val="clear" w:color="auto" w:fill="auto"/>
            <w:noWrap/>
            <w:vAlign w:val="center"/>
            <w:hideMark/>
          </w:tcPr>
          <w:p w14:paraId="487DECC6"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7.34</w:t>
            </w:r>
          </w:p>
        </w:tc>
      </w:tr>
      <w:tr w:rsidR="008A50B9" w:rsidRPr="0038701A" w14:paraId="77F82226" w14:textId="77777777" w:rsidTr="004600F4">
        <w:trPr>
          <w:trHeight w:val="285"/>
        </w:trPr>
        <w:tc>
          <w:tcPr>
            <w:tcW w:w="1376" w:type="pct"/>
            <w:tcBorders>
              <w:top w:val="nil"/>
              <w:left w:val="nil"/>
              <w:bottom w:val="nil"/>
              <w:right w:val="nil"/>
            </w:tcBorders>
            <w:shd w:val="clear" w:color="auto" w:fill="auto"/>
            <w:noWrap/>
            <w:vAlign w:val="center"/>
            <w:hideMark/>
          </w:tcPr>
          <w:p w14:paraId="53E6AC9F" w14:textId="4F8C4F0F" w:rsidR="008A50B9" w:rsidRPr="00060311" w:rsidRDefault="008A50B9" w:rsidP="004600F4">
            <w:pPr>
              <w:keepNext/>
              <w:keepLines/>
              <w:rPr>
                <w:rFonts w:ascii="Arial" w:hAnsi="Arial" w:cs="Arial"/>
                <w:bCs/>
                <w:color w:val="000000"/>
                <w:sz w:val="18"/>
                <w:szCs w:val="18"/>
              </w:rPr>
            </w:pPr>
            <w:r w:rsidRPr="00060311">
              <w:rPr>
                <w:rFonts w:ascii="Arial" w:hAnsi="Arial" w:cs="Arial"/>
                <w:bCs/>
                <w:color w:val="000000"/>
                <w:sz w:val="18"/>
                <w:szCs w:val="18"/>
              </w:rPr>
              <w:t>Frasers Cent</w:t>
            </w:r>
            <w:r w:rsidR="002F3EBF">
              <w:rPr>
                <w:rFonts w:ascii="Arial" w:hAnsi="Arial" w:cs="Arial"/>
                <w:bCs/>
                <w:color w:val="000000"/>
                <w:sz w:val="18"/>
                <w:szCs w:val="18"/>
              </w:rPr>
              <w:t>re</w:t>
            </w:r>
            <w:r w:rsidRPr="00060311">
              <w:rPr>
                <w:rFonts w:ascii="Arial" w:hAnsi="Arial" w:cs="Arial"/>
                <w:bCs/>
                <w:color w:val="000000"/>
                <w:sz w:val="18"/>
                <w:szCs w:val="18"/>
              </w:rPr>
              <w:t>point Limited</w:t>
            </w:r>
          </w:p>
        </w:tc>
        <w:tc>
          <w:tcPr>
            <w:tcW w:w="129" w:type="pct"/>
            <w:tcBorders>
              <w:top w:val="nil"/>
              <w:left w:val="nil"/>
              <w:bottom w:val="nil"/>
              <w:right w:val="nil"/>
            </w:tcBorders>
            <w:shd w:val="clear" w:color="auto" w:fill="auto"/>
            <w:noWrap/>
            <w:vAlign w:val="bottom"/>
            <w:hideMark/>
          </w:tcPr>
          <w:p w14:paraId="537933CA" w14:textId="77777777" w:rsidR="008A50B9" w:rsidRPr="00060311" w:rsidRDefault="008A50B9" w:rsidP="005F30D2">
            <w:pPr>
              <w:keepNext/>
              <w:keepLines/>
              <w:jc w:val="right"/>
              <w:rPr>
                <w:rFonts w:ascii="Arial" w:hAnsi="Arial" w:cs="Arial"/>
                <w:b/>
                <w:bCs/>
                <w:sz w:val="18"/>
                <w:szCs w:val="18"/>
                <w:lang w:eastAsia="en-SG"/>
              </w:rPr>
            </w:pPr>
          </w:p>
        </w:tc>
        <w:tc>
          <w:tcPr>
            <w:tcW w:w="583" w:type="pct"/>
            <w:tcBorders>
              <w:top w:val="nil"/>
              <w:left w:val="nil"/>
              <w:bottom w:val="nil"/>
              <w:right w:val="nil"/>
            </w:tcBorders>
            <w:shd w:val="clear" w:color="auto" w:fill="auto"/>
            <w:noWrap/>
            <w:vAlign w:val="center"/>
            <w:hideMark/>
          </w:tcPr>
          <w:p w14:paraId="6BC4B907"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2.41</w:t>
            </w:r>
          </w:p>
        </w:tc>
        <w:tc>
          <w:tcPr>
            <w:tcW w:w="533" w:type="pct"/>
            <w:tcBorders>
              <w:top w:val="nil"/>
              <w:left w:val="nil"/>
              <w:bottom w:val="nil"/>
              <w:right w:val="nil"/>
            </w:tcBorders>
            <w:shd w:val="clear" w:color="auto" w:fill="auto"/>
            <w:noWrap/>
            <w:vAlign w:val="center"/>
            <w:hideMark/>
          </w:tcPr>
          <w:p w14:paraId="74FB29EA"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0.29</w:t>
            </w:r>
          </w:p>
        </w:tc>
        <w:tc>
          <w:tcPr>
            <w:tcW w:w="582" w:type="pct"/>
            <w:tcBorders>
              <w:top w:val="nil"/>
              <w:left w:val="nil"/>
              <w:bottom w:val="nil"/>
              <w:right w:val="nil"/>
            </w:tcBorders>
            <w:shd w:val="clear" w:color="auto" w:fill="auto"/>
            <w:noWrap/>
            <w:vAlign w:val="center"/>
            <w:hideMark/>
          </w:tcPr>
          <w:p w14:paraId="6283F742"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0.03</w:t>
            </w:r>
          </w:p>
        </w:tc>
        <w:tc>
          <w:tcPr>
            <w:tcW w:w="583" w:type="pct"/>
            <w:tcBorders>
              <w:top w:val="nil"/>
              <w:left w:val="nil"/>
              <w:bottom w:val="nil"/>
              <w:right w:val="nil"/>
            </w:tcBorders>
            <w:shd w:val="clear" w:color="auto" w:fill="auto"/>
            <w:noWrap/>
            <w:vAlign w:val="center"/>
            <w:hideMark/>
          </w:tcPr>
          <w:p w14:paraId="7BB1858D"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32.94</w:t>
            </w:r>
          </w:p>
        </w:tc>
        <w:tc>
          <w:tcPr>
            <w:tcW w:w="634" w:type="pct"/>
            <w:tcBorders>
              <w:top w:val="nil"/>
              <w:left w:val="nil"/>
              <w:bottom w:val="nil"/>
              <w:right w:val="nil"/>
            </w:tcBorders>
            <w:shd w:val="clear" w:color="auto" w:fill="auto"/>
            <w:noWrap/>
            <w:vAlign w:val="center"/>
            <w:hideMark/>
          </w:tcPr>
          <w:p w14:paraId="645D659C"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17.28</w:t>
            </w:r>
          </w:p>
        </w:tc>
        <w:tc>
          <w:tcPr>
            <w:tcW w:w="580" w:type="pct"/>
            <w:tcBorders>
              <w:top w:val="nil"/>
              <w:left w:val="nil"/>
              <w:bottom w:val="nil"/>
              <w:right w:val="nil"/>
            </w:tcBorders>
            <w:shd w:val="clear" w:color="auto" w:fill="auto"/>
            <w:noWrap/>
            <w:vAlign w:val="center"/>
            <w:hideMark/>
          </w:tcPr>
          <w:p w14:paraId="6E100762"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11.60</w:t>
            </w:r>
          </w:p>
        </w:tc>
      </w:tr>
      <w:tr w:rsidR="008A50B9" w:rsidRPr="0038701A" w14:paraId="224C31AA" w14:textId="77777777" w:rsidTr="004600F4">
        <w:trPr>
          <w:trHeight w:val="285"/>
        </w:trPr>
        <w:tc>
          <w:tcPr>
            <w:tcW w:w="1376" w:type="pct"/>
            <w:tcBorders>
              <w:top w:val="nil"/>
              <w:left w:val="nil"/>
              <w:bottom w:val="nil"/>
              <w:right w:val="nil"/>
            </w:tcBorders>
            <w:shd w:val="clear" w:color="auto" w:fill="auto"/>
            <w:noWrap/>
            <w:vAlign w:val="center"/>
            <w:hideMark/>
          </w:tcPr>
          <w:p w14:paraId="05430D36" w14:textId="77777777" w:rsidR="008A50B9" w:rsidRPr="00060311" w:rsidRDefault="008A50B9" w:rsidP="004600F4">
            <w:pPr>
              <w:keepNext/>
              <w:keepLines/>
              <w:rPr>
                <w:rFonts w:ascii="Arial" w:hAnsi="Arial" w:cs="Arial"/>
                <w:bCs/>
                <w:color w:val="000000"/>
                <w:sz w:val="18"/>
                <w:szCs w:val="18"/>
              </w:rPr>
            </w:pPr>
            <w:r w:rsidRPr="00060311">
              <w:rPr>
                <w:rFonts w:ascii="Arial" w:hAnsi="Arial" w:cs="Arial"/>
                <w:bCs/>
                <w:color w:val="000000"/>
                <w:sz w:val="18"/>
                <w:szCs w:val="18"/>
              </w:rPr>
              <w:t>Global Logistic Properties</w:t>
            </w:r>
          </w:p>
        </w:tc>
        <w:tc>
          <w:tcPr>
            <w:tcW w:w="129" w:type="pct"/>
            <w:tcBorders>
              <w:top w:val="nil"/>
              <w:left w:val="nil"/>
              <w:bottom w:val="nil"/>
              <w:right w:val="nil"/>
            </w:tcBorders>
            <w:shd w:val="clear" w:color="auto" w:fill="auto"/>
            <w:noWrap/>
            <w:vAlign w:val="bottom"/>
            <w:hideMark/>
          </w:tcPr>
          <w:p w14:paraId="785E7867" w14:textId="77777777" w:rsidR="008A50B9" w:rsidRPr="00060311" w:rsidRDefault="008A50B9" w:rsidP="005F30D2">
            <w:pPr>
              <w:keepNext/>
              <w:keepLines/>
              <w:jc w:val="right"/>
              <w:rPr>
                <w:rFonts w:ascii="Arial" w:hAnsi="Arial" w:cs="Arial"/>
                <w:b/>
                <w:bCs/>
                <w:sz w:val="18"/>
                <w:szCs w:val="18"/>
                <w:lang w:eastAsia="en-SG"/>
              </w:rPr>
            </w:pPr>
          </w:p>
        </w:tc>
        <w:tc>
          <w:tcPr>
            <w:tcW w:w="583" w:type="pct"/>
            <w:tcBorders>
              <w:top w:val="nil"/>
              <w:left w:val="nil"/>
              <w:bottom w:val="nil"/>
              <w:right w:val="nil"/>
            </w:tcBorders>
            <w:shd w:val="clear" w:color="auto" w:fill="auto"/>
            <w:noWrap/>
            <w:vAlign w:val="center"/>
            <w:hideMark/>
          </w:tcPr>
          <w:p w14:paraId="5B3DF290"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3.43</w:t>
            </w:r>
          </w:p>
        </w:tc>
        <w:tc>
          <w:tcPr>
            <w:tcW w:w="533" w:type="pct"/>
            <w:tcBorders>
              <w:top w:val="nil"/>
              <w:left w:val="nil"/>
              <w:bottom w:val="nil"/>
              <w:right w:val="nil"/>
            </w:tcBorders>
            <w:shd w:val="clear" w:color="auto" w:fill="auto"/>
            <w:noWrap/>
            <w:vAlign w:val="center"/>
            <w:hideMark/>
          </w:tcPr>
          <w:p w14:paraId="728F74EC"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2.94</w:t>
            </w:r>
          </w:p>
        </w:tc>
        <w:tc>
          <w:tcPr>
            <w:tcW w:w="582" w:type="pct"/>
            <w:tcBorders>
              <w:top w:val="nil"/>
              <w:left w:val="nil"/>
              <w:bottom w:val="nil"/>
              <w:right w:val="nil"/>
            </w:tcBorders>
            <w:shd w:val="clear" w:color="auto" w:fill="auto"/>
            <w:noWrap/>
            <w:vAlign w:val="center"/>
            <w:hideMark/>
          </w:tcPr>
          <w:p w14:paraId="0485702F"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0.18</w:t>
            </w:r>
          </w:p>
        </w:tc>
        <w:tc>
          <w:tcPr>
            <w:tcW w:w="583" w:type="pct"/>
            <w:tcBorders>
              <w:top w:val="nil"/>
              <w:left w:val="nil"/>
              <w:bottom w:val="nil"/>
              <w:right w:val="nil"/>
            </w:tcBorders>
            <w:shd w:val="clear" w:color="auto" w:fill="auto"/>
            <w:noWrap/>
            <w:vAlign w:val="center"/>
            <w:hideMark/>
          </w:tcPr>
          <w:p w14:paraId="0E2D64AA"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31.86</w:t>
            </w:r>
          </w:p>
        </w:tc>
        <w:tc>
          <w:tcPr>
            <w:tcW w:w="634" w:type="pct"/>
            <w:tcBorders>
              <w:top w:val="nil"/>
              <w:left w:val="nil"/>
              <w:bottom w:val="nil"/>
              <w:right w:val="nil"/>
            </w:tcBorders>
            <w:shd w:val="clear" w:color="auto" w:fill="auto"/>
            <w:noWrap/>
            <w:vAlign w:val="center"/>
            <w:hideMark/>
          </w:tcPr>
          <w:p w14:paraId="7E7B79F6"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21.76</w:t>
            </w:r>
          </w:p>
        </w:tc>
        <w:tc>
          <w:tcPr>
            <w:tcW w:w="580" w:type="pct"/>
            <w:tcBorders>
              <w:top w:val="nil"/>
              <w:left w:val="nil"/>
              <w:bottom w:val="nil"/>
              <w:right w:val="nil"/>
            </w:tcBorders>
            <w:shd w:val="clear" w:color="auto" w:fill="auto"/>
            <w:noWrap/>
            <w:vAlign w:val="center"/>
            <w:hideMark/>
          </w:tcPr>
          <w:p w14:paraId="6202D903"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15.02</w:t>
            </w:r>
          </w:p>
        </w:tc>
      </w:tr>
      <w:tr w:rsidR="008A50B9" w:rsidRPr="0038701A" w14:paraId="7177F1B8" w14:textId="77777777" w:rsidTr="004600F4">
        <w:trPr>
          <w:trHeight w:val="285"/>
        </w:trPr>
        <w:tc>
          <w:tcPr>
            <w:tcW w:w="1376" w:type="pct"/>
            <w:tcBorders>
              <w:top w:val="nil"/>
              <w:left w:val="nil"/>
              <w:bottom w:val="nil"/>
              <w:right w:val="nil"/>
            </w:tcBorders>
            <w:shd w:val="clear" w:color="auto" w:fill="auto"/>
            <w:noWrap/>
            <w:vAlign w:val="center"/>
            <w:hideMark/>
          </w:tcPr>
          <w:p w14:paraId="601A1DF9" w14:textId="77777777" w:rsidR="008A50B9" w:rsidRPr="00060311" w:rsidRDefault="008A50B9" w:rsidP="004600F4">
            <w:pPr>
              <w:keepNext/>
              <w:keepLines/>
              <w:rPr>
                <w:rFonts w:ascii="Arial" w:hAnsi="Arial" w:cs="Arial"/>
                <w:bCs/>
                <w:color w:val="000000"/>
                <w:sz w:val="18"/>
                <w:szCs w:val="18"/>
              </w:rPr>
            </w:pPr>
            <w:r w:rsidRPr="00060311">
              <w:rPr>
                <w:rFonts w:ascii="Arial" w:hAnsi="Arial" w:cs="Arial"/>
                <w:bCs/>
                <w:color w:val="000000"/>
                <w:sz w:val="18"/>
                <w:szCs w:val="18"/>
              </w:rPr>
              <w:t>Hongkong Land Holdings Ltd</w:t>
            </w:r>
          </w:p>
        </w:tc>
        <w:tc>
          <w:tcPr>
            <w:tcW w:w="129" w:type="pct"/>
            <w:tcBorders>
              <w:top w:val="nil"/>
              <w:left w:val="nil"/>
              <w:bottom w:val="nil"/>
              <w:right w:val="nil"/>
            </w:tcBorders>
            <w:shd w:val="clear" w:color="auto" w:fill="auto"/>
            <w:noWrap/>
            <w:vAlign w:val="bottom"/>
            <w:hideMark/>
          </w:tcPr>
          <w:p w14:paraId="64FCC3C7" w14:textId="77777777" w:rsidR="008A50B9" w:rsidRPr="00060311" w:rsidRDefault="008A50B9" w:rsidP="005F30D2">
            <w:pPr>
              <w:keepNext/>
              <w:keepLines/>
              <w:jc w:val="right"/>
              <w:rPr>
                <w:rFonts w:ascii="Arial" w:hAnsi="Arial" w:cs="Arial"/>
                <w:b/>
                <w:bCs/>
                <w:sz w:val="18"/>
                <w:szCs w:val="18"/>
                <w:lang w:eastAsia="en-SG"/>
              </w:rPr>
            </w:pPr>
          </w:p>
        </w:tc>
        <w:tc>
          <w:tcPr>
            <w:tcW w:w="583" w:type="pct"/>
            <w:tcBorders>
              <w:top w:val="nil"/>
              <w:left w:val="nil"/>
              <w:bottom w:val="nil"/>
              <w:right w:val="nil"/>
            </w:tcBorders>
            <w:shd w:val="clear" w:color="auto" w:fill="auto"/>
            <w:noWrap/>
            <w:vAlign w:val="center"/>
            <w:hideMark/>
          </w:tcPr>
          <w:p w14:paraId="4FEF9FD4"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1.99</w:t>
            </w:r>
          </w:p>
        </w:tc>
        <w:tc>
          <w:tcPr>
            <w:tcW w:w="533" w:type="pct"/>
            <w:tcBorders>
              <w:top w:val="nil"/>
              <w:left w:val="nil"/>
              <w:bottom w:val="nil"/>
              <w:right w:val="nil"/>
            </w:tcBorders>
            <w:shd w:val="clear" w:color="auto" w:fill="auto"/>
            <w:noWrap/>
            <w:vAlign w:val="center"/>
            <w:hideMark/>
          </w:tcPr>
          <w:p w14:paraId="36D36F7E"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0.67</w:t>
            </w:r>
          </w:p>
        </w:tc>
        <w:tc>
          <w:tcPr>
            <w:tcW w:w="582" w:type="pct"/>
            <w:tcBorders>
              <w:top w:val="nil"/>
              <w:left w:val="nil"/>
              <w:bottom w:val="nil"/>
              <w:right w:val="nil"/>
            </w:tcBorders>
            <w:shd w:val="clear" w:color="auto" w:fill="auto"/>
            <w:noWrap/>
            <w:vAlign w:val="center"/>
            <w:hideMark/>
          </w:tcPr>
          <w:p w14:paraId="686908B1"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0.22</w:t>
            </w:r>
          </w:p>
        </w:tc>
        <w:tc>
          <w:tcPr>
            <w:tcW w:w="583" w:type="pct"/>
            <w:tcBorders>
              <w:top w:val="nil"/>
              <w:left w:val="nil"/>
              <w:bottom w:val="nil"/>
              <w:right w:val="nil"/>
            </w:tcBorders>
            <w:shd w:val="clear" w:color="auto" w:fill="auto"/>
            <w:noWrap/>
            <w:vAlign w:val="center"/>
            <w:hideMark/>
          </w:tcPr>
          <w:p w14:paraId="207F58ED"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16.47</w:t>
            </w:r>
          </w:p>
        </w:tc>
        <w:tc>
          <w:tcPr>
            <w:tcW w:w="634" w:type="pct"/>
            <w:tcBorders>
              <w:top w:val="nil"/>
              <w:left w:val="nil"/>
              <w:bottom w:val="nil"/>
              <w:right w:val="nil"/>
            </w:tcBorders>
            <w:shd w:val="clear" w:color="auto" w:fill="auto"/>
            <w:noWrap/>
            <w:vAlign w:val="center"/>
            <w:hideMark/>
          </w:tcPr>
          <w:p w14:paraId="508341C8"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13.43</w:t>
            </w:r>
          </w:p>
        </w:tc>
        <w:tc>
          <w:tcPr>
            <w:tcW w:w="580" w:type="pct"/>
            <w:tcBorders>
              <w:top w:val="nil"/>
              <w:left w:val="nil"/>
              <w:bottom w:val="nil"/>
              <w:right w:val="nil"/>
            </w:tcBorders>
            <w:shd w:val="clear" w:color="auto" w:fill="auto"/>
            <w:noWrap/>
            <w:vAlign w:val="center"/>
            <w:hideMark/>
          </w:tcPr>
          <w:p w14:paraId="567F6CA6"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11.58</w:t>
            </w:r>
          </w:p>
        </w:tc>
      </w:tr>
      <w:tr w:rsidR="008A50B9" w:rsidRPr="0038701A" w14:paraId="54628F6E" w14:textId="77777777" w:rsidTr="004600F4">
        <w:trPr>
          <w:trHeight w:val="285"/>
        </w:trPr>
        <w:tc>
          <w:tcPr>
            <w:tcW w:w="1376" w:type="pct"/>
            <w:tcBorders>
              <w:top w:val="nil"/>
              <w:left w:val="nil"/>
              <w:bottom w:val="nil"/>
              <w:right w:val="nil"/>
            </w:tcBorders>
            <w:shd w:val="clear" w:color="auto" w:fill="auto"/>
            <w:noWrap/>
            <w:vAlign w:val="center"/>
            <w:hideMark/>
          </w:tcPr>
          <w:p w14:paraId="218122BF" w14:textId="77777777" w:rsidR="008A50B9" w:rsidRPr="00060311" w:rsidRDefault="008A50B9" w:rsidP="004600F4">
            <w:pPr>
              <w:keepNext/>
              <w:keepLines/>
              <w:rPr>
                <w:rFonts w:ascii="Arial" w:hAnsi="Arial" w:cs="Arial"/>
                <w:bCs/>
                <w:color w:val="000000"/>
                <w:sz w:val="18"/>
                <w:szCs w:val="18"/>
              </w:rPr>
            </w:pPr>
            <w:r w:rsidRPr="00060311">
              <w:rPr>
                <w:rFonts w:ascii="Arial" w:hAnsi="Arial" w:cs="Arial"/>
                <w:bCs/>
                <w:color w:val="000000"/>
                <w:sz w:val="18"/>
                <w:szCs w:val="18"/>
              </w:rPr>
              <w:t>Pollux Properties Ltd</w:t>
            </w:r>
          </w:p>
        </w:tc>
        <w:tc>
          <w:tcPr>
            <w:tcW w:w="129" w:type="pct"/>
            <w:tcBorders>
              <w:top w:val="nil"/>
              <w:left w:val="nil"/>
              <w:bottom w:val="nil"/>
              <w:right w:val="nil"/>
            </w:tcBorders>
            <w:shd w:val="clear" w:color="auto" w:fill="auto"/>
            <w:noWrap/>
            <w:vAlign w:val="bottom"/>
            <w:hideMark/>
          </w:tcPr>
          <w:p w14:paraId="721EB973" w14:textId="77777777" w:rsidR="008A50B9" w:rsidRPr="00060311" w:rsidRDefault="008A50B9" w:rsidP="005F30D2">
            <w:pPr>
              <w:keepNext/>
              <w:keepLines/>
              <w:jc w:val="right"/>
              <w:rPr>
                <w:rFonts w:ascii="Arial" w:hAnsi="Arial" w:cs="Arial"/>
                <w:b/>
                <w:bCs/>
                <w:sz w:val="18"/>
                <w:szCs w:val="18"/>
                <w:lang w:eastAsia="en-SG"/>
              </w:rPr>
            </w:pPr>
          </w:p>
        </w:tc>
        <w:tc>
          <w:tcPr>
            <w:tcW w:w="583" w:type="pct"/>
            <w:tcBorders>
              <w:top w:val="nil"/>
              <w:left w:val="nil"/>
              <w:bottom w:val="nil"/>
              <w:right w:val="nil"/>
            </w:tcBorders>
            <w:shd w:val="clear" w:color="auto" w:fill="auto"/>
            <w:noWrap/>
            <w:vAlign w:val="center"/>
            <w:hideMark/>
          </w:tcPr>
          <w:p w14:paraId="1FBD563C"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4.81</w:t>
            </w:r>
          </w:p>
        </w:tc>
        <w:tc>
          <w:tcPr>
            <w:tcW w:w="533" w:type="pct"/>
            <w:tcBorders>
              <w:top w:val="nil"/>
              <w:left w:val="nil"/>
              <w:bottom w:val="nil"/>
              <w:right w:val="nil"/>
            </w:tcBorders>
            <w:shd w:val="clear" w:color="auto" w:fill="auto"/>
            <w:noWrap/>
            <w:vAlign w:val="center"/>
            <w:hideMark/>
          </w:tcPr>
          <w:p w14:paraId="3DA1ED2D"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0.41</w:t>
            </w:r>
          </w:p>
        </w:tc>
        <w:tc>
          <w:tcPr>
            <w:tcW w:w="582" w:type="pct"/>
            <w:tcBorders>
              <w:top w:val="nil"/>
              <w:left w:val="nil"/>
              <w:bottom w:val="nil"/>
              <w:right w:val="nil"/>
            </w:tcBorders>
            <w:shd w:val="clear" w:color="auto" w:fill="auto"/>
            <w:noWrap/>
            <w:vAlign w:val="center"/>
            <w:hideMark/>
          </w:tcPr>
          <w:p w14:paraId="0814A5BA"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0.06</w:t>
            </w:r>
          </w:p>
        </w:tc>
        <w:tc>
          <w:tcPr>
            <w:tcW w:w="583" w:type="pct"/>
            <w:tcBorders>
              <w:top w:val="nil"/>
              <w:left w:val="nil"/>
              <w:bottom w:val="nil"/>
              <w:right w:val="nil"/>
            </w:tcBorders>
            <w:shd w:val="clear" w:color="auto" w:fill="auto"/>
            <w:noWrap/>
            <w:vAlign w:val="center"/>
            <w:hideMark/>
          </w:tcPr>
          <w:p w14:paraId="1B2683E6"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151.03</w:t>
            </w:r>
          </w:p>
        </w:tc>
        <w:tc>
          <w:tcPr>
            <w:tcW w:w="634" w:type="pct"/>
            <w:tcBorders>
              <w:top w:val="nil"/>
              <w:left w:val="nil"/>
              <w:bottom w:val="nil"/>
              <w:right w:val="nil"/>
            </w:tcBorders>
            <w:shd w:val="clear" w:color="auto" w:fill="auto"/>
            <w:noWrap/>
            <w:vAlign w:val="center"/>
            <w:hideMark/>
          </w:tcPr>
          <w:p w14:paraId="2F9ED24B"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57.89</w:t>
            </w:r>
          </w:p>
        </w:tc>
        <w:tc>
          <w:tcPr>
            <w:tcW w:w="580" w:type="pct"/>
            <w:tcBorders>
              <w:top w:val="nil"/>
              <w:left w:val="nil"/>
              <w:bottom w:val="nil"/>
              <w:right w:val="nil"/>
            </w:tcBorders>
            <w:shd w:val="clear" w:color="auto" w:fill="auto"/>
            <w:noWrap/>
            <w:vAlign w:val="center"/>
            <w:hideMark/>
          </w:tcPr>
          <w:p w14:paraId="7AF64283"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67.45</w:t>
            </w:r>
          </w:p>
        </w:tc>
      </w:tr>
      <w:tr w:rsidR="008A50B9" w:rsidRPr="0038701A" w14:paraId="3FCFCFD2" w14:textId="77777777" w:rsidTr="004600F4">
        <w:trPr>
          <w:trHeight w:val="285"/>
        </w:trPr>
        <w:tc>
          <w:tcPr>
            <w:tcW w:w="1376" w:type="pct"/>
            <w:tcBorders>
              <w:top w:val="nil"/>
              <w:left w:val="nil"/>
              <w:bottom w:val="nil"/>
              <w:right w:val="nil"/>
            </w:tcBorders>
            <w:shd w:val="clear" w:color="auto" w:fill="auto"/>
            <w:noWrap/>
            <w:vAlign w:val="center"/>
            <w:hideMark/>
          </w:tcPr>
          <w:p w14:paraId="642541E8" w14:textId="77777777" w:rsidR="008A50B9" w:rsidRPr="00060311" w:rsidRDefault="008A50B9" w:rsidP="004600F4">
            <w:pPr>
              <w:keepNext/>
              <w:keepLines/>
              <w:rPr>
                <w:rFonts w:ascii="Arial" w:hAnsi="Arial" w:cs="Arial"/>
                <w:bCs/>
                <w:color w:val="000000"/>
                <w:sz w:val="18"/>
                <w:szCs w:val="18"/>
              </w:rPr>
            </w:pPr>
            <w:r w:rsidRPr="00060311">
              <w:rPr>
                <w:rFonts w:ascii="Arial" w:hAnsi="Arial" w:cs="Arial"/>
                <w:bCs/>
                <w:color w:val="000000"/>
                <w:sz w:val="18"/>
                <w:szCs w:val="18"/>
              </w:rPr>
              <w:t>Sinarmas Land Ltd</w:t>
            </w:r>
          </w:p>
        </w:tc>
        <w:tc>
          <w:tcPr>
            <w:tcW w:w="129" w:type="pct"/>
            <w:tcBorders>
              <w:top w:val="nil"/>
              <w:left w:val="nil"/>
              <w:bottom w:val="nil"/>
              <w:right w:val="nil"/>
            </w:tcBorders>
            <w:shd w:val="clear" w:color="auto" w:fill="auto"/>
            <w:noWrap/>
            <w:vAlign w:val="bottom"/>
            <w:hideMark/>
          </w:tcPr>
          <w:p w14:paraId="045E3E0C" w14:textId="77777777" w:rsidR="008A50B9" w:rsidRPr="00060311" w:rsidRDefault="008A50B9" w:rsidP="005F30D2">
            <w:pPr>
              <w:keepNext/>
              <w:keepLines/>
              <w:jc w:val="right"/>
              <w:rPr>
                <w:rFonts w:ascii="Arial" w:hAnsi="Arial" w:cs="Arial"/>
                <w:b/>
                <w:bCs/>
                <w:sz w:val="18"/>
                <w:szCs w:val="18"/>
                <w:lang w:eastAsia="en-SG"/>
              </w:rPr>
            </w:pPr>
          </w:p>
        </w:tc>
        <w:tc>
          <w:tcPr>
            <w:tcW w:w="583" w:type="pct"/>
            <w:tcBorders>
              <w:top w:val="nil"/>
              <w:left w:val="nil"/>
              <w:bottom w:val="nil"/>
              <w:right w:val="nil"/>
            </w:tcBorders>
            <w:shd w:val="clear" w:color="auto" w:fill="auto"/>
            <w:noWrap/>
            <w:vAlign w:val="center"/>
            <w:hideMark/>
          </w:tcPr>
          <w:p w14:paraId="2E7F00E4"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2.43</w:t>
            </w:r>
          </w:p>
        </w:tc>
        <w:tc>
          <w:tcPr>
            <w:tcW w:w="533" w:type="pct"/>
            <w:tcBorders>
              <w:top w:val="nil"/>
              <w:left w:val="nil"/>
              <w:bottom w:val="nil"/>
              <w:right w:val="nil"/>
            </w:tcBorders>
            <w:shd w:val="clear" w:color="auto" w:fill="auto"/>
            <w:noWrap/>
            <w:vAlign w:val="center"/>
            <w:hideMark/>
          </w:tcPr>
          <w:p w14:paraId="5951FCF3"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0.19</w:t>
            </w:r>
          </w:p>
        </w:tc>
        <w:tc>
          <w:tcPr>
            <w:tcW w:w="582" w:type="pct"/>
            <w:tcBorders>
              <w:top w:val="nil"/>
              <w:left w:val="nil"/>
              <w:bottom w:val="nil"/>
              <w:right w:val="nil"/>
            </w:tcBorders>
            <w:shd w:val="clear" w:color="auto" w:fill="auto"/>
            <w:noWrap/>
            <w:vAlign w:val="center"/>
            <w:hideMark/>
          </w:tcPr>
          <w:p w14:paraId="3961D31D"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0.09</w:t>
            </w:r>
          </w:p>
        </w:tc>
        <w:tc>
          <w:tcPr>
            <w:tcW w:w="583" w:type="pct"/>
            <w:tcBorders>
              <w:top w:val="nil"/>
              <w:left w:val="nil"/>
              <w:bottom w:val="nil"/>
              <w:right w:val="nil"/>
            </w:tcBorders>
            <w:shd w:val="clear" w:color="auto" w:fill="auto"/>
            <w:noWrap/>
            <w:vAlign w:val="center"/>
            <w:hideMark/>
          </w:tcPr>
          <w:p w14:paraId="78ECDB65"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24.54</w:t>
            </w:r>
          </w:p>
        </w:tc>
        <w:tc>
          <w:tcPr>
            <w:tcW w:w="634" w:type="pct"/>
            <w:tcBorders>
              <w:top w:val="nil"/>
              <w:left w:val="nil"/>
              <w:bottom w:val="nil"/>
              <w:right w:val="nil"/>
            </w:tcBorders>
            <w:shd w:val="clear" w:color="auto" w:fill="auto"/>
            <w:noWrap/>
            <w:vAlign w:val="center"/>
            <w:hideMark/>
          </w:tcPr>
          <w:p w14:paraId="31A9A60E"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15.97</w:t>
            </w:r>
          </w:p>
        </w:tc>
        <w:tc>
          <w:tcPr>
            <w:tcW w:w="580" w:type="pct"/>
            <w:tcBorders>
              <w:top w:val="nil"/>
              <w:left w:val="nil"/>
              <w:bottom w:val="nil"/>
              <w:right w:val="nil"/>
            </w:tcBorders>
            <w:shd w:val="clear" w:color="auto" w:fill="auto"/>
            <w:noWrap/>
            <w:vAlign w:val="center"/>
            <w:hideMark/>
          </w:tcPr>
          <w:p w14:paraId="5454445F"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11.36</w:t>
            </w:r>
          </w:p>
        </w:tc>
      </w:tr>
      <w:tr w:rsidR="008A50B9" w:rsidRPr="0038701A" w14:paraId="6FC4E153" w14:textId="77777777" w:rsidTr="004600F4">
        <w:trPr>
          <w:trHeight w:val="285"/>
        </w:trPr>
        <w:tc>
          <w:tcPr>
            <w:tcW w:w="1376" w:type="pct"/>
            <w:tcBorders>
              <w:top w:val="nil"/>
              <w:left w:val="nil"/>
              <w:bottom w:val="nil"/>
              <w:right w:val="nil"/>
            </w:tcBorders>
            <w:shd w:val="clear" w:color="auto" w:fill="auto"/>
            <w:noWrap/>
            <w:vAlign w:val="center"/>
            <w:hideMark/>
          </w:tcPr>
          <w:p w14:paraId="226486EE" w14:textId="77777777" w:rsidR="008A50B9" w:rsidRPr="00060311" w:rsidRDefault="008A50B9" w:rsidP="004600F4">
            <w:pPr>
              <w:keepNext/>
              <w:keepLines/>
              <w:rPr>
                <w:rFonts w:ascii="Arial" w:hAnsi="Arial" w:cs="Arial"/>
                <w:bCs/>
                <w:color w:val="000000"/>
                <w:sz w:val="18"/>
                <w:szCs w:val="18"/>
              </w:rPr>
            </w:pPr>
            <w:r w:rsidRPr="00060311">
              <w:rPr>
                <w:rFonts w:ascii="Arial" w:hAnsi="Arial" w:cs="Arial"/>
                <w:bCs/>
                <w:color w:val="000000"/>
                <w:sz w:val="18"/>
                <w:szCs w:val="18"/>
              </w:rPr>
              <w:t>Tuan Sing Holdings Ltd</w:t>
            </w:r>
          </w:p>
        </w:tc>
        <w:tc>
          <w:tcPr>
            <w:tcW w:w="129" w:type="pct"/>
            <w:tcBorders>
              <w:top w:val="nil"/>
              <w:left w:val="nil"/>
              <w:bottom w:val="nil"/>
              <w:right w:val="nil"/>
            </w:tcBorders>
            <w:shd w:val="clear" w:color="auto" w:fill="auto"/>
            <w:noWrap/>
            <w:vAlign w:val="bottom"/>
            <w:hideMark/>
          </w:tcPr>
          <w:p w14:paraId="0599118F" w14:textId="77777777" w:rsidR="008A50B9" w:rsidRPr="00060311" w:rsidRDefault="008A50B9" w:rsidP="005F30D2">
            <w:pPr>
              <w:keepNext/>
              <w:keepLines/>
              <w:jc w:val="right"/>
              <w:rPr>
                <w:rFonts w:ascii="Arial" w:hAnsi="Arial" w:cs="Arial"/>
                <w:b/>
                <w:bCs/>
                <w:sz w:val="18"/>
                <w:szCs w:val="18"/>
                <w:lang w:eastAsia="en-SG"/>
              </w:rPr>
            </w:pPr>
          </w:p>
        </w:tc>
        <w:tc>
          <w:tcPr>
            <w:tcW w:w="583" w:type="pct"/>
            <w:tcBorders>
              <w:top w:val="nil"/>
              <w:left w:val="nil"/>
              <w:bottom w:val="nil"/>
              <w:right w:val="nil"/>
            </w:tcBorders>
            <w:shd w:val="clear" w:color="auto" w:fill="auto"/>
            <w:noWrap/>
            <w:vAlign w:val="center"/>
            <w:hideMark/>
          </w:tcPr>
          <w:p w14:paraId="5C435E29"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3.21</w:t>
            </w:r>
          </w:p>
        </w:tc>
        <w:tc>
          <w:tcPr>
            <w:tcW w:w="533" w:type="pct"/>
            <w:tcBorders>
              <w:top w:val="nil"/>
              <w:left w:val="nil"/>
              <w:bottom w:val="nil"/>
              <w:right w:val="nil"/>
            </w:tcBorders>
            <w:shd w:val="clear" w:color="auto" w:fill="auto"/>
            <w:noWrap/>
            <w:vAlign w:val="center"/>
            <w:hideMark/>
          </w:tcPr>
          <w:p w14:paraId="1F80221D"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1.36</w:t>
            </w:r>
          </w:p>
        </w:tc>
        <w:tc>
          <w:tcPr>
            <w:tcW w:w="582" w:type="pct"/>
            <w:tcBorders>
              <w:top w:val="nil"/>
              <w:left w:val="nil"/>
              <w:bottom w:val="nil"/>
              <w:right w:val="nil"/>
            </w:tcBorders>
            <w:shd w:val="clear" w:color="auto" w:fill="auto"/>
            <w:noWrap/>
            <w:vAlign w:val="center"/>
            <w:hideMark/>
          </w:tcPr>
          <w:p w14:paraId="11A97680"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0.04</w:t>
            </w:r>
          </w:p>
        </w:tc>
        <w:tc>
          <w:tcPr>
            <w:tcW w:w="583" w:type="pct"/>
            <w:tcBorders>
              <w:top w:val="nil"/>
              <w:left w:val="nil"/>
              <w:bottom w:val="nil"/>
              <w:right w:val="nil"/>
            </w:tcBorders>
            <w:shd w:val="clear" w:color="auto" w:fill="auto"/>
            <w:noWrap/>
            <w:vAlign w:val="center"/>
            <w:hideMark/>
          </w:tcPr>
          <w:p w14:paraId="2D33B650"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120.87</w:t>
            </w:r>
          </w:p>
        </w:tc>
        <w:tc>
          <w:tcPr>
            <w:tcW w:w="634" w:type="pct"/>
            <w:tcBorders>
              <w:top w:val="nil"/>
              <w:left w:val="nil"/>
              <w:bottom w:val="nil"/>
              <w:right w:val="nil"/>
            </w:tcBorders>
            <w:shd w:val="clear" w:color="auto" w:fill="auto"/>
            <w:noWrap/>
            <w:vAlign w:val="center"/>
            <w:hideMark/>
          </w:tcPr>
          <w:p w14:paraId="33E5DC2D"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51.46</w:t>
            </w:r>
          </w:p>
        </w:tc>
        <w:tc>
          <w:tcPr>
            <w:tcW w:w="580" w:type="pct"/>
            <w:tcBorders>
              <w:top w:val="nil"/>
              <w:left w:val="nil"/>
              <w:bottom w:val="nil"/>
              <w:right w:val="nil"/>
            </w:tcBorders>
            <w:shd w:val="clear" w:color="auto" w:fill="auto"/>
            <w:noWrap/>
            <w:vAlign w:val="center"/>
            <w:hideMark/>
          </w:tcPr>
          <w:p w14:paraId="143C7E45"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15.48</w:t>
            </w:r>
          </w:p>
        </w:tc>
      </w:tr>
      <w:tr w:rsidR="008A50B9" w:rsidRPr="0038701A" w14:paraId="5FCAB50A" w14:textId="77777777" w:rsidTr="004600F4">
        <w:trPr>
          <w:trHeight w:val="285"/>
        </w:trPr>
        <w:tc>
          <w:tcPr>
            <w:tcW w:w="1376" w:type="pct"/>
            <w:tcBorders>
              <w:top w:val="nil"/>
              <w:left w:val="nil"/>
              <w:bottom w:val="nil"/>
              <w:right w:val="nil"/>
            </w:tcBorders>
            <w:shd w:val="clear" w:color="auto" w:fill="auto"/>
            <w:noWrap/>
            <w:vAlign w:val="center"/>
            <w:hideMark/>
          </w:tcPr>
          <w:p w14:paraId="6F051932" w14:textId="4E2C402F" w:rsidR="008A50B9" w:rsidRPr="00060311" w:rsidRDefault="00513DA4" w:rsidP="004600F4">
            <w:pPr>
              <w:keepNext/>
              <w:keepLines/>
              <w:rPr>
                <w:rFonts w:ascii="Arial" w:hAnsi="Arial" w:cs="Arial"/>
                <w:bCs/>
                <w:color w:val="000000"/>
                <w:sz w:val="18"/>
                <w:szCs w:val="18"/>
              </w:rPr>
            </w:pPr>
            <w:r w:rsidRPr="00060311">
              <w:rPr>
                <w:rFonts w:ascii="Arial" w:hAnsi="Arial" w:cs="Arial"/>
                <w:bCs/>
                <w:color w:val="000000"/>
                <w:sz w:val="18"/>
                <w:szCs w:val="18"/>
              </w:rPr>
              <w:t>U</w:t>
            </w:r>
            <w:r>
              <w:rPr>
                <w:rFonts w:ascii="Arial" w:hAnsi="Arial" w:cs="Arial"/>
                <w:bCs/>
                <w:color w:val="000000"/>
                <w:sz w:val="18"/>
                <w:szCs w:val="18"/>
              </w:rPr>
              <w:t>IC</w:t>
            </w:r>
            <w:r w:rsidR="008A50B9" w:rsidRPr="00060311">
              <w:rPr>
                <w:rFonts w:ascii="Arial" w:hAnsi="Arial" w:cs="Arial"/>
                <w:bCs/>
                <w:color w:val="000000"/>
                <w:sz w:val="18"/>
                <w:szCs w:val="18"/>
              </w:rPr>
              <w:t>-United Indust Corp Ltd</w:t>
            </w:r>
          </w:p>
        </w:tc>
        <w:tc>
          <w:tcPr>
            <w:tcW w:w="129" w:type="pct"/>
            <w:tcBorders>
              <w:top w:val="nil"/>
              <w:left w:val="nil"/>
              <w:bottom w:val="nil"/>
              <w:right w:val="nil"/>
            </w:tcBorders>
            <w:shd w:val="clear" w:color="auto" w:fill="auto"/>
            <w:noWrap/>
            <w:vAlign w:val="bottom"/>
            <w:hideMark/>
          </w:tcPr>
          <w:p w14:paraId="31A490AC" w14:textId="77777777" w:rsidR="008A50B9" w:rsidRPr="00060311" w:rsidRDefault="008A50B9" w:rsidP="005F30D2">
            <w:pPr>
              <w:keepNext/>
              <w:keepLines/>
              <w:jc w:val="right"/>
              <w:rPr>
                <w:rFonts w:ascii="Arial" w:hAnsi="Arial" w:cs="Arial"/>
                <w:b/>
                <w:bCs/>
                <w:sz w:val="18"/>
                <w:szCs w:val="18"/>
                <w:lang w:eastAsia="en-SG"/>
              </w:rPr>
            </w:pPr>
          </w:p>
        </w:tc>
        <w:tc>
          <w:tcPr>
            <w:tcW w:w="583" w:type="pct"/>
            <w:tcBorders>
              <w:top w:val="nil"/>
              <w:left w:val="nil"/>
              <w:bottom w:val="nil"/>
              <w:right w:val="nil"/>
            </w:tcBorders>
            <w:shd w:val="clear" w:color="auto" w:fill="auto"/>
            <w:noWrap/>
            <w:vAlign w:val="center"/>
            <w:hideMark/>
          </w:tcPr>
          <w:p w14:paraId="114ED38E"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1.52</w:t>
            </w:r>
          </w:p>
        </w:tc>
        <w:tc>
          <w:tcPr>
            <w:tcW w:w="533" w:type="pct"/>
            <w:tcBorders>
              <w:top w:val="nil"/>
              <w:left w:val="nil"/>
              <w:bottom w:val="nil"/>
              <w:right w:val="nil"/>
            </w:tcBorders>
            <w:shd w:val="clear" w:color="auto" w:fill="auto"/>
            <w:noWrap/>
            <w:vAlign w:val="center"/>
            <w:hideMark/>
          </w:tcPr>
          <w:p w14:paraId="1816A37D"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0.21</w:t>
            </w:r>
          </w:p>
        </w:tc>
        <w:tc>
          <w:tcPr>
            <w:tcW w:w="582" w:type="pct"/>
            <w:tcBorders>
              <w:top w:val="nil"/>
              <w:left w:val="nil"/>
              <w:bottom w:val="nil"/>
              <w:right w:val="nil"/>
            </w:tcBorders>
            <w:shd w:val="clear" w:color="auto" w:fill="auto"/>
            <w:noWrap/>
            <w:vAlign w:val="center"/>
            <w:hideMark/>
          </w:tcPr>
          <w:p w14:paraId="378AAF07"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0.24</w:t>
            </w:r>
          </w:p>
        </w:tc>
        <w:tc>
          <w:tcPr>
            <w:tcW w:w="583" w:type="pct"/>
            <w:tcBorders>
              <w:top w:val="nil"/>
              <w:left w:val="nil"/>
              <w:bottom w:val="nil"/>
              <w:right w:val="nil"/>
            </w:tcBorders>
            <w:shd w:val="clear" w:color="auto" w:fill="auto"/>
            <w:noWrap/>
            <w:vAlign w:val="center"/>
            <w:hideMark/>
          </w:tcPr>
          <w:p w14:paraId="5E69775B"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15.77</w:t>
            </w:r>
          </w:p>
        </w:tc>
        <w:tc>
          <w:tcPr>
            <w:tcW w:w="634" w:type="pct"/>
            <w:tcBorders>
              <w:top w:val="nil"/>
              <w:left w:val="nil"/>
              <w:bottom w:val="nil"/>
              <w:right w:val="nil"/>
            </w:tcBorders>
            <w:shd w:val="clear" w:color="auto" w:fill="auto"/>
            <w:noWrap/>
            <w:vAlign w:val="center"/>
            <w:hideMark/>
          </w:tcPr>
          <w:p w14:paraId="0F14D9C5"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13.09</w:t>
            </w:r>
          </w:p>
        </w:tc>
        <w:tc>
          <w:tcPr>
            <w:tcW w:w="580" w:type="pct"/>
            <w:tcBorders>
              <w:top w:val="nil"/>
              <w:left w:val="nil"/>
              <w:bottom w:val="nil"/>
              <w:right w:val="nil"/>
            </w:tcBorders>
            <w:shd w:val="clear" w:color="auto" w:fill="auto"/>
            <w:noWrap/>
            <w:vAlign w:val="center"/>
            <w:hideMark/>
          </w:tcPr>
          <w:p w14:paraId="2DF309C6"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6.88</w:t>
            </w:r>
          </w:p>
        </w:tc>
      </w:tr>
      <w:tr w:rsidR="008A50B9" w:rsidRPr="0038701A" w14:paraId="283CB010" w14:textId="77777777" w:rsidTr="004600F4">
        <w:trPr>
          <w:trHeight w:val="285"/>
        </w:trPr>
        <w:tc>
          <w:tcPr>
            <w:tcW w:w="1376" w:type="pct"/>
            <w:tcBorders>
              <w:top w:val="nil"/>
              <w:left w:val="nil"/>
              <w:bottom w:val="nil"/>
              <w:right w:val="nil"/>
            </w:tcBorders>
            <w:shd w:val="clear" w:color="auto" w:fill="auto"/>
            <w:noWrap/>
            <w:vAlign w:val="center"/>
            <w:hideMark/>
          </w:tcPr>
          <w:p w14:paraId="7E901EBD" w14:textId="759743AA" w:rsidR="008A50B9" w:rsidRPr="00060311" w:rsidRDefault="00513DA4" w:rsidP="004600F4">
            <w:pPr>
              <w:keepNext/>
              <w:keepLines/>
              <w:rPr>
                <w:rFonts w:ascii="Arial" w:hAnsi="Arial" w:cs="Arial"/>
                <w:bCs/>
                <w:color w:val="000000"/>
                <w:sz w:val="18"/>
                <w:szCs w:val="18"/>
              </w:rPr>
            </w:pPr>
            <w:r w:rsidRPr="00060311">
              <w:rPr>
                <w:rFonts w:ascii="Arial" w:hAnsi="Arial" w:cs="Arial"/>
                <w:bCs/>
                <w:color w:val="000000"/>
                <w:sz w:val="18"/>
                <w:szCs w:val="18"/>
              </w:rPr>
              <w:t>U</w:t>
            </w:r>
            <w:r>
              <w:rPr>
                <w:rFonts w:ascii="Arial" w:hAnsi="Arial" w:cs="Arial"/>
                <w:bCs/>
                <w:color w:val="000000"/>
                <w:sz w:val="18"/>
                <w:szCs w:val="18"/>
              </w:rPr>
              <w:t>OL</w:t>
            </w:r>
            <w:r w:rsidRPr="00060311">
              <w:rPr>
                <w:rFonts w:ascii="Arial" w:hAnsi="Arial" w:cs="Arial"/>
                <w:bCs/>
                <w:color w:val="000000"/>
                <w:sz w:val="18"/>
                <w:szCs w:val="18"/>
              </w:rPr>
              <w:t xml:space="preserve"> </w:t>
            </w:r>
            <w:r w:rsidR="008A50B9" w:rsidRPr="00060311">
              <w:rPr>
                <w:rFonts w:ascii="Arial" w:hAnsi="Arial" w:cs="Arial"/>
                <w:bCs/>
                <w:color w:val="000000"/>
                <w:sz w:val="18"/>
                <w:szCs w:val="18"/>
              </w:rPr>
              <w:t>Group Ltd</w:t>
            </w:r>
          </w:p>
        </w:tc>
        <w:tc>
          <w:tcPr>
            <w:tcW w:w="129" w:type="pct"/>
            <w:tcBorders>
              <w:top w:val="nil"/>
              <w:left w:val="nil"/>
              <w:bottom w:val="nil"/>
              <w:right w:val="nil"/>
            </w:tcBorders>
            <w:shd w:val="clear" w:color="auto" w:fill="auto"/>
            <w:noWrap/>
            <w:vAlign w:val="bottom"/>
            <w:hideMark/>
          </w:tcPr>
          <w:p w14:paraId="79F83E41" w14:textId="77777777" w:rsidR="008A50B9" w:rsidRPr="00060311" w:rsidRDefault="008A50B9" w:rsidP="005F30D2">
            <w:pPr>
              <w:keepNext/>
              <w:keepLines/>
              <w:jc w:val="right"/>
              <w:rPr>
                <w:rFonts w:ascii="Arial" w:hAnsi="Arial" w:cs="Arial"/>
                <w:b/>
                <w:bCs/>
                <w:sz w:val="18"/>
                <w:szCs w:val="18"/>
                <w:lang w:eastAsia="en-SG"/>
              </w:rPr>
            </w:pPr>
          </w:p>
        </w:tc>
        <w:tc>
          <w:tcPr>
            <w:tcW w:w="583" w:type="pct"/>
            <w:tcBorders>
              <w:top w:val="nil"/>
              <w:left w:val="nil"/>
              <w:bottom w:val="nil"/>
              <w:right w:val="nil"/>
            </w:tcBorders>
            <w:shd w:val="clear" w:color="auto" w:fill="auto"/>
            <w:noWrap/>
            <w:vAlign w:val="center"/>
            <w:hideMark/>
          </w:tcPr>
          <w:p w14:paraId="43793EB8"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1.30</w:t>
            </w:r>
          </w:p>
        </w:tc>
        <w:tc>
          <w:tcPr>
            <w:tcW w:w="533" w:type="pct"/>
            <w:tcBorders>
              <w:top w:val="nil"/>
              <w:left w:val="nil"/>
              <w:bottom w:val="nil"/>
              <w:right w:val="nil"/>
            </w:tcBorders>
            <w:shd w:val="clear" w:color="auto" w:fill="auto"/>
            <w:noWrap/>
            <w:vAlign w:val="center"/>
            <w:hideMark/>
          </w:tcPr>
          <w:p w14:paraId="1D680378"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0.74</w:t>
            </w:r>
          </w:p>
        </w:tc>
        <w:tc>
          <w:tcPr>
            <w:tcW w:w="582" w:type="pct"/>
            <w:tcBorders>
              <w:top w:val="nil"/>
              <w:left w:val="nil"/>
              <w:bottom w:val="nil"/>
              <w:right w:val="nil"/>
            </w:tcBorders>
            <w:shd w:val="clear" w:color="auto" w:fill="auto"/>
            <w:noWrap/>
            <w:vAlign w:val="center"/>
            <w:hideMark/>
          </w:tcPr>
          <w:p w14:paraId="3A59D847"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0.25</w:t>
            </w:r>
          </w:p>
        </w:tc>
        <w:tc>
          <w:tcPr>
            <w:tcW w:w="583" w:type="pct"/>
            <w:tcBorders>
              <w:top w:val="nil"/>
              <w:left w:val="nil"/>
              <w:bottom w:val="nil"/>
              <w:right w:val="nil"/>
            </w:tcBorders>
            <w:shd w:val="clear" w:color="auto" w:fill="auto"/>
            <w:noWrap/>
            <w:vAlign w:val="center"/>
            <w:hideMark/>
          </w:tcPr>
          <w:p w14:paraId="23CAF2C9"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32.09</w:t>
            </w:r>
          </w:p>
        </w:tc>
        <w:tc>
          <w:tcPr>
            <w:tcW w:w="634" w:type="pct"/>
            <w:tcBorders>
              <w:top w:val="nil"/>
              <w:left w:val="nil"/>
              <w:bottom w:val="nil"/>
              <w:right w:val="nil"/>
            </w:tcBorders>
            <w:shd w:val="clear" w:color="auto" w:fill="auto"/>
            <w:noWrap/>
            <w:vAlign w:val="center"/>
            <w:hideMark/>
          </w:tcPr>
          <w:p w14:paraId="3BD0DE70"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22.25</w:t>
            </w:r>
          </w:p>
        </w:tc>
        <w:tc>
          <w:tcPr>
            <w:tcW w:w="580" w:type="pct"/>
            <w:tcBorders>
              <w:top w:val="nil"/>
              <w:left w:val="nil"/>
              <w:bottom w:val="nil"/>
              <w:right w:val="nil"/>
            </w:tcBorders>
            <w:shd w:val="clear" w:color="auto" w:fill="auto"/>
            <w:noWrap/>
            <w:vAlign w:val="center"/>
            <w:hideMark/>
          </w:tcPr>
          <w:p w14:paraId="56F24B39"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7.40</w:t>
            </w:r>
          </w:p>
        </w:tc>
      </w:tr>
      <w:tr w:rsidR="008A50B9" w:rsidRPr="0038701A" w14:paraId="471F24E4" w14:textId="77777777" w:rsidTr="004600F4">
        <w:trPr>
          <w:trHeight w:val="285"/>
        </w:trPr>
        <w:tc>
          <w:tcPr>
            <w:tcW w:w="1376" w:type="pct"/>
            <w:tcBorders>
              <w:top w:val="nil"/>
              <w:left w:val="nil"/>
              <w:bottom w:val="nil"/>
              <w:right w:val="nil"/>
            </w:tcBorders>
            <w:shd w:val="clear" w:color="auto" w:fill="auto"/>
            <w:noWrap/>
            <w:vAlign w:val="center"/>
            <w:hideMark/>
          </w:tcPr>
          <w:p w14:paraId="3B3B0DEF" w14:textId="5ABF7E06" w:rsidR="008A50B9" w:rsidRPr="00060311" w:rsidRDefault="008A50B9" w:rsidP="004600F4">
            <w:pPr>
              <w:keepNext/>
              <w:keepLines/>
              <w:rPr>
                <w:rFonts w:ascii="Arial" w:hAnsi="Arial" w:cs="Arial"/>
                <w:bCs/>
                <w:color w:val="000000"/>
                <w:sz w:val="18"/>
                <w:szCs w:val="18"/>
              </w:rPr>
            </w:pPr>
            <w:r w:rsidRPr="00060311">
              <w:rPr>
                <w:rFonts w:ascii="Arial" w:hAnsi="Arial" w:cs="Arial"/>
                <w:bCs/>
                <w:color w:val="000000"/>
                <w:sz w:val="18"/>
                <w:szCs w:val="18"/>
              </w:rPr>
              <w:t>Wheelock Properties (</w:t>
            </w:r>
            <w:r w:rsidR="004B565F" w:rsidRPr="00060311">
              <w:rPr>
                <w:rFonts w:ascii="Arial" w:hAnsi="Arial" w:cs="Arial"/>
                <w:bCs/>
                <w:color w:val="000000"/>
                <w:sz w:val="18"/>
                <w:szCs w:val="18"/>
              </w:rPr>
              <w:t>S</w:t>
            </w:r>
            <w:r w:rsidR="004B565F">
              <w:rPr>
                <w:rFonts w:ascii="Arial" w:hAnsi="Arial" w:cs="Arial"/>
                <w:bCs/>
                <w:color w:val="000000"/>
                <w:sz w:val="18"/>
                <w:szCs w:val="18"/>
              </w:rPr>
              <w:t>GP</w:t>
            </w:r>
            <w:r w:rsidRPr="00060311">
              <w:rPr>
                <w:rFonts w:ascii="Arial" w:hAnsi="Arial" w:cs="Arial"/>
                <w:bCs/>
                <w:color w:val="000000"/>
                <w:sz w:val="18"/>
                <w:szCs w:val="18"/>
              </w:rPr>
              <w:t>)</w:t>
            </w:r>
          </w:p>
        </w:tc>
        <w:tc>
          <w:tcPr>
            <w:tcW w:w="129" w:type="pct"/>
            <w:tcBorders>
              <w:top w:val="nil"/>
              <w:left w:val="nil"/>
              <w:bottom w:val="nil"/>
              <w:right w:val="nil"/>
            </w:tcBorders>
            <w:shd w:val="clear" w:color="auto" w:fill="auto"/>
            <w:noWrap/>
            <w:vAlign w:val="bottom"/>
            <w:hideMark/>
          </w:tcPr>
          <w:p w14:paraId="63926589" w14:textId="77777777" w:rsidR="008A50B9" w:rsidRPr="00060311" w:rsidRDefault="008A50B9" w:rsidP="005F30D2">
            <w:pPr>
              <w:keepNext/>
              <w:keepLines/>
              <w:jc w:val="right"/>
              <w:rPr>
                <w:rFonts w:ascii="Arial" w:hAnsi="Arial" w:cs="Arial"/>
                <w:b/>
                <w:bCs/>
                <w:sz w:val="18"/>
                <w:szCs w:val="18"/>
                <w:lang w:eastAsia="en-SG"/>
              </w:rPr>
            </w:pPr>
          </w:p>
        </w:tc>
        <w:tc>
          <w:tcPr>
            <w:tcW w:w="583" w:type="pct"/>
            <w:tcBorders>
              <w:top w:val="nil"/>
              <w:left w:val="nil"/>
              <w:bottom w:val="nil"/>
              <w:right w:val="nil"/>
            </w:tcBorders>
            <w:shd w:val="clear" w:color="auto" w:fill="auto"/>
            <w:noWrap/>
            <w:vAlign w:val="center"/>
            <w:hideMark/>
          </w:tcPr>
          <w:p w14:paraId="024E1F33"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11.66</w:t>
            </w:r>
          </w:p>
        </w:tc>
        <w:tc>
          <w:tcPr>
            <w:tcW w:w="533" w:type="pct"/>
            <w:tcBorders>
              <w:top w:val="nil"/>
              <w:left w:val="nil"/>
              <w:bottom w:val="nil"/>
              <w:right w:val="nil"/>
            </w:tcBorders>
            <w:shd w:val="clear" w:color="auto" w:fill="auto"/>
            <w:noWrap/>
            <w:vAlign w:val="center"/>
            <w:hideMark/>
          </w:tcPr>
          <w:p w14:paraId="0A0FA69F"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3.16</w:t>
            </w:r>
          </w:p>
        </w:tc>
        <w:tc>
          <w:tcPr>
            <w:tcW w:w="582" w:type="pct"/>
            <w:tcBorders>
              <w:top w:val="nil"/>
              <w:left w:val="nil"/>
              <w:bottom w:val="nil"/>
              <w:right w:val="nil"/>
            </w:tcBorders>
            <w:shd w:val="clear" w:color="auto" w:fill="auto"/>
            <w:noWrap/>
            <w:vAlign w:val="center"/>
            <w:hideMark/>
          </w:tcPr>
          <w:p w14:paraId="1577D2FF"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0.06</w:t>
            </w:r>
          </w:p>
        </w:tc>
        <w:tc>
          <w:tcPr>
            <w:tcW w:w="583" w:type="pct"/>
            <w:tcBorders>
              <w:top w:val="nil"/>
              <w:left w:val="nil"/>
              <w:bottom w:val="nil"/>
              <w:right w:val="nil"/>
            </w:tcBorders>
            <w:shd w:val="clear" w:color="auto" w:fill="auto"/>
            <w:noWrap/>
            <w:vAlign w:val="center"/>
            <w:hideMark/>
          </w:tcPr>
          <w:p w14:paraId="30E631B5"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21.04</w:t>
            </w:r>
          </w:p>
        </w:tc>
        <w:tc>
          <w:tcPr>
            <w:tcW w:w="634" w:type="pct"/>
            <w:tcBorders>
              <w:top w:val="nil"/>
              <w:left w:val="nil"/>
              <w:bottom w:val="nil"/>
              <w:right w:val="nil"/>
            </w:tcBorders>
            <w:shd w:val="clear" w:color="auto" w:fill="auto"/>
            <w:noWrap/>
            <w:vAlign w:val="center"/>
            <w:hideMark/>
          </w:tcPr>
          <w:p w14:paraId="0A0DB660"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16.66</w:t>
            </w:r>
          </w:p>
        </w:tc>
        <w:tc>
          <w:tcPr>
            <w:tcW w:w="580" w:type="pct"/>
            <w:tcBorders>
              <w:top w:val="nil"/>
              <w:left w:val="nil"/>
              <w:bottom w:val="nil"/>
              <w:right w:val="nil"/>
            </w:tcBorders>
            <w:shd w:val="clear" w:color="auto" w:fill="auto"/>
            <w:noWrap/>
            <w:vAlign w:val="center"/>
            <w:hideMark/>
          </w:tcPr>
          <w:p w14:paraId="4B1A32E4"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20.42</w:t>
            </w:r>
          </w:p>
        </w:tc>
      </w:tr>
      <w:tr w:rsidR="008A50B9" w:rsidRPr="0038701A" w14:paraId="05495D09" w14:textId="77777777" w:rsidTr="004600F4">
        <w:trPr>
          <w:trHeight w:val="285"/>
        </w:trPr>
        <w:tc>
          <w:tcPr>
            <w:tcW w:w="1376" w:type="pct"/>
            <w:tcBorders>
              <w:top w:val="nil"/>
              <w:left w:val="nil"/>
              <w:bottom w:val="nil"/>
              <w:right w:val="nil"/>
            </w:tcBorders>
            <w:shd w:val="clear" w:color="auto" w:fill="auto"/>
            <w:noWrap/>
            <w:vAlign w:val="center"/>
            <w:hideMark/>
          </w:tcPr>
          <w:p w14:paraId="10D708B6" w14:textId="77777777" w:rsidR="008A50B9" w:rsidRPr="00060311" w:rsidRDefault="008A50B9" w:rsidP="004600F4">
            <w:pPr>
              <w:keepNext/>
              <w:keepLines/>
              <w:rPr>
                <w:rFonts w:ascii="Arial" w:hAnsi="Arial" w:cs="Arial"/>
                <w:bCs/>
                <w:color w:val="000000"/>
                <w:sz w:val="18"/>
                <w:szCs w:val="18"/>
              </w:rPr>
            </w:pPr>
            <w:r w:rsidRPr="00060311">
              <w:rPr>
                <w:rFonts w:ascii="Arial" w:hAnsi="Arial" w:cs="Arial"/>
                <w:bCs/>
                <w:color w:val="000000"/>
                <w:sz w:val="18"/>
                <w:szCs w:val="18"/>
              </w:rPr>
              <w:t>Wing Tai Holdings Ltd</w:t>
            </w:r>
          </w:p>
        </w:tc>
        <w:tc>
          <w:tcPr>
            <w:tcW w:w="129" w:type="pct"/>
            <w:tcBorders>
              <w:top w:val="nil"/>
              <w:left w:val="nil"/>
              <w:bottom w:val="nil"/>
              <w:right w:val="nil"/>
            </w:tcBorders>
            <w:shd w:val="clear" w:color="auto" w:fill="auto"/>
            <w:noWrap/>
            <w:vAlign w:val="bottom"/>
            <w:hideMark/>
          </w:tcPr>
          <w:p w14:paraId="2475E557" w14:textId="77777777" w:rsidR="008A50B9" w:rsidRPr="00060311" w:rsidRDefault="008A50B9" w:rsidP="005F30D2">
            <w:pPr>
              <w:keepNext/>
              <w:keepLines/>
              <w:jc w:val="right"/>
              <w:rPr>
                <w:rFonts w:ascii="Arial" w:hAnsi="Arial" w:cs="Arial"/>
                <w:b/>
                <w:bCs/>
                <w:sz w:val="18"/>
                <w:szCs w:val="18"/>
                <w:lang w:eastAsia="en-SG"/>
              </w:rPr>
            </w:pPr>
          </w:p>
        </w:tc>
        <w:tc>
          <w:tcPr>
            <w:tcW w:w="583" w:type="pct"/>
            <w:tcBorders>
              <w:top w:val="nil"/>
              <w:left w:val="nil"/>
              <w:bottom w:val="nil"/>
              <w:right w:val="nil"/>
            </w:tcBorders>
            <w:shd w:val="clear" w:color="auto" w:fill="auto"/>
            <w:noWrap/>
            <w:vAlign w:val="center"/>
            <w:hideMark/>
          </w:tcPr>
          <w:p w14:paraId="59EC0F6C"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5.63</w:t>
            </w:r>
          </w:p>
        </w:tc>
        <w:tc>
          <w:tcPr>
            <w:tcW w:w="533" w:type="pct"/>
            <w:tcBorders>
              <w:top w:val="nil"/>
              <w:left w:val="nil"/>
              <w:bottom w:val="nil"/>
              <w:right w:val="nil"/>
            </w:tcBorders>
            <w:shd w:val="clear" w:color="auto" w:fill="auto"/>
            <w:noWrap/>
            <w:vAlign w:val="center"/>
            <w:hideMark/>
          </w:tcPr>
          <w:p w14:paraId="501893C0"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2.32</w:t>
            </w:r>
          </w:p>
        </w:tc>
        <w:tc>
          <w:tcPr>
            <w:tcW w:w="582" w:type="pct"/>
            <w:tcBorders>
              <w:top w:val="nil"/>
              <w:left w:val="nil"/>
              <w:bottom w:val="nil"/>
              <w:right w:val="nil"/>
            </w:tcBorders>
            <w:shd w:val="clear" w:color="auto" w:fill="auto"/>
            <w:noWrap/>
            <w:vAlign w:val="center"/>
            <w:hideMark/>
          </w:tcPr>
          <w:p w14:paraId="59E90DB5"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0.16</w:t>
            </w:r>
          </w:p>
        </w:tc>
        <w:tc>
          <w:tcPr>
            <w:tcW w:w="583" w:type="pct"/>
            <w:tcBorders>
              <w:top w:val="nil"/>
              <w:left w:val="nil"/>
              <w:bottom w:val="nil"/>
              <w:right w:val="nil"/>
            </w:tcBorders>
            <w:shd w:val="clear" w:color="auto" w:fill="auto"/>
            <w:noWrap/>
            <w:vAlign w:val="center"/>
            <w:hideMark/>
          </w:tcPr>
          <w:p w14:paraId="5CBFB43D"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47.53</w:t>
            </w:r>
          </w:p>
        </w:tc>
        <w:tc>
          <w:tcPr>
            <w:tcW w:w="634" w:type="pct"/>
            <w:tcBorders>
              <w:top w:val="nil"/>
              <w:left w:val="nil"/>
              <w:bottom w:val="nil"/>
              <w:right w:val="nil"/>
            </w:tcBorders>
            <w:shd w:val="clear" w:color="auto" w:fill="auto"/>
            <w:noWrap/>
            <w:vAlign w:val="center"/>
            <w:hideMark/>
          </w:tcPr>
          <w:p w14:paraId="4172800C"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28.90</w:t>
            </w:r>
          </w:p>
        </w:tc>
        <w:tc>
          <w:tcPr>
            <w:tcW w:w="580" w:type="pct"/>
            <w:tcBorders>
              <w:top w:val="nil"/>
              <w:left w:val="nil"/>
              <w:bottom w:val="nil"/>
              <w:right w:val="nil"/>
            </w:tcBorders>
            <w:shd w:val="clear" w:color="auto" w:fill="auto"/>
            <w:noWrap/>
            <w:vAlign w:val="center"/>
            <w:hideMark/>
          </w:tcPr>
          <w:p w14:paraId="60A717CF"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14.90</w:t>
            </w:r>
          </w:p>
        </w:tc>
      </w:tr>
      <w:tr w:rsidR="008A50B9" w:rsidRPr="0038701A" w14:paraId="747B4C4F" w14:textId="77777777" w:rsidTr="004600F4">
        <w:trPr>
          <w:trHeight w:val="285"/>
        </w:trPr>
        <w:tc>
          <w:tcPr>
            <w:tcW w:w="1376" w:type="pct"/>
            <w:tcBorders>
              <w:top w:val="nil"/>
              <w:left w:val="nil"/>
              <w:right w:val="nil"/>
            </w:tcBorders>
            <w:shd w:val="clear" w:color="auto" w:fill="auto"/>
            <w:noWrap/>
            <w:vAlign w:val="center"/>
            <w:hideMark/>
          </w:tcPr>
          <w:p w14:paraId="6A82C6E8" w14:textId="77777777" w:rsidR="008A50B9" w:rsidRPr="00060311" w:rsidRDefault="008A50B9" w:rsidP="004600F4">
            <w:pPr>
              <w:keepNext/>
              <w:keepLines/>
              <w:rPr>
                <w:rFonts w:ascii="Arial" w:hAnsi="Arial" w:cs="Arial"/>
                <w:bCs/>
                <w:color w:val="000000"/>
                <w:sz w:val="18"/>
                <w:szCs w:val="18"/>
              </w:rPr>
            </w:pPr>
            <w:r w:rsidRPr="00060311">
              <w:rPr>
                <w:rFonts w:ascii="Arial" w:hAnsi="Arial" w:cs="Arial"/>
                <w:bCs/>
                <w:color w:val="000000"/>
                <w:sz w:val="18"/>
                <w:szCs w:val="18"/>
              </w:rPr>
              <w:t>Yanlord Land Group Ltd</w:t>
            </w:r>
          </w:p>
        </w:tc>
        <w:tc>
          <w:tcPr>
            <w:tcW w:w="129" w:type="pct"/>
            <w:tcBorders>
              <w:top w:val="nil"/>
              <w:left w:val="nil"/>
              <w:right w:val="nil"/>
            </w:tcBorders>
            <w:shd w:val="clear" w:color="auto" w:fill="auto"/>
            <w:noWrap/>
            <w:vAlign w:val="bottom"/>
            <w:hideMark/>
          </w:tcPr>
          <w:p w14:paraId="3615ABAA" w14:textId="77777777" w:rsidR="008A50B9" w:rsidRPr="00060311" w:rsidRDefault="008A50B9" w:rsidP="005F30D2">
            <w:pPr>
              <w:keepNext/>
              <w:keepLines/>
              <w:jc w:val="right"/>
              <w:rPr>
                <w:rFonts w:ascii="Arial" w:hAnsi="Arial" w:cs="Arial"/>
                <w:b/>
                <w:bCs/>
                <w:sz w:val="18"/>
                <w:szCs w:val="18"/>
                <w:lang w:eastAsia="en-SG"/>
              </w:rPr>
            </w:pPr>
          </w:p>
        </w:tc>
        <w:tc>
          <w:tcPr>
            <w:tcW w:w="583" w:type="pct"/>
            <w:tcBorders>
              <w:top w:val="nil"/>
              <w:left w:val="nil"/>
              <w:right w:val="nil"/>
            </w:tcBorders>
            <w:shd w:val="clear" w:color="auto" w:fill="auto"/>
            <w:noWrap/>
            <w:vAlign w:val="center"/>
            <w:hideMark/>
          </w:tcPr>
          <w:p w14:paraId="78677C7C"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2.22</w:t>
            </w:r>
          </w:p>
        </w:tc>
        <w:tc>
          <w:tcPr>
            <w:tcW w:w="533" w:type="pct"/>
            <w:tcBorders>
              <w:top w:val="nil"/>
              <w:left w:val="nil"/>
              <w:right w:val="nil"/>
            </w:tcBorders>
            <w:shd w:val="clear" w:color="auto" w:fill="auto"/>
            <w:noWrap/>
            <w:vAlign w:val="center"/>
            <w:hideMark/>
          </w:tcPr>
          <w:p w14:paraId="351F982F"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0.39</w:t>
            </w:r>
          </w:p>
        </w:tc>
        <w:tc>
          <w:tcPr>
            <w:tcW w:w="582" w:type="pct"/>
            <w:tcBorders>
              <w:top w:val="nil"/>
              <w:left w:val="nil"/>
              <w:right w:val="nil"/>
            </w:tcBorders>
            <w:shd w:val="clear" w:color="auto" w:fill="auto"/>
            <w:noWrap/>
            <w:vAlign w:val="center"/>
            <w:hideMark/>
          </w:tcPr>
          <w:p w14:paraId="181E15B9"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0.06</w:t>
            </w:r>
          </w:p>
        </w:tc>
        <w:tc>
          <w:tcPr>
            <w:tcW w:w="583" w:type="pct"/>
            <w:tcBorders>
              <w:top w:val="nil"/>
              <w:left w:val="nil"/>
              <w:right w:val="nil"/>
            </w:tcBorders>
            <w:shd w:val="clear" w:color="auto" w:fill="auto"/>
            <w:noWrap/>
            <w:vAlign w:val="center"/>
            <w:hideMark/>
          </w:tcPr>
          <w:p w14:paraId="55341B18"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62.13</w:t>
            </w:r>
          </w:p>
        </w:tc>
        <w:tc>
          <w:tcPr>
            <w:tcW w:w="634" w:type="pct"/>
            <w:tcBorders>
              <w:top w:val="nil"/>
              <w:left w:val="nil"/>
              <w:right w:val="nil"/>
            </w:tcBorders>
            <w:shd w:val="clear" w:color="auto" w:fill="auto"/>
            <w:noWrap/>
            <w:vAlign w:val="center"/>
            <w:hideMark/>
          </w:tcPr>
          <w:p w14:paraId="4B004D19"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28.17</w:t>
            </w:r>
          </w:p>
        </w:tc>
        <w:tc>
          <w:tcPr>
            <w:tcW w:w="580" w:type="pct"/>
            <w:tcBorders>
              <w:top w:val="nil"/>
              <w:left w:val="nil"/>
              <w:right w:val="nil"/>
            </w:tcBorders>
            <w:shd w:val="clear" w:color="auto" w:fill="auto"/>
            <w:noWrap/>
            <w:vAlign w:val="center"/>
            <w:hideMark/>
          </w:tcPr>
          <w:p w14:paraId="659A88B4"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44.03</w:t>
            </w:r>
          </w:p>
        </w:tc>
      </w:tr>
      <w:tr w:rsidR="008A50B9" w:rsidRPr="0038701A" w14:paraId="4866289D" w14:textId="77777777" w:rsidTr="004600F4">
        <w:trPr>
          <w:trHeight w:val="285"/>
        </w:trPr>
        <w:tc>
          <w:tcPr>
            <w:tcW w:w="1376" w:type="pct"/>
            <w:tcBorders>
              <w:top w:val="nil"/>
              <w:left w:val="nil"/>
              <w:bottom w:val="double" w:sz="4" w:space="0" w:color="auto"/>
              <w:right w:val="nil"/>
            </w:tcBorders>
            <w:shd w:val="clear" w:color="auto" w:fill="auto"/>
            <w:noWrap/>
            <w:vAlign w:val="center"/>
            <w:hideMark/>
          </w:tcPr>
          <w:p w14:paraId="392B7A9F" w14:textId="77777777" w:rsidR="008A50B9" w:rsidRPr="00060311" w:rsidRDefault="008A50B9" w:rsidP="004600F4">
            <w:pPr>
              <w:keepNext/>
              <w:keepLines/>
              <w:rPr>
                <w:rFonts w:ascii="Arial" w:hAnsi="Arial" w:cs="Arial"/>
                <w:bCs/>
                <w:color w:val="000000"/>
                <w:sz w:val="18"/>
                <w:szCs w:val="18"/>
              </w:rPr>
            </w:pPr>
            <w:r w:rsidRPr="00060311">
              <w:rPr>
                <w:rFonts w:ascii="Arial" w:hAnsi="Arial" w:cs="Arial"/>
                <w:bCs/>
                <w:color w:val="000000"/>
                <w:sz w:val="18"/>
                <w:szCs w:val="18"/>
              </w:rPr>
              <w:t>Yuexiu Property Co Ltd</w:t>
            </w:r>
          </w:p>
        </w:tc>
        <w:tc>
          <w:tcPr>
            <w:tcW w:w="129" w:type="pct"/>
            <w:tcBorders>
              <w:top w:val="nil"/>
              <w:left w:val="nil"/>
              <w:bottom w:val="double" w:sz="4" w:space="0" w:color="auto"/>
              <w:right w:val="nil"/>
            </w:tcBorders>
            <w:shd w:val="clear" w:color="auto" w:fill="auto"/>
            <w:noWrap/>
            <w:vAlign w:val="bottom"/>
            <w:hideMark/>
          </w:tcPr>
          <w:p w14:paraId="540BEC6B" w14:textId="77777777" w:rsidR="008A50B9" w:rsidRPr="00060311" w:rsidRDefault="008A50B9" w:rsidP="005F30D2">
            <w:pPr>
              <w:keepNext/>
              <w:keepLines/>
              <w:jc w:val="right"/>
              <w:rPr>
                <w:rFonts w:ascii="Arial" w:hAnsi="Arial" w:cs="Arial"/>
                <w:b/>
                <w:bCs/>
                <w:sz w:val="18"/>
                <w:szCs w:val="18"/>
                <w:lang w:eastAsia="en-SG"/>
              </w:rPr>
            </w:pPr>
          </w:p>
        </w:tc>
        <w:tc>
          <w:tcPr>
            <w:tcW w:w="583" w:type="pct"/>
            <w:tcBorders>
              <w:top w:val="nil"/>
              <w:left w:val="nil"/>
              <w:bottom w:val="double" w:sz="4" w:space="0" w:color="auto"/>
              <w:right w:val="nil"/>
            </w:tcBorders>
            <w:shd w:val="clear" w:color="auto" w:fill="auto"/>
            <w:noWrap/>
            <w:vAlign w:val="center"/>
            <w:hideMark/>
          </w:tcPr>
          <w:p w14:paraId="6879A9B9"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1.83</w:t>
            </w:r>
          </w:p>
        </w:tc>
        <w:tc>
          <w:tcPr>
            <w:tcW w:w="533" w:type="pct"/>
            <w:tcBorders>
              <w:top w:val="nil"/>
              <w:left w:val="nil"/>
              <w:bottom w:val="double" w:sz="4" w:space="0" w:color="auto"/>
              <w:right w:val="nil"/>
            </w:tcBorders>
            <w:shd w:val="clear" w:color="auto" w:fill="auto"/>
            <w:noWrap/>
            <w:vAlign w:val="center"/>
            <w:hideMark/>
          </w:tcPr>
          <w:p w14:paraId="1E710AC8"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0.16</w:t>
            </w:r>
          </w:p>
        </w:tc>
        <w:tc>
          <w:tcPr>
            <w:tcW w:w="582" w:type="pct"/>
            <w:tcBorders>
              <w:top w:val="nil"/>
              <w:left w:val="nil"/>
              <w:bottom w:val="double" w:sz="4" w:space="0" w:color="auto"/>
              <w:right w:val="nil"/>
            </w:tcBorders>
            <w:shd w:val="clear" w:color="auto" w:fill="auto"/>
            <w:noWrap/>
            <w:vAlign w:val="center"/>
            <w:hideMark/>
          </w:tcPr>
          <w:p w14:paraId="71B755B2"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0.04</w:t>
            </w:r>
          </w:p>
        </w:tc>
        <w:tc>
          <w:tcPr>
            <w:tcW w:w="583" w:type="pct"/>
            <w:tcBorders>
              <w:top w:val="nil"/>
              <w:left w:val="nil"/>
              <w:bottom w:val="double" w:sz="4" w:space="0" w:color="auto"/>
              <w:right w:val="nil"/>
            </w:tcBorders>
            <w:shd w:val="clear" w:color="auto" w:fill="auto"/>
            <w:noWrap/>
            <w:vAlign w:val="center"/>
            <w:hideMark/>
          </w:tcPr>
          <w:p w14:paraId="215F92F7"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94.85</w:t>
            </w:r>
          </w:p>
        </w:tc>
        <w:tc>
          <w:tcPr>
            <w:tcW w:w="634" w:type="pct"/>
            <w:tcBorders>
              <w:top w:val="nil"/>
              <w:left w:val="nil"/>
              <w:bottom w:val="double" w:sz="4" w:space="0" w:color="auto"/>
              <w:right w:val="nil"/>
            </w:tcBorders>
            <w:shd w:val="clear" w:color="auto" w:fill="auto"/>
            <w:noWrap/>
            <w:vAlign w:val="center"/>
            <w:hideMark/>
          </w:tcPr>
          <w:p w14:paraId="6A95C699"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30.57</w:t>
            </w:r>
          </w:p>
        </w:tc>
        <w:tc>
          <w:tcPr>
            <w:tcW w:w="580" w:type="pct"/>
            <w:tcBorders>
              <w:top w:val="nil"/>
              <w:left w:val="nil"/>
              <w:bottom w:val="double" w:sz="4" w:space="0" w:color="auto"/>
              <w:right w:val="nil"/>
            </w:tcBorders>
            <w:shd w:val="clear" w:color="auto" w:fill="auto"/>
            <w:noWrap/>
            <w:vAlign w:val="center"/>
            <w:hideMark/>
          </w:tcPr>
          <w:p w14:paraId="0EF0D69E" w14:textId="77777777" w:rsidR="008A50B9" w:rsidRPr="00060311" w:rsidRDefault="008A50B9" w:rsidP="004600F4">
            <w:pPr>
              <w:keepNext/>
              <w:keepLines/>
              <w:jc w:val="right"/>
              <w:rPr>
                <w:rFonts w:ascii="Arial" w:hAnsi="Arial" w:cs="Arial"/>
                <w:color w:val="000000"/>
                <w:sz w:val="18"/>
                <w:szCs w:val="18"/>
              </w:rPr>
            </w:pPr>
            <w:r w:rsidRPr="00060311">
              <w:rPr>
                <w:rFonts w:ascii="Arial" w:hAnsi="Arial" w:cs="Arial"/>
                <w:color w:val="000000"/>
                <w:sz w:val="18"/>
                <w:szCs w:val="18"/>
              </w:rPr>
              <w:t>40.83</w:t>
            </w:r>
          </w:p>
        </w:tc>
      </w:tr>
      <w:tr w:rsidR="007F0E99" w:rsidRPr="0038701A" w14:paraId="5665DC5E" w14:textId="77777777" w:rsidTr="004600F4">
        <w:trPr>
          <w:trHeight w:val="285"/>
        </w:trPr>
        <w:tc>
          <w:tcPr>
            <w:tcW w:w="1376" w:type="pct"/>
            <w:tcBorders>
              <w:top w:val="double" w:sz="4" w:space="0" w:color="auto"/>
              <w:left w:val="nil"/>
              <w:bottom w:val="double" w:sz="4" w:space="0" w:color="auto"/>
              <w:right w:val="nil"/>
            </w:tcBorders>
            <w:shd w:val="clear" w:color="auto" w:fill="auto"/>
            <w:noWrap/>
            <w:vAlign w:val="center"/>
          </w:tcPr>
          <w:p w14:paraId="1230F83D" w14:textId="77777777" w:rsidR="007F0E99" w:rsidRPr="00060311" w:rsidRDefault="007F0E99" w:rsidP="004600F4">
            <w:pPr>
              <w:keepNext/>
              <w:keepLines/>
              <w:rPr>
                <w:rFonts w:ascii="Arial" w:hAnsi="Arial" w:cs="Arial"/>
                <w:bCs/>
                <w:sz w:val="18"/>
                <w:szCs w:val="18"/>
                <w:lang w:eastAsia="en-SG"/>
              </w:rPr>
            </w:pPr>
          </w:p>
        </w:tc>
        <w:tc>
          <w:tcPr>
            <w:tcW w:w="129" w:type="pct"/>
            <w:tcBorders>
              <w:top w:val="double" w:sz="4" w:space="0" w:color="auto"/>
              <w:left w:val="nil"/>
              <w:bottom w:val="double" w:sz="4" w:space="0" w:color="auto"/>
              <w:right w:val="nil"/>
            </w:tcBorders>
            <w:shd w:val="clear" w:color="auto" w:fill="auto"/>
            <w:noWrap/>
            <w:vAlign w:val="bottom"/>
          </w:tcPr>
          <w:p w14:paraId="7BAFF088" w14:textId="77777777" w:rsidR="007F0E99" w:rsidRPr="00060311" w:rsidRDefault="007F0E99" w:rsidP="005F30D2">
            <w:pPr>
              <w:keepNext/>
              <w:keepLines/>
              <w:jc w:val="right"/>
              <w:rPr>
                <w:rFonts w:ascii="Arial" w:hAnsi="Arial" w:cs="Arial"/>
                <w:b/>
                <w:bCs/>
                <w:sz w:val="18"/>
                <w:szCs w:val="18"/>
                <w:lang w:eastAsia="en-SG"/>
              </w:rPr>
            </w:pPr>
          </w:p>
        </w:tc>
        <w:tc>
          <w:tcPr>
            <w:tcW w:w="583" w:type="pct"/>
            <w:tcBorders>
              <w:top w:val="double" w:sz="4" w:space="0" w:color="auto"/>
              <w:left w:val="nil"/>
              <w:bottom w:val="double" w:sz="4" w:space="0" w:color="auto"/>
              <w:right w:val="nil"/>
            </w:tcBorders>
            <w:shd w:val="clear" w:color="auto" w:fill="auto"/>
            <w:noWrap/>
            <w:vAlign w:val="center"/>
          </w:tcPr>
          <w:p w14:paraId="27AB9056" w14:textId="77777777" w:rsidR="007F0E99" w:rsidRPr="00060311" w:rsidRDefault="007F0E99" w:rsidP="004600F4">
            <w:pPr>
              <w:keepNext/>
              <w:keepLines/>
              <w:jc w:val="right"/>
              <w:rPr>
                <w:rFonts w:ascii="Arial" w:hAnsi="Arial" w:cs="Arial"/>
                <w:sz w:val="18"/>
                <w:szCs w:val="18"/>
                <w:lang w:eastAsia="en-SG"/>
              </w:rPr>
            </w:pPr>
          </w:p>
        </w:tc>
        <w:tc>
          <w:tcPr>
            <w:tcW w:w="533" w:type="pct"/>
            <w:tcBorders>
              <w:top w:val="double" w:sz="4" w:space="0" w:color="auto"/>
              <w:left w:val="nil"/>
              <w:bottom w:val="double" w:sz="4" w:space="0" w:color="auto"/>
              <w:right w:val="nil"/>
            </w:tcBorders>
            <w:shd w:val="clear" w:color="auto" w:fill="auto"/>
            <w:noWrap/>
            <w:vAlign w:val="center"/>
          </w:tcPr>
          <w:p w14:paraId="7BCD01B0" w14:textId="77777777" w:rsidR="007F0E99" w:rsidRPr="00060311" w:rsidRDefault="007F0E99" w:rsidP="004600F4">
            <w:pPr>
              <w:keepNext/>
              <w:keepLines/>
              <w:jc w:val="right"/>
              <w:rPr>
                <w:rFonts w:ascii="Arial" w:hAnsi="Arial" w:cs="Arial"/>
                <w:sz w:val="18"/>
                <w:szCs w:val="18"/>
                <w:lang w:eastAsia="en-SG"/>
              </w:rPr>
            </w:pPr>
          </w:p>
        </w:tc>
        <w:tc>
          <w:tcPr>
            <w:tcW w:w="582" w:type="pct"/>
            <w:tcBorders>
              <w:top w:val="double" w:sz="4" w:space="0" w:color="auto"/>
              <w:left w:val="nil"/>
              <w:bottom w:val="double" w:sz="4" w:space="0" w:color="auto"/>
              <w:right w:val="nil"/>
            </w:tcBorders>
            <w:shd w:val="clear" w:color="auto" w:fill="auto"/>
            <w:noWrap/>
            <w:vAlign w:val="center"/>
          </w:tcPr>
          <w:p w14:paraId="02C6C3F6" w14:textId="77777777" w:rsidR="007F0E99" w:rsidRPr="00060311" w:rsidRDefault="007F0E99" w:rsidP="004600F4">
            <w:pPr>
              <w:keepNext/>
              <w:keepLines/>
              <w:jc w:val="right"/>
              <w:rPr>
                <w:rFonts w:ascii="Arial" w:hAnsi="Arial" w:cs="Arial"/>
                <w:sz w:val="18"/>
                <w:szCs w:val="18"/>
                <w:lang w:eastAsia="en-SG"/>
              </w:rPr>
            </w:pPr>
          </w:p>
        </w:tc>
        <w:tc>
          <w:tcPr>
            <w:tcW w:w="583" w:type="pct"/>
            <w:tcBorders>
              <w:top w:val="double" w:sz="4" w:space="0" w:color="auto"/>
              <w:left w:val="nil"/>
              <w:bottom w:val="double" w:sz="4" w:space="0" w:color="auto"/>
              <w:right w:val="nil"/>
            </w:tcBorders>
            <w:shd w:val="clear" w:color="auto" w:fill="auto"/>
            <w:noWrap/>
            <w:vAlign w:val="center"/>
          </w:tcPr>
          <w:p w14:paraId="1E587422" w14:textId="77777777" w:rsidR="007F0E99" w:rsidRPr="00060311" w:rsidRDefault="007F0E99" w:rsidP="004600F4">
            <w:pPr>
              <w:keepNext/>
              <w:keepLines/>
              <w:jc w:val="right"/>
              <w:rPr>
                <w:rFonts w:ascii="Arial" w:hAnsi="Arial" w:cs="Arial"/>
                <w:sz w:val="18"/>
                <w:szCs w:val="18"/>
                <w:lang w:eastAsia="en-SG"/>
              </w:rPr>
            </w:pPr>
          </w:p>
        </w:tc>
        <w:tc>
          <w:tcPr>
            <w:tcW w:w="634" w:type="pct"/>
            <w:tcBorders>
              <w:top w:val="double" w:sz="4" w:space="0" w:color="auto"/>
              <w:left w:val="nil"/>
              <w:bottom w:val="double" w:sz="4" w:space="0" w:color="auto"/>
              <w:right w:val="nil"/>
            </w:tcBorders>
            <w:shd w:val="clear" w:color="auto" w:fill="auto"/>
            <w:noWrap/>
            <w:vAlign w:val="center"/>
          </w:tcPr>
          <w:p w14:paraId="426C05EF" w14:textId="77777777" w:rsidR="007F0E99" w:rsidRPr="00060311" w:rsidRDefault="007F0E99" w:rsidP="004600F4">
            <w:pPr>
              <w:keepNext/>
              <w:keepLines/>
              <w:jc w:val="right"/>
              <w:rPr>
                <w:rFonts w:ascii="Arial" w:hAnsi="Arial" w:cs="Arial"/>
                <w:sz w:val="18"/>
                <w:szCs w:val="18"/>
                <w:lang w:eastAsia="en-SG"/>
              </w:rPr>
            </w:pPr>
          </w:p>
        </w:tc>
        <w:tc>
          <w:tcPr>
            <w:tcW w:w="580" w:type="pct"/>
            <w:tcBorders>
              <w:top w:val="double" w:sz="4" w:space="0" w:color="auto"/>
              <w:left w:val="nil"/>
              <w:bottom w:val="double" w:sz="4" w:space="0" w:color="auto"/>
              <w:right w:val="nil"/>
            </w:tcBorders>
            <w:shd w:val="clear" w:color="auto" w:fill="auto"/>
            <w:noWrap/>
            <w:vAlign w:val="center"/>
          </w:tcPr>
          <w:p w14:paraId="452C7A8A" w14:textId="77777777" w:rsidR="007F0E99" w:rsidRPr="00060311" w:rsidRDefault="007F0E99" w:rsidP="004600F4">
            <w:pPr>
              <w:keepNext/>
              <w:keepLines/>
              <w:jc w:val="right"/>
              <w:rPr>
                <w:rFonts w:ascii="Arial" w:hAnsi="Arial" w:cs="Arial"/>
                <w:sz w:val="18"/>
                <w:szCs w:val="18"/>
                <w:lang w:eastAsia="en-SG"/>
              </w:rPr>
            </w:pPr>
          </w:p>
        </w:tc>
      </w:tr>
      <w:tr w:rsidR="007F0E99" w:rsidRPr="0038701A" w14:paraId="1C322A79" w14:textId="77777777" w:rsidTr="004600F4">
        <w:trPr>
          <w:trHeight w:val="285"/>
        </w:trPr>
        <w:tc>
          <w:tcPr>
            <w:tcW w:w="1376" w:type="pct"/>
            <w:tcBorders>
              <w:top w:val="double" w:sz="4" w:space="0" w:color="auto"/>
              <w:left w:val="nil"/>
              <w:bottom w:val="single" w:sz="2" w:space="0" w:color="auto"/>
              <w:right w:val="nil"/>
            </w:tcBorders>
            <w:shd w:val="clear" w:color="auto" w:fill="auto"/>
            <w:noWrap/>
            <w:vAlign w:val="center"/>
          </w:tcPr>
          <w:p w14:paraId="1CC3F2FE" w14:textId="77777777" w:rsidR="007F0E99" w:rsidRPr="00060311" w:rsidRDefault="007F0E99" w:rsidP="004600F4">
            <w:pPr>
              <w:keepNext/>
              <w:keepLines/>
              <w:jc w:val="center"/>
              <w:rPr>
                <w:rFonts w:ascii="Arial" w:hAnsi="Arial" w:cs="Arial"/>
                <w:bCs/>
                <w:sz w:val="18"/>
                <w:szCs w:val="18"/>
                <w:lang w:eastAsia="en-SG"/>
              </w:rPr>
            </w:pPr>
          </w:p>
        </w:tc>
        <w:tc>
          <w:tcPr>
            <w:tcW w:w="129" w:type="pct"/>
            <w:tcBorders>
              <w:top w:val="double" w:sz="4" w:space="0" w:color="auto"/>
              <w:left w:val="nil"/>
              <w:bottom w:val="single" w:sz="2" w:space="0" w:color="auto"/>
              <w:right w:val="nil"/>
            </w:tcBorders>
            <w:shd w:val="clear" w:color="auto" w:fill="auto"/>
            <w:noWrap/>
            <w:vAlign w:val="center"/>
          </w:tcPr>
          <w:p w14:paraId="244DC2E2" w14:textId="77777777" w:rsidR="007F0E99" w:rsidRPr="00060311" w:rsidRDefault="007F0E99" w:rsidP="004600F4">
            <w:pPr>
              <w:keepNext/>
              <w:keepLines/>
              <w:jc w:val="center"/>
              <w:rPr>
                <w:rFonts w:ascii="Arial" w:hAnsi="Arial" w:cs="Arial"/>
                <w:b/>
                <w:bCs/>
                <w:sz w:val="18"/>
                <w:szCs w:val="18"/>
                <w:lang w:eastAsia="en-SG"/>
              </w:rPr>
            </w:pPr>
          </w:p>
        </w:tc>
        <w:tc>
          <w:tcPr>
            <w:tcW w:w="583" w:type="pct"/>
            <w:tcBorders>
              <w:top w:val="double" w:sz="4" w:space="0" w:color="auto"/>
              <w:left w:val="nil"/>
              <w:bottom w:val="single" w:sz="2" w:space="0" w:color="auto"/>
              <w:right w:val="nil"/>
            </w:tcBorders>
            <w:shd w:val="clear" w:color="auto" w:fill="auto"/>
            <w:noWrap/>
            <w:vAlign w:val="center"/>
          </w:tcPr>
          <w:p w14:paraId="563A0BF3" w14:textId="77777777" w:rsidR="007F0E99" w:rsidRPr="00060311" w:rsidRDefault="007F0E99" w:rsidP="004600F4">
            <w:pPr>
              <w:keepNext/>
              <w:keepLines/>
              <w:jc w:val="center"/>
              <w:rPr>
                <w:rFonts w:ascii="Arial" w:hAnsi="Arial" w:cs="Arial"/>
                <w:b/>
                <w:bCs/>
                <w:sz w:val="18"/>
                <w:szCs w:val="18"/>
                <w:lang w:eastAsia="en-SG"/>
              </w:rPr>
            </w:pPr>
            <w:r w:rsidRPr="00060311">
              <w:rPr>
                <w:rFonts w:ascii="Arial" w:hAnsi="Arial" w:cs="Arial"/>
                <w:b/>
                <w:bCs/>
                <w:sz w:val="18"/>
                <w:szCs w:val="18"/>
                <w:lang w:eastAsia="en-SG"/>
              </w:rPr>
              <w:t>Gross Margin</w:t>
            </w:r>
          </w:p>
        </w:tc>
        <w:tc>
          <w:tcPr>
            <w:tcW w:w="533" w:type="pct"/>
            <w:tcBorders>
              <w:top w:val="double" w:sz="4" w:space="0" w:color="auto"/>
              <w:left w:val="nil"/>
              <w:bottom w:val="single" w:sz="2" w:space="0" w:color="auto"/>
              <w:right w:val="nil"/>
            </w:tcBorders>
            <w:shd w:val="clear" w:color="auto" w:fill="auto"/>
            <w:noWrap/>
            <w:vAlign w:val="center"/>
          </w:tcPr>
          <w:p w14:paraId="0BE95DCB" w14:textId="77777777" w:rsidR="007F0E99" w:rsidRPr="00060311" w:rsidRDefault="007F0E99" w:rsidP="004600F4">
            <w:pPr>
              <w:keepNext/>
              <w:keepLines/>
              <w:jc w:val="center"/>
              <w:rPr>
                <w:rFonts w:ascii="Arial" w:hAnsi="Arial" w:cs="Arial"/>
                <w:b/>
                <w:bCs/>
                <w:sz w:val="18"/>
                <w:szCs w:val="18"/>
                <w:lang w:eastAsia="en-SG"/>
              </w:rPr>
            </w:pPr>
            <w:r w:rsidRPr="00060311">
              <w:rPr>
                <w:rFonts w:ascii="Arial" w:hAnsi="Arial" w:cs="Arial"/>
                <w:b/>
                <w:bCs/>
                <w:sz w:val="18"/>
                <w:szCs w:val="18"/>
                <w:lang w:eastAsia="en-SG"/>
              </w:rPr>
              <w:t>Net Margin</w:t>
            </w:r>
          </w:p>
        </w:tc>
        <w:tc>
          <w:tcPr>
            <w:tcW w:w="582" w:type="pct"/>
            <w:tcBorders>
              <w:top w:val="double" w:sz="4" w:space="0" w:color="auto"/>
              <w:left w:val="nil"/>
              <w:bottom w:val="single" w:sz="2" w:space="0" w:color="auto"/>
              <w:right w:val="nil"/>
            </w:tcBorders>
            <w:shd w:val="clear" w:color="auto" w:fill="auto"/>
            <w:noWrap/>
            <w:vAlign w:val="center"/>
          </w:tcPr>
          <w:p w14:paraId="12BFF989" w14:textId="77777777" w:rsidR="007F0E99" w:rsidRPr="00060311" w:rsidRDefault="007F0E99" w:rsidP="004600F4">
            <w:pPr>
              <w:keepNext/>
              <w:keepLines/>
              <w:jc w:val="center"/>
              <w:rPr>
                <w:rFonts w:ascii="Arial" w:hAnsi="Arial" w:cs="Arial"/>
                <w:b/>
                <w:bCs/>
                <w:sz w:val="18"/>
                <w:szCs w:val="18"/>
                <w:lang w:eastAsia="en-SG"/>
              </w:rPr>
            </w:pPr>
            <w:r w:rsidRPr="00060311">
              <w:rPr>
                <w:rFonts w:ascii="Arial" w:hAnsi="Arial" w:cs="Arial"/>
                <w:b/>
                <w:bCs/>
                <w:sz w:val="18"/>
                <w:szCs w:val="18"/>
                <w:lang w:eastAsia="en-SG"/>
              </w:rPr>
              <w:t>Total Asset Turnover</w:t>
            </w:r>
          </w:p>
        </w:tc>
        <w:tc>
          <w:tcPr>
            <w:tcW w:w="583" w:type="pct"/>
            <w:tcBorders>
              <w:top w:val="double" w:sz="4" w:space="0" w:color="auto"/>
              <w:left w:val="nil"/>
              <w:bottom w:val="single" w:sz="2" w:space="0" w:color="auto"/>
              <w:right w:val="nil"/>
            </w:tcBorders>
            <w:shd w:val="clear" w:color="auto" w:fill="auto"/>
            <w:noWrap/>
            <w:vAlign w:val="center"/>
          </w:tcPr>
          <w:p w14:paraId="69D4A681" w14:textId="77777777" w:rsidR="007F0E99" w:rsidRPr="00060311" w:rsidRDefault="007F0E99" w:rsidP="004600F4">
            <w:pPr>
              <w:keepNext/>
              <w:keepLines/>
              <w:jc w:val="center"/>
              <w:rPr>
                <w:rFonts w:ascii="Arial" w:hAnsi="Arial" w:cs="Arial"/>
                <w:b/>
                <w:bCs/>
                <w:sz w:val="18"/>
                <w:szCs w:val="18"/>
                <w:lang w:eastAsia="en-SG"/>
              </w:rPr>
            </w:pPr>
            <w:r w:rsidRPr="00060311">
              <w:rPr>
                <w:rFonts w:ascii="Arial" w:hAnsi="Arial" w:cs="Arial"/>
                <w:b/>
                <w:bCs/>
                <w:sz w:val="18"/>
                <w:szCs w:val="18"/>
                <w:lang w:eastAsia="en-SG"/>
              </w:rPr>
              <w:t>Inventory Turnover</w:t>
            </w:r>
          </w:p>
        </w:tc>
        <w:tc>
          <w:tcPr>
            <w:tcW w:w="634" w:type="pct"/>
            <w:tcBorders>
              <w:top w:val="double" w:sz="4" w:space="0" w:color="auto"/>
              <w:left w:val="nil"/>
              <w:bottom w:val="single" w:sz="2" w:space="0" w:color="auto"/>
              <w:right w:val="nil"/>
            </w:tcBorders>
            <w:shd w:val="clear" w:color="auto" w:fill="auto"/>
            <w:noWrap/>
            <w:vAlign w:val="center"/>
          </w:tcPr>
          <w:p w14:paraId="1E048360" w14:textId="77777777" w:rsidR="007F0E99" w:rsidRPr="00060311" w:rsidRDefault="007F0E99" w:rsidP="004600F4">
            <w:pPr>
              <w:keepNext/>
              <w:keepLines/>
              <w:jc w:val="center"/>
              <w:rPr>
                <w:rFonts w:ascii="Arial" w:hAnsi="Arial" w:cs="Arial"/>
                <w:b/>
                <w:bCs/>
                <w:sz w:val="18"/>
                <w:szCs w:val="18"/>
                <w:lang w:eastAsia="en-SG"/>
              </w:rPr>
            </w:pPr>
            <w:r w:rsidRPr="00060311">
              <w:rPr>
                <w:rFonts w:ascii="Arial" w:hAnsi="Arial" w:cs="Arial"/>
                <w:b/>
                <w:bCs/>
                <w:sz w:val="18"/>
                <w:szCs w:val="18"/>
                <w:lang w:eastAsia="en-SG"/>
              </w:rPr>
              <w:t>Receivable Turnover</w:t>
            </w:r>
          </w:p>
        </w:tc>
        <w:tc>
          <w:tcPr>
            <w:tcW w:w="580" w:type="pct"/>
            <w:tcBorders>
              <w:top w:val="double" w:sz="4" w:space="0" w:color="auto"/>
              <w:left w:val="nil"/>
              <w:bottom w:val="single" w:sz="2" w:space="0" w:color="auto"/>
              <w:right w:val="nil"/>
            </w:tcBorders>
            <w:shd w:val="clear" w:color="auto" w:fill="auto"/>
            <w:noWrap/>
            <w:vAlign w:val="center"/>
          </w:tcPr>
          <w:p w14:paraId="2E30AB8E" w14:textId="77777777" w:rsidR="007F0E99" w:rsidRPr="00060311" w:rsidRDefault="007F0E99" w:rsidP="004600F4">
            <w:pPr>
              <w:keepNext/>
              <w:keepLines/>
              <w:jc w:val="center"/>
              <w:rPr>
                <w:rFonts w:ascii="Arial" w:hAnsi="Arial" w:cs="Arial"/>
                <w:b/>
                <w:bCs/>
                <w:sz w:val="18"/>
                <w:szCs w:val="18"/>
                <w:lang w:eastAsia="en-SG"/>
              </w:rPr>
            </w:pPr>
            <w:r w:rsidRPr="00060311">
              <w:rPr>
                <w:rFonts w:ascii="Arial" w:hAnsi="Arial" w:cs="Arial"/>
                <w:b/>
                <w:bCs/>
                <w:sz w:val="18"/>
                <w:szCs w:val="18"/>
                <w:lang w:eastAsia="en-SG"/>
              </w:rPr>
              <w:t>Payable Turnover</w:t>
            </w:r>
          </w:p>
        </w:tc>
      </w:tr>
      <w:tr w:rsidR="006F36D1" w:rsidRPr="0038701A" w14:paraId="19C67AC1" w14:textId="77777777" w:rsidTr="004600F4">
        <w:trPr>
          <w:trHeight w:val="285"/>
        </w:trPr>
        <w:tc>
          <w:tcPr>
            <w:tcW w:w="1376" w:type="pct"/>
            <w:tcBorders>
              <w:top w:val="single" w:sz="2" w:space="0" w:color="auto"/>
              <w:left w:val="nil"/>
              <w:bottom w:val="nil"/>
              <w:right w:val="nil"/>
            </w:tcBorders>
            <w:shd w:val="clear" w:color="auto" w:fill="auto"/>
            <w:noWrap/>
            <w:vAlign w:val="center"/>
          </w:tcPr>
          <w:p w14:paraId="4B942D29" w14:textId="77777777" w:rsidR="006F36D1" w:rsidRPr="00060311" w:rsidRDefault="006F36D1" w:rsidP="004600F4">
            <w:pPr>
              <w:keepNext/>
              <w:keepLines/>
              <w:rPr>
                <w:rFonts w:ascii="Arial" w:hAnsi="Arial" w:cs="Arial"/>
                <w:bCs/>
                <w:color w:val="000000"/>
                <w:sz w:val="18"/>
                <w:szCs w:val="18"/>
              </w:rPr>
            </w:pPr>
            <w:r w:rsidRPr="00060311">
              <w:rPr>
                <w:rFonts w:ascii="Arial" w:hAnsi="Arial" w:cs="Arial"/>
                <w:bCs/>
                <w:color w:val="000000"/>
                <w:sz w:val="18"/>
                <w:szCs w:val="18"/>
              </w:rPr>
              <w:t>Bukit Sembawang Estates</w:t>
            </w:r>
          </w:p>
        </w:tc>
        <w:tc>
          <w:tcPr>
            <w:tcW w:w="129" w:type="pct"/>
            <w:tcBorders>
              <w:top w:val="single" w:sz="2" w:space="0" w:color="auto"/>
              <w:left w:val="nil"/>
              <w:bottom w:val="nil"/>
              <w:right w:val="nil"/>
            </w:tcBorders>
            <w:shd w:val="clear" w:color="auto" w:fill="auto"/>
            <w:noWrap/>
            <w:vAlign w:val="bottom"/>
          </w:tcPr>
          <w:p w14:paraId="0E95697F" w14:textId="77777777" w:rsidR="006F36D1" w:rsidRPr="00060311" w:rsidRDefault="006F36D1" w:rsidP="005F30D2">
            <w:pPr>
              <w:keepNext/>
              <w:keepLines/>
              <w:jc w:val="right"/>
              <w:rPr>
                <w:rFonts w:ascii="Arial" w:hAnsi="Arial" w:cs="Arial"/>
                <w:b/>
                <w:bCs/>
                <w:sz w:val="18"/>
                <w:szCs w:val="18"/>
                <w:lang w:eastAsia="en-SG"/>
              </w:rPr>
            </w:pPr>
          </w:p>
        </w:tc>
        <w:tc>
          <w:tcPr>
            <w:tcW w:w="583" w:type="pct"/>
            <w:tcBorders>
              <w:top w:val="single" w:sz="2" w:space="0" w:color="auto"/>
              <w:left w:val="nil"/>
              <w:bottom w:val="nil"/>
              <w:right w:val="nil"/>
            </w:tcBorders>
            <w:shd w:val="clear" w:color="auto" w:fill="auto"/>
            <w:noWrap/>
            <w:vAlign w:val="center"/>
          </w:tcPr>
          <w:p w14:paraId="14FCDA52"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41.53</w:t>
            </w:r>
          </w:p>
        </w:tc>
        <w:tc>
          <w:tcPr>
            <w:tcW w:w="533" w:type="pct"/>
            <w:tcBorders>
              <w:top w:val="single" w:sz="2" w:space="0" w:color="auto"/>
              <w:left w:val="nil"/>
              <w:bottom w:val="nil"/>
              <w:right w:val="nil"/>
            </w:tcBorders>
            <w:shd w:val="clear" w:color="auto" w:fill="auto"/>
            <w:noWrap/>
            <w:vAlign w:val="center"/>
          </w:tcPr>
          <w:p w14:paraId="43504392"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32.33</w:t>
            </w:r>
          </w:p>
        </w:tc>
        <w:tc>
          <w:tcPr>
            <w:tcW w:w="582" w:type="pct"/>
            <w:tcBorders>
              <w:top w:val="single" w:sz="2" w:space="0" w:color="auto"/>
              <w:left w:val="nil"/>
              <w:bottom w:val="nil"/>
              <w:right w:val="nil"/>
            </w:tcBorders>
            <w:shd w:val="clear" w:color="auto" w:fill="auto"/>
            <w:noWrap/>
            <w:vAlign w:val="center"/>
          </w:tcPr>
          <w:p w14:paraId="793D1253"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0.28</w:t>
            </w:r>
          </w:p>
        </w:tc>
        <w:tc>
          <w:tcPr>
            <w:tcW w:w="583" w:type="pct"/>
            <w:tcBorders>
              <w:top w:val="single" w:sz="2" w:space="0" w:color="auto"/>
              <w:left w:val="nil"/>
              <w:bottom w:val="nil"/>
              <w:right w:val="nil"/>
            </w:tcBorders>
            <w:shd w:val="clear" w:color="auto" w:fill="auto"/>
            <w:noWrap/>
            <w:vAlign w:val="center"/>
          </w:tcPr>
          <w:p w14:paraId="36F4F5A3"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0.19</w:t>
            </w:r>
          </w:p>
        </w:tc>
        <w:tc>
          <w:tcPr>
            <w:tcW w:w="634" w:type="pct"/>
            <w:tcBorders>
              <w:top w:val="single" w:sz="2" w:space="0" w:color="auto"/>
              <w:left w:val="nil"/>
              <w:bottom w:val="nil"/>
              <w:right w:val="nil"/>
            </w:tcBorders>
            <w:shd w:val="clear" w:color="auto" w:fill="auto"/>
            <w:noWrap/>
            <w:vAlign w:val="center"/>
          </w:tcPr>
          <w:p w14:paraId="6E802EE0"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22.23</w:t>
            </w:r>
          </w:p>
        </w:tc>
        <w:tc>
          <w:tcPr>
            <w:tcW w:w="580" w:type="pct"/>
            <w:tcBorders>
              <w:top w:val="single" w:sz="2" w:space="0" w:color="auto"/>
              <w:left w:val="nil"/>
              <w:bottom w:val="nil"/>
              <w:right w:val="nil"/>
            </w:tcBorders>
            <w:shd w:val="clear" w:color="auto" w:fill="auto"/>
            <w:noWrap/>
            <w:vAlign w:val="center"/>
          </w:tcPr>
          <w:p w14:paraId="46933E36"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28.67</w:t>
            </w:r>
          </w:p>
        </w:tc>
      </w:tr>
      <w:tr w:rsidR="006F36D1" w:rsidRPr="0038701A" w14:paraId="4EFD48C8" w14:textId="77777777" w:rsidTr="004600F4">
        <w:trPr>
          <w:trHeight w:val="285"/>
        </w:trPr>
        <w:tc>
          <w:tcPr>
            <w:tcW w:w="1376" w:type="pct"/>
            <w:tcBorders>
              <w:top w:val="nil"/>
              <w:left w:val="nil"/>
              <w:bottom w:val="nil"/>
              <w:right w:val="nil"/>
            </w:tcBorders>
            <w:shd w:val="clear" w:color="auto" w:fill="auto"/>
            <w:noWrap/>
            <w:vAlign w:val="center"/>
          </w:tcPr>
          <w:p w14:paraId="6E600F7C" w14:textId="77777777" w:rsidR="006F36D1" w:rsidRPr="00060311" w:rsidRDefault="006F36D1" w:rsidP="004600F4">
            <w:pPr>
              <w:keepNext/>
              <w:keepLines/>
              <w:rPr>
                <w:rFonts w:ascii="Arial" w:hAnsi="Arial" w:cs="Arial"/>
                <w:bCs/>
                <w:color w:val="000000"/>
                <w:sz w:val="18"/>
                <w:szCs w:val="18"/>
              </w:rPr>
            </w:pPr>
            <w:r w:rsidRPr="00060311">
              <w:rPr>
                <w:rFonts w:ascii="Arial" w:hAnsi="Arial" w:cs="Arial"/>
                <w:bCs/>
                <w:color w:val="000000"/>
                <w:sz w:val="18"/>
                <w:szCs w:val="18"/>
              </w:rPr>
              <w:t>City Developments Ltd</w:t>
            </w:r>
          </w:p>
        </w:tc>
        <w:tc>
          <w:tcPr>
            <w:tcW w:w="129" w:type="pct"/>
            <w:tcBorders>
              <w:top w:val="nil"/>
              <w:left w:val="nil"/>
              <w:bottom w:val="nil"/>
              <w:right w:val="nil"/>
            </w:tcBorders>
            <w:shd w:val="clear" w:color="auto" w:fill="auto"/>
            <w:noWrap/>
            <w:vAlign w:val="bottom"/>
          </w:tcPr>
          <w:p w14:paraId="763EEBEC" w14:textId="77777777" w:rsidR="006F36D1" w:rsidRPr="00060311" w:rsidRDefault="006F36D1" w:rsidP="005F30D2">
            <w:pPr>
              <w:keepNext/>
              <w:keepLines/>
              <w:jc w:val="right"/>
              <w:rPr>
                <w:rFonts w:ascii="Arial" w:hAnsi="Arial" w:cs="Arial"/>
                <w:b/>
                <w:bCs/>
                <w:sz w:val="18"/>
                <w:szCs w:val="18"/>
                <w:lang w:eastAsia="en-SG"/>
              </w:rPr>
            </w:pPr>
          </w:p>
        </w:tc>
        <w:tc>
          <w:tcPr>
            <w:tcW w:w="583" w:type="pct"/>
            <w:tcBorders>
              <w:top w:val="nil"/>
              <w:left w:val="nil"/>
              <w:bottom w:val="nil"/>
              <w:right w:val="nil"/>
            </w:tcBorders>
            <w:shd w:val="clear" w:color="auto" w:fill="auto"/>
            <w:noWrap/>
            <w:vAlign w:val="center"/>
          </w:tcPr>
          <w:p w14:paraId="66EDC1E1"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51.60</w:t>
            </w:r>
          </w:p>
        </w:tc>
        <w:tc>
          <w:tcPr>
            <w:tcW w:w="533" w:type="pct"/>
            <w:tcBorders>
              <w:top w:val="nil"/>
              <w:left w:val="nil"/>
              <w:bottom w:val="nil"/>
              <w:right w:val="nil"/>
            </w:tcBorders>
            <w:shd w:val="clear" w:color="auto" w:fill="auto"/>
            <w:noWrap/>
            <w:vAlign w:val="center"/>
          </w:tcPr>
          <w:p w14:paraId="4A33CC66"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21.40</w:t>
            </w:r>
          </w:p>
        </w:tc>
        <w:tc>
          <w:tcPr>
            <w:tcW w:w="582" w:type="pct"/>
            <w:tcBorders>
              <w:top w:val="nil"/>
              <w:left w:val="nil"/>
              <w:bottom w:val="nil"/>
              <w:right w:val="nil"/>
            </w:tcBorders>
            <w:shd w:val="clear" w:color="auto" w:fill="auto"/>
            <w:noWrap/>
            <w:vAlign w:val="center"/>
          </w:tcPr>
          <w:p w14:paraId="403541F7"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0.18</w:t>
            </w:r>
          </w:p>
        </w:tc>
        <w:tc>
          <w:tcPr>
            <w:tcW w:w="583" w:type="pct"/>
            <w:tcBorders>
              <w:top w:val="nil"/>
              <w:left w:val="nil"/>
              <w:bottom w:val="nil"/>
              <w:right w:val="nil"/>
            </w:tcBorders>
            <w:shd w:val="clear" w:color="auto" w:fill="auto"/>
            <w:noWrap/>
            <w:vAlign w:val="center"/>
          </w:tcPr>
          <w:p w14:paraId="5630838F"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0.36</w:t>
            </w:r>
          </w:p>
        </w:tc>
        <w:tc>
          <w:tcPr>
            <w:tcW w:w="634" w:type="pct"/>
            <w:tcBorders>
              <w:top w:val="nil"/>
              <w:left w:val="nil"/>
              <w:bottom w:val="nil"/>
              <w:right w:val="nil"/>
            </w:tcBorders>
            <w:shd w:val="clear" w:color="auto" w:fill="auto"/>
            <w:noWrap/>
            <w:vAlign w:val="center"/>
          </w:tcPr>
          <w:p w14:paraId="1E33F532"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27.93</w:t>
            </w:r>
          </w:p>
        </w:tc>
        <w:tc>
          <w:tcPr>
            <w:tcW w:w="580" w:type="pct"/>
            <w:tcBorders>
              <w:top w:val="nil"/>
              <w:left w:val="nil"/>
              <w:bottom w:val="nil"/>
              <w:right w:val="nil"/>
            </w:tcBorders>
            <w:shd w:val="clear" w:color="auto" w:fill="auto"/>
            <w:noWrap/>
            <w:vAlign w:val="center"/>
          </w:tcPr>
          <w:p w14:paraId="4A523663"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8.85</w:t>
            </w:r>
          </w:p>
        </w:tc>
      </w:tr>
      <w:tr w:rsidR="006F36D1" w:rsidRPr="0038701A" w14:paraId="6887A62B" w14:textId="77777777" w:rsidTr="004600F4">
        <w:trPr>
          <w:trHeight w:val="285"/>
        </w:trPr>
        <w:tc>
          <w:tcPr>
            <w:tcW w:w="1376" w:type="pct"/>
            <w:tcBorders>
              <w:top w:val="nil"/>
              <w:left w:val="nil"/>
              <w:bottom w:val="nil"/>
              <w:right w:val="nil"/>
            </w:tcBorders>
            <w:shd w:val="clear" w:color="auto" w:fill="auto"/>
            <w:noWrap/>
            <w:vAlign w:val="center"/>
          </w:tcPr>
          <w:p w14:paraId="654272FD" w14:textId="54C1C0F9" w:rsidR="006F36D1" w:rsidRPr="00060311" w:rsidRDefault="006F36D1" w:rsidP="004600F4">
            <w:pPr>
              <w:keepNext/>
              <w:keepLines/>
              <w:rPr>
                <w:rFonts w:ascii="Arial" w:hAnsi="Arial" w:cs="Arial"/>
                <w:bCs/>
                <w:color w:val="000000"/>
                <w:sz w:val="18"/>
                <w:szCs w:val="18"/>
              </w:rPr>
            </w:pPr>
            <w:r w:rsidRPr="00060311">
              <w:rPr>
                <w:rFonts w:ascii="Arial" w:hAnsi="Arial" w:cs="Arial"/>
                <w:bCs/>
                <w:color w:val="000000"/>
                <w:sz w:val="18"/>
                <w:szCs w:val="18"/>
              </w:rPr>
              <w:t>Frasers Cent</w:t>
            </w:r>
            <w:r w:rsidR="002F3EBF">
              <w:rPr>
                <w:rFonts w:ascii="Arial" w:hAnsi="Arial" w:cs="Arial"/>
                <w:bCs/>
                <w:color w:val="000000"/>
                <w:sz w:val="18"/>
                <w:szCs w:val="18"/>
              </w:rPr>
              <w:t>re</w:t>
            </w:r>
            <w:r w:rsidRPr="00060311">
              <w:rPr>
                <w:rFonts w:ascii="Arial" w:hAnsi="Arial" w:cs="Arial"/>
                <w:bCs/>
                <w:color w:val="000000"/>
                <w:sz w:val="18"/>
                <w:szCs w:val="18"/>
              </w:rPr>
              <w:t>point Limited</w:t>
            </w:r>
          </w:p>
        </w:tc>
        <w:tc>
          <w:tcPr>
            <w:tcW w:w="129" w:type="pct"/>
            <w:tcBorders>
              <w:top w:val="nil"/>
              <w:left w:val="nil"/>
              <w:bottom w:val="nil"/>
              <w:right w:val="nil"/>
            </w:tcBorders>
            <w:shd w:val="clear" w:color="auto" w:fill="auto"/>
            <w:noWrap/>
            <w:vAlign w:val="bottom"/>
          </w:tcPr>
          <w:p w14:paraId="414253BD" w14:textId="77777777" w:rsidR="006F36D1" w:rsidRPr="00060311" w:rsidRDefault="006F36D1" w:rsidP="005F30D2">
            <w:pPr>
              <w:keepNext/>
              <w:keepLines/>
              <w:jc w:val="right"/>
              <w:rPr>
                <w:rFonts w:ascii="Arial" w:hAnsi="Arial" w:cs="Arial"/>
                <w:b/>
                <w:bCs/>
                <w:sz w:val="18"/>
                <w:szCs w:val="18"/>
                <w:lang w:eastAsia="en-SG"/>
              </w:rPr>
            </w:pPr>
          </w:p>
        </w:tc>
        <w:tc>
          <w:tcPr>
            <w:tcW w:w="583" w:type="pct"/>
            <w:tcBorders>
              <w:top w:val="nil"/>
              <w:left w:val="nil"/>
              <w:bottom w:val="nil"/>
              <w:right w:val="nil"/>
            </w:tcBorders>
            <w:shd w:val="clear" w:color="auto" w:fill="auto"/>
            <w:noWrap/>
            <w:vAlign w:val="center"/>
          </w:tcPr>
          <w:p w14:paraId="28934EDB"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39.54</w:t>
            </w:r>
          </w:p>
        </w:tc>
        <w:tc>
          <w:tcPr>
            <w:tcW w:w="533" w:type="pct"/>
            <w:tcBorders>
              <w:top w:val="nil"/>
              <w:left w:val="nil"/>
              <w:bottom w:val="nil"/>
              <w:right w:val="nil"/>
            </w:tcBorders>
            <w:shd w:val="clear" w:color="auto" w:fill="auto"/>
            <w:noWrap/>
            <w:vAlign w:val="center"/>
          </w:tcPr>
          <w:p w14:paraId="3644EF31"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35.19</w:t>
            </w:r>
          </w:p>
        </w:tc>
        <w:tc>
          <w:tcPr>
            <w:tcW w:w="582" w:type="pct"/>
            <w:tcBorders>
              <w:top w:val="nil"/>
              <w:left w:val="nil"/>
              <w:bottom w:val="nil"/>
              <w:right w:val="nil"/>
            </w:tcBorders>
            <w:shd w:val="clear" w:color="auto" w:fill="auto"/>
            <w:noWrap/>
            <w:vAlign w:val="center"/>
          </w:tcPr>
          <w:p w14:paraId="0D98F728"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0.20</w:t>
            </w:r>
          </w:p>
        </w:tc>
        <w:tc>
          <w:tcPr>
            <w:tcW w:w="583" w:type="pct"/>
            <w:tcBorders>
              <w:top w:val="nil"/>
              <w:left w:val="nil"/>
              <w:bottom w:val="nil"/>
              <w:right w:val="nil"/>
            </w:tcBorders>
            <w:shd w:val="clear" w:color="auto" w:fill="auto"/>
            <w:noWrap/>
            <w:vAlign w:val="center"/>
          </w:tcPr>
          <w:p w14:paraId="404E7087"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0.27</w:t>
            </w:r>
          </w:p>
        </w:tc>
        <w:tc>
          <w:tcPr>
            <w:tcW w:w="634" w:type="pct"/>
            <w:tcBorders>
              <w:top w:val="nil"/>
              <w:left w:val="nil"/>
              <w:bottom w:val="nil"/>
              <w:right w:val="nil"/>
            </w:tcBorders>
            <w:shd w:val="clear" w:color="auto" w:fill="auto"/>
            <w:noWrap/>
            <w:vAlign w:val="center"/>
          </w:tcPr>
          <w:p w14:paraId="1C3FD153"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16.64</w:t>
            </w:r>
          </w:p>
        </w:tc>
        <w:tc>
          <w:tcPr>
            <w:tcW w:w="580" w:type="pct"/>
            <w:tcBorders>
              <w:top w:val="nil"/>
              <w:left w:val="nil"/>
              <w:bottom w:val="nil"/>
              <w:right w:val="nil"/>
            </w:tcBorders>
            <w:shd w:val="clear" w:color="auto" w:fill="auto"/>
            <w:noWrap/>
            <w:vAlign w:val="center"/>
          </w:tcPr>
          <w:p w14:paraId="574E0E4E"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4.37</w:t>
            </w:r>
          </w:p>
        </w:tc>
      </w:tr>
      <w:tr w:rsidR="006F36D1" w:rsidRPr="0038701A" w14:paraId="06BE5055" w14:textId="77777777" w:rsidTr="004600F4">
        <w:trPr>
          <w:trHeight w:val="285"/>
        </w:trPr>
        <w:tc>
          <w:tcPr>
            <w:tcW w:w="1376" w:type="pct"/>
            <w:tcBorders>
              <w:top w:val="nil"/>
              <w:left w:val="nil"/>
              <w:bottom w:val="nil"/>
              <w:right w:val="nil"/>
            </w:tcBorders>
            <w:shd w:val="clear" w:color="auto" w:fill="auto"/>
            <w:noWrap/>
            <w:vAlign w:val="center"/>
          </w:tcPr>
          <w:p w14:paraId="36FEA5AD" w14:textId="77777777" w:rsidR="006F36D1" w:rsidRPr="00060311" w:rsidRDefault="006F36D1" w:rsidP="004600F4">
            <w:pPr>
              <w:keepNext/>
              <w:keepLines/>
              <w:rPr>
                <w:rFonts w:ascii="Arial" w:hAnsi="Arial" w:cs="Arial"/>
                <w:bCs/>
                <w:color w:val="000000"/>
                <w:sz w:val="18"/>
                <w:szCs w:val="18"/>
              </w:rPr>
            </w:pPr>
            <w:r w:rsidRPr="00060311">
              <w:rPr>
                <w:rFonts w:ascii="Arial" w:hAnsi="Arial" w:cs="Arial"/>
                <w:bCs/>
                <w:color w:val="000000"/>
                <w:sz w:val="18"/>
                <w:szCs w:val="18"/>
              </w:rPr>
              <w:t>Global Logistic Properties</w:t>
            </w:r>
          </w:p>
        </w:tc>
        <w:tc>
          <w:tcPr>
            <w:tcW w:w="129" w:type="pct"/>
            <w:tcBorders>
              <w:top w:val="nil"/>
              <w:left w:val="nil"/>
              <w:bottom w:val="nil"/>
              <w:right w:val="nil"/>
            </w:tcBorders>
            <w:shd w:val="clear" w:color="auto" w:fill="auto"/>
            <w:noWrap/>
            <w:vAlign w:val="bottom"/>
          </w:tcPr>
          <w:p w14:paraId="6226A075" w14:textId="77777777" w:rsidR="006F36D1" w:rsidRPr="00060311" w:rsidRDefault="006F36D1" w:rsidP="005F30D2">
            <w:pPr>
              <w:keepNext/>
              <w:keepLines/>
              <w:jc w:val="right"/>
              <w:rPr>
                <w:rFonts w:ascii="Arial" w:hAnsi="Arial" w:cs="Arial"/>
                <w:b/>
                <w:bCs/>
                <w:sz w:val="18"/>
                <w:szCs w:val="18"/>
                <w:lang w:eastAsia="en-SG"/>
              </w:rPr>
            </w:pPr>
          </w:p>
        </w:tc>
        <w:tc>
          <w:tcPr>
            <w:tcW w:w="583" w:type="pct"/>
            <w:tcBorders>
              <w:top w:val="nil"/>
              <w:left w:val="nil"/>
              <w:bottom w:val="nil"/>
              <w:right w:val="nil"/>
            </w:tcBorders>
            <w:shd w:val="clear" w:color="auto" w:fill="auto"/>
            <w:noWrap/>
            <w:vAlign w:val="center"/>
          </w:tcPr>
          <w:p w14:paraId="7EE694B2" w14:textId="7F529A78" w:rsidR="006F36D1" w:rsidRPr="00060311" w:rsidRDefault="00083574" w:rsidP="004600F4">
            <w:pPr>
              <w:keepNext/>
              <w:keepLines/>
              <w:jc w:val="right"/>
              <w:rPr>
                <w:rFonts w:ascii="Arial" w:hAnsi="Arial" w:cs="Arial"/>
                <w:color w:val="000000"/>
                <w:sz w:val="18"/>
                <w:szCs w:val="18"/>
              </w:rPr>
            </w:pPr>
            <w:r>
              <w:rPr>
                <w:rFonts w:ascii="Arial" w:hAnsi="Arial" w:cs="Arial"/>
                <w:color w:val="000000"/>
                <w:sz w:val="18"/>
                <w:szCs w:val="18"/>
              </w:rPr>
              <w:t>—</w:t>
            </w:r>
          </w:p>
        </w:tc>
        <w:tc>
          <w:tcPr>
            <w:tcW w:w="533" w:type="pct"/>
            <w:tcBorders>
              <w:top w:val="nil"/>
              <w:left w:val="nil"/>
              <w:bottom w:val="nil"/>
              <w:right w:val="nil"/>
            </w:tcBorders>
            <w:shd w:val="clear" w:color="auto" w:fill="auto"/>
            <w:noWrap/>
            <w:vAlign w:val="center"/>
          </w:tcPr>
          <w:p w14:paraId="6EE37BF4"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107.04</w:t>
            </w:r>
          </w:p>
        </w:tc>
        <w:tc>
          <w:tcPr>
            <w:tcW w:w="582" w:type="pct"/>
            <w:tcBorders>
              <w:top w:val="nil"/>
              <w:left w:val="nil"/>
              <w:bottom w:val="nil"/>
              <w:right w:val="nil"/>
            </w:tcBorders>
            <w:shd w:val="clear" w:color="auto" w:fill="auto"/>
            <w:noWrap/>
            <w:vAlign w:val="center"/>
          </w:tcPr>
          <w:p w14:paraId="28173342"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0.05</w:t>
            </w:r>
          </w:p>
        </w:tc>
        <w:tc>
          <w:tcPr>
            <w:tcW w:w="583" w:type="pct"/>
            <w:tcBorders>
              <w:top w:val="nil"/>
              <w:left w:val="nil"/>
              <w:bottom w:val="nil"/>
              <w:right w:val="nil"/>
            </w:tcBorders>
            <w:shd w:val="clear" w:color="auto" w:fill="auto"/>
            <w:noWrap/>
            <w:vAlign w:val="center"/>
          </w:tcPr>
          <w:p w14:paraId="1D1628F2" w14:textId="1EFCFC2F" w:rsidR="006F36D1" w:rsidRPr="00060311" w:rsidRDefault="00083574" w:rsidP="004600F4">
            <w:pPr>
              <w:keepNext/>
              <w:keepLines/>
              <w:jc w:val="right"/>
              <w:rPr>
                <w:rFonts w:ascii="Arial" w:hAnsi="Arial" w:cs="Arial"/>
                <w:color w:val="000000"/>
                <w:sz w:val="18"/>
                <w:szCs w:val="18"/>
              </w:rPr>
            </w:pPr>
            <w:r>
              <w:rPr>
                <w:rFonts w:ascii="Arial" w:hAnsi="Arial" w:cs="Arial"/>
                <w:color w:val="000000"/>
                <w:sz w:val="18"/>
                <w:szCs w:val="18"/>
              </w:rPr>
              <w:t>—</w:t>
            </w:r>
          </w:p>
        </w:tc>
        <w:tc>
          <w:tcPr>
            <w:tcW w:w="634" w:type="pct"/>
            <w:tcBorders>
              <w:top w:val="nil"/>
              <w:left w:val="nil"/>
              <w:bottom w:val="nil"/>
              <w:right w:val="nil"/>
            </w:tcBorders>
            <w:shd w:val="clear" w:color="auto" w:fill="auto"/>
            <w:noWrap/>
            <w:vAlign w:val="center"/>
          </w:tcPr>
          <w:p w14:paraId="762D87B4"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25.79</w:t>
            </w:r>
          </w:p>
        </w:tc>
        <w:tc>
          <w:tcPr>
            <w:tcW w:w="580" w:type="pct"/>
            <w:tcBorders>
              <w:top w:val="nil"/>
              <w:left w:val="nil"/>
              <w:bottom w:val="nil"/>
              <w:right w:val="nil"/>
            </w:tcBorders>
            <w:shd w:val="clear" w:color="auto" w:fill="auto"/>
            <w:noWrap/>
            <w:vAlign w:val="center"/>
          </w:tcPr>
          <w:p w14:paraId="4BBC02A5" w14:textId="6A636406" w:rsidR="006F36D1" w:rsidRPr="00060311" w:rsidRDefault="00083574" w:rsidP="004600F4">
            <w:pPr>
              <w:keepNext/>
              <w:keepLines/>
              <w:jc w:val="right"/>
              <w:rPr>
                <w:rFonts w:ascii="Arial" w:hAnsi="Arial" w:cs="Arial"/>
                <w:color w:val="000000"/>
                <w:sz w:val="18"/>
                <w:szCs w:val="18"/>
              </w:rPr>
            </w:pPr>
            <w:r>
              <w:rPr>
                <w:rFonts w:ascii="Arial" w:hAnsi="Arial" w:cs="Arial"/>
                <w:color w:val="000000"/>
                <w:sz w:val="18"/>
                <w:szCs w:val="18"/>
              </w:rPr>
              <w:t>—</w:t>
            </w:r>
          </w:p>
        </w:tc>
      </w:tr>
      <w:tr w:rsidR="006F36D1" w:rsidRPr="0038701A" w14:paraId="7002377E" w14:textId="77777777" w:rsidTr="004600F4">
        <w:trPr>
          <w:trHeight w:val="285"/>
        </w:trPr>
        <w:tc>
          <w:tcPr>
            <w:tcW w:w="1376" w:type="pct"/>
            <w:tcBorders>
              <w:top w:val="nil"/>
              <w:left w:val="nil"/>
              <w:bottom w:val="nil"/>
              <w:right w:val="nil"/>
            </w:tcBorders>
            <w:shd w:val="clear" w:color="auto" w:fill="auto"/>
            <w:noWrap/>
            <w:vAlign w:val="center"/>
          </w:tcPr>
          <w:p w14:paraId="4E1C7EEE" w14:textId="77777777" w:rsidR="006F36D1" w:rsidRPr="00060311" w:rsidRDefault="006F36D1" w:rsidP="004600F4">
            <w:pPr>
              <w:keepNext/>
              <w:keepLines/>
              <w:rPr>
                <w:rFonts w:ascii="Arial" w:hAnsi="Arial" w:cs="Arial"/>
                <w:bCs/>
                <w:color w:val="000000"/>
                <w:sz w:val="18"/>
                <w:szCs w:val="18"/>
              </w:rPr>
            </w:pPr>
            <w:r w:rsidRPr="00060311">
              <w:rPr>
                <w:rFonts w:ascii="Arial" w:hAnsi="Arial" w:cs="Arial"/>
                <w:bCs/>
                <w:color w:val="000000"/>
                <w:sz w:val="18"/>
                <w:szCs w:val="18"/>
              </w:rPr>
              <w:t>Hongkong Land Holdings Ltd</w:t>
            </w:r>
          </w:p>
        </w:tc>
        <w:tc>
          <w:tcPr>
            <w:tcW w:w="129" w:type="pct"/>
            <w:tcBorders>
              <w:top w:val="nil"/>
              <w:left w:val="nil"/>
              <w:bottom w:val="nil"/>
              <w:right w:val="nil"/>
            </w:tcBorders>
            <w:shd w:val="clear" w:color="auto" w:fill="auto"/>
            <w:noWrap/>
            <w:vAlign w:val="bottom"/>
          </w:tcPr>
          <w:p w14:paraId="363E5730" w14:textId="77777777" w:rsidR="006F36D1" w:rsidRPr="00060311" w:rsidRDefault="006F36D1" w:rsidP="005F30D2">
            <w:pPr>
              <w:keepNext/>
              <w:keepLines/>
              <w:jc w:val="right"/>
              <w:rPr>
                <w:rFonts w:ascii="Arial" w:hAnsi="Arial" w:cs="Arial"/>
                <w:b/>
                <w:bCs/>
                <w:sz w:val="18"/>
                <w:szCs w:val="18"/>
                <w:lang w:eastAsia="en-SG"/>
              </w:rPr>
            </w:pPr>
          </w:p>
        </w:tc>
        <w:tc>
          <w:tcPr>
            <w:tcW w:w="583" w:type="pct"/>
            <w:tcBorders>
              <w:top w:val="nil"/>
              <w:left w:val="nil"/>
              <w:bottom w:val="nil"/>
              <w:right w:val="nil"/>
            </w:tcBorders>
            <w:shd w:val="clear" w:color="auto" w:fill="auto"/>
            <w:noWrap/>
            <w:vAlign w:val="center"/>
          </w:tcPr>
          <w:p w14:paraId="10A3A767"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53.79</w:t>
            </w:r>
          </w:p>
        </w:tc>
        <w:tc>
          <w:tcPr>
            <w:tcW w:w="533" w:type="pct"/>
            <w:tcBorders>
              <w:top w:val="nil"/>
              <w:left w:val="nil"/>
              <w:bottom w:val="nil"/>
              <w:right w:val="nil"/>
            </w:tcBorders>
            <w:shd w:val="clear" w:color="auto" w:fill="auto"/>
            <w:noWrap/>
            <w:vAlign w:val="center"/>
          </w:tcPr>
          <w:p w14:paraId="7159E186"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64.06</w:t>
            </w:r>
          </w:p>
        </w:tc>
        <w:tc>
          <w:tcPr>
            <w:tcW w:w="582" w:type="pct"/>
            <w:tcBorders>
              <w:top w:val="nil"/>
              <w:left w:val="nil"/>
              <w:bottom w:val="nil"/>
              <w:right w:val="nil"/>
            </w:tcBorders>
            <w:shd w:val="clear" w:color="auto" w:fill="auto"/>
            <w:noWrap/>
            <w:vAlign w:val="center"/>
          </w:tcPr>
          <w:p w14:paraId="202DB9FB"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0.06</w:t>
            </w:r>
          </w:p>
        </w:tc>
        <w:tc>
          <w:tcPr>
            <w:tcW w:w="583" w:type="pct"/>
            <w:tcBorders>
              <w:top w:val="nil"/>
              <w:left w:val="nil"/>
              <w:bottom w:val="nil"/>
              <w:right w:val="nil"/>
            </w:tcBorders>
            <w:shd w:val="clear" w:color="auto" w:fill="auto"/>
            <w:noWrap/>
            <w:vAlign w:val="center"/>
          </w:tcPr>
          <w:p w14:paraId="1544A608"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0.33</w:t>
            </w:r>
          </w:p>
        </w:tc>
        <w:tc>
          <w:tcPr>
            <w:tcW w:w="634" w:type="pct"/>
            <w:tcBorders>
              <w:top w:val="nil"/>
              <w:left w:val="nil"/>
              <w:bottom w:val="nil"/>
              <w:right w:val="nil"/>
            </w:tcBorders>
            <w:shd w:val="clear" w:color="auto" w:fill="auto"/>
            <w:noWrap/>
            <w:vAlign w:val="center"/>
          </w:tcPr>
          <w:p w14:paraId="05A23E34"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38.69</w:t>
            </w:r>
          </w:p>
        </w:tc>
        <w:tc>
          <w:tcPr>
            <w:tcW w:w="580" w:type="pct"/>
            <w:tcBorders>
              <w:top w:val="nil"/>
              <w:left w:val="nil"/>
              <w:bottom w:val="nil"/>
              <w:right w:val="nil"/>
            </w:tcBorders>
            <w:shd w:val="clear" w:color="auto" w:fill="auto"/>
            <w:noWrap/>
            <w:vAlign w:val="center"/>
          </w:tcPr>
          <w:p w14:paraId="3C38F455"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2.99</w:t>
            </w:r>
          </w:p>
        </w:tc>
      </w:tr>
      <w:tr w:rsidR="006F36D1" w:rsidRPr="0038701A" w14:paraId="7F1E94FF" w14:textId="77777777" w:rsidTr="004600F4">
        <w:trPr>
          <w:trHeight w:val="285"/>
        </w:trPr>
        <w:tc>
          <w:tcPr>
            <w:tcW w:w="1376" w:type="pct"/>
            <w:tcBorders>
              <w:top w:val="nil"/>
              <w:left w:val="nil"/>
              <w:bottom w:val="nil"/>
              <w:right w:val="nil"/>
            </w:tcBorders>
            <w:shd w:val="clear" w:color="auto" w:fill="auto"/>
            <w:noWrap/>
            <w:vAlign w:val="center"/>
          </w:tcPr>
          <w:p w14:paraId="2017DC14" w14:textId="77777777" w:rsidR="006F36D1" w:rsidRPr="00060311" w:rsidRDefault="006F36D1" w:rsidP="004600F4">
            <w:pPr>
              <w:keepNext/>
              <w:keepLines/>
              <w:rPr>
                <w:rFonts w:ascii="Arial" w:hAnsi="Arial" w:cs="Arial"/>
                <w:bCs/>
                <w:color w:val="000000"/>
                <w:sz w:val="18"/>
                <w:szCs w:val="18"/>
              </w:rPr>
            </w:pPr>
            <w:r w:rsidRPr="00060311">
              <w:rPr>
                <w:rFonts w:ascii="Arial" w:hAnsi="Arial" w:cs="Arial"/>
                <w:bCs/>
                <w:color w:val="000000"/>
                <w:sz w:val="18"/>
                <w:szCs w:val="18"/>
              </w:rPr>
              <w:t>Pollux Properties Ltd</w:t>
            </w:r>
          </w:p>
        </w:tc>
        <w:tc>
          <w:tcPr>
            <w:tcW w:w="129" w:type="pct"/>
            <w:tcBorders>
              <w:top w:val="nil"/>
              <w:left w:val="nil"/>
              <w:bottom w:val="nil"/>
              <w:right w:val="nil"/>
            </w:tcBorders>
            <w:shd w:val="clear" w:color="auto" w:fill="auto"/>
            <w:noWrap/>
            <w:vAlign w:val="bottom"/>
          </w:tcPr>
          <w:p w14:paraId="4E62B61E" w14:textId="77777777" w:rsidR="006F36D1" w:rsidRPr="00060311" w:rsidRDefault="006F36D1" w:rsidP="005F30D2">
            <w:pPr>
              <w:keepNext/>
              <w:keepLines/>
              <w:jc w:val="right"/>
              <w:rPr>
                <w:rFonts w:ascii="Arial" w:hAnsi="Arial" w:cs="Arial"/>
                <w:b/>
                <w:bCs/>
                <w:sz w:val="18"/>
                <w:szCs w:val="18"/>
                <w:lang w:eastAsia="en-SG"/>
              </w:rPr>
            </w:pPr>
          </w:p>
        </w:tc>
        <w:tc>
          <w:tcPr>
            <w:tcW w:w="583" w:type="pct"/>
            <w:tcBorders>
              <w:top w:val="nil"/>
              <w:left w:val="nil"/>
              <w:bottom w:val="nil"/>
              <w:right w:val="nil"/>
            </w:tcBorders>
            <w:shd w:val="clear" w:color="auto" w:fill="auto"/>
            <w:noWrap/>
            <w:vAlign w:val="center"/>
          </w:tcPr>
          <w:p w14:paraId="3BF18859"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24.71</w:t>
            </w:r>
          </w:p>
        </w:tc>
        <w:tc>
          <w:tcPr>
            <w:tcW w:w="533" w:type="pct"/>
            <w:tcBorders>
              <w:top w:val="nil"/>
              <w:left w:val="nil"/>
              <w:bottom w:val="nil"/>
              <w:right w:val="nil"/>
            </w:tcBorders>
            <w:shd w:val="clear" w:color="auto" w:fill="auto"/>
            <w:noWrap/>
            <w:vAlign w:val="center"/>
          </w:tcPr>
          <w:p w14:paraId="3C0883F1"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0.91</w:t>
            </w:r>
          </w:p>
        </w:tc>
        <w:tc>
          <w:tcPr>
            <w:tcW w:w="582" w:type="pct"/>
            <w:tcBorders>
              <w:top w:val="nil"/>
              <w:left w:val="nil"/>
              <w:bottom w:val="nil"/>
              <w:right w:val="nil"/>
            </w:tcBorders>
            <w:shd w:val="clear" w:color="auto" w:fill="auto"/>
            <w:noWrap/>
            <w:vAlign w:val="center"/>
          </w:tcPr>
          <w:p w14:paraId="2DBA8493"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0.09</w:t>
            </w:r>
          </w:p>
        </w:tc>
        <w:tc>
          <w:tcPr>
            <w:tcW w:w="583" w:type="pct"/>
            <w:tcBorders>
              <w:top w:val="nil"/>
              <w:left w:val="nil"/>
              <w:bottom w:val="nil"/>
              <w:right w:val="nil"/>
            </w:tcBorders>
            <w:shd w:val="clear" w:color="auto" w:fill="auto"/>
            <w:noWrap/>
            <w:vAlign w:val="center"/>
          </w:tcPr>
          <w:p w14:paraId="677CD4F1"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0.09</w:t>
            </w:r>
          </w:p>
        </w:tc>
        <w:tc>
          <w:tcPr>
            <w:tcW w:w="634" w:type="pct"/>
            <w:tcBorders>
              <w:top w:val="nil"/>
              <w:left w:val="nil"/>
              <w:bottom w:val="nil"/>
              <w:right w:val="nil"/>
            </w:tcBorders>
            <w:shd w:val="clear" w:color="auto" w:fill="auto"/>
            <w:noWrap/>
            <w:vAlign w:val="center"/>
          </w:tcPr>
          <w:p w14:paraId="3B01FDB7"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3,378.06</w:t>
            </w:r>
          </w:p>
        </w:tc>
        <w:tc>
          <w:tcPr>
            <w:tcW w:w="580" w:type="pct"/>
            <w:tcBorders>
              <w:top w:val="nil"/>
              <w:left w:val="nil"/>
              <w:bottom w:val="nil"/>
              <w:right w:val="nil"/>
            </w:tcBorders>
            <w:shd w:val="clear" w:color="auto" w:fill="auto"/>
            <w:noWrap/>
            <w:vAlign w:val="center"/>
          </w:tcPr>
          <w:p w14:paraId="566F18FD"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9.72</w:t>
            </w:r>
          </w:p>
        </w:tc>
      </w:tr>
      <w:tr w:rsidR="006F36D1" w:rsidRPr="0038701A" w14:paraId="40C371EE" w14:textId="77777777" w:rsidTr="004600F4">
        <w:trPr>
          <w:trHeight w:val="285"/>
        </w:trPr>
        <w:tc>
          <w:tcPr>
            <w:tcW w:w="1376" w:type="pct"/>
            <w:tcBorders>
              <w:top w:val="nil"/>
              <w:left w:val="nil"/>
              <w:bottom w:val="nil"/>
              <w:right w:val="nil"/>
            </w:tcBorders>
            <w:shd w:val="clear" w:color="auto" w:fill="auto"/>
            <w:noWrap/>
            <w:vAlign w:val="center"/>
          </w:tcPr>
          <w:p w14:paraId="5346FAD7" w14:textId="77777777" w:rsidR="006F36D1" w:rsidRPr="00060311" w:rsidRDefault="006F36D1" w:rsidP="004600F4">
            <w:pPr>
              <w:keepNext/>
              <w:keepLines/>
              <w:rPr>
                <w:rFonts w:ascii="Arial" w:hAnsi="Arial" w:cs="Arial"/>
                <w:bCs/>
                <w:color w:val="000000"/>
                <w:sz w:val="18"/>
                <w:szCs w:val="18"/>
              </w:rPr>
            </w:pPr>
            <w:r w:rsidRPr="00060311">
              <w:rPr>
                <w:rFonts w:ascii="Arial" w:hAnsi="Arial" w:cs="Arial"/>
                <w:bCs/>
                <w:color w:val="000000"/>
                <w:sz w:val="18"/>
                <w:szCs w:val="18"/>
              </w:rPr>
              <w:t>Sinarmas Land Ltd</w:t>
            </w:r>
          </w:p>
        </w:tc>
        <w:tc>
          <w:tcPr>
            <w:tcW w:w="129" w:type="pct"/>
            <w:tcBorders>
              <w:top w:val="nil"/>
              <w:left w:val="nil"/>
              <w:bottom w:val="nil"/>
              <w:right w:val="nil"/>
            </w:tcBorders>
            <w:shd w:val="clear" w:color="auto" w:fill="auto"/>
            <w:noWrap/>
            <w:vAlign w:val="bottom"/>
          </w:tcPr>
          <w:p w14:paraId="6511DBDA" w14:textId="77777777" w:rsidR="006F36D1" w:rsidRPr="00060311" w:rsidRDefault="006F36D1" w:rsidP="005F30D2">
            <w:pPr>
              <w:keepNext/>
              <w:keepLines/>
              <w:jc w:val="right"/>
              <w:rPr>
                <w:rFonts w:ascii="Arial" w:hAnsi="Arial" w:cs="Arial"/>
                <w:b/>
                <w:bCs/>
                <w:sz w:val="18"/>
                <w:szCs w:val="18"/>
                <w:lang w:eastAsia="en-SG"/>
              </w:rPr>
            </w:pPr>
          </w:p>
        </w:tc>
        <w:tc>
          <w:tcPr>
            <w:tcW w:w="583" w:type="pct"/>
            <w:tcBorders>
              <w:top w:val="nil"/>
              <w:left w:val="nil"/>
              <w:bottom w:val="nil"/>
              <w:right w:val="nil"/>
            </w:tcBorders>
            <w:shd w:val="clear" w:color="auto" w:fill="auto"/>
            <w:noWrap/>
            <w:vAlign w:val="center"/>
          </w:tcPr>
          <w:p w14:paraId="792C1A8D"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65.93</w:t>
            </w:r>
          </w:p>
        </w:tc>
        <w:tc>
          <w:tcPr>
            <w:tcW w:w="533" w:type="pct"/>
            <w:tcBorders>
              <w:top w:val="nil"/>
              <w:left w:val="nil"/>
              <w:bottom w:val="nil"/>
              <w:right w:val="nil"/>
            </w:tcBorders>
            <w:shd w:val="clear" w:color="auto" w:fill="auto"/>
            <w:noWrap/>
            <w:vAlign w:val="center"/>
          </w:tcPr>
          <w:p w14:paraId="2C0383B1"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24.51</w:t>
            </w:r>
          </w:p>
        </w:tc>
        <w:tc>
          <w:tcPr>
            <w:tcW w:w="582" w:type="pct"/>
            <w:tcBorders>
              <w:top w:val="nil"/>
              <w:left w:val="nil"/>
              <w:bottom w:val="nil"/>
              <w:right w:val="nil"/>
            </w:tcBorders>
            <w:shd w:val="clear" w:color="auto" w:fill="auto"/>
            <w:noWrap/>
            <w:vAlign w:val="center"/>
          </w:tcPr>
          <w:p w14:paraId="1DDFE981"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0.29</w:t>
            </w:r>
          </w:p>
        </w:tc>
        <w:tc>
          <w:tcPr>
            <w:tcW w:w="583" w:type="pct"/>
            <w:tcBorders>
              <w:top w:val="nil"/>
              <w:left w:val="nil"/>
              <w:bottom w:val="nil"/>
              <w:right w:val="nil"/>
            </w:tcBorders>
            <w:shd w:val="clear" w:color="auto" w:fill="auto"/>
            <w:noWrap/>
            <w:vAlign w:val="center"/>
          </w:tcPr>
          <w:p w14:paraId="320DC94A"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0.80</w:t>
            </w:r>
          </w:p>
        </w:tc>
        <w:tc>
          <w:tcPr>
            <w:tcW w:w="634" w:type="pct"/>
            <w:tcBorders>
              <w:top w:val="nil"/>
              <w:left w:val="nil"/>
              <w:bottom w:val="nil"/>
              <w:right w:val="nil"/>
            </w:tcBorders>
            <w:shd w:val="clear" w:color="auto" w:fill="auto"/>
            <w:noWrap/>
            <w:vAlign w:val="center"/>
          </w:tcPr>
          <w:p w14:paraId="55EFE40A"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100.13</w:t>
            </w:r>
          </w:p>
        </w:tc>
        <w:tc>
          <w:tcPr>
            <w:tcW w:w="580" w:type="pct"/>
            <w:tcBorders>
              <w:top w:val="nil"/>
              <w:left w:val="nil"/>
              <w:bottom w:val="nil"/>
              <w:right w:val="nil"/>
            </w:tcBorders>
            <w:shd w:val="clear" w:color="auto" w:fill="auto"/>
            <w:noWrap/>
            <w:vAlign w:val="center"/>
          </w:tcPr>
          <w:p w14:paraId="6F0C2A66"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19.08</w:t>
            </w:r>
          </w:p>
        </w:tc>
      </w:tr>
      <w:tr w:rsidR="006F36D1" w:rsidRPr="0038701A" w14:paraId="47C77103" w14:textId="77777777" w:rsidTr="004600F4">
        <w:trPr>
          <w:trHeight w:val="285"/>
        </w:trPr>
        <w:tc>
          <w:tcPr>
            <w:tcW w:w="1376" w:type="pct"/>
            <w:tcBorders>
              <w:top w:val="nil"/>
              <w:left w:val="nil"/>
              <w:bottom w:val="nil"/>
              <w:right w:val="nil"/>
            </w:tcBorders>
            <w:shd w:val="clear" w:color="auto" w:fill="auto"/>
            <w:noWrap/>
            <w:vAlign w:val="center"/>
          </w:tcPr>
          <w:p w14:paraId="24F6A070" w14:textId="77777777" w:rsidR="006F36D1" w:rsidRPr="00060311" w:rsidRDefault="006F36D1" w:rsidP="004600F4">
            <w:pPr>
              <w:keepNext/>
              <w:keepLines/>
              <w:rPr>
                <w:rFonts w:ascii="Arial" w:hAnsi="Arial" w:cs="Arial"/>
                <w:bCs/>
                <w:color w:val="000000"/>
                <w:sz w:val="18"/>
                <w:szCs w:val="18"/>
              </w:rPr>
            </w:pPr>
            <w:r w:rsidRPr="00060311">
              <w:rPr>
                <w:rFonts w:ascii="Arial" w:hAnsi="Arial" w:cs="Arial"/>
                <w:bCs/>
                <w:color w:val="000000"/>
                <w:sz w:val="18"/>
                <w:szCs w:val="18"/>
              </w:rPr>
              <w:t>Tuan Sing Holdings Ltd</w:t>
            </w:r>
          </w:p>
        </w:tc>
        <w:tc>
          <w:tcPr>
            <w:tcW w:w="129" w:type="pct"/>
            <w:tcBorders>
              <w:top w:val="nil"/>
              <w:left w:val="nil"/>
              <w:bottom w:val="nil"/>
              <w:right w:val="nil"/>
            </w:tcBorders>
            <w:shd w:val="clear" w:color="auto" w:fill="auto"/>
            <w:noWrap/>
            <w:vAlign w:val="bottom"/>
          </w:tcPr>
          <w:p w14:paraId="2475AE86" w14:textId="77777777" w:rsidR="006F36D1" w:rsidRPr="00060311" w:rsidRDefault="006F36D1" w:rsidP="005F30D2">
            <w:pPr>
              <w:keepNext/>
              <w:keepLines/>
              <w:jc w:val="right"/>
              <w:rPr>
                <w:rFonts w:ascii="Arial" w:hAnsi="Arial" w:cs="Arial"/>
                <w:b/>
                <w:bCs/>
                <w:sz w:val="18"/>
                <w:szCs w:val="18"/>
                <w:lang w:eastAsia="en-SG"/>
              </w:rPr>
            </w:pPr>
          </w:p>
        </w:tc>
        <w:tc>
          <w:tcPr>
            <w:tcW w:w="583" w:type="pct"/>
            <w:tcBorders>
              <w:top w:val="nil"/>
              <w:left w:val="nil"/>
              <w:bottom w:val="nil"/>
              <w:right w:val="nil"/>
            </w:tcBorders>
            <w:shd w:val="clear" w:color="auto" w:fill="auto"/>
            <w:noWrap/>
            <w:vAlign w:val="center"/>
          </w:tcPr>
          <w:p w14:paraId="51B5093E"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16.96</w:t>
            </w:r>
          </w:p>
        </w:tc>
        <w:tc>
          <w:tcPr>
            <w:tcW w:w="533" w:type="pct"/>
            <w:tcBorders>
              <w:top w:val="nil"/>
              <w:left w:val="nil"/>
              <w:bottom w:val="nil"/>
              <w:right w:val="nil"/>
            </w:tcBorders>
            <w:shd w:val="clear" w:color="auto" w:fill="auto"/>
            <w:noWrap/>
            <w:vAlign w:val="center"/>
          </w:tcPr>
          <w:p w14:paraId="29308311"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17.20</w:t>
            </w:r>
          </w:p>
        </w:tc>
        <w:tc>
          <w:tcPr>
            <w:tcW w:w="582" w:type="pct"/>
            <w:tcBorders>
              <w:top w:val="nil"/>
              <w:left w:val="nil"/>
              <w:bottom w:val="nil"/>
              <w:right w:val="nil"/>
            </w:tcBorders>
            <w:shd w:val="clear" w:color="auto" w:fill="auto"/>
            <w:noWrap/>
            <w:vAlign w:val="center"/>
          </w:tcPr>
          <w:p w14:paraId="4520DA19"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0.17</w:t>
            </w:r>
          </w:p>
        </w:tc>
        <w:tc>
          <w:tcPr>
            <w:tcW w:w="583" w:type="pct"/>
            <w:tcBorders>
              <w:top w:val="nil"/>
              <w:left w:val="nil"/>
              <w:bottom w:val="nil"/>
              <w:right w:val="nil"/>
            </w:tcBorders>
            <w:shd w:val="clear" w:color="auto" w:fill="auto"/>
            <w:noWrap/>
            <w:vAlign w:val="center"/>
          </w:tcPr>
          <w:p w14:paraId="185BD065"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0.59</w:t>
            </w:r>
          </w:p>
        </w:tc>
        <w:tc>
          <w:tcPr>
            <w:tcW w:w="634" w:type="pct"/>
            <w:tcBorders>
              <w:top w:val="nil"/>
              <w:left w:val="nil"/>
              <w:bottom w:val="nil"/>
              <w:right w:val="nil"/>
            </w:tcBorders>
            <w:shd w:val="clear" w:color="auto" w:fill="auto"/>
            <w:noWrap/>
            <w:vAlign w:val="center"/>
          </w:tcPr>
          <w:p w14:paraId="155667F8"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6.74</w:t>
            </w:r>
          </w:p>
        </w:tc>
        <w:tc>
          <w:tcPr>
            <w:tcW w:w="580" w:type="pct"/>
            <w:tcBorders>
              <w:top w:val="nil"/>
              <w:left w:val="nil"/>
              <w:bottom w:val="nil"/>
              <w:right w:val="nil"/>
            </w:tcBorders>
            <w:shd w:val="clear" w:color="auto" w:fill="auto"/>
            <w:noWrap/>
            <w:vAlign w:val="center"/>
          </w:tcPr>
          <w:p w14:paraId="2EDF4E31"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7.44</w:t>
            </w:r>
          </w:p>
        </w:tc>
      </w:tr>
      <w:tr w:rsidR="006F36D1" w:rsidRPr="0038701A" w14:paraId="78D5B82D" w14:textId="77777777" w:rsidTr="004600F4">
        <w:trPr>
          <w:trHeight w:val="285"/>
        </w:trPr>
        <w:tc>
          <w:tcPr>
            <w:tcW w:w="1376" w:type="pct"/>
            <w:tcBorders>
              <w:top w:val="nil"/>
              <w:left w:val="nil"/>
              <w:bottom w:val="nil"/>
              <w:right w:val="nil"/>
            </w:tcBorders>
            <w:shd w:val="clear" w:color="auto" w:fill="auto"/>
            <w:noWrap/>
            <w:vAlign w:val="center"/>
          </w:tcPr>
          <w:p w14:paraId="4947574E" w14:textId="3B5B3DB8" w:rsidR="006F36D1" w:rsidRPr="00060311" w:rsidRDefault="00513DA4" w:rsidP="004600F4">
            <w:pPr>
              <w:keepNext/>
              <w:keepLines/>
              <w:rPr>
                <w:rFonts w:ascii="Arial" w:hAnsi="Arial" w:cs="Arial"/>
                <w:bCs/>
                <w:color w:val="000000"/>
                <w:sz w:val="18"/>
                <w:szCs w:val="18"/>
              </w:rPr>
            </w:pPr>
            <w:r w:rsidRPr="00060311">
              <w:rPr>
                <w:rFonts w:ascii="Arial" w:hAnsi="Arial" w:cs="Arial"/>
                <w:bCs/>
                <w:color w:val="000000"/>
                <w:sz w:val="18"/>
                <w:szCs w:val="18"/>
              </w:rPr>
              <w:t>U</w:t>
            </w:r>
            <w:r>
              <w:rPr>
                <w:rFonts w:ascii="Arial" w:hAnsi="Arial" w:cs="Arial"/>
                <w:bCs/>
                <w:color w:val="000000"/>
                <w:sz w:val="18"/>
                <w:szCs w:val="18"/>
              </w:rPr>
              <w:t>IC</w:t>
            </w:r>
            <w:r w:rsidR="006F36D1" w:rsidRPr="00060311">
              <w:rPr>
                <w:rFonts w:ascii="Arial" w:hAnsi="Arial" w:cs="Arial"/>
                <w:bCs/>
                <w:color w:val="000000"/>
                <w:sz w:val="18"/>
                <w:szCs w:val="18"/>
              </w:rPr>
              <w:t>-United Indust Corp Ltd</w:t>
            </w:r>
          </w:p>
        </w:tc>
        <w:tc>
          <w:tcPr>
            <w:tcW w:w="129" w:type="pct"/>
            <w:tcBorders>
              <w:top w:val="nil"/>
              <w:left w:val="nil"/>
              <w:bottom w:val="nil"/>
              <w:right w:val="nil"/>
            </w:tcBorders>
            <w:shd w:val="clear" w:color="auto" w:fill="auto"/>
            <w:noWrap/>
            <w:vAlign w:val="bottom"/>
          </w:tcPr>
          <w:p w14:paraId="50ED35A9" w14:textId="77777777" w:rsidR="006F36D1" w:rsidRPr="00060311" w:rsidRDefault="006F36D1" w:rsidP="005F30D2">
            <w:pPr>
              <w:keepNext/>
              <w:keepLines/>
              <w:jc w:val="right"/>
              <w:rPr>
                <w:rFonts w:ascii="Arial" w:hAnsi="Arial" w:cs="Arial"/>
                <w:b/>
                <w:bCs/>
                <w:sz w:val="18"/>
                <w:szCs w:val="18"/>
                <w:lang w:eastAsia="en-SG"/>
              </w:rPr>
            </w:pPr>
          </w:p>
        </w:tc>
        <w:tc>
          <w:tcPr>
            <w:tcW w:w="583" w:type="pct"/>
            <w:tcBorders>
              <w:top w:val="nil"/>
              <w:left w:val="nil"/>
              <w:bottom w:val="nil"/>
              <w:right w:val="nil"/>
            </w:tcBorders>
            <w:shd w:val="clear" w:color="auto" w:fill="auto"/>
            <w:noWrap/>
            <w:vAlign w:val="center"/>
          </w:tcPr>
          <w:p w14:paraId="37306492"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45.26</w:t>
            </w:r>
          </w:p>
        </w:tc>
        <w:tc>
          <w:tcPr>
            <w:tcW w:w="533" w:type="pct"/>
            <w:tcBorders>
              <w:top w:val="nil"/>
              <w:left w:val="nil"/>
              <w:bottom w:val="nil"/>
              <w:right w:val="nil"/>
            </w:tcBorders>
            <w:shd w:val="clear" w:color="auto" w:fill="auto"/>
            <w:noWrap/>
            <w:vAlign w:val="center"/>
          </w:tcPr>
          <w:p w14:paraId="568EF627"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51.84</w:t>
            </w:r>
          </w:p>
        </w:tc>
        <w:tc>
          <w:tcPr>
            <w:tcW w:w="582" w:type="pct"/>
            <w:tcBorders>
              <w:top w:val="nil"/>
              <w:left w:val="nil"/>
              <w:bottom w:val="nil"/>
              <w:right w:val="nil"/>
            </w:tcBorders>
            <w:shd w:val="clear" w:color="auto" w:fill="auto"/>
            <w:noWrap/>
            <w:vAlign w:val="center"/>
          </w:tcPr>
          <w:p w14:paraId="45860A16"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0.07</w:t>
            </w:r>
          </w:p>
        </w:tc>
        <w:tc>
          <w:tcPr>
            <w:tcW w:w="583" w:type="pct"/>
            <w:tcBorders>
              <w:top w:val="nil"/>
              <w:left w:val="nil"/>
              <w:bottom w:val="nil"/>
              <w:right w:val="nil"/>
            </w:tcBorders>
            <w:shd w:val="clear" w:color="auto" w:fill="auto"/>
            <w:noWrap/>
            <w:vAlign w:val="center"/>
          </w:tcPr>
          <w:p w14:paraId="423DD89E"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0.37</w:t>
            </w:r>
          </w:p>
        </w:tc>
        <w:tc>
          <w:tcPr>
            <w:tcW w:w="634" w:type="pct"/>
            <w:tcBorders>
              <w:top w:val="nil"/>
              <w:left w:val="nil"/>
              <w:bottom w:val="nil"/>
              <w:right w:val="nil"/>
            </w:tcBorders>
            <w:shd w:val="clear" w:color="auto" w:fill="auto"/>
            <w:noWrap/>
            <w:vAlign w:val="center"/>
          </w:tcPr>
          <w:p w14:paraId="59ABEB15"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10.05</w:t>
            </w:r>
          </w:p>
        </w:tc>
        <w:tc>
          <w:tcPr>
            <w:tcW w:w="580" w:type="pct"/>
            <w:tcBorders>
              <w:top w:val="nil"/>
              <w:left w:val="nil"/>
              <w:bottom w:val="nil"/>
              <w:right w:val="nil"/>
            </w:tcBorders>
            <w:shd w:val="clear" w:color="auto" w:fill="auto"/>
            <w:noWrap/>
            <w:vAlign w:val="center"/>
          </w:tcPr>
          <w:p w14:paraId="33665B9F"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5.80</w:t>
            </w:r>
          </w:p>
        </w:tc>
      </w:tr>
      <w:tr w:rsidR="006F36D1" w:rsidRPr="0038701A" w14:paraId="7602287C" w14:textId="77777777" w:rsidTr="004600F4">
        <w:trPr>
          <w:trHeight w:val="285"/>
        </w:trPr>
        <w:tc>
          <w:tcPr>
            <w:tcW w:w="1376" w:type="pct"/>
            <w:tcBorders>
              <w:top w:val="nil"/>
              <w:left w:val="nil"/>
              <w:bottom w:val="nil"/>
              <w:right w:val="nil"/>
            </w:tcBorders>
            <w:shd w:val="clear" w:color="auto" w:fill="auto"/>
            <w:noWrap/>
            <w:vAlign w:val="center"/>
          </w:tcPr>
          <w:p w14:paraId="3A079940" w14:textId="08D3AB8A" w:rsidR="006F36D1" w:rsidRPr="00060311" w:rsidRDefault="00513DA4" w:rsidP="004600F4">
            <w:pPr>
              <w:keepNext/>
              <w:keepLines/>
              <w:rPr>
                <w:rFonts w:ascii="Arial" w:hAnsi="Arial" w:cs="Arial"/>
                <w:bCs/>
                <w:color w:val="000000"/>
                <w:sz w:val="18"/>
                <w:szCs w:val="18"/>
              </w:rPr>
            </w:pPr>
            <w:r w:rsidRPr="00060311">
              <w:rPr>
                <w:rFonts w:ascii="Arial" w:hAnsi="Arial" w:cs="Arial"/>
                <w:bCs/>
                <w:color w:val="000000"/>
                <w:sz w:val="18"/>
                <w:szCs w:val="18"/>
              </w:rPr>
              <w:t>U</w:t>
            </w:r>
            <w:r>
              <w:rPr>
                <w:rFonts w:ascii="Arial" w:hAnsi="Arial" w:cs="Arial"/>
                <w:bCs/>
                <w:color w:val="000000"/>
                <w:sz w:val="18"/>
                <w:szCs w:val="18"/>
              </w:rPr>
              <w:t>OL</w:t>
            </w:r>
            <w:r w:rsidRPr="00060311">
              <w:rPr>
                <w:rFonts w:ascii="Arial" w:hAnsi="Arial" w:cs="Arial"/>
                <w:bCs/>
                <w:color w:val="000000"/>
                <w:sz w:val="18"/>
                <w:szCs w:val="18"/>
              </w:rPr>
              <w:t xml:space="preserve"> </w:t>
            </w:r>
            <w:r w:rsidR="006F36D1" w:rsidRPr="00060311">
              <w:rPr>
                <w:rFonts w:ascii="Arial" w:hAnsi="Arial" w:cs="Arial"/>
                <w:bCs/>
                <w:color w:val="000000"/>
                <w:sz w:val="18"/>
                <w:szCs w:val="18"/>
              </w:rPr>
              <w:t>Group Ltd</w:t>
            </w:r>
          </w:p>
        </w:tc>
        <w:tc>
          <w:tcPr>
            <w:tcW w:w="129" w:type="pct"/>
            <w:tcBorders>
              <w:top w:val="nil"/>
              <w:left w:val="nil"/>
              <w:bottom w:val="nil"/>
              <w:right w:val="nil"/>
            </w:tcBorders>
            <w:shd w:val="clear" w:color="auto" w:fill="auto"/>
            <w:noWrap/>
            <w:vAlign w:val="bottom"/>
          </w:tcPr>
          <w:p w14:paraId="508EEC50" w14:textId="77777777" w:rsidR="006F36D1" w:rsidRPr="00060311" w:rsidRDefault="006F36D1" w:rsidP="005F30D2">
            <w:pPr>
              <w:keepNext/>
              <w:keepLines/>
              <w:jc w:val="right"/>
              <w:rPr>
                <w:rFonts w:ascii="Arial" w:hAnsi="Arial" w:cs="Arial"/>
                <w:b/>
                <w:bCs/>
                <w:sz w:val="18"/>
                <w:szCs w:val="18"/>
                <w:lang w:eastAsia="en-SG"/>
              </w:rPr>
            </w:pPr>
          </w:p>
        </w:tc>
        <w:tc>
          <w:tcPr>
            <w:tcW w:w="583" w:type="pct"/>
            <w:tcBorders>
              <w:top w:val="nil"/>
              <w:left w:val="nil"/>
              <w:bottom w:val="nil"/>
              <w:right w:val="nil"/>
            </w:tcBorders>
            <w:shd w:val="clear" w:color="auto" w:fill="auto"/>
            <w:noWrap/>
            <w:vAlign w:val="center"/>
          </w:tcPr>
          <w:p w14:paraId="160C9E85"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48.08</w:t>
            </w:r>
          </w:p>
        </w:tc>
        <w:tc>
          <w:tcPr>
            <w:tcW w:w="533" w:type="pct"/>
            <w:tcBorders>
              <w:top w:val="nil"/>
              <w:left w:val="nil"/>
              <w:bottom w:val="nil"/>
              <w:right w:val="nil"/>
            </w:tcBorders>
            <w:shd w:val="clear" w:color="auto" w:fill="auto"/>
            <w:noWrap/>
            <w:vAlign w:val="center"/>
          </w:tcPr>
          <w:p w14:paraId="7D2A058A"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76.21</w:t>
            </w:r>
          </w:p>
        </w:tc>
        <w:tc>
          <w:tcPr>
            <w:tcW w:w="582" w:type="pct"/>
            <w:tcBorders>
              <w:top w:val="nil"/>
              <w:left w:val="nil"/>
              <w:bottom w:val="nil"/>
              <w:right w:val="nil"/>
            </w:tcBorders>
            <w:shd w:val="clear" w:color="auto" w:fill="auto"/>
            <w:noWrap/>
            <w:vAlign w:val="center"/>
          </w:tcPr>
          <w:p w14:paraId="50238C4C"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0.10</w:t>
            </w:r>
          </w:p>
        </w:tc>
        <w:tc>
          <w:tcPr>
            <w:tcW w:w="583" w:type="pct"/>
            <w:tcBorders>
              <w:top w:val="nil"/>
              <w:left w:val="nil"/>
              <w:bottom w:val="nil"/>
              <w:right w:val="nil"/>
            </w:tcBorders>
            <w:shd w:val="clear" w:color="auto" w:fill="auto"/>
            <w:noWrap/>
            <w:vAlign w:val="center"/>
          </w:tcPr>
          <w:p w14:paraId="7ECA218A"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0.56</w:t>
            </w:r>
          </w:p>
        </w:tc>
        <w:tc>
          <w:tcPr>
            <w:tcW w:w="634" w:type="pct"/>
            <w:tcBorders>
              <w:top w:val="nil"/>
              <w:left w:val="nil"/>
              <w:bottom w:val="nil"/>
              <w:right w:val="nil"/>
            </w:tcBorders>
            <w:shd w:val="clear" w:color="auto" w:fill="auto"/>
            <w:noWrap/>
            <w:vAlign w:val="center"/>
          </w:tcPr>
          <w:p w14:paraId="2B75947C"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3.67</w:t>
            </w:r>
          </w:p>
        </w:tc>
        <w:tc>
          <w:tcPr>
            <w:tcW w:w="580" w:type="pct"/>
            <w:tcBorders>
              <w:top w:val="nil"/>
              <w:left w:val="nil"/>
              <w:bottom w:val="nil"/>
              <w:right w:val="nil"/>
            </w:tcBorders>
            <w:shd w:val="clear" w:color="auto" w:fill="auto"/>
            <w:noWrap/>
            <w:vAlign w:val="center"/>
          </w:tcPr>
          <w:p w14:paraId="58CE1B82"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2.69</w:t>
            </w:r>
          </w:p>
        </w:tc>
      </w:tr>
      <w:tr w:rsidR="006F36D1" w:rsidRPr="0038701A" w14:paraId="0A5F765C" w14:textId="77777777" w:rsidTr="004600F4">
        <w:trPr>
          <w:trHeight w:val="285"/>
        </w:trPr>
        <w:tc>
          <w:tcPr>
            <w:tcW w:w="1376" w:type="pct"/>
            <w:tcBorders>
              <w:top w:val="nil"/>
              <w:left w:val="nil"/>
              <w:bottom w:val="nil"/>
              <w:right w:val="nil"/>
            </w:tcBorders>
            <w:shd w:val="clear" w:color="auto" w:fill="auto"/>
            <w:noWrap/>
            <w:vAlign w:val="center"/>
          </w:tcPr>
          <w:p w14:paraId="4BD80A38" w14:textId="020128EE" w:rsidR="006F36D1" w:rsidRPr="00060311" w:rsidRDefault="006F36D1" w:rsidP="004600F4">
            <w:pPr>
              <w:keepNext/>
              <w:keepLines/>
              <w:rPr>
                <w:rFonts w:ascii="Arial" w:hAnsi="Arial" w:cs="Arial"/>
                <w:bCs/>
                <w:color w:val="000000"/>
                <w:sz w:val="18"/>
                <w:szCs w:val="18"/>
              </w:rPr>
            </w:pPr>
            <w:r w:rsidRPr="00060311">
              <w:rPr>
                <w:rFonts w:ascii="Arial" w:hAnsi="Arial" w:cs="Arial"/>
                <w:bCs/>
                <w:color w:val="000000"/>
                <w:sz w:val="18"/>
                <w:szCs w:val="18"/>
              </w:rPr>
              <w:t>Wheelock Properties (</w:t>
            </w:r>
            <w:r w:rsidR="004B565F" w:rsidRPr="00060311">
              <w:rPr>
                <w:rFonts w:ascii="Arial" w:hAnsi="Arial" w:cs="Arial"/>
                <w:bCs/>
                <w:color w:val="000000"/>
                <w:sz w:val="18"/>
                <w:szCs w:val="18"/>
              </w:rPr>
              <w:t>S</w:t>
            </w:r>
            <w:r w:rsidR="004B565F">
              <w:rPr>
                <w:rFonts w:ascii="Arial" w:hAnsi="Arial" w:cs="Arial"/>
                <w:bCs/>
                <w:color w:val="000000"/>
                <w:sz w:val="18"/>
                <w:szCs w:val="18"/>
              </w:rPr>
              <w:t>GP</w:t>
            </w:r>
            <w:r w:rsidRPr="00060311">
              <w:rPr>
                <w:rFonts w:ascii="Arial" w:hAnsi="Arial" w:cs="Arial"/>
                <w:bCs/>
                <w:color w:val="000000"/>
                <w:sz w:val="18"/>
                <w:szCs w:val="18"/>
              </w:rPr>
              <w:t>)</w:t>
            </w:r>
          </w:p>
        </w:tc>
        <w:tc>
          <w:tcPr>
            <w:tcW w:w="129" w:type="pct"/>
            <w:tcBorders>
              <w:top w:val="nil"/>
              <w:left w:val="nil"/>
              <w:bottom w:val="nil"/>
              <w:right w:val="nil"/>
            </w:tcBorders>
            <w:shd w:val="clear" w:color="auto" w:fill="auto"/>
            <w:noWrap/>
            <w:vAlign w:val="bottom"/>
          </w:tcPr>
          <w:p w14:paraId="3A0CD2D9" w14:textId="77777777" w:rsidR="006F36D1" w:rsidRPr="00060311" w:rsidRDefault="006F36D1" w:rsidP="005F30D2">
            <w:pPr>
              <w:keepNext/>
              <w:keepLines/>
              <w:jc w:val="right"/>
              <w:rPr>
                <w:rFonts w:ascii="Arial" w:hAnsi="Arial" w:cs="Arial"/>
                <w:b/>
                <w:bCs/>
                <w:sz w:val="18"/>
                <w:szCs w:val="18"/>
                <w:lang w:eastAsia="en-SG"/>
              </w:rPr>
            </w:pPr>
          </w:p>
        </w:tc>
        <w:tc>
          <w:tcPr>
            <w:tcW w:w="583" w:type="pct"/>
            <w:tcBorders>
              <w:top w:val="nil"/>
              <w:left w:val="nil"/>
              <w:bottom w:val="nil"/>
              <w:right w:val="nil"/>
            </w:tcBorders>
            <w:shd w:val="clear" w:color="auto" w:fill="auto"/>
            <w:noWrap/>
            <w:vAlign w:val="center"/>
          </w:tcPr>
          <w:p w14:paraId="190193C5"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76.19</w:t>
            </w:r>
          </w:p>
        </w:tc>
        <w:tc>
          <w:tcPr>
            <w:tcW w:w="533" w:type="pct"/>
            <w:tcBorders>
              <w:top w:val="nil"/>
              <w:left w:val="nil"/>
              <w:bottom w:val="nil"/>
              <w:right w:val="nil"/>
            </w:tcBorders>
            <w:shd w:val="clear" w:color="auto" w:fill="auto"/>
            <w:noWrap/>
            <w:vAlign w:val="center"/>
          </w:tcPr>
          <w:p w14:paraId="6C8EA43C"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34.20</w:t>
            </w:r>
          </w:p>
        </w:tc>
        <w:tc>
          <w:tcPr>
            <w:tcW w:w="582" w:type="pct"/>
            <w:tcBorders>
              <w:top w:val="nil"/>
              <w:left w:val="nil"/>
              <w:bottom w:val="nil"/>
              <w:right w:val="nil"/>
            </w:tcBorders>
            <w:shd w:val="clear" w:color="auto" w:fill="auto"/>
            <w:noWrap/>
            <w:vAlign w:val="center"/>
          </w:tcPr>
          <w:p w14:paraId="373F906D"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0.03</w:t>
            </w:r>
          </w:p>
        </w:tc>
        <w:tc>
          <w:tcPr>
            <w:tcW w:w="583" w:type="pct"/>
            <w:tcBorders>
              <w:top w:val="nil"/>
              <w:left w:val="nil"/>
              <w:bottom w:val="nil"/>
              <w:right w:val="nil"/>
            </w:tcBorders>
            <w:shd w:val="clear" w:color="auto" w:fill="auto"/>
            <w:noWrap/>
            <w:vAlign w:val="center"/>
          </w:tcPr>
          <w:p w14:paraId="1C947E8A"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0.03</w:t>
            </w:r>
          </w:p>
        </w:tc>
        <w:tc>
          <w:tcPr>
            <w:tcW w:w="634" w:type="pct"/>
            <w:tcBorders>
              <w:top w:val="nil"/>
              <w:left w:val="nil"/>
              <w:bottom w:val="nil"/>
              <w:right w:val="nil"/>
            </w:tcBorders>
            <w:shd w:val="clear" w:color="auto" w:fill="auto"/>
            <w:noWrap/>
            <w:vAlign w:val="center"/>
          </w:tcPr>
          <w:p w14:paraId="07C73EEA"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65.19</w:t>
            </w:r>
          </w:p>
        </w:tc>
        <w:tc>
          <w:tcPr>
            <w:tcW w:w="580" w:type="pct"/>
            <w:tcBorders>
              <w:top w:val="nil"/>
              <w:left w:val="nil"/>
              <w:bottom w:val="nil"/>
              <w:right w:val="nil"/>
            </w:tcBorders>
            <w:shd w:val="clear" w:color="auto" w:fill="auto"/>
            <w:noWrap/>
            <w:vAlign w:val="center"/>
          </w:tcPr>
          <w:p w14:paraId="01C55521"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9.97</w:t>
            </w:r>
          </w:p>
        </w:tc>
      </w:tr>
      <w:tr w:rsidR="006F36D1" w:rsidRPr="0038701A" w14:paraId="604C03BB" w14:textId="77777777" w:rsidTr="004600F4">
        <w:trPr>
          <w:trHeight w:val="285"/>
        </w:trPr>
        <w:tc>
          <w:tcPr>
            <w:tcW w:w="1376" w:type="pct"/>
            <w:tcBorders>
              <w:top w:val="nil"/>
              <w:left w:val="nil"/>
              <w:bottom w:val="nil"/>
              <w:right w:val="nil"/>
            </w:tcBorders>
            <w:shd w:val="clear" w:color="auto" w:fill="auto"/>
            <w:noWrap/>
            <w:vAlign w:val="center"/>
          </w:tcPr>
          <w:p w14:paraId="0B4C50B7" w14:textId="77777777" w:rsidR="006F36D1" w:rsidRPr="00060311" w:rsidRDefault="006F36D1" w:rsidP="004600F4">
            <w:pPr>
              <w:keepNext/>
              <w:keepLines/>
              <w:rPr>
                <w:rFonts w:ascii="Arial" w:hAnsi="Arial" w:cs="Arial"/>
                <w:bCs/>
                <w:color w:val="000000"/>
                <w:sz w:val="18"/>
                <w:szCs w:val="18"/>
              </w:rPr>
            </w:pPr>
            <w:r w:rsidRPr="00060311">
              <w:rPr>
                <w:rFonts w:ascii="Arial" w:hAnsi="Arial" w:cs="Arial"/>
                <w:bCs/>
                <w:color w:val="000000"/>
                <w:sz w:val="18"/>
                <w:szCs w:val="18"/>
              </w:rPr>
              <w:t>Wing Tai Holdings Ltd</w:t>
            </w:r>
          </w:p>
        </w:tc>
        <w:tc>
          <w:tcPr>
            <w:tcW w:w="129" w:type="pct"/>
            <w:tcBorders>
              <w:top w:val="nil"/>
              <w:left w:val="nil"/>
              <w:bottom w:val="nil"/>
              <w:right w:val="nil"/>
            </w:tcBorders>
            <w:shd w:val="clear" w:color="auto" w:fill="auto"/>
            <w:noWrap/>
            <w:vAlign w:val="bottom"/>
          </w:tcPr>
          <w:p w14:paraId="09C123D0" w14:textId="77777777" w:rsidR="006F36D1" w:rsidRPr="00060311" w:rsidRDefault="006F36D1" w:rsidP="005F30D2">
            <w:pPr>
              <w:keepNext/>
              <w:keepLines/>
              <w:jc w:val="right"/>
              <w:rPr>
                <w:rFonts w:ascii="Arial" w:hAnsi="Arial" w:cs="Arial"/>
                <w:b/>
                <w:bCs/>
                <w:sz w:val="18"/>
                <w:szCs w:val="18"/>
                <w:lang w:eastAsia="en-SG"/>
              </w:rPr>
            </w:pPr>
          </w:p>
        </w:tc>
        <w:tc>
          <w:tcPr>
            <w:tcW w:w="583" w:type="pct"/>
            <w:tcBorders>
              <w:top w:val="nil"/>
              <w:left w:val="nil"/>
              <w:bottom w:val="nil"/>
              <w:right w:val="nil"/>
            </w:tcBorders>
            <w:shd w:val="clear" w:color="auto" w:fill="auto"/>
            <w:noWrap/>
            <w:vAlign w:val="center"/>
          </w:tcPr>
          <w:p w14:paraId="518794A4"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41.48</w:t>
            </w:r>
          </w:p>
        </w:tc>
        <w:tc>
          <w:tcPr>
            <w:tcW w:w="533" w:type="pct"/>
            <w:tcBorders>
              <w:top w:val="nil"/>
              <w:left w:val="nil"/>
              <w:bottom w:val="nil"/>
              <w:right w:val="nil"/>
            </w:tcBorders>
            <w:shd w:val="clear" w:color="auto" w:fill="auto"/>
            <w:noWrap/>
            <w:vAlign w:val="center"/>
          </w:tcPr>
          <w:p w14:paraId="595E45B6"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39.86</w:t>
            </w:r>
          </w:p>
        </w:tc>
        <w:tc>
          <w:tcPr>
            <w:tcW w:w="582" w:type="pct"/>
            <w:tcBorders>
              <w:top w:val="nil"/>
              <w:left w:val="nil"/>
              <w:bottom w:val="nil"/>
              <w:right w:val="nil"/>
            </w:tcBorders>
            <w:shd w:val="clear" w:color="auto" w:fill="auto"/>
            <w:noWrap/>
            <w:vAlign w:val="center"/>
          </w:tcPr>
          <w:p w14:paraId="10A5487D"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0.27</w:t>
            </w:r>
          </w:p>
        </w:tc>
        <w:tc>
          <w:tcPr>
            <w:tcW w:w="583" w:type="pct"/>
            <w:tcBorders>
              <w:top w:val="nil"/>
              <w:left w:val="nil"/>
              <w:bottom w:val="nil"/>
              <w:right w:val="nil"/>
            </w:tcBorders>
            <w:shd w:val="clear" w:color="auto" w:fill="auto"/>
            <w:noWrap/>
            <w:vAlign w:val="center"/>
          </w:tcPr>
          <w:p w14:paraId="2FDA9012"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0.60</w:t>
            </w:r>
          </w:p>
        </w:tc>
        <w:tc>
          <w:tcPr>
            <w:tcW w:w="634" w:type="pct"/>
            <w:tcBorders>
              <w:top w:val="nil"/>
              <w:left w:val="nil"/>
              <w:bottom w:val="nil"/>
              <w:right w:val="nil"/>
            </w:tcBorders>
            <w:shd w:val="clear" w:color="auto" w:fill="auto"/>
            <w:noWrap/>
            <w:vAlign w:val="center"/>
          </w:tcPr>
          <w:p w14:paraId="6ED5BFE7"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16.48</w:t>
            </w:r>
          </w:p>
        </w:tc>
        <w:tc>
          <w:tcPr>
            <w:tcW w:w="580" w:type="pct"/>
            <w:tcBorders>
              <w:top w:val="nil"/>
              <w:left w:val="nil"/>
              <w:bottom w:val="nil"/>
              <w:right w:val="nil"/>
            </w:tcBorders>
            <w:shd w:val="clear" w:color="auto" w:fill="auto"/>
            <w:noWrap/>
            <w:vAlign w:val="center"/>
          </w:tcPr>
          <w:p w14:paraId="192FF80F"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34.31</w:t>
            </w:r>
          </w:p>
        </w:tc>
      </w:tr>
      <w:tr w:rsidR="006F36D1" w:rsidRPr="0038701A" w14:paraId="677CAF84" w14:textId="77777777" w:rsidTr="004600F4">
        <w:trPr>
          <w:trHeight w:val="285"/>
        </w:trPr>
        <w:tc>
          <w:tcPr>
            <w:tcW w:w="1376" w:type="pct"/>
            <w:tcBorders>
              <w:top w:val="nil"/>
              <w:left w:val="nil"/>
              <w:right w:val="nil"/>
            </w:tcBorders>
            <w:shd w:val="clear" w:color="auto" w:fill="auto"/>
            <w:noWrap/>
            <w:vAlign w:val="center"/>
          </w:tcPr>
          <w:p w14:paraId="5F38042F" w14:textId="77777777" w:rsidR="006F36D1" w:rsidRPr="00060311" w:rsidRDefault="006F36D1" w:rsidP="004600F4">
            <w:pPr>
              <w:keepNext/>
              <w:keepLines/>
              <w:rPr>
                <w:rFonts w:ascii="Arial" w:hAnsi="Arial" w:cs="Arial"/>
                <w:bCs/>
                <w:color w:val="000000"/>
                <w:sz w:val="18"/>
                <w:szCs w:val="18"/>
              </w:rPr>
            </w:pPr>
            <w:r w:rsidRPr="00060311">
              <w:rPr>
                <w:rFonts w:ascii="Arial" w:hAnsi="Arial" w:cs="Arial"/>
                <w:bCs/>
                <w:color w:val="000000"/>
                <w:sz w:val="18"/>
                <w:szCs w:val="18"/>
              </w:rPr>
              <w:t>Yanlord Land Group Ltd</w:t>
            </w:r>
          </w:p>
        </w:tc>
        <w:tc>
          <w:tcPr>
            <w:tcW w:w="129" w:type="pct"/>
            <w:tcBorders>
              <w:top w:val="nil"/>
              <w:left w:val="nil"/>
              <w:right w:val="nil"/>
            </w:tcBorders>
            <w:shd w:val="clear" w:color="auto" w:fill="auto"/>
            <w:noWrap/>
            <w:vAlign w:val="bottom"/>
          </w:tcPr>
          <w:p w14:paraId="03056475" w14:textId="77777777" w:rsidR="006F36D1" w:rsidRPr="00060311" w:rsidRDefault="006F36D1" w:rsidP="005F30D2">
            <w:pPr>
              <w:keepNext/>
              <w:keepLines/>
              <w:jc w:val="right"/>
              <w:rPr>
                <w:rFonts w:ascii="Arial" w:hAnsi="Arial" w:cs="Arial"/>
                <w:b/>
                <w:bCs/>
                <w:sz w:val="18"/>
                <w:szCs w:val="18"/>
                <w:lang w:eastAsia="en-SG"/>
              </w:rPr>
            </w:pPr>
          </w:p>
        </w:tc>
        <w:tc>
          <w:tcPr>
            <w:tcW w:w="583" w:type="pct"/>
            <w:tcBorders>
              <w:top w:val="nil"/>
              <w:left w:val="nil"/>
              <w:right w:val="nil"/>
            </w:tcBorders>
            <w:shd w:val="clear" w:color="auto" w:fill="auto"/>
            <w:noWrap/>
            <w:vAlign w:val="center"/>
          </w:tcPr>
          <w:p w14:paraId="00EB86C5"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35.46</w:t>
            </w:r>
          </w:p>
        </w:tc>
        <w:tc>
          <w:tcPr>
            <w:tcW w:w="533" w:type="pct"/>
            <w:tcBorders>
              <w:top w:val="nil"/>
              <w:left w:val="nil"/>
              <w:right w:val="nil"/>
            </w:tcBorders>
            <w:shd w:val="clear" w:color="auto" w:fill="auto"/>
            <w:noWrap/>
            <w:vAlign w:val="center"/>
          </w:tcPr>
          <w:p w14:paraId="669DD1C3"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13.07</w:t>
            </w:r>
          </w:p>
        </w:tc>
        <w:tc>
          <w:tcPr>
            <w:tcW w:w="582" w:type="pct"/>
            <w:tcBorders>
              <w:top w:val="nil"/>
              <w:left w:val="nil"/>
              <w:right w:val="nil"/>
            </w:tcBorders>
            <w:shd w:val="clear" w:color="auto" w:fill="auto"/>
            <w:noWrap/>
            <w:vAlign w:val="center"/>
          </w:tcPr>
          <w:p w14:paraId="4F851E65"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0.18</w:t>
            </w:r>
          </w:p>
        </w:tc>
        <w:tc>
          <w:tcPr>
            <w:tcW w:w="583" w:type="pct"/>
            <w:tcBorders>
              <w:top w:val="nil"/>
              <w:left w:val="nil"/>
              <w:right w:val="nil"/>
            </w:tcBorders>
            <w:shd w:val="clear" w:color="auto" w:fill="auto"/>
            <w:noWrap/>
            <w:vAlign w:val="center"/>
          </w:tcPr>
          <w:p w14:paraId="40EBD964"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0.25</w:t>
            </w:r>
          </w:p>
        </w:tc>
        <w:tc>
          <w:tcPr>
            <w:tcW w:w="634" w:type="pct"/>
            <w:tcBorders>
              <w:top w:val="nil"/>
              <w:left w:val="nil"/>
              <w:right w:val="nil"/>
            </w:tcBorders>
            <w:shd w:val="clear" w:color="auto" w:fill="auto"/>
            <w:noWrap/>
            <w:vAlign w:val="center"/>
          </w:tcPr>
          <w:p w14:paraId="32FF9CDB"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250.18</w:t>
            </w:r>
          </w:p>
        </w:tc>
        <w:tc>
          <w:tcPr>
            <w:tcW w:w="580" w:type="pct"/>
            <w:tcBorders>
              <w:top w:val="nil"/>
              <w:left w:val="nil"/>
              <w:right w:val="nil"/>
            </w:tcBorders>
            <w:shd w:val="clear" w:color="auto" w:fill="auto"/>
            <w:noWrap/>
            <w:vAlign w:val="center"/>
          </w:tcPr>
          <w:p w14:paraId="13315AFF"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3.50</w:t>
            </w:r>
          </w:p>
        </w:tc>
      </w:tr>
      <w:tr w:rsidR="006F36D1" w:rsidRPr="0038701A" w14:paraId="3A06A61E" w14:textId="77777777" w:rsidTr="004600F4">
        <w:trPr>
          <w:trHeight w:val="285"/>
        </w:trPr>
        <w:tc>
          <w:tcPr>
            <w:tcW w:w="1376" w:type="pct"/>
            <w:tcBorders>
              <w:top w:val="nil"/>
              <w:left w:val="nil"/>
              <w:bottom w:val="double" w:sz="4" w:space="0" w:color="auto"/>
              <w:right w:val="nil"/>
            </w:tcBorders>
            <w:shd w:val="clear" w:color="auto" w:fill="auto"/>
            <w:noWrap/>
            <w:vAlign w:val="center"/>
          </w:tcPr>
          <w:p w14:paraId="356654B6" w14:textId="77777777" w:rsidR="006F36D1" w:rsidRPr="00060311" w:rsidRDefault="006F36D1" w:rsidP="004600F4">
            <w:pPr>
              <w:keepNext/>
              <w:keepLines/>
              <w:rPr>
                <w:rFonts w:ascii="Arial" w:hAnsi="Arial" w:cs="Arial"/>
                <w:bCs/>
                <w:color w:val="000000"/>
                <w:sz w:val="18"/>
                <w:szCs w:val="18"/>
              </w:rPr>
            </w:pPr>
            <w:r w:rsidRPr="00060311">
              <w:rPr>
                <w:rFonts w:ascii="Arial" w:hAnsi="Arial" w:cs="Arial"/>
                <w:bCs/>
                <w:color w:val="000000"/>
                <w:sz w:val="18"/>
                <w:szCs w:val="18"/>
              </w:rPr>
              <w:t>Yuexiu Property Co Ltd</w:t>
            </w:r>
          </w:p>
        </w:tc>
        <w:tc>
          <w:tcPr>
            <w:tcW w:w="129" w:type="pct"/>
            <w:tcBorders>
              <w:top w:val="nil"/>
              <w:left w:val="nil"/>
              <w:bottom w:val="double" w:sz="4" w:space="0" w:color="auto"/>
              <w:right w:val="nil"/>
            </w:tcBorders>
            <w:shd w:val="clear" w:color="auto" w:fill="auto"/>
            <w:noWrap/>
            <w:vAlign w:val="bottom"/>
          </w:tcPr>
          <w:p w14:paraId="31CCAA54" w14:textId="77777777" w:rsidR="006F36D1" w:rsidRPr="00060311" w:rsidRDefault="006F36D1" w:rsidP="005F30D2">
            <w:pPr>
              <w:keepNext/>
              <w:keepLines/>
              <w:jc w:val="right"/>
              <w:rPr>
                <w:rFonts w:ascii="Arial" w:hAnsi="Arial" w:cs="Arial"/>
                <w:b/>
                <w:bCs/>
                <w:sz w:val="18"/>
                <w:szCs w:val="18"/>
                <w:lang w:eastAsia="en-SG"/>
              </w:rPr>
            </w:pPr>
          </w:p>
        </w:tc>
        <w:tc>
          <w:tcPr>
            <w:tcW w:w="583" w:type="pct"/>
            <w:tcBorders>
              <w:top w:val="nil"/>
              <w:left w:val="nil"/>
              <w:bottom w:val="double" w:sz="4" w:space="0" w:color="auto"/>
              <w:right w:val="nil"/>
            </w:tcBorders>
            <w:shd w:val="clear" w:color="auto" w:fill="auto"/>
            <w:noWrap/>
            <w:vAlign w:val="center"/>
          </w:tcPr>
          <w:p w14:paraId="13AF14B0"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28.89</w:t>
            </w:r>
          </w:p>
        </w:tc>
        <w:tc>
          <w:tcPr>
            <w:tcW w:w="533" w:type="pct"/>
            <w:tcBorders>
              <w:top w:val="nil"/>
              <w:left w:val="nil"/>
              <w:bottom w:val="double" w:sz="4" w:space="0" w:color="auto"/>
              <w:right w:val="nil"/>
            </w:tcBorders>
            <w:shd w:val="clear" w:color="auto" w:fill="auto"/>
            <w:noWrap/>
            <w:vAlign w:val="center"/>
          </w:tcPr>
          <w:p w14:paraId="3EB951F2"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20.27</w:t>
            </w:r>
          </w:p>
        </w:tc>
        <w:tc>
          <w:tcPr>
            <w:tcW w:w="582" w:type="pct"/>
            <w:tcBorders>
              <w:top w:val="nil"/>
              <w:left w:val="nil"/>
              <w:bottom w:val="double" w:sz="4" w:space="0" w:color="auto"/>
              <w:right w:val="nil"/>
            </w:tcBorders>
            <w:shd w:val="clear" w:color="auto" w:fill="auto"/>
            <w:noWrap/>
            <w:vAlign w:val="center"/>
          </w:tcPr>
          <w:p w14:paraId="6689789E"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0.18</w:t>
            </w:r>
          </w:p>
        </w:tc>
        <w:tc>
          <w:tcPr>
            <w:tcW w:w="583" w:type="pct"/>
            <w:tcBorders>
              <w:top w:val="nil"/>
              <w:left w:val="nil"/>
              <w:bottom w:val="double" w:sz="4" w:space="0" w:color="auto"/>
              <w:right w:val="nil"/>
            </w:tcBorders>
            <w:shd w:val="clear" w:color="auto" w:fill="auto"/>
            <w:noWrap/>
            <w:vAlign w:val="center"/>
          </w:tcPr>
          <w:p w14:paraId="42E53F15"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0.25</w:t>
            </w:r>
          </w:p>
        </w:tc>
        <w:tc>
          <w:tcPr>
            <w:tcW w:w="634" w:type="pct"/>
            <w:tcBorders>
              <w:top w:val="nil"/>
              <w:left w:val="nil"/>
              <w:bottom w:val="double" w:sz="4" w:space="0" w:color="auto"/>
              <w:right w:val="nil"/>
            </w:tcBorders>
            <w:shd w:val="clear" w:color="auto" w:fill="auto"/>
            <w:noWrap/>
            <w:vAlign w:val="center"/>
          </w:tcPr>
          <w:p w14:paraId="6FB1E1DE"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825.21</w:t>
            </w:r>
          </w:p>
        </w:tc>
        <w:tc>
          <w:tcPr>
            <w:tcW w:w="580" w:type="pct"/>
            <w:tcBorders>
              <w:top w:val="nil"/>
              <w:left w:val="nil"/>
              <w:bottom w:val="double" w:sz="4" w:space="0" w:color="auto"/>
              <w:right w:val="nil"/>
            </w:tcBorders>
            <w:shd w:val="clear" w:color="auto" w:fill="auto"/>
            <w:noWrap/>
            <w:vAlign w:val="center"/>
          </w:tcPr>
          <w:p w14:paraId="1632E84E" w14:textId="77777777" w:rsidR="006F36D1" w:rsidRPr="00060311" w:rsidRDefault="006F36D1" w:rsidP="004600F4">
            <w:pPr>
              <w:keepNext/>
              <w:keepLines/>
              <w:jc w:val="right"/>
              <w:rPr>
                <w:rFonts w:ascii="Arial" w:hAnsi="Arial" w:cs="Arial"/>
                <w:color w:val="000000"/>
                <w:sz w:val="18"/>
                <w:szCs w:val="18"/>
              </w:rPr>
            </w:pPr>
            <w:r w:rsidRPr="00060311">
              <w:rPr>
                <w:rFonts w:ascii="Arial" w:hAnsi="Arial" w:cs="Arial"/>
                <w:color w:val="000000"/>
                <w:sz w:val="18"/>
                <w:szCs w:val="18"/>
              </w:rPr>
              <w:t>330.36</w:t>
            </w:r>
          </w:p>
        </w:tc>
      </w:tr>
    </w:tbl>
    <w:p w14:paraId="2EACE117" w14:textId="19BC6F68" w:rsidR="00245772" w:rsidRDefault="00245772" w:rsidP="00245772">
      <w:pPr>
        <w:pStyle w:val="ExhibitText"/>
      </w:pPr>
    </w:p>
    <w:p w14:paraId="6D0A9CB4" w14:textId="77777777" w:rsidR="00245772" w:rsidRDefault="00245772">
      <w:pPr>
        <w:spacing w:after="200" w:line="276" w:lineRule="auto"/>
        <w:rPr>
          <w:rFonts w:ascii="Arial" w:hAnsi="Arial" w:cs="Arial"/>
        </w:rPr>
      </w:pPr>
      <w:r>
        <w:br w:type="page"/>
      </w:r>
    </w:p>
    <w:p w14:paraId="10514741" w14:textId="30983895" w:rsidR="007F0E99" w:rsidRDefault="007F0E99" w:rsidP="007F0E99">
      <w:pPr>
        <w:pStyle w:val="ExhibitHeading"/>
        <w:rPr>
          <w:lang w:val="en-CA"/>
        </w:rPr>
      </w:pPr>
      <w:r>
        <w:rPr>
          <w:lang w:val="en-CA"/>
        </w:rPr>
        <w:t xml:space="preserve">Exhibit </w:t>
      </w:r>
      <w:r w:rsidR="00694839">
        <w:rPr>
          <w:lang w:val="en-CA"/>
        </w:rPr>
        <w:t>7</w:t>
      </w:r>
      <w:r w:rsidRPr="0085053B">
        <w:rPr>
          <w:lang w:val="en-CA"/>
        </w:rPr>
        <w:t xml:space="preserve">: </w:t>
      </w:r>
      <w:r>
        <w:rPr>
          <w:lang w:val="en-CA"/>
        </w:rPr>
        <w:t>(continued)</w:t>
      </w:r>
    </w:p>
    <w:p w14:paraId="19275378" w14:textId="77777777" w:rsidR="007F0E99" w:rsidRDefault="007F0E99" w:rsidP="00BD644A">
      <w:pPr>
        <w:pStyle w:val="ExhibitText"/>
        <w:rPr>
          <w:lang w:val="en-CA"/>
        </w:rPr>
      </w:pPr>
    </w:p>
    <w:tbl>
      <w:tblPr>
        <w:tblW w:w="4856" w:type="pct"/>
        <w:tblLayout w:type="fixed"/>
        <w:tblLook w:val="04A0" w:firstRow="1" w:lastRow="0" w:firstColumn="1" w:lastColumn="0" w:noHBand="0" w:noVBand="1"/>
      </w:tblPr>
      <w:tblGrid>
        <w:gridCol w:w="2551"/>
        <w:gridCol w:w="282"/>
        <w:gridCol w:w="1087"/>
        <w:gridCol w:w="1044"/>
        <w:gridCol w:w="1134"/>
        <w:gridCol w:w="1087"/>
        <w:gridCol w:w="1114"/>
        <w:gridCol w:w="791"/>
      </w:tblGrid>
      <w:tr w:rsidR="007F0E99" w:rsidRPr="00060311" w14:paraId="3B12883C" w14:textId="77777777" w:rsidTr="00083574">
        <w:trPr>
          <w:trHeight w:val="293"/>
        </w:trPr>
        <w:tc>
          <w:tcPr>
            <w:tcW w:w="1403" w:type="pct"/>
            <w:tcBorders>
              <w:top w:val="double" w:sz="6" w:space="0" w:color="auto"/>
              <w:left w:val="nil"/>
              <w:bottom w:val="single" w:sz="4" w:space="0" w:color="auto"/>
              <w:right w:val="nil"/>
            </w:tcBorders>
            <w:shd w:val="clear" w:color="auto" w:fill="auto"/>
            <w:noWrap/>
            <w:vAlign w:val="center"/>
            <w:hideMark/>
          </w:tcPr>
          <w:p w14:paraId="14B9E7AE" w14:textId="4F74A21E" w:rsidR="007F0E99" w:rsidRPr="00060311" w:rsidRDefault="007F0E99" w:rsidP="004600F4">
            <w:pPr>
              <w:jc w:val="center"/>
              <w:rPr>
                <w:rFonts w:ascii="Arial" w:hAnsi="Arial" w:cs="Arial"/>
                <w:sz w:val="18"/>
                <w:szCs w:val="18"/>
                <w:lang w:eastAsia="en-SG"/>
              </w:rPr>
            </w:pPr>
          </w:p>
        </w:tc>
        <w:tc>
          <w:tcPr>
            <w:tcW w:w="155" w:type="pct"/>
            <w:tcBorders>
              <w:top w:val="double" w:sz="6" w:space="0" w:color="auto"/>
              <w:left w:val="nil"/>
              <w:bottom w:val="single" w:sz="4" w:space="0" w:color="auto"/>
              <w:right w:val="nil"/>
            </w:tcBorders>
            <w:shd w:val="clear" w:color="auto" w:fill="auto"/>
            <w:noWrap/>
            <w:vAlign w:val="center"/>
            <w:hideMark/>
          </w:tcPr>
          <w:p w14:paraId="3AF9C3D2" w14:textId="487C362F" w:rsidR="007F0E99" w:rsidRPr="00060311" w:rsidRDefault="007F0E99" w:rsidP="004600F4">
            <w:pPr>
              <w:jc w:val="center"/>
              <w:rPr>
                <w:rFonts w:ascii="Arial" w:hAnsi="Arial" w:cs="Arial"/>
                <w:sz w:val="18"/>
                <w:szCs w:val="18"/>
                <w:lang w:eastAsia="en-SG"/>
              </w:rPr>
            </w:pPr>
          </w:p>
        </w:tc>
        <w:tc>
          <w:tcPr>
            <w:tcW w:w="598" w:type="pct"/>
            <w:tcBorders>
              <w:top w:val="double" w:sz="6" w:space="0" w:color="auto"/>
              <w:left w:val="nil"/>
              <w:bottom w:val="single" w:sz="4" w:space="0" w:color="auto"/>
              <w:right w:val="nil"/>
            </w:tcBorders>
            <w:shd w:val="clear" w:color="auto" w:fill="auto"/>
            <w:noWrap/>
            <w:vAlign w:val="center"/>
            <w:hideMark/>
          </w:tcPr>
          <w:p w14:paraId="1ADA1F51" w14:textId="77777777" w:rsidR="007F0E99" w:rsidRPr="00060311" w:rsidRDefault="007F0E99" w:rsidP="00083574">
            <w:pPr>
              <w:jc w:val="right"/>
              <w:rPr>
                <w:rFonts w:ascii="Arial" w:hAnsi="Arial" w:cs="Arial"/>
                <w:b/>
                <w:sz w:val="18"/>
                <w:szCs w:val="18"/>
              </w:rPr>
            </w:pPr>
            <w:r w:rsidRPr="00060311">
              <w:rPr>
                <w:rFonts w:ascii="Arial" w:hAnsi="Arial" w:cs="Arial"/>
                <w:b/>
                <w:sz w:val="18"/>
                <w:szCs w:val="18"/>
              </w:rPr>
              <w:t>ROA</w:t>
            </w:r>
          </w:p>
        </w:tc>
        <w:tc>
          <w:tcPr>
            <w:tcW w:w="574" w:type="pct"/>
            <w:tcBorders>
              <w:top w:val="double" w:sz="6" w:space="0" w:color="auto"/>
              <w:left w:val="nil"/>
              <w:bottom w:val="single" w:sz="4" w:space="0" w:color="auto"/>
              <w:right w:val="nil"/>
            </w:tcBorders>
            <w:shd w:val="clear" w:color="auto" w:fill="auto"/>
            <w:noWrap/>
            <w:vAlign w:val="center"/>
            <w:hideMark/>
          </w:tcPr>
          <w:p w14:paraId="3CF0199A" w14:textId="77777777" w:rsidR="007F0E99" w:rsidRPr="00060311" w:rsidRDefault="007F0E99" w:rsidP="00083574">
            <w:pPr>
              <w:jc w:val="right"/>
              <w:rPr>
                <w:rFonts w:ascii="Arial" w:hAnsi="Arial" w:cs="Arial"/>
                <w:b/>
                <w:sz w:val="18"/>
                <w:szCs w:val="18"/>
              </w:rPr>
            </w:pPr>
            <w:r w:rsidRPr="00060311">
              <w:rPr>
                <w:rFonts w:ascii="Arial" w:hAnsi="Arial" w:cs="Arial"/>
                <w:b/>
                <w:sz w:val="18"/>
                <w:szCs w:val="18"/>
              </w:rPr>
              <w:t>ROE</w:t>
            </w:r>
          </w:p>
        </w:tc>
        <w:tc>
          <w:tcPr>
            <w:tcW w:w="624" w:type="pct"/>
            <w:tcBorders>
              <w:top w:val="double" w:sz="6" w:space="0" w:color="auto"/>
              <w:left w:val="nil"/>
              <w:bottom w:val="single" w:sz="4" w:space="0" w:color="auto"/>
              <w:right w:val="nil"/>
            </w:tcBorders>
            <w:shd w:val="clear" w:color="auto" w:fill="auto"/>
            <w:noWrap/>
            <w:vAlign w:val="center"/>
            <w:hideMark/>
          </w:tcPr>
          <w:p w14:paraId="6213051B" w14:textId="77777777" w:rsidR="007F0E99" w:rsidRPr="00060311" w:rsidRDefault="007F0E99" w:rsidP="00083574">
            <w:pPr>
              <w:jc w:val="right"/>
              <w:rPr>
                <w:rFonts w:ascii="Arial" w:hAnsi="Arial" w:cs="Arial"/>
                <w:b/>
                <w:sz w:val="18"/>
                <w:szCs w:val="18"/>
              </w:rPr>
            </w:pPr>
            <w:r w:rsidRPr="00060311">
              <w:rPr>
                <w:rFonts w:ascii="Arial" w:hAnsi="Arial" w:cs="Arial"/>
                <w:b/>
                <w:sz w:val="18"/>
                <w:szCs w:val="18"/>
              </w:rPr>
              <w:t>P/E</w:t>
            </w:r>
          </w:p>
        </w:tc>
        <w:tc>
          <w:tcPr>
            <w:tcW w:w="598" w:type="pct"/>
            <w:tcBorders>
              <w:top w:val="double" w:sz="6" w:space="0" w:color="auto"/>
              <w:left w:val="nil"/>
              <w:bottom w:val="single" w:sz="4" w:space="0" w:color="auto"/>
              <w:right w:val="nil"/>
            </w:tcBorders>
            <w:shd w:val="clear" w:color="auto" w:fill="auto"/>
            <w:noWrap/>
            <w:vAlign w:val="center"/>
            <w:hideMark/>
          </w:tcPr>
          <w:p w14:paraId="0EB7C6B0" w14:textId="77777777" w:rsidR="007F0E99" w:rsidRPr="00060311" w:rsidRDefault="007F0E99" w:rsidP="00083574">
            <w:pPr>
              <w:jc w:val="right"/>
              <w:rPr>
                <w:rFonts w:ascii="Arial" w:hAnsi="Arial" w:cs="Arial"/>
                <w:b/>
                <w:sz w:val="18"/>
                <w:szCs w:val="18"/>
              </w:rPr>
            </w:pPr>
            <w:r w:rsidRPr="00060311">
              <w:rPr>
                <w:rFonts w:ascii="Arial" w:hAnsi="Arial" w:cs="Arial"/>
                <w:b/>
                <w:sz w:val="18"/>
                <w:szCs w:val="18"/>
              </w:rPr>
              <w:t>P/B</w:t>
            </w:r>
          </w:p>
        </w:tc>
        <w:tc>
          <w:tcPr>
            <w:tcW w:w="613" w:type="pct"/>
            <w:tcBorders>
              <w:top w:val="double" w:sz="6" w:space="0" w:color="auto"/>
              <w:left w:val="nil"/>
              <w:bottom w:val="single" w:sz="4" w:space="0" w:color="auto"/>
              <w:right w:val="nil"/>
            </w:tcBorders>
            <w:shd w:val="clear" w:color="auto" w:fill="auto"/>
            <w:noWrap/>
            <w:vAlign w:val="center"/>
            <w:hideMark/>
          </w:tcPr>
          <w:p w14:paraId="3B4DF44D" w14:textId="77777777" w:rsidR="007F0E99" w:rsidRPr="00060311" w:rsidRDefault="007F0E99" w:rsidP="00083574">
            <w:pPr>
              <w:jc w:val="right"/>
              <w:rPr>
                <w:rFonts w:ascii="Arial" w:hAnsi="Arial" w:cs="Arial"/>
                <w:b/>
                <w:sz w:val="18"/>
                <w:szCs w:val="18"/>
              </w:rPr>
            </w:pPr>
            <w:r w:rsidRPr="00060311">
              <w:rPr>
                <w:rFonts w:ascii="Arial" w:hAnsi="Arial" w:cs="Arial"/>
                <w:b/>
                <w:sz w:val="18"/>
                <w:szCs w:val="18"/>
              </w:rPr>
              <w:t>P/S</w:t>
            </w:r>
          </w:p>
        </w:tc>
        <w:tc>
          <w:tcPr>
            <w:tcW w:w="435" w:type="pct"/>
            <w:tcBorders>
              <w:top w:val="double" w:sz="6" w:space="0" w:color="auto"/>
              <w:left w:val="nil"/>
              <w:bottom w:val="single" w:sz="4" w:space="0" w:color="auto"/>
              <w:right w:val="nil"/>
            </w:tcBorders>
            <w:shd w:val="clear" w:color="auto" w:fill="auto"/>
            <w:noWrap/>
            <w:vAlign w:val="center"/>
          </w:tcPr>
          <w:p w14:paraId="38A207D0" w14:textId="77777777" w:rsidR="007F0E99" w:rsidRPr="00060311" w:rsidRDefault="007F0E99" w:rsidP="004600F4">
            <w:pPr>
              <w:jc w:val="center"/>
              <w:rPr>
                <w:rFonts w:ascii="Arial" w:hAnsi="Arial" w:cs="Arial"/>
                <w:b/>
                <w:sz w:val="18"/>
                <w:szCs w:val="18"/>
              </w:rPr>
            </w:pPr>
          </w:p>
        </w:tc>
      </w:tr>
      <w:tr w:rsidR="006F36D1" w:rsidRPr="00060311" w14:paraId="45449DE3" w14:textId="77777777" w:rsidTr="004600F4">
        <w:trPr>
          <w:trHeight w:val="285"/>
        </w:trPr>
        <w:tc>
          <w:tcPr>
            <w:tcW w:w="1403" w:type="pct"/>
            <w:tcBorders>
              <w:top w:val="nil"/>
              <w:left w:val="nil"/>
              <w:bottom w:val="nil"/>
              <w:right w:val="nil"/>
            </w:tcBorders>
            <w:shd w:val="clear" w:color="auto" w:fill="auto"/>
            <w:noWrap/>
            <w:vAlign w:val="center"/>
            <w:hideMark/>
          </w:tcPr>
          <w:p w14:paraId="51013F30" w14:textId="77777777" w:rsidR="006F36D1" w:rsidRPr="00060311" w:rsidRDefault="006F36D1" w:rsidP="004600F4">
            <w:pPr>
              <w:rPr>
                <w:rFonts w:ascii="Arial" w:hAnsi="Arial" w:cs="Arial"/>
                <w:bCs/>
                <w:color w:val="000000"/>
                <w:sz w:val="18"/>
                <w:szCs w:val="18"/>
              </w:rPr>
            </w:pPr>
            <w:r w:rsidRPr="00060311">
              <w:rPr>
                <w:rFonts w:ascii="Arial" w:hAnsi="Arial" w:cs="Arial"/>
                <w:bCs/>
                <w:color w:val="000000"/>
                <w:sz w:val="18"/>
                <w:szCs w:val="18"/>
              </w:rPr>
              <w:t>Bukit Sembawang Estates</w:t>
            </w:r>
          </w:p>
        </w:tc>
        <w:tc>
          <w:tcPr>
            <w:tcW w:w="155" w:type="pct"/>
            <w:tcBorders>
              <w:top w:val="nil"/>
              <w:left w:val="nil"/>
              <w:bottom w:val="nil"/>
              <w:right w:val="nil"/>
            </w:tcBorders>
            <w:shd w:val="clear" w:color="auto" w:fill="auto"/>
            <w:noWrap/>
            <w:vAlign w:val="bottom"/>
            <w:hideMark/>
          </w:tcPr>
          <w:p w14:paraId="37E1E2AA" w14:textId="77777777" w:rsidR="006F36D1" w:rsidRPr="00060311" w:rsidRDefault="006F36D1" w:rsidP="006F36D1">
            <w:pPr>
              <w:jc w:val="right"/>
              <w:rPr>
                <w:rFonts w:ascii="Arial" w:hAnsi="Arial" w:cs="Arial"/>
                <w:b/>
                <w:bCs/>
                <w:sz w:val="18"/>
                <w:szCs w:val="18"/>
                <w:lang w:eastAsia="en-SG"/>
              </w:rPr>
            </w:pPr>
          </w:p>
        </w:tc>
        <w:tc>
          <w:tcPr>
            <w:tcW w:w="598" w:type="pct"/>
            <w:tcBorders>
              <w:top w:val="nil"/>
              <w:left w:val="nil"/>
              <w:bottom w:val="nil"/>
              <w:right w:val="nil"/>
            </w:tcBorders>
            <w:shd w:val="clear" w:color="auto" w:fill="auto"/>
            <w:noWrap/>
            <w:vAlign w:val="center"/>
            <w:hideMark/>
          </w:tcPr>
          <w:p w14:paraId="6FC15F82"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8.52</w:t>
            </w:r>
          </w:p>
        </w:tc>
        <w:tc>
          <w:tcPr>
            <w:tcW w:w="574" w:type="pct"/>
            <w:tcBorders>
              <w:top w:val="nil"/>
              <w:left w:val="nil"/>
              <w:bottom w:val="nil"/>
              <w:right w:val="nil"/>
            </w:tcBorders>
            <w:shd w:val="clear" w:color="auto" w:fill="auto"/>
            <w:noWrap/>
            <w:vAlign w:val="center"/>
            <w:hideMark/>
          </w:tcPr>
          <w:p w14:paraId="6879F091"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10.19</w:t>
            </w:r>
          </w:p>
        </w:tc>
        <w:tc>
          <w:tcPr>
            <w:tcW w:w="624" w:type="pct"/>
            <w:tcBorders>
              <w:top w:val="nil"/>
              <w:left w:val="nil"/>
              <w:bottom w:val="nil"/>
              <w:right w:val="nil"/>
            </w:tcBorders>
            <w:shd w:val="clear" w:color="auto" w:fill="auto"/>
            <w:noWrap/>
            <w:vAlign w:val="center"/>
            <w:hideMark/>
          </w:tcPr>
          <w:p w14:paraId="290ECBB6"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16.03</w:t>
            </w:r>
          </w:p>
        </w:tc>
        <w:tc>
          <w:tcPr>
            <w:tcW w:w="598" w:type="pct"/>
            <w:tcBorders>
              <w:top w:val="nil"/>
              <w:left w:val="nil"/>
              <w:bottom w:val="nil"/>
              <w:right w:val="nil"/>
            </w:tcBorders>
            <w:shd w:val="clear" w:color="auto" w:fill="auto"/>
            <w:noWrap/>
            <w:vAlign w:val="center"/>
            <w:hideMark/>
          </w:tcPr>
          <w:p w14:paraId="37A9C136"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1.59</w:t>
            </w:r>
          </w:p>
        </w:tc>
        <w:tc>
          <w:tcPr>
            <w:tcW w:w="613" w:type="pct"/>
            <w:tcBorders>
              <w:top w:val="nil"/>
              <w:left w:val="nil"/>
              <w:bottom w:val="nil"/>
              <w:right w:val="nil"/>
            </w:tcBorders>
            <w:shd w:val="clear" w:color="auto" w:fill="auto"/>
            <w:noWrap/>
            <w:vAlign w:val="center"/>
            <w:hideMark/>
          </w:tcPr>
          <w:p w14:paraId="06660206"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5.18</w:t>
            </w:r>
          </w:p>
        </w:tc>
        <w:tc>
          <w:tcPr>
            <w:tcW w:w="435" w:type="pct"/>
            <w:tcBorders>
              <w:top w:val="nil"/>
              <w:left w:val="nil"/>
              <w:bottom w:val="nil"/>
              <w:right w:val="nil"/>
            </w:tcBorders>
            <w:shd w:val="clear" w:color="auto" w:fill="auto"/>
            <w:noWrap/>
            <w:vAlign w:val="center"/>
          </w:tcPr>
          <w:p w14:paraId="126845A6" w14:textId="77777777" w:rsidR="006F36D1" w:rsidRPr="00060311" w:rsidRDefault="006F36D1" w:rsidP="006F36D1">
            <w:pPr>
              <w:jc w:val="right"/>
              <w:rPr>
                <w:rFonts w:ascii="Arial" w:hAnsi="Arial" w:cs="Arial"/>
                <w:sz w:val="18"/>
                <w:szCs w:val="18"/>
              </w:rPr>
            </w:pPr>
          </w:p>
        </w:tc>
      </w:tr>
      <w:tr w:rsidR="006F36D1" w:rsidRPr="00060311" w14:paraId="0D2BAE9F" w14:textId="77777777" w:rsidTr="004600F4">
        <w:trPr>
          <w:trHeight w:val="285"/>
        </w:trPr>
        <w:tc>
          <w:tcPr>
            <w:tcW w:w="1403" w:type="pct"/>
            <w:tcBorders>
              <w:top w:val="nil"/>
              <w:left w:val="nil"/>
              <w:bottom w:val="nil"/>
              <w:right w:val="nil"/>
            </w:tcBorders>
            <w:shd w:val="clear" w:color="auto" w:fill="auto"/>
            <w:noWrap/>
            <w:vAlign w:val="center"/>
            <w:hideMark/>
          </w:tcPr>
          <w:p w14:paraId="7469EA39" w14:textId="77777777" w:rsidR="006F36D1" w:rsidRPr="00060311" w:rsidRDefault="006F36D1" w:rsidP="004600F4">
            <w:pPr>
              <w:rPr>
                <w:rFonts w:ascii="Arial" w:hAnsi="Arial" w:cs="Arial"/>
                <w:bCs/>
                <w:color w:val="000000"/>
                <w:sz w:val="18"/>
                <w:szCs w:val="18"/>
              </w:rPr>
            </w:pPr>
            <w:r w:rsidRPr="00060311">
              <w:rPr>
                <w:rFonts w:ascii="Arial" w:hAnsi="Arial" w:cs="Arial"/>
                <w:bCs/>
                <w:color w:val="000000"/>
                <w:sz w:val="18"/>
                <w:szCs w:val="18"/>
              </w:rPr>
              <w:t>City Developments Ltd</w:t>
            </w:r>
          </w:p>
        </w:tc>
        <w:tc>
          <w:tcPr>
            <w:tcW w:w="155" w:type="pct"/>
            <w:tcBorders>
              <w:top w:val="nil"/>
              <w:left w:val="nil"/>
              <w:bottom w:val="nil"/>
              <w:right w:val="nil"/>
            </w:tcBorders>
            <w:shd w:val="clear" w:color="auto" w:fill="auto"/>
            <w:noWrap/>
            <w:vAlign w:val="bottom"/>
            <w:hideMark/>
          </w:tcPr>
          <w:p w14:paraId="1E4B87F7" w14:textId="77777777" w:rsidR="006F36D1" w:rsidRPr="00060311" w:rsidRDefault="006F36D1" w:rsidP="006F36D1">
            <w:pPr>
              <w:jc w:val="right"/>
              <w:rPr>
                <w:rFonts w:ascii="Arial" w:hAnsi="Arial" w:cs="Arial"/>
                <w:b/>
                <w:bCs/>
                <w:sz w:val="18"/>
                <w:szCs w:val="18"/>
                <w:lang w:eastAsia="en-SG"/>
              </w:rPr>
            </w:pPr>
          </w:p>
        </w:tc>
        <w:tc>
          <w:tcPr>
            <w:tcW w:w="598" w:type="pct"/>
            <w:tcBorders>
              <w:top w:val="nil"/>
              <w:left w:val="nil"/>
              <w:bottom w:val="nil"/>
              <w:right w:val="nil"/>
            </w:tcBorders>
            <w:shd w:val="clear" w:color="auto" w:fill="auto"/>
            <w:noWrap/>
            <w:vAlign w:val="center"/>
            <w:hideMark/>
          </w:tcPr>
          <w:p w14:paraId="52ABE0ED"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4.14</w:t>
            </w:r>
          </w:p>
        </w:tc>
        <w:tc>
          <w:tcPr>
            <w:tcW w:w="574" w:type="pct"/>
            <w:tcBorders>
              <w:top w:val="nil"/>
              <w:left w:val="nil"/>
              <w:bottom w:val="nil"/>
              <w:right w:val="nil"/>
            </w:tcBorders>
            <w:shd w:val="clear" w:color="auto" w:fill="auto"/>
            <w:noWrap/>
            <w:vAlign w:val="center"/>
            <w:hideMark/>
          </w:tcPr>
          <w:p w14:paraId="26E0C7E7"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9.37</w:t>
            </w:r>
          </w:p>
        </w:tc>
        <w:tc>
          <w:tcPr>
            <w:tcW w:w="624" w:type="pct"/>
            <w:tcBorders>
              <w:top w:val="nil"/>
              <w:left w:val="nil"/>
              <w:bottom w:val="nil"/>
              <w:right w:val="nil"/>
            </w:tcBorders>
            <w:shd w:val="clear" w:color="auto" w:fill="auto"/>
            <w:noWrap/>
            <w:vAlign w:val="center"/>
            <w:hideMark/>
          </w:tcPr>
          <w:p w14:paraId="1861C0A9"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12.97</w:t>
            </w:r>
          </w:p>
        </w:tc>
        <w:tc>
          <w:tcPr>
            <w:tcW w:w="598" w:type="pct"/>
            <w:tcBorders>
              <w:top w:val="nil"/>
              <w:left w:val="nil"/>
              <w:bottom w:val="nil"/>
              <w:right w:val="nil"/>
            </w:tcBorders>
            <w:shd w:val="clear" w:color="auto" w:fill="auto"/>
            <w:noWrap/>
            <w:vAlign w:val="center"/>
            <w:hideMark/>
          </w:tcPr>
          <w:p w14:paraId="7928E1C4"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1.18</w:t>
            </w:r>
          </w:p>
        </w:tc>
        <w:tc>
          <w:tcPr>
            <w:tcW w:w="613" w:type="pct"/>
            <w:tcBorders>
              <w:top w:val="nil"/>
              <w:left w:val="nil"/>
              <w:bottom w:val="nil"/>
              <w:right w:val="nil"/>
            </w:tcBorders>
            <w:shd w:val="clear" w:color="auto" w:fill="auto"/>
            <w:noWrap/>
            <w:vAlign w:val="center"/>
            <w:hideMark/>
          </w:tcPr>
          <w:p w14:paraId="306A1C42"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2.72</w:t>
            </w:r>
          </w:p>
        </w:tc>
        <w:tc>
          <w:tcPr>
            <w:tcW w:w="435" w:type="pct"/>
            <w:tcBorders>
              <w:top w:val="nil"/>
              <w:left w:val="nil"/>
              <w:bottom w:val="nil"/>
              <w:right w:val="nil"/>
            </w:tcBorders>
            <w:shd w:val="clear" w:color="auto" w:fill="auto"/>
            <w:noWrap/>
            <w:vAlign w:val="center"/>
          </w:tcPr>
          <w:p w14:paraId="71CAD3C9" w14:textId="77777777" w:rsidR="006F36D1" w:rsidRPr="00060311" w:rsidRDefault="006F36D1" w:rsidP="006F36D1">
            <w:pPr>
              <w:jc w:val="right"/>
              <w:rPr>
                <w:rFonts w:ascii="Arial" w:hAnsi="Arial" w:cs="Arial"/>
                <w:sz w:val="18"/>
                <w:szCs w:val="18"/>
              </w:rPr>
            </w:pPr>
          </w:p>
        </w:tc>
      </w:tr>
      <w:tr w:rsidR="006F36D1" w:rsidRPr="00060311" w14:paraId="74C4CBF7" w14:textId="77777777" w:rsidTr="004600F4">
        <w:trPr>
          <w:trHeight w:val="285"/>
        </w:trPr>
        <w:tc>
          <w:tcPr>
            <w:tcW w:w="1403" w:type="pct"/>
            <w:tcBorders>
              <w:top w:val="nil"/>
              <w:left w:val="nil"/>
              <w:bottom w:val="nil"/>
              <w:right w:val="nil"/>
            </w:tcBorders>
            <w:shd w:val="clear" w:color="auto" w:fill="auto"/>
            <w:noWrap/>
            <w:vAlign w:val="center"/>
            <w:hideMark/>
          </w:tcPr>
          <w:p w14:paraId="73AF982B" w14:textId="2814F816" w:rsidR="006F36D1" w:rsidRPr="00060311" w:rsidRDefault="006F36D1" w:rsidP="004600F4">
            <w:pPr>
              <w:rPr>
                <w:rFonts w:ascii="Arial" w:hAnsi="Arial" w:cs="Arial"/>
                <w:bCs/>
                <w:color w:val="000000"/>
                <w:sz w:val="18"/>
                <w:szCs w:val="18"/>
              </w:rPr>
            </w:pPr>
            <w:r w:rsidRPr="00060311">
              <w:rPr>
                <w:rFonts w:ascii="Arial" w:hAnsi="Arial" w:cs="Arial"/>
                <w:bCs/>
                <w:color w:val="000000"/>
                <w:sz w:val="18"/>
                <w:szCs w:val="18"/>
              </w:rPr>
              <w:t>Frasers Cent</w:t>
            </w:r>
            <w:r w:rsidR="002F3EBF">
              <w:rPr>
                <w:rFonts w:ascii="Arial" w:hAnsi="Arial" w:cs="Arial"/>
                <w:bCs/>
                <w:color w:val="000000"/>
                <w:sz w:val="18"/>
                <w:szCs w:val="18"/>
              </w:rPr>
              <w:t>re</w:t>
            </w:r>
            <w:r w:rsidRPr="00060311">
              <w:rPr>
                <w:rFonts w:ascii="Arial" w:hAnsi="Arial" w:cs="Arial"/>
                <w:bCs/>
                <w:color w:val="000000"/>
                <w:sz w:val="18"/>
                <w:szCs w:val="18"/>
              </w:rPr>
              <w:t>point Limited</w:t>
            </w:r>
          </w:p>
        </w:tc>
        <w:tc>
          <w:tcPr>
            <w:tcW w:w="155" w:type="pct"/>
            <w:tcBorders>
              <w:top w:val="nil"/>
              <w:left w:val="nil"/>
              <w:bottom w:val="nil"/>
              <w:right w:val="nil"/>
            </w:tcBorders>
            <w:shd w:val="clear" w:color="auto" w:fill="auto"/>
            <w:noWrap/>
            <w:vAlign w:val="bottom"/>
            <w:hideMark/>
          </w:tcPr>
          <w:p w14:paraId="326DA5DA" w14:textId="77777777" w:rsidR="006F36D1" w:rsidRPr="00060311" w:rsidRDefault="006F36D1" w:rsidP="006F36D1">
            <w:pPr>
              <w:jc w:val="right"/>
              <w:rPr>
                <w:rFonts w:ascii="Arial" w:hAnsi="Arial" w:cs="Arial"/>
                <w:b/>
                <w:bCs/>
                <w:sz w:val="18"/>
                <w:szCs w:val="18"/>
                <w:lang w:eastAsia="en-SG"/>
              </w:rPr>
            </w:pPr>
          </w:p>
        </w:tc>
        <w:tc>
          <w:tcPr>
            <w:tcW w:w="598" w:type="pct"/>
            <w:tcBorders>
              <w:top w:val="nil"/>
              <w:left w:val="nil"/>
              <w:bottom w:val="nil"/>
              <w:right w:val="nil"/>
            </w:tcBorders>
            <w:shd w:val="clear" w:color="auto" w:fill="auto"/>
            <w:noWrap/>
            <w:vAlign w:val="center"/>
            <w:hideMark/>
          </w:tcPr>
          <w:p w14:paraId="33807C54"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6.94</w:t>
            </w:r>
          </w:p>
        </w:tc>
        <w:tc>
          <w:tcPr>
            <w:tcW w:w="574" w:type="pct"/>
            <w:tcBorders>
              <w:top w:val="nil"/>
              <w:left w:val="nil"/>
              <w:bottom w:val="nil"/>
              <w:right w:val="nil"/>
            </w:tcBorders>
            <w:shd w:val="clear" w:color="auto" w:fill="auto"/>
            <w:noWrap/>
            <w:vAlign w:val="center"/>
            <w:hideMark/>
          </w:tcPr>
          <w:p w14:paraId="632E7E14"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13.93</w:t>
            </w:r>
          </w:p>
        </w:tc>
        <w:tc>
          <w:tcPr>
            <w:tcW w:w="624" w:type="pct"/>
            <w:tcBorders>
              <w:top w:val="nil"/>
              <w:left w:val="nil"/>
              <w:bottom w:val="nil"/>
              <w:right w:val="nil"/>
            </w:tcBorders>
            <w:shd w:val="clear" w:color="auto" w:fill="auto"/>
            <w:noWrap/>
            <w:vAlign w:val="center"/>
            <w:hideMark/>
          </w:tcPr>
          <w:p w14:paraId="09A79DC2"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8.25</w:t>
            </w:r>
          </w:p>
        </w:tc>
        <w:tc>
          <w:tcPr>
            <w:tcW w:w="598" w:type="pct"/>
            <w:tcBorders>
              <w:top w:val="nil"/>
              <w:left w:val="nil"/>
              <w:bottom w:val="nil"/>
              <w:right w:val="nil"/>
            </w:tcBorders>
            <w:shd w:val="clear" w:color="auto" w:fill="auto"/>
            <w:noWrap/>
            <w:vAlign w:val="center"/>
            <w:hideMark/>
          </w:tcPr>
          <w:p w14:paraId="7E5BE2CE"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0.42</w:t>
            </w:r>
          </w:p>
        </w:tc>
        <w:tc>
          <w:tcPr>
            <w:tcW w:w="613" w:type="pct"/>
            <w:tcBorders>
              <w:top w:val="nil"/>
              <w:left w:val="nil"/>
              <w:bottom w:val="nil"/>
              <w:right w:val="nil"/>
            </w:tcBorders>
            <w:shd w:val="clear" w:color="auto" w:fill="auto"/>
            <w:noWrap/>
            <w:vAlign w:val="center"/>
            <w:hideMark/>
          </w:tcPr>
          <w:p w14:paraId="2618F60B"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1.43</w:t>
            </w:r>
          </w:p>
        </w:tc>
        <w:tc>
          <w:tcPr>
            <w:tcW w:w="435" w:type="pct"/>
            <w:tcBorders>
              <w:top w:val="nil"/>
              <w:left w:val="nil"/>
              <w:bottom w:val="nil"/>
              <w:right w:val="nil"/>
            </w:tcBorders>
            <w:shd w:val="clear" w:color="auto" w:fill="auto"/>
            <w:noWrap/>
            <w:vAlign w:val="center"/>
          </w:tcPr>
          <w:p w14:paraId="26A3CB8E" w14:textId="77777777" w:rsidR="006F36D1" w:rsidRPr="00060311" w:rsidRDefault="006F36D1" w:rsidP="006F36D1">
            <w:pPr>
              <w:jc w:val="right"/>
              <w:rPr>
                <w:rFonts w:ascii="Arial" w:hAnsi="Arial" w:cs="Arial"/>
                <w:sz w:val="18"/>
                <w:szCs w:val="18"/>
              </w:rPr>
            </w:pPr>
          </w:p>
        </w:tc>
      </w:tr>
      <w:tr w:rsidR="006F36D1" w:rsidRPr="00060311" w14:paraId="673B1867" w14:textId="77777777" w:rsidTr="004600F4">
        <w:trPr>
          <w:trHeight w:val="285"/>
        </w:trPr>
        <w:tc>
          <w:tcPr>
            <w:tcW w:w="1403" w:type="pct"/>
            <w:tcBorders>
              <w:top w:val="nil"/>
              <w:left w:val="nil"/>
              <w:bottom w:val="nil"/>
              <w:right w:val="nil"/>
            </w:tcBorders>
            <w:shd w:val="clear" w:color="auto" w:fill="auto"/>
            <w:noWrap/>
            <w:vAlign w:val="center"/>
            <w:hideMark/>
          </w:tcPr>
          <w:p w14:paraId="3CD1CA93" w14:textId="77777777" w:rsidR="006F36D1" w:rsidRPr="00060311" w:rsidRDefault="006F36D1" w:rsidP="004600F4">
            <w:pPr>
              <w:rPr>
                <w:rFonts w:ascii="Arial" w:hAnsi="Arial" w:cs="Arial"/>
                <w:bCs/>
                <w:color w:val="000000"/>
                <w:sz w:val="18"/>
                <w:szCs w:val="18"/>
              </w:rPr>
            </w:pPr>
            <w:r w:rsidRPr="00060311">
              <w:rPr>
                <w:rFonts w:ascii="Arial" w:hAnsi="Arial" w:cs="Arial"/>
                <w:bCs/>
                <w:color w:val="000000"/>
                <w:sz w:val="18"/>
                <w:szCs w:val="18"/>
              </w:rPr>
              <w:t>Global Logistic Properties</w:t>
            </w:r>
          </w:p>
        </w:tc>
        <w:tc>
          <w:tcPr>
            <w:tcW w:w="155" w:type="pct"/>
            <w:tcBorders>
              <w:top w:val="nil"/>
              <w:left w:val="nil"/>
              <w:bottom w:val="nil"/>
              <w:right w:val="nil"/>
            </w:tcBorders>
            <w:shd w:val="clear" w:color="auto" w:fill="auto"/>
            <w:noWrap/>
            <w:vAlign w:val="bottom"/>
            <w:hideMark/>
          </w:tcPr>
          <w:p w14:paraId="57554F61" w14:textId="77777777" w:rsidR="006F36D1" w:rsidRPr="00060311" w:rsidRDefault="006F36D1" w:rsidP="006F36D1">
            <w:pPr>
              <w:jc w:val="right"/>
              <w:rPr>
                <w:rFonts w:ascii="Arial" w:hAnsi="Arial" w:cs="Arial"/>
                <w:b/>
                <w:bCs/>
                <w:sz w:val="18"/>
                <w:szCs w:val="18"/>
                <w:lang w:eastAsia="en-SG"/>
              </w:rPr>
            </w:pPr>
          </w:p>
        </w:tc>
        <w:tc>
          <w:tcPr>
            <w:tcW w:w="598" w:type="pct"/>
            <w:tcBorders>
              <w:top w:val="nil"/>
              <w:left w:val="nil"/>
              <w:bottom w:val="nil"/>
              <w:right w:val="nil"/>
            </w:tcBorders>
            <w:shd w:val="clear" w:color="auto" w:fill="auto"/>
            <w:noWrap/>
            <w:vAlign w:val="center"/>
            <w:hideMark/>
          </w:tcPr>
          <w:p w14:paraId="7ED31E3E"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5.10</w:t>
            </w:r>
          </w:p>
        </w:tc>
        <w:tc>
          <w:tcPr>
            <w:tcW w:w="574" w:type="pct"/>
            <w:tcBorders>
              <w:top w:val="nil"/>
              <w:left w:val="nil"/>
              <w:bottom w:val="nil"/>
              <w:right w:val="nil"/>
            </w:tcBorders>
            <w:shd w:val="clear" w:color="auto" w:fill="auto"/>
            <w:noWrap/>
            <w:vAlign w:val="center"/>
            <w:hideMark/>
          </w:tcPr>
          <w:p w14:paraId="043C20D8"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8.46</w:t>
            </w:r>
          </w:p>
        </w:tc>
        <w:tc>
          <w:tcPr>
            <w:tcW w:w="624" w:type="pct"/>
            <w:tcBorders>
              <w:top w:val="nil"/>
              <w:left w:val="nil"/>
              <w:bottom w:val="nil"/>
              <w:right w:val="nil"/>
            </w:tcBorders>
            <w:shd w:val="clear" w:color="auto" w:fill="auto"/>
            <w:noWrap/>
            <w:vAlign w:val="center"/>
            <w:hideMark/>
          </w:tcPr>
          <w:p w14:paraId="11C4BCBD"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15.10</w:t>
            </w:r>
          </w:p>
        </w:tc>
        <w:tc>
          <w:tcPr>
            <w:tcW w:w="598" w:type="pct"/>
            <w:tcBorders>
              <w:top w:val="nil"/>
              <w:left w:val="nil"/>
              <w:bottom w:val="nil"/>
              <w:right w:val="nil"/>
            </w:tcBorders>
            <w:shd w:val="clear" w:color="auto" w:fill="auto"/>
            <w:noWrap/>
            <w:vAlign w:val="center"/>
            <w:hideMark/>
          </w:tcPr>
          <w:p w14:paraId="43894FF7"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1.20</w:t>
            </w:r>
          </w:p>
        </w:tc>
        <w:tc>
          <w:tcPr>
            <w:tcW w:w="613" w:type="pct"/>
            <w:tcBorders>
              <w:top w:val="nil"/>
              <w:left w:val="nil"/>
              <w:bottom w:val="nil"/>
              <w:right w:val="nil"/>
            </w:tcBorders>
            <w:shd w:val="clear" w:color="auto" w:fill="auto"/>
            <w:noWrap/>
            <w:vAlign w:val="center"/>
            <w:hideMark/>
          </w:tcPr>
          <w:p w14:paraId="05CD7E24"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15.39</w:t>
            </w:r>
          </w:p>
        </w:tc>
        <w:tc>
          <w:tcPr>
            <w:tcW w:w="435" w:type="pct"/>
            <w:tcBorders>
              <w:top w:val="nil"/>
              <w:left w:val="nil"/>
              <w:bottom w:val="nil"/>
              <w:right w:val="nil"/>
            </w:tcBorders>
            <w:shd w:val="clear" w:color="auto" w:fill="auto"/>
            <w:noWrap/>
            <w:vAlign w:val="center"/>
          </w:tcPr>
          <w:p w14:paraId="376CE287" w14:textId="77777777" w:rsidR="006F36D1" w:rsidRPr="00060311" w:rsidRDefault="006F36D1" w:rsidP="006F36D1">
            <w:pPr>
              <w:jc w:val="right"/>
              <w:rPr>
                <w:rFonts w:ascii="Arial" w:hAnsi="Arial" w:cs="Arial"/>
                <w:sz w:val="18"/>
                <w:szCs w:val="18"/>
              </w:rPr>
            </w:pPr>
          </w:p>
        </w:tc>
      </w:tr>
      <w:tr w:rsidR="006F36D1" w:rsidRPr="00060311" w14:paraId="3D69F1FA" w14:textId="77777777" w:rsidTr="004600F4">
        <w:trPr>
          <w:trHeight w:val="285"/>
        </w:trPr>
        <w:tc>
          <w:tcPr>
            <w:tcW w:w="1403" w:type="pct"/>
            <w:tcBorders>
              <w:top w:val="nil"/>
              <w:left w:val="nil"/>
              <w:bottom w:val="nil"/>
              <w:right w:val="nil"/>
            </w:tcBorders>
            <w:shd w:val="clear" w:color="auto" w:fill="auto"/>
            <w:noWrap/>
            <w:vAlign w:val="center"/>
            <w:hideMark/>
          </w:tcPr>
          <w:p w14:paraId="61240C92" w14:textId="77777777" w:rsidR="006F36D1" w:rsidRPr="00060311" w:rsidRDefault="006F36D1" w:rsidP="004600F4">
            <w:pPr>
              <w:rPr>
                <w:rFonts w:ascii="Arial" w:hAnsi="Arial" w:cs="Arial"/>
                <w:bCs/>
                <w:color w:val="000000"/>
                <w:sz w:val="18"/>
                <w:szCs w:val="18"/>
              </w:rPr>
            </w:pPr>
            <w:r w:rsidRPr="00060311">
              <w:rPr>
                <w:rFonts w:ascii="Arial" w:hAnsi="Arial" w:cs="Arial"/>
                <w:bCs/>
                <w:color w:val="000000"/>
                <w:sz w:val="18"/>
                <w:szCs w:val="18"/>
              </w:rPr>
              <w:t>Hongkong Land Holdings Ltd</w:t>
            </w:r>
          </w:p>
        </w:tc>
        <w:tc>
          <w:tcPr>
            <w:tcW w:w="155" w:type="pct"/>
            <w:tcBorders>
              <w:top w:val="nil"/>
              <w:left w:val="nil"/>
              <w:bottom w:val="nil"/>
              <w:right w:val="nil"/>
            </w:tcBorders>
            <w:shd w:val="clear" w:color="auto" w:fill="auto"/>
            <w:noWrap/>
            <w:vAlign w:val="bottom"/>
            <w:hideMark/>
          </w:tcPr>
          <w:p w14:paraId="3F031F1F" w14:textId="77777777" w:rsidR="006F36D1" w:rsidRPr="00060311" w:rsidRDefault="006F36D1" w:rsidP="006F36D1">
            <w:pPr>
              <w:jc w:val="right"/>
              <w:rPr>
                <w:rFonts w:ascii="Arial" w:hAnsi="Arial" w:cs="Arial"/>
                <w:b/>
                <w:bCs/>
                <w:sz w:val="18"/>
                <w:szCs w:val="18"/>
                <w:lang w:eastAsia="en-SG"/>
              </w:rPr>
            </w:pPr>
          </w:p>
        </w:tc>
        <w:tc>
          <w:tcPr>
            <w:tcW w:w="598" w:type="pct"/>
            <w:tcBorders>
              <w:top w:val="nil"/>
              <w:left w:val="nil"/>
              <w:bottom w:val="nil"/>
              <w:right w:val="nil"/>
            </w:tcBorders>
            <w:shd w:val="clear" w:color="auto" w:fill="auto"/>
            <w:noWrap/>
            <w:vAlign w:val="center"/>
            <w:hideMark/>
          </w:tcPr>
          <w:p w14:paraId="75CDB92E"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3.67</w:t>
            </w:r>
          </w:p>
        </w:tc>
        <w:tc>
          <w:tcPr>
            <w:tcW w:w="574" w:type="pct"/>
            <w:tcBorders>
              <w:top w:val="nil"/>
              <w:left w:val="nil"/>
              <w:bottom w:val="nil"/>
              <w:right w:val="nil"/>
            </w:tcBorders>
            <w:shd w:val="clear" w:color="auto" w:fill="auto"/>
            <w:noWrap/>
            <w:vAlign w:val="center"/>
            <w:hideMark/>
          </w:tcPr>
          <w:p w14:paraId="70462081"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4.49</w:t>
            </w:r>
          </w:p>
        </w:tc>
        <w:tc>
          <w:tcPr>
            <w:tcW w:w="624" w:type="pct"/>
            <w:tcBorders>
              <w:top w:val="nil"/>
              <w:left w:val="nil"/>
              <w:bottom w:val="nil"/>
              <w:right w:val="nil"/>
            </w:tcBorders>
            <w:shd w:val="clear" w:color="auto" w:fill="auto"/>
            <w:noWrap/>
            <w:vAlign w:val="center"/>
            <w:hideMark/>
          </w:tcPr>
          <w:p w14:paraId="4D59EC60"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11.67</w:t>
            </w:r>
          </w:p>
        </w:tc>
        <w:tc>
          <w:tcPr>
            <w:tcW w:w="598" w:type="pct"/>
            <w:tcBorders>
              <w:top w:val="nil"/>
              <w:left w:val="nil"/>
              <w:bottom w:val="nil"/>
              <w:right w:val="nil"/>
            </w:tcBorders>
            <w:shd w:val="clear" w:color="auto" w:fill="auto"/>
            <w:noWrap/>
            <w:vAlign w:val="center"/>
            <w:hideMark/>
          </w:tcPr>
          <w:p w14:paraId="0DCDEDEE"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0.52</w:t>
            </w:r>
          </w:p>
        </w:tc>
        <w:tc>
          <w:tcPr>
            <w:tcW w:w="613" w:type="pct"/>
            <w:tcBorders>
              <w:top w:val="nil"/>
              <w:left w:val="nil"/>
              <w:bottom w:val="nil"/>
              <w:right w:val="nil"/>
            </w:tcBorders>
            <w:shd w:val="clear" w:color="auto" w:fill="auto"/>
            <w:noWrap/>
            <w:vAlign w:val="center"/>
            <w:hideMark/>
          </w:tcPr>
          <w:p w14:paraId="302D68C7"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7.47</w:t>
            </w:r>
          </w:p>
        </w:tc>
        <w:tc>
          <w:tcPr>
            <w:tcW w:w="435" w:type="pct"/>
            <w:tcBorders>
              <w:top w:val="nil"/>
              <w:left w:val="nil"/>
              <w:bottom w:val="nil"/>
              <w:right w:val="nil"/>
            </w:tcBorders>
            <w:shd w:val="clear" w:color="auto" w:fill="auto"/>
            <w:noWrap/>
            <w:vAlign w:val="center"/>
          </w:tcPr>
          <w:p w14:paraId="59195F4D" w14:textId="77777777" w:rsidR="006F36D1" w:rsidRPr="00060311" w:rsidRDefault="006F36D1" w:rsidP="006F36D1">
            <w:pPr>
              <w:jc w:val="right"/>
              <w:rPr>
                <w:rFonts w:ascii="Arial" w:hAnsi="Arial" w:cs="Arial"/>
                <w:sz w:val="18"/>
                <w:szCs w:val="18"/>
              </w:rPr>
            </w:pPr>
          </w:p>
        </w:tc>
      </w:tr>
      <w:tr w:rsidR="006F36D1" w:rsidRPr="00060311" w14:paraId="4509DB5A" w14:textId="77777777" w:rsidTr="004600F4">
        <w:trPr>
          <w:trHeight w:val="285"/>
        </w:trPr>
        <w:tc>
          <w:tcPr>
            <w:tcW w:w="1403" w:type="pct"/>
            <w:tcBorders>
              <w:top w:val="nil"/>
              <w:left w:val="nil"/>
              <w:bottom w:val="nil"/>
              <w:right w:val="nil"/>
            </w:tcBorders>
            <w:shd w:val="clear" w:color="auto" w:fill="auto"/>
            <w:noWrap/>
            <w:vAlign w:val="center"/>
            <w:hideMark/>
          </w:tcPr>
          <w:p w14:paraId="2474D7F7" w14:textId="77777777" w:rsidR="006F36D1" w:rsidRPr="00060311" w:rsidRDefault="006F36D1" w:rsidP="004600F4">
            <w:pPr>
              <w:rPr>
                <w:rFonts w:ascii="Arial" w:hAnsi="Arial" w:cs="Arial"/>
                <w:bCs/>
                <w:color w:val="000000"/>
                <w:sz w:val="18"/>
                <w:szCs w:val="18"/>
              </w:rPr>
            </w:pPr>
            <w:r w:rsidRPr="00060311">
              <w:rPr>
                <w:rFonts w:ascii="Arial" w:hAnsi="Arial" w:cs="Arial"/>
                <w:bCs/>
                <w:color w:val="000000"/>
                <w:sz w:val="18"/>
                <w:szCs w:val="18"/>
              </w:rPr>
              <w:t>Pollux Properties Ltd</w:t>
            </w:r>
          </w:p>
        </w:tc>
        <w:tc>
          <w:tcPr>
            <w:tcW w:w="155" w:type="pct"/>
            <w:tcBorders>
              <w:top w:val="nil"/>
              <w:left w:val="nil"/>
              <w:bottom w:val="nil"/>
              <w:right w:val="nil"/>
            </w:tcBorders>
            <w:shd w:val="clear" w:color="auto" w:fill="auto"/>
            <w:noWrap/>
            <w:vAlign w:val="bottom"/>
            <w:hideMark/>
          </w:tcPr>
          <w:p w14:paraId="318DF7E5" w14:textId="77777777" w:rsidR="006F36D1" w:rsidRPr="00060311" w:rsidRDefault="006F36D1" w:rsidP="006F36D1">
            <w:pPr>
              <w:jc w:val="right"/>
              <w:rPr>
                <w:rFonts w:ascii="Arial" w:hAnsi="Arial" w:cs="Arial"/>
                <w:b/>
                <w:bCs/>
                <w:sz w:val="18"/>
                <w:szCs w:val="18"/>
                <w:lang w:eastAsia="en-SG"/>
              </w:rPr>
            </w:pPr>
          </w:p>
        </w:tc>
        <w:tc>
          <w:tcPr>
            <w:tcW w:w="598" w:type="pct"/>
            <w:tcBorders>
              <w:top w:val="nil"/>
              <w:left w:val="nil"/>
              <w:bottom w:val="nil"/>
              <w:right w:val="nil"/>
            </w:tcBorders>
            <w:shd w:val="clear" w:color="auto" w:fill="auto"/>
            <w:noWrap/>
            <w:vAlign w:val="center"/>
            <w:hideMark/>
          </w:tcPr>
          <w:p w14:paraId="2E6BEBE0"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0.08</w:t>
            </w:r>
          </w:p>
        </w:tc>
        <w:tc>
          <w:tcPr>
            <w:tcW w:w="574" w:type="pct"/>
            <w:tcBorders>
              <w:top w:val="nil"/>
              <w:left w:val="nil"/>
              <w:bottom w:val="nil"/>
              <w:right w:val="nil"/>
            </w:tcBorders>
            <w:shd w:val="clear" w:color="auto" w:fill="auto"/>
            <w:noWrap/>
            <w:vAlign w:val="center"/>
            <w:hideMark/>
          </w:tcPr>
          <w:p w14:paraId="7D44C87D"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0.20</w:t>
            </w:r>
          </w:p>
        </w:tc>
        <w:tc>
          <w:tcPr>
            <w:tcW w:w="624" w:type="pct"/>
            <w:tcBorders>
              <w:top w:val="nil"/>
              <w:left w:val="nil"/>
              <w:bottom w:val="nil"/>
              <w:right w:val="nil"/>
            </w:tcBorders>
            <w:shd w:val="clear" w:color="auto" w:fill="auto"/>
            <w:noWrap/>
            <w:vAlign w:val="center"/>
            <w:hideMark/>
          </w:tcPr>
          <w:p w14:paraId="52CC54A0"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3.65</w:t>
            </w:r>
          </w:p>
        </w:tc>
        <w:tc>
          <w:tcPr>
            <w:tcW w:w="598" w:type="pct"/>
            <w:tcBorders>
              <w:top w:val="nil"/>
              <w:left w:val="nil"/>
              <w:bottom w:val="nil"/>
              <w:right w:val="nil"/>
            </w:tcBorders>
            <w:shd w:val="clear" w:color="auto" w:fill="auto"/>
            <w:noWrap/>
            <w:vAlign w:val="center"/>
            <w:hideMark/>
          </w:tcPr>
          <w:p w14:paraId="03D769A7"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0.98</w:t>
            </w:r>
          </w:p>
        </w:tc>
        <w:tc>
          <w:tcPr>
            <w:tcW w:w="613" w:type="pct"/>
            <w:tcBorders>
              <w:top w:val="nil"/>
              <w:left w:val="nil"/>
              <w:bottom w:val="nil"/>
              <w:right w:val="nil"/>
            </w:tcBorders>
            <w:shd w:val="clear" w:color="auto" w:fill="auto"/>
            <w:noWrap/>
            <w:vAlign w:val="center"/>
            <w:hideMark/>
          </w:tcPr>
          <w:p w14:paraId="79FCD1E1"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4.33</w:t>
            </w:r>
          </w:p>
        </w:tc>
        <w:tc>
          <w:tcPr>
            <w:tcW w:w="435" w:type="pct"/>
            <w:tcBorders>
              <w:top w:val="nil"/>
              <w:left w:val="nil"/>
              <w:bottom w:val="nil"/>
              <w:right w:val="nil"/>
            </w:tcBorders>
            <w:shd w:val="clear" w:color="auto" w:fill="auto"/>
            <w:noWrap/>
            <w:vAlign w:val="center"/>
          </w:tcPr>
          <w:p w14:paraId="730C9700" w14:textId="77777777" w:rsidR="006F36D1" w:rsidRPr="00060311" w:rsidRDefault="006F36D1" w:rsidP="006F36D1">
            <w:pPr>
              <w:jc w:val="right"/>
              <w:rPr>
                <w:rFonts w:ascii="Arial" w:hAnsi="Arial" w:cs="Arial"/>
                <w:sz w:val="18"/>
                <w:szCs w:val="18"/>
              </w:rPr>
            </w:pPr>
          </w:p>
        </w:tc>
      </w:tr>
      <w:tr w:rsidR="006F36D1" w:rsidRPr="00060311" w14:paraId="11AA4A6D" w14:textId="77777777" w:rsidTr="004600F4">
        <w:trPr>
          <w:trHeight w:val="285"/>
        </w:trPr>
        <w:tc>
          <w:tcPr>
            <w:tcW w:w="1403" w:type="pct"/>
            <w:tcBorders>
              <w:top w:val="nil"/>
              <w:left w:val="nil"/>
              <w:bottom w:val="nil"/>
              <w:right w:val="nil"/>
            </w:tcBorders>
            <w:shd w:val="clear" w:color="auto" w:fill="auto"/>
            <w:noWrap/>
            <w:vAlign w:val="center"/>
            <w:hideMark/>
          </w:tcPr>
          <w:p w14:paraId="2630EB61" w14:textId="77777777" w:rsidR="006F36D1" w:rsidRPr="00060311" w:rsidRDefault="006F36D1" w:rsidP="004600F4">
            <w:pPr>
              <w:rPr>
                <w:rFonts w:ascii="Arial" w:hAnsi="Arial" w:cs="Arial"/>
                <w:bCs/>
                <w:color w:val="000000"/>
                <w:sz w:val="18"/>
                <w:szCs w:val="18"/>
              </w:rPr>
            </w:pPr>
            <w:r w:rsidRPr="00060311">
              <w:rPr>
                <w:rFonts w:ascii="Arial" w:hAnsi="Arial" w:cs="Arial"/>
                <w:bCs/>
                <w:color w:val="000000"/>
                <w:sz w:val="18"/>
                <w:szCs w:val="18"/>
              </w:rPr>
              <w:t>Sinarmas Land Ltd</w:t>
            </w:r>
          </w:p>
        </w:tc>
        <w:tc>
          <w:tcPr>
            <w:tcW w:w="155" w:type="pct"/>
            <w:tcBorders>
              <w:top w:val="nil"/>
              <w:left w:val="nil"/>
              <w:bottom w:val="nil"/>
              <w:right w:val="nil"/>
            </w:tcBorders>
            <w:shd w:val="clear" w:color="auto" w:fill="auto"/>
            <w:noWrap/>
            <w:vAlign w:val="bottom"/>
            <w:hideMark/>
          </w:tcPr>
          <w:p w14:paraId="3DC2C05B" w14:textId="77777777" w:rsidR="006F36D1" w:rsidRPr="00060311" w:rsidRDefault="006F36D1" w:rsidP="006F36D1">
            <w:pPr>
              <w:jc w:val="right"/>
              <w:rPr>
                <w:rFonts w:ascii="Arial" w:hAnsi="Arial" w:cs="Arial"/>
                <w:b/>
                <w:bCs/>
                <w:sz w:val="18"/>
                <w:szCs w:val="18"/>
                <w:lang w:eastAsia="en-SG"/>
              </w:rPr>
            </w:pPr>
          </w:p>
        </w:tc>
        <w:tc>
          <w:tcPr>
            <w:tcW w:w="598" w:type="pct"/>
            <w:tcBorders>
              <w:top w:val="nil"/>
              <w:left w:val="nil"/>
              <w:bottom w:val="nil"/>
              <w:right w:val="nil"/>
            </w:tcBorders>
            <w:shd w:val="clear" w:color="auto" w:fill="auto"/>
            <w:noWrap/>
            <w:vAlign w:val="center"/>
            <w:hideMark/>
          </w:tcPr>
          <w:p w14:paraId="735A2DE9"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7.81</w:t>
            </w:r>
          </w:p>
        </w:tc>
        <w:tc>
          <w:tcPr>
            <w:tcW w:w="574" w:type="pct"/>
            <w:tcBorders>
              <w:top w:val="nil"/>
              <w:left w:val="nil"/>
              <w:bottom w:val="nil"/>
              <w:right w:val="nil"/>
            </w:tcBorders>
            <w:shd w:val="clear" w:color="auto" w:fill="auto"/>
            <w:noWrap/>
            <w:vAlign w:val="center"/>
            <w:hideMark/>
          </w:tcPr>
          <w:p w14:paraId="65A02F17"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19.81</w:t>
            </w:r>
          </w:p>
        </w:tc>
        <w:tc>
          <w:tcPr>
            <w:tcW w:w="624" w:type="pct"/>
            <w:tcBorders>
              <w:top w:val="nil"/>
              <w:left w:val="nil"/>
              <w:bottom w:val="nil"/>
              <w:right w:val="nil"/>
            </w:tcBorders>
            <w:shd w:val="clear" w:color="auto" w:fill="auto"/>
            <w:noWrap/>
            <w:vAlign w:val="center"/>
            <w:hideMark/>
          </w:tcPr>
          <w:p w14:paraId="4D3B717A"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5.05</w:t>
            </w:r>
          </w:p>
        </w:tc>
        <w:tc>
          <w:tcPr>
            <w:tcW w:w="598" w:type="pct"/>
            <w:tcBorders>
              <w:top w:val="nil"/>
              <w:left w:val="nil"/>
              <w:bottom w:val="nil"/>
              <w:right w:val="nil"/>
            </w:tcBorders>
            <w:shd w:val="clear" w:color="auto" w:fill="auto"/>
            <w:noWrap/>
            <w:vAlign w:val="center"/>
            <w:hideMark/>
          </w:tcPr>
          <w:p w14:paraId="7C7D3347"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1.03</w:t>
            </w:r>
          </w:p>
        </w:tc>
        <w:tc>
          <w:tcPr>
            <w:tcW w:w="613" w:type="pct"/>
            <w:tcBorders>
              <w:top w:val="nil"/>
              <w:left w:val="nil"/>
              <w:bottom w:val="nil"/>
              <w:right w:val="nil"/>
            </w:tcBorders>
            <w:shd w:val="clear" w:color="auto" w:fill="auto"/>
            <w:noWrap/>
            <w:vAlign w:val="center"/>
            <w:hideMark/>
          </w:tcPr>
          <w:p w14:paraId="6A252274"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1.24</w:t>
            </w:r>
          </w:p>
        </w:tc>
        <w:tc>
          <w:tcPr>
            <w:tcW w:w="435" w:type="pct"/>
            <w:tcBorders>
              <w:top w:val="nil"/>
              <w:left w:val="nil"/>
              <w:bottom w:val="nil"/>
              <w:right w:val="nil"/>
            </w:tcBorders>
            <w:shd w:val="clear" w:color="auto" w:fill="auto"/>
            <w:noWrap/>
            <w:vAlign w:val="center"/>
          </w:tcPr>
          <w:p w14:paraId="2DA79921" w14:textId="77777777" w:rsidR="006F36D1" w:rsidRPr="00060311" w:rsidRDefault="006F36D1" w:rsidP="006F36D1">
            <w:pPr>
              <w:jc w:val="right"/>
              <w:rPr>
                <w:rFonts w:ascii="Arial" w:hAnsi="Arial" w:cs="Arial"/>
                <w:sz w:val="18"/>
                <w:szCs w:val="18"/>
              </w:rPr>
            </w:pPr>
          </w:p>
        </w:tc>
      </w:tr>
      <w:tr w:rsidR="006F36D1" w:rsidRPr="00060311" w14:paraId="6EBE7DD3" w14:textId="77777777" w:rsidTr="004600F4">
        <w:trPr>
          <w:trHeight w:val="285"/>
        </w:trPr>
        <w:tc>
          <w:tcPr>
            <w:tcW w:w="1403" w:type="pct"/>
            <w:tcBorders>
              <w:top w:val="nil"/>
              <w:left w:val="nil"/>
              <w:bottom w:val="nil"/>
              <w:right w:val="nil"/>
            </w:tcBorders>
            <w:shd w:val="clear" w:color="auto" w:fill="auto"/>
            <w:noWrap/>
            <w:vAlign w:val="center"/>
            <w:hideMark/>
          </w:tcPr>
          <w:p w14:paraId="4CF5FD5B" w14:textId="77777777" w:rsidR="006F36D1" w:rsidRPr="00060311" w:rsidRDefault="006F36D1" w:rsidP="004600F4">
            <w:pPr>
              <w:rPr>
                <w:rFonts w:ascii="Arial" w:hAnsi="Arial" w:cs="Arial"/>
                <w:bCs/>
                <w:color w:val="000000"/>
                <w:sz w:val="18"/>
                <w:szCs w:val="18"/>
              </w:rPr>
            </w:pPr>
            <w:r w:rsidRPr="00060311">
              <w:rPr>
                <w:rFonts w:ascii="Arial" w:hAnsi="Arial" w:cs="Arial"/>
                <w:bCs/>
                <w:color w:val="000000"/>
                <w:sz w:val="18"/>
                <w:szCs w:val="18"/>
              </w:rPr>
              <w:t>Tuan Sing Holdings Ltd</w:t>
            </w:r>
          </w:p>
        </w:tc>
        <w:tc>
          <w:tcPr>
            <w:tcW w:w="155" w:type="pct"/>
            <w:tcBorders>
              <w:top w:val="nil"/>
              <w:left w:val="nil"/>
              <w:bottom w:val="nil"/>
              <w:right w:val="nil"/>
            </w:tcBorders>
            <w:shd w:val="clear" w:color="auto" w:fill="auto"/>
            <w:noWrap/>
            <w:vAlign w:val="bottom"/>
            <w:hideMark/>
          </w:tcPr>
          <w:p w14:paraId="14056A06" w14:textId="77777777" w:rsidR="006F36D1" w:rsidRPr="00060311" w:rsidRDefault="006F36D1" w:rsidP="006F36D1">
            <w:pPr>
              <w:jc w:val="right"/>
              <w:rPr>
                <w:rFonts w:ascii="Arial" w:hAnsi="Arial" w:cs="Arial"/>
                <w:b/>
                <w:bCs/>
                <w:sz w:val="18"/>
                <w:szCs w:val="18"/>
                <w:lang w:eastAsia="en-SG"/>
              </w:rPr>
            </w:pPr>
          </w:p>
        </w:tc>
        <w:tc>
          <w:tcPr>
            <w:tcW w:w="598" w:type="pct"/>
            <w:tcBorders>
              <w:top w:val="nil"/>
              <w:left w:val="nil"/>
              <w:bottom w:val="nil"/>
              <w:right w:val="nil"/>
            </w:tcBorders>
            <w:shd w:val="clear" w:color="auto" w:fill="auto"/>
            <w:noWrap/>
            <w:vAlign w:val="center"/>
            <w:hideMark/>
          </w:tcPr>
          <w:p w14:paraId="2EC1131D"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3.29</w:t>
            </w:r>
          </w:p>
        </w:tc>
        <w:tc>
          <w:tcPr>
            <w:tcW w:w="574" w:type="pct"/>
            <w:tcBorders>
              <w:top w:val="nil"/>
              <w:left w:val="nil"/>
              <w:bottom w:val="nil"/>
              <w:right w:val="nil"/>
            </w:tcBorders>
            <w:shd w:val="clear" w:color="auto" w:fill="auto"/>
            <w:noWrap/>
            <w:vAlign w:val="center"/>
            <w:hideMark/>
          </w:tcPr>
          <w:p w14:paraId="40071C72"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7.14</w:t>
            </w:r>
          </w:p>
        </w:tc>
        <w:tc>
          <w:tcPr>
            <w:tcW w:w="624" w:type="pct"/>
            <w:tcBorders>
              <w:top w:val="nil"/>
              <w:left w:val="nil"/>
              <w:bottom w:val="nil"/>
              <w:right w:val="nil"/>
            </w:tcBorders>
            <w:shd w:val="clear" w:color="auto" w:fill="auto"/>
            <w:noWrap/>
            <w:vAlign w:val="center"/>
            <w:hideMark/>
          </w:tcPr>
          <w:p w14:paraId="6BDB243E"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6.67</w:t>
            </w:r>
          </w:p>
        </w:tc>
        <w:tc>
          <w:tcPr>
            <w:tcW w:w="598" w:type="pct"/>
            <w:tcBorders>
              <w:top w:val="nil"/>
              <w:left w:val="nil"/>
              <w:bottom w:val="nil"/>
              <w:right w:val="nil"/>
            </w:tcBorders>
            <w:shd w:val="clear" w:color="auto" w:fill="auto"/>
            <w:noWrap/>
            <w:vAlign w:val="center"/>
            <w:hideMark/>
          </w:tcPr>
          <w:p w14:paraId="510A4EC4"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0.47</w:t>
            </w:r>
          </w:p>
        </w:tc>
        <w:tc>
          <w:tcPr>
            <w:tcW w:w="613" w:type="pct"/>
            <w:tcBorders>
              <w:top w:val="nil"/>
              <w:left w:val="nil"/>
              <w:bottom w:val="nil"/>
              <w:right w:val="nil"/>
            </w:tcBorders>
            <w:shd w:val="clear" w:color="auto" w:fill="auto"/>
            <w:noWrap/>
            <w:vAlign w:val="center"/>
            <w:hideMark/>
          </w:tcPr>
          <w:p w14:paraId="137C92F1"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1.16</w:t>
            </w:r>
          </w:p>
        </w:tc>
        <w:tc>
          <w:tcPr>
            <w:tcW w:w="435" w:type="pct"/>
            <w:tcBorders>
              <w:top w:val="nil"/>
              <w:left w:val="nil"/>
              <w:bottom w:val="nil"/>
              <w:right w:val="nil"/>
            </w:tcBorders>
            <w:shd w:val="clear" w:color="auto" w:fill="auto"/>
            <w:noWrap/>
            <w:vAlign w:val="center"/>
          </w:tcPr>
          <w:p w14:paraId="2D1DE3F2" w14:textId="77777777" w:rsidR="006F36D1" w:rsidRPr="00060311" w:rsidRDefault="006F36D1" w:rsidP="006F36D1">
            <w:pPr>
              <w:jc w:val="right"/>
              <w:rPr>
                <w:rFonts w:ascii="Arial" w:hAnsi="Arial" w:cs="Arial"/>
                <w:sz w:val="18"/>
                <w:szCs w:val="18"/>
              </w:rPr>
            </w:pPr>
          </w:p>
        </w:tc>
      </w:tr>
      <w:tr w:rsidR="006F36D1" w:rsidRPr="00060311" w14:paraId="79E31524" w14:textId="77777777" w:rsidTr="004600F4">
        <w:trPr>
          <w:trHeight w:val="285"/>
        </w:trPr>
        <w:tc>
          <w:tcPr>
            <w:tcW w:w="1403" w:type="pct"/>
            <w:tcBorders>
              <w:top w:val="nil"/>
              <w:left w:val="nil"/>
              <w:bottom w:val="nil"/>
              <w:right w:val="nil"/>
            </w:tcBorders>
            <w:shd w:val="clear" w:color="auto" w:fill="auto"/>
            <w:noWrap/>
            <w:vAlign w:val="center"/>
            <w:hideMark/>
          </w:tcPr>
          <w:p w14:paraId="1CEDE95C" w14:textId="7ADE0B18" w:rsidR="006F36D1" w:rsidRPr="00060311" w:rsidRDefault="00C1248F" w:rsidP="004600F4">
            <w:pPr>
              <w:rPr>
                <w:rFonts w:ascii="Arial" w:hAnsi="Arial" w:cs="Arial"/>
                <w:bCs/>
                <w:color w:val="000000"/>
                <w:sz w:val="18"/>
                <w:szCs w:val="18"/>
              </w:rPr>
            </w:pPr>
            <w:r w:rsidRPr="00060311">
              <w:rPr>
                <w:rFonts w:ascii="Arial" w:hAnsi="Arial" w:cs="Arial"/>
                <w:bCs/>
                <w:color w:val="000000"/>
                <w:sz w:val="18"/>
                <w:szCs w:val="18"/>
              </w:rPr>
              <w:t>U</w:t>
            </w:r>
            <w:r>
              <w:rPr>
                <w:rFonts w:ascii="Arial" w:hAnsi="Arial" w:cs="Arial"/>
                <w:bCs/>
                <w:color w:val="000000"/>
                <w:sz w:val="18"/>
                <w:szCs w:val="18"/>
              </w:rPr>
              <w:t>IC</w:t>
            </w:r>
            <w:r w:rsidR="006F36D1" w:rsidRPr="00060311">
              <w:rPr>
                <w:rFonts w:ascii="Arial" w:hAnsi="Arial" w:cs="Arial"/>
                <w:bCs/>
                <w:color w:val="000000"/>
                <w:sz w:val="18"/>
                <w:szCs w:val="18"/>
              </w:rPr>
              <w:t>-United Indust Corp Ltd</w:t>
            </w:r>
          </w:p>
        </w:tc>
        <w:tc>
          <w:tcPr>
            <w:tcW w:w="155" w:type="pct"/>
            <w:tcBorders>
              <w:top w:val="nil"/>
              <w:left w:val="nil"/>
              <w:bottom w:val="nil"/>
              <w:right w:val="nil"/>
            </w:tcBorders>
            <w:shd w:val="clear" w:color="auto" w:fill="auto"/>
            <w:noWrap/>
            <w:vAlign w:val="bottom"/>
            <w:hideMark/>
          </w:tcPr>
          <w:p w14:paraId="6E1E42DD" w14:textId="77777777" w:rsidR="006F36D1" w:rsidRPr="00060311" w:rsidRDefault="006F36D1" w:rsidP="006F36D1">
            <w:pPr>
              <w:jc w:val="right"/>
              <w:rPr>
                <w:rFonts w:ascii="Arial" w:hAnsi="Arial" w:cs="Arial"/>
                <w:b/>
                <w:bCs/>
                <w:sz w:val="18"/>
                <w:szCs w:val="18"/>
                <w:lang w:eastAsia="en-SG"/>
              </w:rPr>
            </w:pPr>
          </w:p>
        </w:tc>
        <w:tc>
          <w:tcPr>
            <w:tcW w:w="598" w:type="pct"/>
            <w:tcBorders>
              <w:top w:val="nil"/>
              <w:left w:val="nil"/>
              <w:bottom w:val="nil"/>
              <w:right w:val="nil"/>
            </w:tcBorders>
            <w:shd w:val="clear" w:color="auto" w:fill="auto"/>
            <w:noWrap/>
            <w:vAlign w:val="center"/>
            <w:hideMark/>
          </w:tcPr>
          <w:p w14:paraId="19F80D53"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4.00</w:t>
            </w:r>
          </w:p>
        </w:tc>
        <w:tc>
          <w:tcPr>
            <w:tcW w:w="574" w:type="pct"/>
            <w:tcBorders>
              <w:top w:val="nil"/>
              <w:left w:val="nil"/>
              <w:bottom w:val="nil"/>
              <w:right w:val="nil"/>
            </w:tcBorders>
            <w:shd w:val="clear" w:color="auto" w:fill="auto"/>
            <w:noWrap/>
            <w:vAlign w:val="center"/>
            <w:hideMark/>
          </w:tcPr>
          <w:p w14:paraId="5C23F880"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6.54</w:t>
            </w:r>
          </w:p>
        </w:tc>
        <w:tc>
          <w:tcPr>
            <w:tcW w:w="624" w:type="pct"/>
            <w:tcBorders>
              <w:top w:val="nil"/>
              <w:left w:val="nil"/>
              <w:bottom w:val="nil"/>
              <w:right w:val="nil"/>
            </w:tcBorders>
            <w:shd w:val="clear" w:color="auto" w:fill="auto"/>
            <w:noWrap/>
            <w:vAlign w:val="center"/>
            <w:hideMark/>
          </w:tcPr>
          <w:p w14:paraId="6B012E0C"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12.97</w:t>
            </w:r>
          </w:p>
        </w:tc>
        <w:tc>
          <w:tcPr>
            <w:tcW w:w="598" w:type="pct"/>
            <w:tcBorders>
              <w:top w:val="nil"/>
              <w:left w:val="nil"/>
              <w:bottom w:val="nil"/>
              <w:right w:val="nil"/>
            </w:tcBorders>
            <w:shd w:val="clear" w:color="auto" w:fill="auto"/>
            <w:noWrap/>
            <w:vAlign w:val="center"/>
            <w:hideMark/>
          </w:tcPr>
          <w:p w14:paraId="2750839D"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0.82</w:t>
            </w:r>
          </w:p>
        </w:tc>
        <w:tc>
          <w:tcPr>
            <w:tcW w:w="613" w:type="pct"/>
            <w:tcBorders>
              <w:top w:val="nil"/>
              <w:left w:val="nil"/>
              <w:bottom w:val="nil"/>
              <w:right w:val="nil"/>
            </w:tcBorders>
            <w:shd w:val="clear" w:color="auto" w:fill="auto"/>
            <w:noWrap/>
            <w:vAlign w:val="center"/>
            <w:hideMark/>
          </w:tcPr>
          <w:p w14:paraId="56D5DE3F"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6.72</w:t>
            </w:r>
          </w:p>
        </w:tc>
        <w:tc>
          <w:tcPr>
            <w:tcW w:w="435" w:type="pct"/>
            <w:tcBorders>
              <w:top w:val="nil"/>
              <w:left w:val="nil"/>
              <w:bottom w:val="nil"/>
              <w:right w:val="nil"/>
            </w:tcBorders>
            <w:shd w:val="clear" w:color="auto" w:fill="auto"/>
            <w:noWrap/>
            <w:vAlign w:val="center"/>
          </w:tcPr>
          <w:p w14:paraId="65BC0A46" w14:textId="77777777" w:rsidR="006F36D1" w:rsidRPr="00060311" w:rsidRDefault="006F36D1" w:rsidP="006F36D1">
            <w:pPr>
              <w:jc w:val="right"/>
              <w:rPr>
                <w:rFonts w:ascii="Arial" w:hAnsi="Arial" w:cs="Arial"/>
                <w:sz w:val="18"/>
                <w:szCs w:val="18"/>
              </w:rPr>
            </w:pPr>
          </w:p>
        </w:tc>
      </w:tr>
      <w:tr w:rsidR="006F36D1" w:rsidRPr="00060311" w14:paraId="2E2E7E11" w14:textId="77777777" w:rsidTr="004600F4">
        <w:trPr>
          <w:trHeight w:val="285"/>
        </w:trPr>
        <w:tc>
          <w:tcPr>
            <w:tcW w:w="1403" w:type="pct"/>
            <w:tcBorders>
              <w:top w:val="nil"/>
              <w:left w:val="nil"/>
              <w:bottom w:val="nil"/>
              <w:right w:val="nil"/>
            </w:tcBorders>
            <w:shd w:val="clear" w:color="auto" w:fill="auto"/>
            <w:noWrap/>
            <w:vAlign w:val="center"/>
            <w:hideMark/>
          </w:tcPr>
          <w:p w14:paraId="17AEEDA2" w14:textId="3C187355" w:rsidR="006F36D1" w:rsidRPr="00060311" w:rsidRDefault="00C1248F" w:rsidP="004600F4">
            <w:pPr>
              <w:rPr>
                <w:rFonts w:ascii="Arial" w:hAnsi="Arial" w:cs="Arial"/>
                <w:bCs/>
                <w:color w:val="000000"/>
                <w:sz w:val="18"/>
                <w:szCs w:val="18"/>
              </w:rPr>
            </w:pPr>
            <w:r w:rsidRPr="00060311">
              <w:rPr>
                <w:rFonts w:ascii="Arial" w:hAnsi="Arial" w:cs="Arial"/>
                <w:bCs/>
                <w:color w:val="000000"/>
                <w:sz w:val="18"/>
                <w:szCs w:val="18"/>
              </w:rPr>
              <w:t>U</w:t>
            </w:r>
            <w:r>
              <w:rPr>
                <w:rFonts w:ascii="Arial" w:hAnsi="Arial" w:cs="Arial"/>
                <w:bCs/>
                <w:color w:val="000000"/>
                <w:sz w:val="18"/>
                <w:szCs w:val="18"/>
              </w:rPr>
              <w:t>OL</w:t>
            </w:r>
            <w:r w:rsidRPr="00060311">
              <w:rPr>
                <w:rFonts w:ascii="Arial" w:hAnsi="Arial" w:cs="Arial"/>
                <w:bCs/>
                <w:color w:val="000000"/>
                <w:sz w:val="18"/>
                <w:szCs w:val="18"/>
              </w:rPr>
              <w:t xml:space="preserve"> </w:t>
            </w:r>
            <w:r w:rsidR="006F36D1" w:rsidRPr="00060311">
              <w:rPr>
                <w:rFonts w:ascii="Arial" w:hAnsi="Arial" w:cs="Arial"/>
                <w:bCs/>
                <w:color w:val="000000"/>
                <w:sz w:val="18"/>
                <w:szCs w:val="18"/>
              </w:rPr>
              <w:t>Group Ltd</w:t>
            </w:r>
          </w:p>
        </w:tc>
        <w:tc>
          <w:tcPr>
            <w:tcW w:w="155" w:type="pct"/>
            <w:tcBorders>
              <w:top w:val="nil"/>
              <w:left w:val="nil"/>
              <w:bottom w:val="nil"/>
              <w:right w:val="nil"/>
            </w:tcBorders>
            <w:shd w:val="clear" w:color="auto" w:fill="auto"/>
            <w:noWrap/>
            <w:vAlign w:val="bottom"/>
            <w:hideMark/>
          </w:tcPr>
          <w:p w14:paraId="2CDF1487" w14:textId="77777777" w:rsidR="006F36D1" w:rsidRPr="00060311" w:rsidRDefault="006F36D1" w:rsidP="006F36D1">
            <w:pPr>
              <w:jc w:val="right"/>
              <w:rPr>
                <w:rFonts w:ascii="Arial" w:hAnsi="Arial" w:cs="Arial"/>
                <w:b/>
                <w:bCs/>
                <w:sz w:val="18"/>
                <w:szCs w:val="18"/>
                <w:lang w:eastAsia="en-SG"/>
              </w:rPr>
            </w:pPr>
          </w:p>
        </w:tc>
        <w:tc>
          <w:tcPr>
            <w:tcW w:w="598" w:type="pct"/>
            <w:tcBorders>
              <w:top w:val="nil"/>
              <w:left w:val="nil"/>
              <w:bottom w:val="nil"/>
              <w:right w:val="nil"/>
            </w:tcBorders>
            <w:shd w:val="clear" w:color="auto" w:fill="auto"/>
            <w:noWrap/>
            <w:vAlign w:val="center"/>
            <w:hideMark/>
          </w:tcPr>
          <w:p w14:paraId="05234D1F"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7.86</w:t>
            </w:r>
          </w:p>
        </w:tc>
        <w:tc>
          <w:tcPr>
            <w:tcW w:w="574" w:type="pct"/>
            <w:tcBorders>
              <w:top w:val="nil"/>
              <w:left w:val="nil"/>
              <w:bottom w:val="nil"/>
              <w:right w:val="nil"/>
            </w:tcBorders>
            <w:shd w:val="clear" w:color="auto" w:fill="auto"/>
            <w:noWrap/>
            <w:vAlign w:val="center"/>
            <w:hideMark/>
          </w:tcPr>
          <w:p w14:paraId="36525C14"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12.18</w:t>
            </w:r>
          </w:p>
        </w:tc>
        <w:tc>
          <w:tcPr>
            <w:tcW w:w="624" w:type="pct"/>
            <w:tcBorders>
              <w:top w:val="nil"/>
              <w:left w:val="nil"/>
              <w:bottom w:val="nil"/>
              <w:right w:val="nil"/>
            </w:tcBorders>
            <w:shd w:val="clear" w:color="auto" w:fill="auto"/>
            <w:noWrap/>
            <w:vAlign w:val="center"/>
            <w:hideMark/>
          </w:tcPr>
          <w:p w14:paraId="10A33F7D"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6.07</w:t>
            </w:r>
          </w:p>
        </w:tc>
        <w:tc>
          <w:tcPr>
            <w:tcW w:w="598" w:type="pct"/>
            <w:tcBorders>
              <w:top w:val="nil"/>
              <w:left w:val="nil"/>
              <w:bottom w:val="nil"/>
              <w:right w:val="nil"/>
            </w:tcBorders>
            <w:shd w:val="clear" w:color="auto" w:fill="auto"/>
            <w:noWrap/>
            <w:vAlign w:val="center"/>
            <w:hideMark/>
          </w:tcPr>
          <w:p w14:paraId="61C7582E"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0.71</w:t>
            </w:r>
          </w:p>
        </w:tc>
        <w:tc>
          <w:tcPr>
            <w:tcW w:w="613" w:type="pct"/>
            <w:tcBorders>
              <w:top w:val="nil"/>
              <w:left w:val="nil"/>
              <w:bottom w:val="nil"/>
              <w:right w:val="nil"/>
            </w:tcBorders>
            <w:shd w:val="clear" w:color="auto" w:fill="auto"/>
            <w:noWrap/>
            <w:vAlign w:val="center"/>
            <w:hideMark/>
          </w:tcPr>
          <w:p w14:paraId="378EB846"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4.62</w:t>
            </w:r>
          </w:p>
        </w:tc>
        <w:tc>
          <w:tcPr>
            <w:tcW w:w="435" w:type="pct"/>
            <w:tcBorders>
              <w:top w:val="nil"/>
              <w:left w:val="nil"/>
              <w:bottom w:val="nil"/>
              <w:right w:val="nil"/>
            </w:tcBorders>
            <w:shd w:val="clear" w:color="auto" w:fill="auto"/>
            <w:noWrap/>
            <w:vAlign w:val="center"/>
          </w:tcPr>
          <w:p w14:paraId="79402DEB" w14:textId="77777777" w:rsidR="006F36D1" w:rsidRPr="00060311" w:rsidRDefault="006F36D1" w:rsidP="006F36D1">
            <w:pPr>
              <w:jc w:val="right"/>
              <w:rPr>
                <w:rFonts w:ascii="Arial" w:hAnsi="Arial" w:cs="Arial"/>
                <w:sz w:val="18"/>
                <w:szCs w:val="18"/>
              </w:rPr>
            </w:pPr>
          </w:p>
        </w:tc>
      </w:tr>
      <w:tr w:rsidR="006F36D1" w:rsidRPr="00060311" w14:paraId="27310208" w14:textId="77777777" w:rsidTr="004600F4">
        <w:trPr>
          <w:trHeight w:val="285"/>
        </w:trPr>
        <w:tc>
          <w:tcPr>
            <w:tcW w:w="1403" w:type="pct"/>
            <w:tcBorders>
              <w:top w:val="nil"/>
              <w:left w:val="nil"/>
              <w:bottom w:val="nil"/>
              <w:right w:val="nil"/>
            </w:tcBorders>
            <w:shd w:val="clear" w:color="auto" w:fill="auto"/>
            <w:noWrap/>
            <w:vAlign w:val="center"/>
            <w:hideMark/>
          </w:tcPr>
          <w:p w14:paraId="48A72904" w14:textId="018BD169" w:rsidR="006F36D1" w:rsidRPr="00060311" w:rsidRDefault="006F36D1" w:rsidP="004600F4">
            <w:pPr>
              <w:rPr>
                <w:rFonts w:ascii="Arial" w:hAnsi="Arial" w:cs="Arial"/>
                <w:bCs/>
                <w:color w:val="000000"/>
                <w:sz w:val="18"/>
                <w:szCs w:val="18"/>
              </w:rPr>
            </w:pPr>
            <w:r w:rsidRPr="00060311">
              <w:rPr>
                <w:rFonts w:ascii="Arial" w:hAnsi="Arial" w:cs="Arial"/>
                <w:bCs/>
                <w:color w:val="000000"/>
                <w:sz w:val="18"/>
                <w:szCs w:val="18"/>
              </w:rPr>
              <w:t>Wheelock Properties (</w:t>
            </w:r>
            <w:r w:rsidR="004B565F" w:rsidRPr="00060311">
              <w:rPr>
                <w:rFonts w:ascii="Arial" w:hAnsi="Arial" w:cs="Arial"/>
                <w:bCs/>
                <w:color w:val="000000"/>
                <w:sz w:val="18"/>
                <w:szCs w:val="18"/>
              </w:rPr>
              <w:t>S</w:t>
            </w:r>
            <w:r w:rsidR="004B565F">
              <w:rPr>
                <w:rFonts w:ascii="Arial" w:hAnsi="Arial" w:cs="Arial"/>
                <w:bCs/>
                <w:color w:val="000000"/>
                <w:sz w:val="18"/>
                <w:szCs w:val="18"/>
              </w:rPr>
              <w:t>GP</w:t>
            </w:r>
            <w:r w:rsidRPr="00060311">
              <w:rPr>
                <w:rFonts w:ascii="Arial" w:hAnsi="Arial" w:cs="Arial"/>
                <w:bCs/>
                <w:color w:val="000000"/>
                <w:sz w:val="18"/>
                <w:szCs w:val="18"/>
              </w:rPr>
              <w:t>)</w:t>
            </w:r>
          </w:p>
        </w:tc>
        <w:tc>
          <w:tcPr>
            <w:tcW w:w="155" w:type="pct"/>
            <w:tcBorders>
              <w:top w:val="nil"/>
              <w:left w:val="nil"/>
              <w:bottom w:val="nil"/>
              <w:right w:val="nil"/>
            </w:tcBorders>
            <w:shd w:val="clear" w:color="auto" w:fill="auto"/>
            <w:noWrap/>
            <w:vAlign w:val="bottom"/>
            <w:hideMark/>
          </w:tcPr>
          <w:p w14:paraId="4FDD6C4C" w14:textId="77777777" w:rsidR="006F36D1" w:rsidRPr="00060311" w:rsidRDefault="006F36D1" w:rsidP="006F36D1">
            <w:pPr>
              <w:jc w:val="right"/>
              <w:rPr>
                <w:rFonts w:ascii="Arial" w:hAnsi="Arial" w:cs="Arial"/>
                <w:b/>
                <w:bCs/>
                <w:sz w:val="18"/>
                <w:szCs w:val="18"/>
                <w:lang w:eastAsia="en-SG"/>
              </w:rPr>
            </w:pPr>
          </w:p>
        </w:tc>
        <w:tc>
          <w:tcPr>
            <w:tcW w:w="598" w:type="pct"/>
            <w:tcBorders>
              <w:top w:val="nil"/>
              <w:left w:val="nil"/>
              <w:bottom w:val="nil"/>
              <w:right w:val="nil"/>
            </w:tcBorders>
            <w:shd w:val="clear" w:color="auto" w:fill="auto"/>
            <w:noWrap/>
            <w:vAlign w:val="center"/>
            <w:hideMark/>
          </w:tcPr>
          <w:p w14:paraId="7C908462"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1.09</w:t>
            </w:r>
          </w:p>
        </w:tc>
        <w:tc>
          <w:tcPr>
            <w:tcW w:w="574" w:type="pct"/>
            <w:tcBorders>
              <w:top w:val="nil"/>
              <w:left w:val="nil"/>
              <w:bottom w:val="nil"/>
              <w:right w:val="nil"/>
            </w:tcBorders>
            <w:shd w:val="clear" w:color="auto" w:fill="auto"/>
            <w:noWrap/>
            <w:vAlign w:val="center"/>
            <w:hideMark/>
          </w:tcPr>
          <w:p w14:paraId="4F33AF91"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1.31</w:t>
            </w:r>
          </w:p>
        </w:tc>
        <w:tc>
          <w:tcPr>
            <w:tcW w:w="624" w:type="pct"/>
            <w:tcBorders>
              <w:top w:val="nil"/>
              <w:left w:val="nil"/>
              <w:bottom w:val="nil"/>
              <w:right w:val="nil"/>
            </w:tcBorders>
            <w:shd w:val="clear" w:color="auto" w:fill="auto"/>
            <w:noWrap/>
            <w:vAlign w:val="center"/>
            <w:hideMark/>
          </w:tcPr>
          <w:p w14:paraId="0CE33335"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50.60</w:t>
            </w:r>
          </w:p>
        </w:tc>
        <w:tc>
          <w:tcPr>
            <w:tcW w:w="598" w:type="pct"/>
            <w:tcBorders>
              <w:top w:val="nil"/>
              <w:left w:val="nil"/>
              <w:bottom w:val="nil"/>
              <w:right w:val="nil"/>
            </w:tcBorders>
            <w:shd w:val="clear" w:color="auto" w:fill="auto"/>
            <w:noWrap/>
            <w:vAlign w:val="center"/>
            <w:hideMark/>
          </w:tcPr>
          <w:p w14:paraId="03303074"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0.68</w:t>
            </w:r>
          </w:p>
        </w:tc>
        <w:tc>
          <w:tcPr>
            <w:tcW w:w="613" w:type="pct"/>
            <w:tcBorders>
              <w:top w:val="nil"/>
              <w:left w:val="nil"/>
              <w:bottom w:val="nil"/>
              <w:right w:val="nil"/>
            </w:tcBorders>
            <w:shd w:val="clear" w:color="auto" w:fill="auto"/>
            <w:noWrap/>
            <w:vAlign w:val="center"/>
            <w:hideMark/>
          </w:tcPr>
          <w:p w14:paraId="6ABF8E75"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17.32</w:t>
            </w:r>
          </w:p>
        </w:tc>
        <w:tc>
          <w:tcPr>
            <w:tcW w:w="435" w:type="pct"/>
            <w:tcBorders>
              <w:top w:val="nil"/>
              <w:left w:val="nil"/>
              <w:bottom w:val="nil"/>
              <w:right w:val="nil"/>
            </w:tcBorders>
            <w:shd w:val="clear" w:color="auto" w:fill="auto"/>
            <w:noWrap/>
            <w:vAlign w:val="center"/>
          </w:tcPr>
          <w:p w14:paraId="51C900D0" w14:textId="77777777" w:rsidR="006F36D1" w:rsidRPr="00060311" w:rsidRDefault="006F36D1" w:rsidP="006F36D1">
            <w:pPr>
              <w:jc w:val="right"/>
              <w:rPr>
                <w:rFonts w:ascii="Arial" w:hAnsi="Arial" w:cs="Arial"/>
                <w:sz w:val="18"/>
                <w:szCs w:val="18"/>
              </w:rPr>
            </w:pPr>
          </w:p>
        </w:tc>
      </w:tr>
      <w:tr w:rsidR="006F36D1" w:rsidRPr="00060311" w14:paraId="1EB3887D" w14:textId="77777777" w:rsidTr="004600F4">
        <w:trPr>
          <w:trHeight w:val="285"/>
        </w:trPr>
        <w:tc>
          <w:tcPr>
            <w:tcW w:w="1403" w:type="pct"/>
            <w:tcBorders>
              <w:top w:val="nil"/>
              <w:left w:val="nil"/>
              <w:bottom w:val="nil"/>
              <w:right w:val="nil"/>
            </w:tcBorders>
            <w:shd w:val="clear" w:color="auto" w:fill="auto"/>
            <w:noWrap/>
            <w:vAlign w:val="center"/>
            <w:hideMark/>
          </w:tcPr>
          <w:p w14:paraId="1E27B7E9" w14:textId="77777777" w:rsidR="006F36D1" w:rsidRPr="00060311" w:rsidRDefault="006F36D1" w:rsidP="004600F4">
            <w:pPr>
              <w:rPr>
                <w:rFonts w:ascii="Arial" w:hAnsi="Arial" w:cs="Arial"/>
                <w:bCs/>
                <w:color w:val="000000"/>
                <w:sz w:val="18"/>
                <w:szCs w:val="18"/>
              </w:rPr>
            </w:pPr>
            <w:r w:rsidRPr="00060311">
              <w:rPr>
                <w:rFonts w:ascii="Arial" w:hAnsi="Arial" w:cs="Arial"/>
                <w:bCs/>
                <w:color w:val="000000"/>
                <w:sz w:val="18"/>
                <w:szCs w:val="18"/>
              </w:rPr>
              <w:t>Wing Tai Holdings Ltd</w:t>
            </w:r>
          </w:p>
        </w:tc>
        <w:tc>
          <w:tcPr>
            <w:tcW w:w="155" w:type="pct"/>
            <w:tcBorders>
              <w:top w:val="nil"/>
              <w:left w:val="nil"/>
              <w:bottom w:val="nil"/>
              <w:right w:val="nil"/>
            </w:tcBorders>
            <w:shd w:val="clear" w:color="auto" w:fill="auto"/>
            <w:noWrap/>
            <w:vAlign w:val="bottom"/>
            <w:hideMark/>
          </w:tcPr>
          <w:p w14:paraId="74C738AA" w14:textId="77777777" w:rsidR="006F36D1" w:rsidRPr="00060311" w:rsidRDefault="006F36D1" w:rsidP="006F36D1">
            <w:pPr>
              <w:jc w:val="right"/>
              <w:rPr>
                <w:rFonts w:ascii="Arial" w:hAnsi="Arial" w:cs="Arial"/>
                <w:b/>
                <w:bCs/>
                <w:sz w:val="18"/>
                <w:szCs w:val="18"/>
                <w:lang w:eastAsia="en-SG"/>
              </w:rPr>
            </w:pPr>
          </w:p>
        </w:tc>
        <w:tc>
          <w:tcPr>
            <w:tcW w:w="598" w:type="pct"/>
            <w:tcBorders>
              <w:top w:val="nil"/>
              <w:left w:val="nil"/>
              <w:bottom w:val="nil"/>
              <w:right w:val="nil"/>
            </w:tcBorders>
            <w:shd w:val="clear" w:color="auto" w:fill="auto"/>
            <w:noWrap/>
            <w:vAlign w:val="center"/>
            <w:hideMark/>
          </w:tcPr>
          <w:p w14:paraId="19D5B57D"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11.82</w:t>
            </w:r>
          </w:p>
        </w:tc>
        <w:tc>
          <w:tcPr>
            <w:tcW w:w="574" w:type="pct"/>
            <w:tcBorders>
              <w:top w:val="nil"/>
              <w:left w:val="nil"/>
              <w:bottom w:val="nil"/>
              <w:right w:val="nil"/>
            </w:tcBorders>
            <w:shd w:val="clear" w:color="auto" w:fill="auto"/>
            <w:noWrap/>
            <w:vAlign w:val="center"/>
            <w:hideMark/>
          </w:tcPr>
          <w:p w14:paraId="36A04D42"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20.94</w:t>
            </w:r>
          </w:p>
        </w:tc>
        <w:tc>
          <w:tcPr>
            <w:tcW w:w="624" w:type="pct"/>
            <w:tcBorders>
              <w:top w:val="nil"/>
              <w:left w:val="nil"/>
              <w:bottom w:val="nil"/>
              <w:right w:val="nil"/>
            </w:tcBorders>
            <w:shd w:val="clear" w:color="auto" w:fill="auto"/>
            <w:noWrap/>
            <w:vAlign w:val="center"/>
            <w:hideMark/>
          </w:tcPr>
          <w:p w14:paraId="3EC0B671"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3.02</w:t>
            </w:r>
          </w:p>
        </w:tc>
        <w:tc>
          <w:tcPr>
            <w:tcW w:w="598" w:type="pct"/>
            <w:tcBorders>
              <w:top w:val="nil"/>
              <w:left w:val="nil"/>
              <w:bottom w:val="nil"/>
              <w:right w:val="nil"/>
            </w:tcBorders>
            <w:shd w:val="clear" w:color="auto" w:fill="auto"/>
            <w:noWrap/>
            <w:vAlign w:val="center"/>
            <w:hideMark/>
          </w:tcPr>
          <w:p w14:paraId="0223E240"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0.57</w:t>
            </w:r>
          </w:p>
        </w:tc>
        <w:tc>
          <w:tcPr>
            <w:tcW w:w="613" w:type="pct"/>
            <w:tcBorders>
              <w:top w:val="nil"/>
              <w:left w:val="nil"/>
              <w:bottom w:val="nil"/>
              <w:right w:val="nil"/>
            </w:tcBorders>
            <w:shd w:val="clear" w:color="auto" w:fill="auto"/>
            <w:noWrap/>
            <w:vAlign w:val="center"/>
            <w:hideMark/>
          </w:tcPr>
          <w:p w14:paraId="35AB5285"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1.21</w:t>
            </w:r>
          </w:p>
        </w:tc>
        <w:tc>
          <w:tcPr>
            <w:tcW w:w="435" w:type="pct"/>
            <w:tcBorders>
              <w:top w:val="nil"/>
              <w:left w:val="nil"/>
              <w:bottom w:val="nil"/>
              <w:right w:val="nil"/>
            </w:tcBorders>
            <w:shd w:val="clear" w:color="auto" w:fill="auto"/>
            <w:noWrap/>
            <w:vAlign w:val="center"/>
          </w:tcPr>
          <w:p w14:paraId="088984AD" w14:textId="77777777" w:rsidR="006F36D1" w:rsidRPr="00060311" w:rsidRDefault="006F36D1" w:rsidP="006F36D1">
            <w:pPr>
              <w:jc w:val="right"/>
              <w:rPr>
                <w:rFonts w:ascii="Arial" w:hAnsi="Arial" w:cs="Arial"/>
                <w:sz w:val="18"/>
                <w:szCs w:val="18"/>
              </w:rPr>
            </w:pPr>
          </w:p>
        </w:tc>
      </w:tr>
      <w:tr w:rsidR="006F36D1" w:rsidRPr="00060311" w14:paraId="4307D617" w14:textId="77777777" w:rsidTr="004600F4">
        <w:trPr>
          <w:trHeight w:val="285"/>
        </w:trPr>
        <w:tc>
          <w:tcPr>
            <w:tcW w:w="1403" w:type="pct"/>
            <w:tcBorders>
              <w:top w:val="nil"/>
              <w:left w:val="nil"/>
              <w:right w:val="nil"/>
            </w:tcBorders>
            <w:shd w:val="clear" w:color="auto" w:fill="auto"/>
            <w:noWrap/>
            <w:vAlign w:val="center"/>
            <w:hideMark/>
          </w:tcPr>
          <w:p w14:paraId="6887DA41" w14:textId="77777777" w:rsidR="006F36D1" w:rsidRPr="00060311" w:rsidRDefault="006F36D1" w:rsidP="004600F4">
            <w:pPr>
              <w:rPr>
                <w:rFonts w:ascii="Arial" w:hAnsi="Arial" w:cs="Arial"/>
                <w:bCs/>
                <w:color w:val="000000"/>
                <w:sz w:val="18"/>
                <w:szCs w:val="18"/>
              </w:rPr>
            </w:pPr>
            <w:r w:rsidRPr="00060311">
              <w:rPr>
                <w:rFonts w:ascii="Arial" w:hAnsi="Arial" w:cs="Arial"/>
                <w:bCs/>
                <w:color w:val="000000"/>
                <w:sz w:val="18"/>
                <w:szCs w:val="18"/>
              </w:rPr>
              <w:t>Yanlord Land Group Ltd</w:t>
            </w:r>
          </w:p>
        </w:tc>
        <w:tc>
          <w:tcPr>
            <w:tcW w:w="155" w:type="pct"/>
            <w:tcBorders>
              <w:top w:val="nil"/>
              <w:left w:val="nil"/>
              <w:right w:val="nil"/>
            </w:tcBorders>
            <w:shd w:val="clear" w:color="auto" w:fill="auto"/>
            <w:noWrap/>
            <w:vAlign w:val="bottom"/>
            <w:hideMark/>
          </w:tcPr>
          <w:p w14:paraId="3ECCEE51" w14:textId="77777777" w:rsidR="006F36D1" w:rsidRPr="00060311" w:rsidRDefault="006F36D1" w:rsidP="006F36D1">
            <w:pPr>
              <w:jc w:val="right"/>
              <w:rPr>
                <w:rFonts w:ascii="Arial" w:hAnsi="Arial" w:cs="Arial"/>
                <w:b/>
                <w:bCs/>
                <w:sz w:val="18"/>
                <w:szCs w:val="18"/>
                <w:lang w:eastAsia="en-SG"/>
              </w:rPr>
            </w:pPr>
          </w:p>
        </w:tc>
        <w:tc>
          <w:tcPr>
            <w:tcW w:w="598" w:type="pct"/>
            <w:tcBorders>
              <w:top w:val="nil"/>
              <w:left w:val="nil"/>
              <w:right w:val="nil"/>
            </w:tcBorders>
            <w:shd w:val="clear" w:color="auto" w:fill="auto"/>
            <w:noWrap/>
            <w:vAlign w:val="center"/>
            <w:hideMark/>
          </w:tcPr>
          <w:p w14:paraId="56DF792F"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2.55</w:t>
            </w:r>
          </w:p>
        </w:tc>
        <w:tc>
          <w:tcPr>
            <w:tcW w:w="574" w:type="pct"/>
            <w:tcBorders>
              <w:top w:val="nil"/>
              <w:left w:val="nil"/>
              <w:right w:val="nil"/>
            </w:tcBorders>
            <w:shd w:val="clear" w:color="auto" w:fill="auto"/>
            <w:noWrap/>
            <w:vAlign w:val="center"/>
            <w:hideMark/>
          </w:tcPr>
          <w:p w14:paraId="5638DF28"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8.60</w:t>
            </w:r>
          </w:p>
        </w:tc>
        <w:tc>
          <w:tcPr>
            <w:tcW w:w="624" w:type="pct"/>
            <w:tcBorders>
              <w:top w:val="nil"/>
              <w:left w:val="nil"/>
              <w:right w:val="nil"/>
            </w:tcBorders>
            <w:shd w:val="clear" w:color="auto" w:fill="auto"/>
            <w:noWrap/>
            <w:vAlign w:val="center"/>
            <w:hideMark/>
          </w:tcPr>
          <w:p w14:paraId="5ED5EEA0"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7.77</w:t>
            </w:r>
          </w:p>
        </w:tc>
        <w:tc>
          <w:tcPr>
            <w:tcW w:w="598" w:type="pct"/>
            <w:tcBorders>
              <w:top w:val="nil"/>
              <w:left w:val="nil"/>
              <w:right w:val="nil"/>
            </w:tcBorders>
            <w:shd w:val="clear" w:color="auto" w:fill="auto"/>
            <w:noWrap/>
            <w:vAlign w:val="center"/>
            <w:hideMark/>
          </w:tcPr>
          <w:p w14:paraId="50305BF2"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0.64</w:t>
            </w:r>
          </w:p>
        </w:tc>
        <w:tc>
          <w:tcPr>
            <w:tcW w:w="613" w:type="pct"/>
            <w:tcBorders>
              <w:top w:val="nil"/>
              <w:left w:val="nil"/>
              <w:right w:val="nil"/>
            </w:tcBorders>
            <w:shd w:val="clear" w:color="auto" w:fill="auto"/>
            <w:noWrap/>
            <w:vAlign w:val="center"/>
            <w:hideMark/>
          </w:tcPr>
          <w:p w14:paraId="6A443B5D"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1.01</w:t>
            </w:r>
          </w:p>
        </w:tc>
        <w:tc>
          <w:tcPr>
            <w:tcW w:w="435" w:type="pct"/>
            <w:tcBorders>
              <w:top w:val="nil"/>
              <w:left w:val="nil"/>
              <w:right w:val="nil"/>
            </w:tcBorders>
            <w:shd w:val="clear" w:color="auto" w:fill="auto"/>
            <w:noWrap/>
            <w:vAlign w:val="center"/>
          </w:tcPr>
          <w:p w14:paraId="56A64091" w14:textId="77777777" w:rsidR="006F36D1" w:rsidRPr="00060311" w:rsidRDefault="006F36D1" w:rsidP="006F36D1">
            <w:pPr>
              <w:jc w:val="right"/>
              <w:rPr>
                <w:rFonts w:ascii="Arial" w:hAnsi="Arial" w:cs="Arial"/>
                <w:sz w:val="18"/>
                <w:szCs w:val="18"/>
              </w:rPr>
            </w:pPr>
          </w:p>
        </w:tc>
      </w:tr>
      <w:tr w:rsidR="006F36D1" w:rsidRPr="00060311" w14:paraId="31398205" w14:textId="77777777" w:rsidTr="004600F4">
        <w:trPr>
          <w:trHeight w:val="285"/>
        </w:trPr>
        <w:tc>
          <w:tcPr>
            <w:tcW w:w="1403" w:type="pct"/>
            <w:tcBorders>
              <w:top w:val="nil"/>
              <w:left w:val="nil"/>
              <w:bottom w:val="double" w:sz="4" w:space="0" w:color="auto"/>
              <w:right w:val="nil"/>
            </w:tcBorders>
            <w:shd w:val="clear" w:color="auto" w:fill="auto"/>
            <w:noWrap/>
            <w:vAlign w:val="center"/>
            <w:hideMark/>
          </w:tcPr>
          <w:p w14:paraId="1EACFAE9" w14:textId="77777777" w:rsidR="006F36D1" w:rsidRPr="00060311" w:rsidRDefault="006F36D1" w:rsidP="004600F4">
            <w:pPr>
              <w:rPr>
                <w:rFonts w:ascii="Arial" w:hAnsi="Arial" w:cs="Arial"/>
                <w:bCs/>
                <w:color w:val="000000"/>
                <w:sz w:val="18"/>
                <w:szCs w:val="18"/>
              </w:rPr>
            </w:pPr>
            <w:r w:rsidRPr="00060311">
              <w:rPr>
                <w:rFonts w:ascii="Arial" w:hAnsi="Arial" w:cs="Arial"/>
                <w:bCs/>
                <w:color w:val="000000"/>
                <w:sz w:val="18"/>
                <w:szCs w:val="18"/>
              </w:rPr>
              <w:t>Yuexiu Property Co Ltd</w:t>
            </w:r>
          </w:p>
        </w:tc>
        <w:tc>
          <w:tcPr>
            <w:tcW w:w="155" w:type="pct"/>
            <w:tcBorders>
              <w:top w:val="nil"/>
              <w:left w:val="nil"/>
              <w:bottom w:val="double" w:sz="4" w:space="0" w:color="auto"/>
              <w:right w:val="nil"/>
            </w:tcBorders>
            <w:shd w:val="clear" w:color="auto" w:fill="auto"/>
            <w:noWrap/>
            <w:vAlign w:val="bottom"/>
            <w:hideMark/>
          </w:tcPr>
          <w:p w14:paraId="6D228C37" w14:textId="77777777" w:rsidR="006F36D1" w:rsidRPr="00060311" w:rsidRDefault="006F36D1" w:rsidP="006F36D1">
            <w:pPr>
              <w:jc w:val="right"/>
              <w:rPr>
                <w:rFonts w:ascii="Arial" w:hAnsi="Arial" w:cs="Arial"/>
                <w:b/>
                <w:bCs/>
                <w:sz w:val="18"/>
                <w:szCs w:val="18"/>
                <w:lang w:eastAsia="en-SG"/>
              </w:rPr>
            </w:pPr>
          </w:p>
        </w:tc>
        <w:tc>
          <w:tcPr>
            <w:tcW w:w="598" w:type="pct"/>
            <w:tcBorders>
              <w:top w:val="nil"/>
              <w:left w:val="nil"/>
              <w:bottom w:val="double" w:sz="4" w:space="0" w:color="auto"/>
              <w:right w:val="nil"/>
            </w:tcBorders>
            <w:shd w:val="clear" w:color="auto" w:fill="auto"/>
            <w:noWrap/>
            <w:vAlign w:val="center"/>
            <w:hideMark/>
          </w:tcPr>
          <w:p w14:paraId="616A166F"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3.89</w:t>
            </w:r>
          </w:p>
        </w:tc>
        <w:tc>
          <w:tcPr>
            <w:tcW w:w="574" w:type="pct"/>
            <w:tcBorders>
              <w:top w:val="nil"/>
              <w:left w:val="nil"/>
              <w:bottom w:val="double" w:sz="4" w:space="0" w:color="auto"/>
              <w:right w:val="nil"/>
            </w:tcBorders>
            <w:shd w:val="clear" w:color="auto" w:fill="auto"/>
            <w:noWrap/>
            <w:vAlign w:val="center"/>
            <w:hideMark/>
          </w:tcPr>
          <w:p w14:paraId="3DEB954A"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12.43</w:t>
            </w:r>
          </w:p>
        </w:tc>
        <w:tc>
          <w:tcPr>
            <w:tcW w:w="624" w:type="pct"/>
            <w:tcBorders>
              <w:top w:val="nil"/>
              <w:left w:val="nil"/>
              <w:bottom w:val="double" w:sz="4" w:space="0" w:color="auto"/>
              <w:right w:val="nil"/>
            </w:tcBorders>
            <w:shd w:val="clear" w:color="auto" w:fill="auto"/>
            <w:noWrap/>
            <w:vAlign w:val="center"/>
            <w:hideMark/>
          </w:tcPr>
          <w:p w14:paraId="11CB001E"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1.69</w:t>
            </w:r>
          </w:p>
        </w:tc>
        <w:tc>
          <w:tcPr>
            <w:tcW w:w="598" w:type="pct"/>
            <w:tcBorders>
              <w:top w:val="nil"/>
              <w:left w:val="nil"/>
              <w:bottom w:val="double" w:sz="4" w:space="0" w:color="auto"/>
              <w:right w:val="nil"/>
            </w:tcBorders>
            <w:shd w:val="clear" w:color="auto" w:fill="auto"/>
            <w:noWrap/>
            <w:vAlign w:val="center"/>
            <w:hideMark/>
          </w:tcPr>
          <w:p w14:paraId="33D03646"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0.08</w:t>
            </w:r>
          </w:p>
        </w:tc>
        <w:tc>
          <w:tcPr>
            <w:tcW w:w="613" w:type="pct"/>
            <w:tcBorders>
              <w:top w:val="nil"/>
              <w:left w:val="nil"/>
              <w:bottom w:val="double" w:sz="4" w:space="0" w:color="auto"/>
              <w:right w:val="nil"/>
            </w:tcBorders>
            <w:shd w:val="clear" w:color="auto" w:fill="auto"/>
            <w:noWrap/>
            <w:vAlign w:val="center"/>
            <w:hideMark/>
          </w:tcPr>
          <w:p w14:paraId="55BED7D2" w14:textId="77777777" w:rsidR="006F36D1" w:rsidRPr="00060311" w:rsidRDefault="006F36D1" w:rsidP="004600F4">
            <w:pPr>
              <w:jc w:val="right"/>
              <w:rPr>
                <w:rFonts w:ascii="Arial" w:hAnsi="Arial" w:cs="Arial"/>
                <w:color w:val="000000"/>
                <w:sz w:val="18"/>
                <w:szCs w:val="18"/>
              </w:rPr>
            </w:pPr>
            <w:r w:rsidRPr="00060311">
              <w:rPr>
                <w:rFonts w:ascii="Arial" w:hAnsi="Arial" w:cs="Arial"/>
                <w:color w:val="000000"/>
                <w:sz w:val="18"/>
                <w:szCs w:val="18"/>
              </w:rPr>
              <w:t>0.13</w:t>
            </w:r>
          </w:p>
        </w:tc>
        <w:tc>
          <w:tcPr>
            <w:tcW w:w="435" w:type="pct"/>
            <w:tcBorders>
              <w:top w:val="nil"/>
              <w:left w:val="nil"/>
              <w:bottom w:val="double" w:sz="4" w:space="0" w:color="auto"/>
              <w:right w:val="nil"/>
            </w:tcBorders>
            <w:shd w:val="clear" w:color="auto" w:fill="auto"/>
            <w:noWrap/>
            <w:vAlign w:val="center"/>
          </w:tcPr>
          <w:p w14:paraId="156A7C91" w14:textId="77777777" w:rsidR="006F36D1" w:rsidRPr="00060311" w:rsidRDefault="006F36D1" w:rsidP="006F36D1">
            <w:pPr>
              <w:jc w:val="right"/>
              <w:rPr>
                <w:rFonts w:ascii="Arial" w:hAnsi="Arial" w:cs="Arial"/>
                <w:sz w:val="18"/>
                <w:szCs w:val="18"/>
              </w:rPr>
            </w:pPr>
          </w:p>
        </w:tc>
      </w:tr>
    </w:tbl>
    <w:p w14:paraId="70169486" w14:textId="77777777" w:rsidR="001B15B0" w:rsidRDefault="001B15B0" w:rsidP="00BD644A">
      <w:pPr>
        <w:pStyle w:val="ExhibitText"/>
      </w:pPr>
    </w:p>
    <w:p w14:paraId="3F37493A" w14:textId="6BED5D4B" w:rsidR="001B15B0" w:rsidRPr="00C85DF7" w:rsidRDefault="001B15B0" w:rsidP="0052696C">
      <w:pPr>
        <w:pStyle w:val="Footnote"/>
        <w:jc w:val="both"/>
      </w:pPr>
      <w:r>
        <w:t>Note:</w:t>
      </w:r>
      <w:r w:rsidR="002F4415">
        <w:t xml:space="preserve"> </w:t>
      </w:r>
      <w:r w:rsidRPr="00C85DF7">
        <w:t>All data as at the respective compan</w:t>
      </w:r>
      <w:r w:rsidR="00C1248F">
        <w:t>ies</w:t>
      </w:r>
      <w:r w:rsidRPr="00C85DF7">
        <w:t>’ FY2013 year</w:t>
      </w:r>
      <w:r w:rsidR="002F4415">
        <w:t>-</w:t>
      </w:r>
      <w:r w:rsidRPr="00C85DF7">
        <w:t>end date</w:t>
      </w:r>
      <w:r w:rsidR="002F4415">
        <w:t>s</w:t>
      </w:r>
      <w:r w:rsidR="00EB1B28">
        <w:t>; f</w:t>
      </w:r>
      <w:r w:rsidR="00EB1B28" w:rsidRPr="00EB1B28">
        <w:t xml:space="preserve">or companies with reporting currencies other than SG$, figures are </w:t>
      </w:r>
      <w:r w:rsidR="00EB1B28">
        <w:t>converted</w:t>
      </w:r>
      <w:r w:rsidR="00EB1B28" w:rsidRPr="00EB1B28">
        <w:t xml:space="preserve"> to SG$ using the applicable year end closing rate from XE.com</w:t>
      </w:r>
      <w:r w:rsidR="002F4415">
        <w:t>.</w:t>
      </w:r>
    </w:p>
    <w:p w14:paraId="23A3733A" w14:textId="5EA3AF2C" w:rsidR="007F0E99" w:rsidRPr="00060311" w:rsidRDefault="007F0E99" w:rsidP="0052696C">
      <w:pPr>
        <w:pStyle w:val="Footnote"/>
        <w:jc w:val="both"/>
        <w:rPr>
          <w:i/>
          <w:sz w:val="18"/>
          <w:szCs w:val="18"/>
        </w:rPr>
      </w:pPr>
      <w:r w:rsidRPr="00C85DF7">
        <w:t xml:space="preserve">Source: </w:t>
      </w:r>
      <w:r w:rsidR="004B2AA3" w:rsidRPr="00C85DF7">
        <w:t>C</w:t>
      </w:r>
      <w:r w:rsidR="00DD0813" w:rsidRPr="00C85DF7">
        <w:t xml:space="preserve">reated by the </w:t>
      </w:r>
      <w:r w:rsidR="00BB6529">
        <w:t xml:space="preserve">case </w:t>
      </w:r>
      <w:r w:rsidR="00DD0813" w:rsidRPr="00C85DF7">
        <w:t>authors using da</w:t>
      </w:r>
      <w:r w:rsidR="00FC696E" w:rsidRPr="00C85DF7">
        <w:t xml:space="preserve">ta from Bukit Sembawang Estates, </w:t>
      </w:r>
      <w:r w:rsidR="00FC696E" w:rsidRPr="005F30D2">
        <w:rPr>
          <w:i/>
        </w:rPr>
        <w:t>Home for Every Generation</w:t>
      </w:r>
      <w:r w:rsidR="00C1248F" w:rsidRPr="005F30D2">
        <w:rPr>
          <w:i/>
        </w:rPr>
        <w:t xml:space="preserve">: </w:t>
      </w:r>
      <w:r w:rsidR="00FC696E" w:rsidRPr="005F30D2">
        <w:rPr>
          <w:i/>
        </w:rPr>
        <w:t>Annual Report 2013</w:t>
      </w:r>
      <w:r w:rsidR="00C1248F">
        <w:t>,</w:t>
      </w:r>
      <w:r w:rsidR="00FC696E" w:rsidRPr="00C85DF7">
        <w:t xml:space="preserve"> accessed January </w:t>
      </w:r>
      <w:r w:rsidR="00C1248F" w:rsidRPr="00C85DF7">
        <w:t>27</w:t>
      </w:r>
      <w:r w:rsidR="00C1248F">
        <w:t>,</w:t>
      </w:r>
      <w:r w:rsidR="00C1248F" w:rsidRPr="00C85DF7">
        <w:t xml:space="preserve"> </w:t>
      </w:r>
      <w:r w:rsidR="00FC696E" w:rsidRPr="00C85DF7">
        <w:t>2017</w:t>
      </w:r>
      <w:r w:rsidR="00C1248F">
        <w:t>,</w:t>
      </w:r>
      <w:r w:rsidR="00FC696E" w:rsidRPr="00C85DF7">
        <w:t xml:space="preserve"> </w:t>
      </w:r>
      <w:r w:rsidR="002051AE" w:rsidRPr="00B10FC3">
        <w:t>www.bukitsembawang.sg/investor-relations/annual-report</w:t>
      </w:r>
      <w:r w:rsidR="00C1248F">
        <w:t>;</w:t>
      </w:r>
      <w:r w:rsidR="00FC696E" w:rsidRPr="00C85DF7">
        <w:t xml:space="preserve"> City Developments Ltd, </w:t>
      </w:r>
      <w:r w:rsidR="00FC696E" w:rsidRPr="005F30D2">
        <w:rPr>
          <w:i/>
        </w:rPr>
        <w:t>50 Golden Years</w:t>
      </w:r>
      <w:r w:rsidR="00C1248F" w:rsidRPr="005F30D2">
        <w:rPr>
          <w:i/>
        </w:rPr>
        <w:t xml:space="preserve">: </w:t>
      </w:r>
      <w:r w:rsidR="00FC696E" w:rsidRPr="005F30D2">
        <w:rPr>
          <w:i/>
        </w:rPr>
        <w:t>Annual Report 2013</w:t>
      </w:r>
      <w:r w:rsidR="00C1248F">
        <w:t>,</w:t>
      </w:r>
      <w:r w:rsidR="00FC696E" w:rsidRPr="00C85DF7">
        <w:t xml:space="preserve"> accessed January </w:t>
      </w:r>
      <w:r w:rsidR="00C1248F" w:rsidRPr="00C85DF7">
        <w:t>27</w:t>
      </w:r>
      <w:r w:rsidR="00C1248F">
        <w:t>,</w:t>
      </w:r>
      <w:r w:rsidR="00C1248F" w:rsidRPr="00C85DF7">
        <w:t xml:space="preserve"> </w:t>
      </w:r>
      <w:r w:rsidR="00FC696E" w:rsidRPr="00C85DF7">
        <w:t>2017</w:t>
      </w:r>
      <w:r w:rsidR="001D2CDE">
        <w:t>,</w:t>
      </w:r>
      <w:r w:rsidR="00FC696E" w:rsidRPr="00C85DF7">
        <w:t xml:space="preserve"> </w:t>
      </w:r>
      <w:r w:rsidR="002051AE" w:rsidRPr="00B10FC3">
        <w:t>www.cdl.com.sg/annualreport2013/corporate_network.html</w:t>
      </w:r>
      <w:r w:rsidR="00C1248F">
        <w:t>;</w:t>
      </w:r>
      <w:r w:rsidR="00C1248F" w:rsidRPr="00C85DF7">
        <w:t xml:space="preserve"> </w:t>
      </w:r>
      <w:r w:rsidR="00FC696E" w:rsidRPr="00C85DF7">
        <w:t>Frasers Cent</w:t>
      </w:r>
      <w:r w:rsidR="002F3EBF">
        <w:t>re</w:t>
      </w:r>
      <w:r w:rsidR="00FC696E" w:rsidRPr="00C85DF7">
        <w:t xml:space="preserve">point Limited, </w:t>
      </w:r>
      <w:r w:rsidR="00FC696E" w:rsidRPr="005F30D2">
        <w:rPr>
          <w:i/>
        </w:rPr>
        <w:t>Creating Value Thr</w:t>
      </w:r>
      <w:r w:rsidR="0052696C">
        <w:rPr>
          <w:i/>
        </w:rPr>
        <w:t>SG</w:t>
      </w:r>
      <w:r w:rsidR="00FC696E" w:rsidRPr="005F30D2">
        <w:rPr>
          <w:i/>
        </w:rPr>
        <w:t>ough Space</w:t>
      </w:r>
      <w:r w:rsidR="00C1248F" w:rsidRPr="005F30D2">
        <w:rPr>
          <w:i/>
        </w:rPr>
        <w:t xml:space="preserve">: </w:t>
      </w:r>
      <w:r w:rsidR="00FC696E" w:rsidRPr="005F30D2">
        <w:rPr>
          <w:i/>
        </w:rPr>
        <w:t>Annual Report 2013</w:t>
      </w:r>
      <w:r w:rsidR="00FC696E" w:rsidRPr="00C85DF7">
        <w:t xml:space="preserve">, accessed January </w:t>
      </w:r>
      <w:r w:rsidR="00C1248F" w:rsidRPr="00C85DF7">
        <w:t>27</w:t>
      </w:r>
      <w:r w:rsidR="00C1248F">
        <w:t>,</w:t>
      </w:r>
      <w:r w:rsidR="00C1248F" w:rsidRPr="00C85DF7">
        <w:t xml:space="preserve"> </w:t>
      </w:r>
      <w:r w:rsidR="00FC696E" w:rsidRPr="00C85DF7">
        <w:t>2017</w:t>
      </w:r>
      <w:r w:rsidR="00C1248F">
        <w:t xml:space="preserve">, </w:t>
      </w:r>
      <w:r w:rsidR="00FC696E" w:rsidRPr="00C85DF7">
        <w:t>http://infopub.sgx.com/Apps?A=COW_Prospectus_Content&amp;B=AllAnnualReportByDate&amp;F=19473</w:t>
      </w:r>
      <w:r w:rsidR="00C1248F">
        <w:t xml:space="preserve">; </w:t>
      </w:r>
      <w:r w:rsidR="00FC696E" w:rsidRPr="00C85DF7">
        <w:t>Global Logistic Properties</w:t>
      </w:r>
      <w:r w:rsidR="00C1248F">
        <w:t xml:space="preserve">, </w:t>
      </w:r>
      <w:r w:rsidR="00FC696E" w:rsidRPr="005F30D2">
        <w:rPr>
          <w:i/>
        </w:rPr>
        <w:t>Right Time, Right Place, Right People</w:t>
      </w:r>
      <w:r w:rsidR="00C1248F" w:rsidRPr="005F30D2">
        <w:rPr>
          <w:i/>
        </w:rPr>
        <w:t xml:space="preserve">: </w:t>
      </w:r>
      <w:r w:rsidR="00FC696E" w:rsidRPr="005F30D2">
        <w:rPr>
          <w:i/>
        </w:rPr>
        <w:t>Annual Report 2013,</w:t>
      </w:r>
      <w:r w:rsidR="00FC696E" w:rsidRPr="00C85DF7">
        <w:t xml:space="preserve"> accessed January </w:t>
      </w:r>
      <w:r w:rsidR="00C1248F" w:rsidRPr="00C85DF7">
        <w:t>27</w:t>
      </w:r>
      <w:r w:rsidR="00C1248F">
        <w:t xml:space="preserve">, </w:t>
      </w:r>
      <w:r w:rsidR="00FC696E" w:rsidRPr="00C85DF7">
        <w:t>2017</w:t>
      </w:r>
      <w:r w:rsidR="00C1248F">
        <w:t xml:space="preserve">, </w:t>
      </w:r>
      <w:r w:rsidR="00FC696E" w:rsidRPr="00C85DF7">
        <w:t>http://ir.glprop.com/phoenix.zhtml?c=240724&amp;p=irol-reportsannual</w:t>
      </w:r>
      <w:r w:rsidR="00C1248F">
        <w:t xml:space="preserve">; </w:t>
      </w:r>
      <w:r w:rsidR="00FC696E" w:rsidRPr="00C85DF7">
        <w:t>Hong</w:t>
      </w:r>
      <w:r w:rsidR="00BB6529">
        <w:t>k</w:t>
      </w:r>
      <w:r w:rsidR="00FC696E" w:rsidRPr="00C85DF7">
        <w:t xml:space="preserve">ong Land Holdings Ltd, </w:t>
      </w:r>
      <w:r w:rsidR="006C5B8F" w:rsidRPr="005F30D2">
        <w:rPr>
          <w:i/>
        </w:rPr>
        <w:t>Annual Report 2013</w:t>
      </w:r>
      <w:r w:rsidR="006C5B8F" w:rsidRPr="00C85DF7">
        <w:t xml:space="preserve">, accessed January </w:t>
      </w:r>
      <w:r w:rsidR="00C1248F" w:rsidRPr="00C85DF7">
        <w:t>27</w:t>
      </w:r>
      <w:r w:rsidR="00C1248F">
        <w:t xml:space="preserve">, </w:t>
      </w:r>
      <w:r w:rsidR="006C5B8F" w:rsidRPr="00C85DF7">
        <w:t>2017,</w:t>
      </w:r>
      <w:r w:rsidR="00C1248F">
        <w:t xml:space="preserve"> </w:t>
      </w:r>
      <w:r w:rsidR="00C1248F" w:rsidRPr="007D6686">
        <w:t>www.hkland.com/data/media_releases/results_announcements/2013/ar2013.pdf</w:t>
      </w:r>
      <w:r w:rsidR="00C1248F">
        <w:t xml:space="preserve">; </w:t>
      </w:r>
      <w:r w:rsidR="004F7D83" w:rsidRPr="00C85DF7">
        <w:t>Pollux Properties Ltd,</w:t>
      </w:r>
      <w:r w:rsidR="006C5B8F" w:rsidRPr="00C85DF7">
        <w:t xml:space="preserve"> </w:t>
      </w:r>
      <w:r w:rsidR="006C5B8F" w:rsidRPr="005F30D2">
        <w:rPr>
          <w:i/>
        </w:rPr>
        <w:t>Annual Report 2013</w:t>
      </w:r>
      <w:r w:rsidR="006C5B8F" w:rsidRPr="00C85DF7">
        <w:t xml:space="preserve">, accessed January </w:t>
      </w:r>
      <w:r w:rsidR="00C1248F" w:rsidRPr="00C85DF7">
        <w:t>27</w:t>
      </w:r>
      <w:r w:rsidR="00C1248F">
        <w:t>,</w:t>
      </w:r>
      <w:r w:rsidR="00C1248F" w:rsidRPr="00C85DF7">
        <w:t xml:space="preserve"> </w:t>
      </w:r>
      <w:r w:rsidR="006C5B8F" w:rsidRPr="00C85DF7">
        <w:t>2017</w:t>
      </w:r>
      <w:r w:rsidR="00C1248F">
        <w:t xml:space="preserve">, </w:t>
      </w:r>
      <w:r w:rsidR="005E3227" w:rsidRPr="00DF7AD5">
        <w:t>http://pollux.com.sg/singapore/ar/pollux_ar2013.pdf</w:t>
      </w:r>
      <w:r w:rsidR="005E3227">
        <w:t xml:space="preserve"> </w:t>
      </w:r>
      <w:r w:rsidR="00C1248F">
        <w:t xml:space="preserve">; </w:t>
      </w:r>
      <w:r w:rsidR="006C5B8F" w:rsidRPr="00C85DF7">
        <w:t>Sinarmas Land</w:t>
      </w:r>
      <w:r w:rsidR="00BB6529">
        <w:t xml:space="preserve"> Ltd</w:t>
      </w:r>
      <w:r w:rsidR="006C5B8F" w:rsidRPr="00C85DF7">
        <w:t xml:space="preserve">, </w:t>
      </w:r>
      <w:r w:rsidR="00F84886" w:rsidRPr="005F30D2">
        <w:rPr>
          <w:i/>
        </w:rPr>
        <w:t>Building for a Better Future</w:t>
      </w:r>
      <w:r w:rsidR="002051AE">
        <w:rPr>
          <w:i/>
        </w:rPr>
        <w:t xml:space="preserve">: </w:t>
      </w:r>
      <w:r w:rsidR="002051AE" w:rsidRPr="002051AE">
        <w:rPr>
          <w:i/>
        </w:rPr>
        <w:t>Sinarmas Land Annual Report 2013</w:t>
      </w:r>
      <w:r w:rsidR="00F84886" w:rsidRPr="00C85DF7">
        <w:t xml:space="preserve">, accessed January </w:t>
      </w:r>
      <w:r w:rsidR="00C1248F" w:rsidRPr="00C85DF7">
        <w:t>27</w:t>
      </w:r>
      <w:r w:rsidR="00C1248F">
        <w:t>,</w:t>
      </w:r>
      <w:r w:rsidR="00C1248F" w:rsidRPr="00C85DF7">
        <w:t xml:space="preserve"> </w:t>
      </w:r>
      <w:r w:rsidR="00F84886" w:rsidRPr="00C85DF7">
        <w:t>2017</w:t>
      </w:r>
      <w:r w:rsidR="00C1248F">
        <w:t xml:space="preserve">, </w:t>
      </w:r>
      <w:r w:rsidR="006C5B8F" w:rsidRPr="00C85DF7">
        <w:t>http://infopub.sgx.com/FileOpen/Sinarmas%20Land%20Limited%20Annual%20Report%202013_low%20res.ashx?App=Prospectus&amp;FileID=20925</w:t>
      </w:r>
      <w:r w:rsidR="00C1248F">
        <w:t xml:space="preserve">; </w:t>
      </w:r>
      <w:r w:rsidR="006C5B8F" w:rsidRPr="00C85DF7">
        <w:t>Tuan Sing Holdings Ltd,</w:t>
      </w:r>
      <w:r w:rsidR="00DF1371" w:rsidRPr="00C85DF7">
        <w:t xml:space="preserve"> </w:t>
      </w:r>
      <w:r w:rsidR="00DF1371" w:rsidRPr="005F30D2">
        <w:rPr>
          <w:i/>
        </w:rPr>
        <w:t>2013 Annual Report</w:t>
      </w:r>
      <w:r w:rsidR="00DF1371" w:rsidRPr="00C85DF7">
        <w:t xml:space="preserve">, accessed January </w:t>
      </w:r>
      <w:r w:rsidR="00C1248F" w:rsidRPr="00C85DF7">
        <w:t>27</w:t>
      </w:r>
      <w:r w:rsidR="00C1248F">
        <w:t>,</w:t>
      </w:r>
      <w:r w:rsidR="00C1248F" w:rsidRPr="00C85DF7">
        <w:t xml:space="preserve"> </w:t>
      </w:r>
      <w:r w:rsidR="00DF1371" w:rsidRPr="00C85DF7">
        <w:t>2017</w:t>
      </w:r>
      <w:r w:rsidR="00C1248F">
        <w:t xml:space="preserve">, </w:t>
      </w:r>
      <w:r w:rsidR="002051AE" w:rsidRPr="005F30D2">
        <w:t>www.tuansing.com/InvestorRelations/ReportDownload.aspx?RID=1&amp;Year=2013</w:t>
      </w:r>
      <w:r w:rsidR="00C1248F">
        <w:t xml:space="preserve">; </w:t>
      </w:r>
      <w:r w:rsidR="00DF1371" w:rsidRPr="00C85DF7">
        <w:t xml:space="preserve">UIC-United Industrial Corp Ltd, </w:t>
      </w:r>
      <w:r w:rsidR="00643048" w:rsidRPr="005F30D2">
        <w:rPr>
          <w:i/>
        </w:rPr>
        <w:t>Annual Report 2013</w:t>
      </w:r>
      <w:r w:rsidR="00643048" w:rsidRPr="00C85DF7">
        <w:t xml:space="preserve">, accessed January </w:t>
      </w:r>
      <w:r w:rsidR="00C1248F" w:rsidRPr="00C85DF7">
        <w:t>27</w:t>
      </w:r>
      <w:r w:rsidR="00C1248F">
        <w:t>,</w:t>
      </w:r>
      <w:r w:rsidR="00C1248F" w:rsidRPr="00C85DF7">
        <w:t xml:space="preserve"> </w:t>
      </w:r>
      <w:r w:rsidR="00643048" w:rsidRPr="00C85DF7">
        <w:t>2017</w:t>
      </w:r>
      <w:r w:rsidR="00C1248F">
        <w:t xml:space="preserve">, </w:t>
      </w:r>
      <w:r w:rsidR="002051AE" w:rsidRPr="005F30D2">
        <w:t>www.uic.com.sg/system/misc/ar2013.pdf</w:t>
      </w:r>
      <w:r w:rsidR="00C1248F">
        <w:t xml:space="preserve">; </w:t>
      </w:r>
      <w:r w:rsidR="00DF1371" w:rsidRPr="00C85DF7">
        <w:t>UOL Group Ltd,</w:t>
      </w:r>
      <w:r w:rsidR="00643048" w:rsidRPr="00C85DF7">
        <w:t xml:space="preserve"> </w:t>
      </w:r>
      <w:r w:rsidR="00643048" w:rsidRPr="005F30D2">
        <w:rPr>
          <w:i/>
        </w:rPr>
        <w:t xml:space="preserve">Creating Value, </w:t>
      </w:r>
      <w:r w:rsidR="00C1248F" w:rsidRPr="005F30D2">
        <w:rPr>
          <w:i/>
        </w:rPr>
        <w:t>Shaping Future</w:t>
      </w:r>
      <w:r w:rsidR="00071154">
        <w:rPr>
          <w:i/>
        </w:rPr>
        <w:t>:</w:t>
      </w:r>
      <w:r w:rsidR="00643048" w:rsidRPr="005F30D2">
        <w:rPr>
          <w:i/>
        </w:rPr>
        <w:t xml:space="preserve"> Annual Report 2013</w:t>
      </w:r>
      <w:r w:rsidR="00643048" w:rsidRPr="00C85DF7">
        <w:t xml:space="preserve">, accessed January </w:t>
      </w:r>
      <w:r w:rsidR="00C1248F" w:rsidRPr="00C85DF7">
        <w:t>27</w:t>
      </w:r>
      <w:r w:rsidR="00C1248F">
        <w:t>,</w:t>
      </w:r>
      <w:r w:rsidR="00C1248F" w:rsidRPr="00C85DF7">
        <w:t xml:space="preserve"> </w:t>
      </w:r>
      <w:r w:rsidR="00643048" w:rsidRPr="00C85DF7">
        <w:t>2017</w:t>
      </w:r>
      <w:r w:rsidR="00C1248F">
        <w:t xml:space="preserve">, </w:t>
      </w:r>
      <w:r w:rsidR="00643048" w:rsidRPr="00C85DF7">
        <w:t>www.uol.com.sg/investors_and_media/annual_reports</w:t>
      </w:r>
      <w:r w:rsidR="00C1248F">
        <w:t xml:space="preserve">; </w:t>
      </w:r>
      <w:r w:rsidR="00DF1371" w:rsidRPr="00C85DF7">
        <w:t>Wheelock Properties</w:t>
      </w:r>
      <w:r w:rsidR="007B1E9F" w:rsidRPr="00C85DF7">
        <w:t xml:space="preserve">, </w:t>
      </w:r>
      <w:r w:rsidR="002051AE" w:rsidRPr="005F30D2">
        <w:rPr>
          <w:i/>
        </w:rPr>
        <w:t xml:space="preserve">Audited Results </w:t>
      </w:r>
      <w:r w:rsidR="002051AE" w:rsidRPr="00C105E9">
        <w:rPr>
          <w:i/>
        </w:rPr>
        <w:t xml:space="preserve">for the </w:t>
      </w:r>
      <w:r w:rsidR="002051AE" w:rsidRPr="005F30D2">
        <w:rPr>
          <w:i/>
        </w:rPr>
        <w:t>Year Ended 31 December 2013</w:t>
      </w:r>
      <w:r w:rsidR="007B1E9F" w:rsidRPr="00C85DF7">
        <w:t xml:space="preserve">, accessed January </w:t>
      </w:r>
      <w:r w:rsidR="00C1248F" w:rsidRPr="00C85DF7">
        <w:t>27</w:t>
      </w:r>
      <w:r w:rsidR="00C1248F">
        <w:t xml:space="preserve">, </w:t>
      </w:r>
      <w:r w:rsidR="007B1E9F" w:rsidRPr="00C85DF7">
        <w:t>2017</w:t>
      </w:r>
      <w:r w:rsidR="00C1248F">
        <w:t xml:space="preserve">, </w:t>
      </w:r>
      <w:r w:rsidR="002051AE" w:rsidRPr="005F30D2">
        <w:t>www.wheelockproperties.com.sg/pdf/WPSL_ANN_Results_311213.pdf</w:t>
      </w:r>
      <w:r w:rsidR="00C1248F">
        <w:t xml:space="preserve">; </w:t>
      </w:r>
      <w:r w:rsidR="00DF1371" w:rsidRPr="00C85DF7">
        <w:t>Wing Tai Holdings Ltd</w:t>
      </w:r>
      <w:r w:rsidR="00F47EB6" w:rsidRPr="00C85DF7">
        <w:t xml:space="preserve">, </w:t>
      </w:r>
      <w:r w:rsidR="00F47EB6" w:rsidRPr="005F30D2">
        <w:rPr>
          <w:i/>
        </w:rPr>
        <w:t>Celebrating Our Winning Partnerships</w:t>
      </w:r>
      <w:r w:rsidR="00C1248F">
        <w:rPr>
          <w:i/>
        </w:rPr>
        <w:t>:</w:t>
      </w:r>
      <w:r w:rsidR="00C1248F" w:rsidRPr="005F30D2">
        <w:rPr>
          <w:i/>
        </w:rPr>
        <w:t xml:space="preserve"> </w:t>
      </w:r>
      <w:r w:rsidR="00F47EB6" w:rsidRPr="005F30D2">
        <w:rPr>
          <w:i/>
        </w:rPr>
        <w:t>Annual Report 2013</w:t>
      </w:r>
      <w:r w:rsidR="00F47EB6" w:rsidRPr="00C85DF7">
        <w:t xml:space="preserve">, accessed January </w:t>
      </w:r>
      <w:r w:rsidR="00C1248F" w:rsidRPr="00C85DF7">
        <w:t>27</w:t>
      </w:r>
      <w:r w:rsidR="00C1248F">
        <w:t>,</w:t>
      </w:r>
      <w:r w:rsidR="00C1248F" w:rsidRPr="00C85DF7">
        <w:t xml:space="preserve"> </w:t>
      </w:r>
      <w:r w:rsidR="00F47EB6" w:rsidRPr="00C85DF7">
        <w:t>2017</w:t>
      </w:r>
      <w:r w:rsidR="00C1248F">
        <w:t xml:space="preserve">, </w:t>
      </w:r>
      <w:r w:rsidR="002051AE" w:rsidRPr="005F30D2">
        <w:t>www.wingtaiasia.com.sg/uploadfiles/1_%20Annual%20Report%202013(1).pdf</w:t>
      </w:r>
      <w:r w:rsidR="00C1248F">
        <w:t xml:space="preserve">; </w:t>
      </w:r>
      <w:r w:rsidR="00DF1371" w:rsidRPr="00C85DF7">
        <w:t xml:space="preserve">Yanlord Land Group </w:t>
      </w:r>
      <w:r w:rsidR="00083574">
        <w:t>Ltd</w:t>
      </w:r>
      <w:r w:rsidR="00150C04" w:rsidRPr="00C85DF7">
        <w:t xml:space="preserve">, </w:t>
      </w:r>
      <w:r w:rsidR="00150C04" w:rsidRPr="005F30D2">
        <w:rPr>
          <w:i/>
        </w:rPr>
        <w:t xml:space="preserve">Expanding </w:t>
      </w:r>
      <w:r w:rsidR="00C1248F">
        <w:rPr>
          <w:i/>
        </w:rPr>
        <w:t>O</w:t>
      </w:r>
      <w:r w:rsidR="00C1248F" w:rsidRPr="005F30D2">
        <w:rPr>
          <w:i/>
        </w:rPr>
        <w:t xml:space="preserve">ur </w:t>
      </w:r>
      <w:r w:rsidR="00150C04" w:rsidRPr="005F30D2">
        <w:rPr>
          <w:i/>
        </w:rPr>
        <w:t>Presence</w:t>
      </w:r>
      <w:r w:rsidR="00C1248F">
        <w:rPr>
          <w:i/>
        </w:rPr>
        <w:t>:</w:t>
      </w:r>
      <w:r w:rsidR="00C1248F" w:rsidRPr="005F30D2">
        <w:rPr>
          <w:i/>
        </w:rPr>
        <w:t xml:space="preserve"> </w:t>
      </w:r>
      <w:r w:rsidR="00150C04" w:rsidRPr="005F30D2">
        <w:rPr>
          <w:i/>
        </w:rPr>
        <w:t>Annual Report 2013</w:t>
      </w:r>
      <w:r w:rsidR="00150C04" w:rsidRPr="00C85DF7">
        <w:t xml:space="preserve">, accessed January </w:t>
      </w:r>
      <w:r w:rsidR="00C1248F" w:rsidRPr="00C85DF7">
        <w:t>27</w:t>
      </w:r>
      <w:r w:rsidR="00C1248F">
        <w:t xml:space="preserve">, </w:t>
      </w:r>
      <w:r w:rsidR="00150C04" w:rsidRPr="00C85DF7">
        <w:t>2017</w:t>
      </w:r>
      <w:r w:rsidR="00C1248F">
        <w:t xml:space="preserve">, </w:t>
      </w:r>
      <w:r w:rsidR="00071899" w:rsidRPr="00C85DF7">
        <w:t>http://yanlord.listedcompany.com/misc/ar2013.pdf</w:t>
      </w:r>
      <w:r w:rsidR="00C1248F">
        <w:t xml:space="preserve">; </w:t>
      </w:r>
      <w:r w:rsidR="00DF1371" w:rsidRPr="00C85DF7">
        <w:t xml:space="preserve">Yuexiu </w:t>
      </w:r>
      <w:r w:rsidR="002F3EBF">
        <w:t xml:space="preserve">Property Company </w:t>
      </w:r>
      <w:r w:rsidR="00083574">
        <w:t>Ltd</w:t>
      </w:r>
      <w:r w:rsidR="0001202B" w:rsidRPr="00C85DF7">
        <w:t xml:space="preserve">, </w:t>
      </w:r>
      <w:r w:rsidR="0001202B" w:rsidRPr="005F30D2">
        <w:rPr>
          <w:i/>
        </w:rPr>
        <w:t>Annual Report 2013,</w:t>
      </w:r>
      <w:r w:rsidR="0001202B" w:rsidRPr="00C85DF7">
        <w:t xml:space="preserve"> accessed January </w:t>
      </w:r>
      <w:r w:rsidR="00C1248F" w:rsidRPr="00C85DF7">
        <w:t>27</w:t>
      </w:r>
      <w:r w:rsidR="00C1248F">
        <w:t>,</w:t>
      </w:r>
      <w:r w:rsidR="00C1248F" w:rsidRPr="00C85DF7">
        <w:t xml:space="preserve"> </w:t>
      </w:r>
      <w:r w:rsidR="0001202B" w:rsidRPr="00C85DF7">
        <w:t>2017</w:t>
      </w:r>
      <w:r w:rsidR="00C1248F">
        <w:t>, h</w:t>
      </w:r>
      <w:r w:rsidR="00C1248F" w:rsidRPr="00C85DF7">
        <w:t>tt</w:t>
      </w:r>
      <w:r w:rsidR="00C1248F">
        <w:t>p</w:t>
      </w:r>
      <w:r w:rsidR="00C1248F" w:rsidRPr="00C85DF7">
        <w:t>://</w:t>
      </w:r>
      <w:r w:rsidR="0001202B" w:rsidRPr="00C85DF7">
        <w:t>file.irasia.com/listco/hk/yuexiuproperty/annual/2013/ar2013.pdf</w:t>
      </w:r>
      <w:r w:rsidR="001B15B0">
        <w:t>.</w:t>
      </w:r>
    </w:p>
    <w:p w14:paraId="50883B48" w14:textId="77777777" w:rsidR="00FE48D2" w:rsidRDefault="00FE48D2" w:rsidP="007F0E99">
      <w:pPr>
        <w:pStyle w:val="BodyTextMain"/>
        <w:rPr>
          <w:i/>
          <w:sz w:val="20"/>
        </w:rPr>
      </w:pPr>
    </w:p>
    <w:p w14:paraId="3735CE35" w14:textId="77777777" w:rsidR="00681315" w:rsidRDefault="00681315" w:rsidP="005B3026">
      <w:pPr>
        <w:tabs>
          <w:tab w:val="center" w:pos="4680"/>
          <w:tab w:val="left" w:pos="8627"/>
        </w:tabs>
        <w:jc w:val="center"/>
        <w:rPr>
          <w:rFonts w:ascii="Arial" w:hAnsi="Arial" w:cs="Arial"/>
          <w:b/>
          <w:caps/>
          <w:lang w:val="en-CA"/>
        </w:rPr>
        <w:sectPr w:rsidR="00681315" w:rsidSect="00BE11C2">
          <w:headerReference w:type="default" r:id="rId12"/>
          <w:endnotePr>
            <w:numFmt w:val="decimal"/>
          </w:endnotePr>
          <w:pgSz w:w="12240" w:h="15840" w:code="1"/>
          <w:pgMar w:top="1440" w:right="1440" w:bottom="1080" w:left="1440" w:header="1080" w:footer="720" w:gutter="0"/>
          <w:cols w:space="720"/>
          <w:titlePg/>
          <w:docGrid w:linePitch="360"/>
        </w:sectPr>
      </w:pPr>
    </w:p>
    <w:p w14:paraId="481BF6D6" w14:textId="3D6A720A" w:rsidR="005B3026" w:rsidRDefault="005B3026" w:rsidP="00481DE5">
      <w:pPr>
        <w:pStyle w:val="ExhibitHeading"/>
      </w:pPr>
      <w:r w:rsidRPr="00481DE5">
        <w:t xml:space="preserve">Exhibit </w:t>
      </w:r>
      <w:r w:rsidR="00694839" w:rsidRPr="00481DE5">
        <w:t>8</w:t>
      </w:r>
      <w:r w:rsidRPr="00481DE5">
        <w:t>: KEy Financial data of potential peers</w:t>
      </w:r>
    </w:p>
    <w:p w14:paraId="5A1E0F86" w14:textId="77777777" w:rsidR="00481DE5" w:rsidRPr="00481DE5" w:rsidRDefault="00481DE5" w:rsidP="0052696C">
      <w:pPr>
        <w:pStyle w:val="ExhibitText"/>
      </w:pPr>
    </w:p>
    <w:tbl>
      <w:tblPr>
        <w:tblW w:w="5000" w:type="pct"/>
        <w:jc w:val="center"/>
        <w:tblBorders>
          <w:top w:val="double" w:sz="4" w:space="0" w:color="auto"/>
          <w:bottom w:val="double" w:sz="4" w:space="0" w:color="auto"/>
        </w:tblBorders>
        <w:tblLayout w:type="fixed"/>
        <w:tblLook w:val="04A0" w:firstRow="1" w:lastRow="0" w:firstColumn="1" w:lastColumn="0" w:noHBand="0" w:noVBand="1"/>
      </w:tblPr>
      <w:tblGrid>
        <w:gridCol w:w="2678"/>
        <w:gridCol w:w="1542"/>
        <w:gridCol w:w="866"/>
        <w:gridCol w:w="1356"/>
        <w:gridCol w:w="1423"/>
        <w:gridCol w:w="1295"/>
        <w:gridCol w:w="1201"/>
        <w:gridCol w:w="831"/>
        <w:gridCol w:w="1204"/>
        <w:gridCol w:w="924"/>
      </w:tblGrid>
      <w:tr w:rsidR="00245772" w:rsidRPr="004E4CFC" w14:paraId="64471B20" w14:textId="77777777" w:rsidTr="00245772">
        <w:trPr>
          <w:trHeight w:val="259"/>
          <w:jc w:val="center"/>
        </w:trPr>
        <w:tc>
          <w:tcPr>
            <w:tcW w:w="1005" w:type="pct"/>
            <w:tcBorders>
              <w:top w:val="double" w:sz="4" w:space="0" w:color="auto"/>
              <w:bottom w:val="single" w:sz="4" w:space="0" w:color="auto"/>
            </w:tcBorders>
            <w:shd w:val="clear" w:color="auto" w:fill="auto"/>
            <w:noWrap/>
            <w:vAlign w:val="center"/>
            <w:hideMark/>
          </w:tcPr>
          <w:p w14:paraId="73D93FEA" w14:textId="77777777" w:rsidR="00400FBA" w:rsidRPr="004E4CFC" w:rsidRDefault="00400FBA" w:rsidP="00245772">
            <w:pPr>
              <w:rPr>
                <w:rFonts w:ascii="Arial" w:hAnsi="Arial" w:cs="Arial"/>
                <w:b/>
                <w:bCs/>
                <w:color w:val="000000"/>
                <w:sz w:val="18"/>
                <w:szCs w:val="18"/>
                <w:lang w:val="en-SG" w:eastAsia="en-SG"/>
              </w:rPr>
            </w:pPr>
            <w:r w:rsidRPr="004E4CFC">
              <w:rPr>
                <w:rFonts w:ascii="Arial" w:hAnsi="Arial" w:cs="Arial"/>
                <w:b/>
                <w:bCs/>
                <w:color w:val="000000"/>
                <w:sz w:val="18"/>
                <w:szCs w:val="18"/>
                <w:lang w:val="en-SG" w:eastAsia="en-SG"/>
              </w:rPr>
              <w:t>Company</w:t>
            </w:r>
          </w:p>
        </w:tc>
        <w:tc>
          <w:tcPr>
            <w:tcW w:w="579" w:type="pct"/>
            <w:tcBorders>
              <w:top w:val="double" w:sz="4" w:space="0" w:color="auto"/>
              <w:bottom w:val="single" w:sz="4" w:space="0" w:color="auto"/>
            </w:tcBorders>
            <w:shd w:val="clear" w:color="auto" w:fill="auto"/>
            <w:noWrap/>
            <w:vAlign w:val="center"/>
            <w:hideMark/>
          </w:tcPr>
          <w:p w14:paraId="7075DB7B" w14:textId="3BD13BC7" w:rsidR="00400FBA" w:rsidRPr="004E4CFC" w:rsidRDefault="00400FBA" w:rsidP="00245772">
            <w:pPr>
              <w:jc w:val="center"/>
              <w:rPr>
                <w:rFonts w:ascii="Arial" w:hAnsi="Arial" w:cs="Arial"/>
                <w:b/>
                <w:bCs/>
                <w:color w:val="000000"/>
                <w:sz w:val="18"/>
                <w:szCs w:val="18"/>
                <w:lang w:val="en-SG" w:eastAsia="en-SG"/>
              </w:rPr>
            </w:pPr>
            <w:r w:rsidRPr="004E4CFC">
              <w:rPr>
                <w:rFonts w:ascii="Arial" w:hAnsi="Arial" w:cs="Arial"/>
                <w:b/>
                <w:bCs/>
                <w:color w:val="000000"/>
                <w:sz w:val="18"/>
                <w:szCs w:val="18"/>
                <w:lang w:val="en-SG" w:eastAsia="en-SG"/>
              </w:rPr>
              <w:t>Financial Year</w:t>
            </w:r>
            <w:r w:rsidR="002051AE" w:rsidRPr="004E4CFC">
              <w:rPr>
                <w:rFonts w:ascii="Arial" w:hAnsi="Arial" w:cs="Arial"/>
                <w:b/>
                <w:bCs/>
                <w:color w:val="000000"/>
                <w:sz w:val="18"/>
                <w:szCs w:val="18"/>
                <w:lang w:val="en-SG" w:eastAsia="en-SG"/>
              </w:rPr>
              <w:t>-</w:t>
            </w:r>
            <w:r w:rsidRPr="004E4CFC">
              <w:rPr>
                <w:rFonts w:ascii="Arial" w:hAnsi="Arial" w:cs="Arial"/>
                <w:b/>
                <w:bCs/>
                <w:color w:val="000000"/>
                <w:sz w:val="18"/>
                <w:szCs w:val="18"/>
                <w:lang w:val="en-SG" w:eastAsia="en-SG"/>
              </w:rPr>
              <w:t>End Month</w:t>
            </w:r>
          </w:p>
        </w:tc>
        <w:tc>
          <w:tcPr>
            <w:tcW w:w="325" w:type="pct"/>
            <w:tcBorders>
              <w:top w:val="double" w:sz="4" w:space="0" w:color="auto"/>
              <w:bottom w:val="single" w:sz="4" w:space="0" w:color="auto"/>
            </w:tcBorders>
            <w:shd w:val="clear" w:color="auto" w:fill="auto"/>
            <w:noWrap/>
            <w:vAlign w:val="center"/>
            <w:hideMark/>
          </w:tcPr>
          <w:p w14:paraId="52B18B3B" w14:textId="77777777" w:rsidR="00400FBA" w:rsidRPr="004E4CFC" w:rsidRDefault="00400FBA" w:rsidP="00245772">
            <w:pPr>
              <w:jc w:val="center"/>
              <w:rPr>
                <w:rFonts w:ascii="Arial" w:hAnsi="Arial" w:cs="Arial"/>
                <w:b/>
                <w:bCs/>
                <w:color w:val="000000"/>
                <w:sz w:val="18"/>
                <w:szCs w:val="18"/>
                <w:lang w:val="en-SG" w:eastAsia="en-SG"/>
              </w:rPr>
            </w:pPr>
            <w:r w:rsidRPr="004E4CFC">
              <w:rPr>
                <w:rFonts w:ascii="Arial" w:hAnsi="Arial" w:cs="Arial"/>
                <w:b/>
                <w:bCs/>
                <w:color w:val="000000"/>
                <w:sz w:val="18"/>
                <w:szCs w:val="18"/>
                <w:lang w:val="en-SG" w:eastAsia="en-SG"/>
              </w:rPr>
              <w:t>Share Price</w:t>
            </w:r>
          </w:p>
          <w:p w14:paraId="7471F80A" w14:textId="3CC52E39" w:rsidR="00071154" w:rsidRPr="004E4CFC" w:rsidRDefault="00071154" w:rsidP="00245772">
            <w:pPr>
              <w:jc w:val="center"/>
              <w:rPr>
                <w:rFonts w:ascii="Arial" w:hAnsi="Arial" w:cs="Arial"/>
                <w:b/>
                <w:bCs/>
                <w:color w:val="000000"/>
                <w:sz w:val="18"/>
                <w:szCs w:val="18"/>
                <w:lang w:val="en-SG" w:eastAsia="en-SG"/>
              </w:rPr>
            </w:pPr>
            <w:r w:rsidRPr="004E4CFC">
              <w:rPr>
                <w:rFonts w:ascii="Arial" w:hAnsi="Arial" w:cs="Arial"/>
                <w:b/>
                <w:bCs/>
                <w:color w:val="000000"/>
                <w:sz w:val="18"/>
                <w:szCs w:val="18"/>
                <w:lang w:val="en-SG" w:eastAsia="en-SG"/>
              </w:rPr>
              <w:t>(SG$)</w:t>
            </w:r>
          </w:p>
        </w:tc>
        <w:tc>
          <w:tcPr>
            <w:tcW w:w="509" w:type="pct"/>
            <w:tcBorders>
              <w:top w:val="double" w:sz="4" w:space="0" w:color="auto"/>
              <w:bottom w:val="single" w:sz="4" w:space="0" w:color="auto"/>
            </w:tcBorders>
            <w:shd w:val="clear" w:color="auto" w:fill="auto"/>
            <w:noWrap/>
            <w:vAlign w:val="center"/>
            <w:hideMark/>
          </w:tcPr>
          <w:p w14:paraId="5345894C" w14:textId="64686463" w:rsidR="00400FBA" w:rsidRPr="004E4CFC" w:rsidRDefault="00400FBA" w:rsidP="00245772">
            <w:pPr>
              <w:jc w:val="center"/>
              <w:rPr>
                <w:rFonts w:ascii="Arial" w:hAnsi="Arial" w:cs="Arial"/>
                <w:b/>
                <w:bCs/>
                <w:color w:val="000000"/>
                <w:sz w:val="18"/>
                <w:szCs w:val="18"/>
                <w:lang w:val="en-SG" w:eastAsia="en-SG"/>
              </w:rPr>
            </w:pPr>
            <w:r w:rsidRPr="004E4CFC">
              <w:rPr>
                <w:rFonts w:ascii="Arial" w:hAnsi="Arial" w:cs="Arial"/>
                <w:b/>
                <w:bCs/>
                <w:color w:val="000000"/>
                <w:sz w:val="18"/>
                <w:szCs w:val="18"/>
                <w:lang w:val="en-SG" w:eastAsia="en-SG"/>
              </w:rPr>
              <w:t>Shares Outstanding (</w:t>
            </w:r>
            <w:r w:rsidR="00071154" w:rsidRPr="004E4CFC">
              <w:rPr>
                <w:rFonts w:ascii="Arial" w:hAnsi="Arial" w:cs="Arial"/>
                <w:b/>
                <w:bCs/>
                <w:color w:val="000000"/>
                <w:sz w:val="18"/>
                <w:szCs w:val="18"/>
                <w:lang w:val="en-SG" w:eastAsia="en-SG"/>
              </w:rPr>
              <w:t>m</w:t>
            </w:r>
            <w:r w:rsidRPr="004E4CFC">
              <w:rPr>
                <w:rFonts w:ascii="Arial" w:hAnsi="Arial" w:cs="Arial"/>
                <w:b/>
                <w:bCs/>
                <w:color w:val="000000"/>
                <w:sz w:val="18"/>
                <w:szCs w:val="18"/>
                <w:lang w:val="en-SG" w:eastAsia="en-SG"/>
              </w:rPr>
              <w:t>illions)</w:t>
            </w:r>
          </w:p>
        </w:tc>
        <w:tc>
          <w:tcPr>
            <w:tcW w:w="534" w:type="pct"/>
            <w:tcBorders>
              <w:top w:val="double" w:sz="4" w:space="0" w:color="auto"/>
              <w:bottom w:val="single" w:sz="4" w:space="0" w:color="auto"/>
            </w:tcBorders>
            <w:shd w:val="clear" w:color="auto" w:fill="auto"/>
            <w:noWrap/>
            <w:vAlign w:val="center"/>
            <w:hideMark/>
          </w:tcPr>
          <w:p w14:paraId="1EBC5845" w14:textId="77777777" w:rsidR="004E4CFC" w:rsidRDefault="00400FBA" w:rsidP="00245772">
            <w:pPr>
              <w:jc w:val="center"/>
              <w:rPr>
                <w:rFonts w:ascii="Arial" w:hAnsi="Arial" w:cs="Arial"/>
                <w:b/>
                <w:bCs/>
                <w:color w:val="000000"/>
                <w:sz w:val="18"/>
                <w:szCs w:val="18"/>
                <w:lang w:val="en-SG" w:eastAsia="en-SG"/>
              </w:rPr>
            </w:pPr>
            <w:r w:rsidRPr="004E4CFC">
              <w:rPr>
                <w:rFonts w:ascii="Arial" w:hAnsi="Arial" w:cs="Arial"/>
                <w:b/>
                <w:bCs/>
                <w:color w:val="000000"/>
                <w:sz w:val="18"/>
                <w:szCs w:val="18"/>
                <w:lang w:val="en-SG" w:eastAsia="en-SG"/>
              </w:rPr>
              <w:t xml:space="preserve">Sales </w:t>
            </w:r>
          </w:p>
          <w:p w14:paraId="2DB11794" w14:textId="13E02886" w:rsidR="00400FBA" w:rsidRPr="004E4CFC" w:rsidRDefault="00400FBA" w:rsidP="00245772">
            <w:pPr>
              <w:jc w:val="center"/>
              <w:rPr>
                <w:rFonts w:ascii="Arial" w:hAnsi="Arial" w:cs="Arial"/>
                <w:b/>
                <w:bCs/>
                <w:color w:val="000000"/>
                <w:sz w:val="18"/>
                <w:szCs w:val="18"/>
                <w:lang w:val="en-SG" w:eastAsia="en-SG"/>
              </w:rPr>
            </w:pPr>
            <w:r w:rsidRPr="004E4CFC">
              <w:rPr>
                <w:rFonts w:ascii="Arial" w:hAnsi="Arial" w:cs="Arial"/>
                <w:b/>
                <w:bCs/>
                <w:color w:val="000000"/>
                <w:sz w:val="18"/>
                <w:szCs w:val="18"/>
                <w:lang w:val="en-SG" w:eastAsia="en-SG"/>
              </w:rPr>
              <w:t>(</w:t>
            </w:r>
            <w:r w:rsidR="00071154" w:rsidRPr="004E4CFC">
              <w:rPr>
                <w:rFonts w:ascii="Arial" w:hAnsi="Arial" w:cs="Arial"/>
                <w:b/>
                <w:bCs/>
                <w:color w:val="000000"/>
                <w:sz w:val="18"/>
                <w:szCs w:val="18"/>
                <w:lang w:val="en-SG" w:eastAsia="en-SG"/>
              </w:rPr>
              <w:t>SG$ m</w:t>
            </w:r>
            <w:r w:rsidRPr="004E4CFC">
              <w:rPr>
                <w:rFonts w:ascii="Arial" w:hAnsi="Arial" w:cs="Arial"/>
                <w:b/>
                <w:bCs/>
                <w:color w:val="000000"/>
                <w:sz w:val="18"/>
                <w:szCs w:val="18"/>
                <w:lang w:val="en-SG" w:eastAsia="en-SG"/>
              </w:rPr>
              <w:t>illions)</w:t>
            </w:r>
          </w:p>
        </w:tc>
        <w:tc>
          <w:tcPr>
            <w:tcW w:w="486" w:type="pct"/>
            <w:tcBorders>
              <w:top w:val="double" w:sz="4" w:space="0" w:color="auto"/>
              <w:bottom w:val="single" w:sz="4" w:space="0" w:color="auto"/>
            </w:tcBorders>
            <w:shd w:val="clear" w:color="auto" w:fill="auto"/>
            <w:noWrap/>
            <w:vAlign w:val="center"/>
            <w:hideMark/>
          </w:tcPr>
          <w:p w14:paraId="7DE262FA" w14:textId="197F4824" w:rsidR="00400FBA" w:rsidRPr="004E4CFC" w:rsidRDefault="00400FBA" w:rsidP="00245772">
            <w:pPr>
              <w:jc w:val="center"/>
              <w:rPr>
                <w:rFonts w:ascii="Arial" w:hAnsi="Arial" w:cs="Arial"/>
                <w:b/>
                <w:bCs/>
                <w:color w:val="000000"/>
                <w:sz w:val="18"/>
                <w:szCs w:val="18"/>
                <w:lang w:val="en-SG" w:eastAsia="en-SG"/>
              </w:rPr>
            </w:pPr>
            <w:r w:rsidRPr="004E4CFC">
              <w:rPr>
                <w:rFonts w:ascii="Arial" w:hAnsi="Arial" w:cs="Arial"/>
                <w:b/>
                <w:bCs/>
                <w:color w:val="000000"/>
                <w:sz w:val="18"/>
                <w:szCs w:val="18"/>
                <w:lang w:val="en-SG" w:eastAsia="en-SG"/>
              </w:rPr>
              <w:t>Earnings (</w:t>
            </w:r>
            <w:r w:rsidR="00071154" w:rsidRPr="004E4CFC">
              <w:rPr>
                <w:rFonts w:ascii="Arial" w:hAnsi="Arial" w:cs="Arial"/>
                <w:b/>
                <w:bCs/>
                <w:color w:val="000000"/>
                <w:sz w:val="18"/>
                <w:szCs w:val="18"/>
                <w:lang w:val="en-SG" w:eastAsia="en-SG"/>
              </w:rPr>
              <w:t>SG$ m</w:t>
            </w:r>
            <w:r w:rsidRPr="004E4CFC">
              <w:rPr>
                <w:rFonts w:ascii="Arial" w:hAnsi="Arial" w:cs="Arial"/>
                <w:b/>
                <w:bCs/>
                <w:color w:val="000000"/>
                <w:sz w:val="18"/>
                <w:szCs w:val="18"/>
                <w:lang w:val="en-SG" w:eastAsia="en-SG"/>
              </w:rPr>
              <w:t>illions)</w:t>
            </w:r>
          </w:p>
        </w:tc>
        <w:tc>
          <w:tcPr>
            <w:tcW w:w="451" w:type="pct"/>
            <w:tcBorders>
              <w:top w:val="double" w:sz="4" w:space="0" w:color="auto"/>
              <w:bottom w:val="single" w:sz="4" w:space="0" w:color="auto"/>
            </w:tcBorders>
            <w:shd w:val="clear" w:color="auto" w:fill="auto"/>
            <w:noWrap/>
            <w:vAlign w:val="center"/>
            <w:hideMark/>
          </w:tcPr>
          <w:p w14:paraId="18177723" w14:textId="77777777" w:rsidR="00400FBA" w:rsidRDefault="00400FBA" w:rsidP="00245772">
            <w:pPr>
              <w:jc w:val="center"/>
              <w:rPr>
                <w:rFonts w:ascii="Arial" w:hAnsi="Arial" w:cs="Arial"/>
                <w:b/>
                <w:bCs/>
                <w:color w:val="000000"/>
                <w:sz w:val="18"/>
                <w:szCs w:val="18"/>
                <w:lang w:val="en-SG" w:eastAsia="en-SG"/>
              </w:rPr>
            </w:pPr>
            <w:r w:rsidRPr="004E4CFC">
              <w:rPr>
                <w:rFonts w:ascii="Arial" w:hAnsi="Arial" w:cs="Arial"/>
                <w:b/>
                <w:bCs/>
                <w:color w:val="000000"/>
                <w:sz w:val="18"/>
                <w:szCs w:val="18"/>
                <w:lang w:val="en-SG" w:eastAsia="en-SG"/>
              </w:rPr>
              <w:t>Book Debt</w:t>
            </w:r>
          </w:p>
          <w:p w14:paraId="70FC0555" w14:textId="47D3918F" w:rsidR="002C11B6" w:rsidRPr="004E4CFC" w:rsidRDefault="002C11B6" w:rsidP="00245772">
            <w:pPr>
              <w:jc w:val="center"/>
              <w:rPr>
                <w:rFonts w:ascii="Arial" w:hAnsi="Arial" w:cs="Arial"/>
                <w:b/>
                <w:bCs/>
                <w:color w:val="000000"/>
                <w:sz w:val="18"/>
                <w:szCs w:val="18"/>
                <w:lang w:val="en-SG" w:eastAsia="en-SG"/>
              </w:rPr>
            </w:pPr>
            <w:r>
              <w:rPr>
                <w:rFonts w:ascii="Arial" w:hAnsi="Arial" w:cs="Arial"/>
                <w:b/>
                <w:bCs/>
                <w:color w:val="000000"/>
                <w:sz w:val="18"/>
                <w:szCs w:val="18"/>
                <w:lang w:val="en-SG" w:eastAsia="en-SG"/>
              </w:rPr>
              <w:t>(SG$ millions)</w:t>
            </w:r>
          </w:p>
        </w:tc>
        <w:tc>
          <w:tcPr>
            <w:tcW w:w="312" w:type="pct"/>
            <w:tcBorders>
              <w:top w:val="double" w:sz="4" w:space="0" w:color="auto"/>
              <w:bottom w:val="single" w:sz="4" w:space="0" w:color="auto"/>
            </w:tcBorders>
            <w:shd w:val="clear" w:color="auto" w:fill="auto"/>
            <w:noWrap/>
            <w:vAlign w:val="center"/>
            <w:hideMark/>
          </w:tcPr>
          <w:p w14:paraId="5DB914F7" w14:textId="77777777" w:rsidR="00400FBA" w:rsidRDefault="00400FBA" w:rsidP="00245772">
            <w:pPr>
              <w:jc w:val="center"/>
              <w:rPr>
                <w:rFonts w:ascii="Arial" w:hAnsi="Arial" w:cs="Arial"/>
                <w:b/>
                <w:bCs/>
                <w:color w:val="000000"/>
                <w:sz w:val="18"/>
                <w:szCs w:val="18"/>
                <w:lang w:val="en-SG" w:eastAsia="en-SG"/>
              </w:rPr>
            </w:pPr>
            <w:r w:rsidRPr="004E4CFC">
              <w:rPr>
                <w:rFonts w:ascii="Arial" w:hAnsi="Arial" w:cs="Arial"/>
                <w:b/>
                <w:bCs/>
                <w:color w:val="000000"/>
                <w:sz w:val="18"/>
                <w:szCs w:val="18"/>
                <w:lang w:val="en-SG" w:eastAsia="en-SG"/>
              </w:rPr>
              <w:t>Cost of Debt</w:t>
            </w:r>
          </w:p>
          <w:p w14:paraId="0F65791B" w14:textId="02CEFCC4" w:rsidR="002C11B6" w:rsidRPr="004E4CFC" w:rsidRDefault="002C11B6" w:rsidP="00245772">
            <w:pPr>
              <w:jc w:val="center"/>
              <w:rPr>
                <w:rFonts w:ascii="Arial" w:hAnsi="Arial" w:cs="Arial"/>
                <w:b/>
                <w:bCs/>
                <w:color w:val="000000"/>
                <w:sz w:val="18"/>
                <w:szCs w:val="18"/>
                <w:lang w:val="en-SG" w:eastAsia="en-SG"/>
              </w:rPr>
            </w:pPr>
            <w:r>
              <w:rPr>
                <w:rFonts w:ascii="Arial" w:hAnsi="Arial" w:cs="Arial"/>
                <w:b/>
                <w:bCs/>
                <w:color w:val="000000"/>
                <w:sz w:val="18"/>
                <w:szCs w:val="18"/>
                <w:lang w:val="en-SG" w:eastAsia="en-SG"/>
              </w:rPr>
              <w:t>(%)</w:t>
            </w:r>
          </w:p>
        </w:tc>
        <w:tc>
          <w:tcPr>
            <w:tcW w:w="452" w:type="pct"/>
            <w:tcBorders>
              <w:top w:val="double" w:sz="4" w:space="0" w:color="auto"/>
              <w:bottom w:val="single" w:sz="4" w:space="0" w:color="auto"/>
            </w:tcBorders>
            <w:shd w:val="clear" w:color="auto" w:fill="auto"/>
            <w:noWrap/>
            <w:vAlign w:val="center"/>
            <w:hideMark/>
          </w:tcPr>
          <w:p w14:paraId="525E660C" w14:textId="77777777" w:rsidR="00400FBA" w:rsidRDefault="00400FBA" w:rsidP="00245772">
            <w:pPr>
              <w:jc w:val="center"/>
              <w:rPr>
                <w:rFonts w:ascii="Arial" w:hAnsi="Arial" w:cs="Arial"/>
                <w:b/>
                <w:bCs/>
                <w:color w:val="000000"/>
                <w:sz w:val="18"/>
                <w:szCs w:val="18"/>
                <w:lang w:val="en-SG" w:eastAsia="en-SG"/>
              </w:rPr>
            </w:pPr>
            <w:r w:rsidRPr="004E4CFC">
              <w:rPr>
                <w:rFonts w:ascii="Arial" w:hAnsi="Arial" w:cs="Arial"/>
                <w:b/>
                <w:bCs/>
                <w:color w:val="000000"/>
                <w:sz w:val="18"/>
                <w:szCs w:val="18"/>
                <w:lang w:val="en-SG" w:eastAsia="en-SG"/>
              </w:rPr>
              <w:t>Book Equity</w:t>
            </w:r>
          </w:p>
          <w:p w14:paraId="42E3B196" w14:textId="37F5D390" w:rsidR="002C11B6" w:rsidRPr="004E4CFC" w:rsidRDefault="002C11B6" w:rsidP="00245772">
            <w:pPr>
              <w:jc w:val="center"/>
              <w:rPr>
                <w:rFonts w:ascii="Arial" w:hAnsi="Arial" w:cs="Arial"/>
                <w:b/>
                <w:bCs/>
                <w:color w:val="000000"/>
                <w:sz w:val="18"/>
                <w:szCs w:val="18"/>
                <w:lang w:val="en-SG" w:eastAsia="en-SG"/>
              </w:rPr>
            </w:pPr>
            <w:r>
              <w:rPr>
                <w:rFonts w:ascii="Arial" w:hAnsi="Arial" w:cs="Arial"/>
                <w:b/>
                <w:bCs/>
                <w:color w:val="000000"/>
                <w:sz w:val="18"/>
                <w:szCs w:val="18"/>
                <w:lang w:val="en-SG" w:eastAsia="en-SG"/>
              </w:rPr>
              <w:t>(SG</w:t>
            </w:r>
            <w:r w:rsidR="005931D0">
              <w:rPr>
                <w:rFonts w:ascii="Arial" w:hAnsi="Arial" w:cs="Arial"/>
                <w:b/>
                <w:bCs/>
                <w:color w:val="000000"/>
                <w:sz w:val="18"/>
                <w:szCs w:val="18"/>
                <w:lang w:val="en-SG" w:eastAsia="en-SG"/>
              </w:rPr>
              <w:t>$</w:t>
            </w:r>
            <w:r>
              <w:rPr>
                <w:rFonts w:ascii="Arial" w:hAnsi="Arial" w:cs="Arial"/>
                <w:b/>
                <w:bCs/>
                <w:color w:val="000000"/>
                <w:sz w:val="18"/>
                <w:szCs w:val="18"/>
                <w:lang w:val="en-SG" w:eastAsia="en-SG"/>
              </w:rPr>
              <w:t xml:space="preserve"> millions)</w:t>
            </w:r>
          </w:p>
        </w:tc>
        <w:tc>
          <w:tcPr>
            <w:tcW w:w="347" w:type="pct"/>
            <w:tcBorders>
              <w:top w:val="double" w:sz="4" w:space="0" w:color="auto"/>
              <w:bottom w:val="single" w:sz="4" w:space="0" w:color="auto"/>
            </w:tcBorders>
            <w:shd w:val="clear" w:color="auto" w:fill="auto"/>
            <w:noWrap/>
            <w:vAlign w:val="center"/>
            <w:hideMark/>
          </w:tcPr>
          <w:p w14:paraId="422F596D" w14:textId="77777777" w:rsidR="00400FBA" w:rsidRDefault="00400FBA" w:rsidP="00245772">
            <w:pPr>
              <w:jc w:val="center"/>
              <w:rPr>
                <w:rFonts w:ascii="Arial" w:hAnsi="Arial" w:cs="Arial"/>
                <w:b/>
                <w:bCs/>
                <w:color w:val="000000"/>
                <w:sz w:val="18"/>
                <w:szCs w:val="18"/>
                <w:lang w:val="en-SG" w:eastAsia="en-SG"/>
              </w:rPr>
            </w:pPr>
            <w:r w:rsidRPr="004E4CFC">
              <w:rPr>
                <w:rFonts w:ascii="Arial" w:hAnsi="Arial" w:cs="Arial"/>
                <w:b/>
                <w:bCs/>
                <w:color w:val="000000"/>
                <w:sz w:val="18"/>
                <w:szCs w:val="18"/>
                <w:lang w:val="en-SG" w:eastAsia="en-SG"/>
              </w:rPr>
              <w:t>Cost of Equity</w:t>
            </w:r>
          </w:p>
          <w:p w14:paraId="3420AAD9" w14:textId="57E36C00" w:rsidR="002C11B6" w:rsidRPr="004E4CFC" w:rsidRDefault="002C11B6" w:rsidP="00245772">
            <w:pPr>
              <w:jc w:val="center"/>
              <w:rPr>
                <w:rFonts w:ascii="Arial" w:hAnsi="Arial" w:cs="Arial"/>
                <w:b/>
                <w:bCs/>
                <w:color w:val="000000"/>
                <w:sz w:val="18"/>
                <w:szCs w:val="18"/>
                <w:lang w:val="en-SG" w:eastAsia="en-SG"/>
              </w:rPr>
            </w:pPr>
            <w:r>
              <w:rPr>
                <w:rFonts w:ascii="Arial" w:hAnsi="Arial" w:cs="Arial"/>
                <w:b/>
                <w:bCs/>
                <w:color w:val="000000"/>
                <w:sz w:val="18"/>
                <w:szCs w:val="18"/>
                <w:lang w:val="en-SG" w:eastAsia="en-SG"/>
              </w:rPr>
              <w:t>(%)</w:t>
            </w:r>
          </w:p>
        </w:tc>
      </w:tr>
      <w:tr w:rsidR="00245772" w:rsidRPr="00DE10A8" w14:paraId="50CFE894" w14:textId="77777777" w:rsidTr="00245772">
        <w:trPr>
          <w:trHeight w:val="259"/>
          <w:jc w:val="center"/>
        </w:trPr>
        <w:tc>
          <w:tcPr>
            <w:tcW w:w="1005" w:type="pct"/>
            <w:tcBorders>
              <w:top w:val="single" w:sz="4" w:space="0" w:color="auto"/>
            </w:tcBorders>
            <w:shd w:val="clear" w:color="auto" w:fill="auto"/>
            <w:noWrap/>
            <w:vAlign w:val="center"/>
            <w:hideMark/>
          </w:tcPr>
          <w:p w14:paraId="16E881BB" w14:textId="77777777" w:rsidR="00400FBA" w:rsidRPr="00060311" w:rsidRDefault="00400FBA" w:rsidP="00245772">
            <w:pPr>
              <w:rPr>
                <w:rFonts w:ascii="Arial" w:hAnsi="Arial" w:cs="Arial"/>
                <w:bCs/>
                <w:color w:val="000000"/>
                <w:sz w:val="18"/>
                <w:szCs w:val="18"/>
              </w:rPr>
            </w:pPr>
            <w:r w:rsidRPr="00060311">
              <w:rPr>
                <w:rFonts w:ascii="Arial" w:hAnsi="Arial" w:cs="Arial"/>
                <w:bCs/>
                <w:color w:val="000000"/>
                <w:sz w:val="18"/>
                <w:szCs w:val="18"/>
              </w:rPr>
              <w:t>Bukit Sembawang Estates</w:t>
            </w:r>
          </w:p>
        </w:tc>
        <w:tc>
          <w:tcPr>
            <w:tcW w:w="579" w:type="pct"/>
            <w:tcBorders>
              <w:top w:val="single" w:sz="4" w:space="0" w:color="auto"/>
            </w:tcBorders>
            <w:shd w:val="clear" w:color="auto" w:fill="auto"/>
            <w:noWrap/>
            <w:vAlign w:val="center"/>
            <w:hideMark/>
          </w:tcPr>
          <w:p w14:paraId="70C59402" w14:textId="77777777" w:rsidR="00400FBA" w:rsidRPr="00060311" w:rsidRDefault="00400FBA" w:rsidP="00245772">
            <w:pPr>
              <w:jc w:val="center"/>
              <w:rPr>
                <w:rFonts w:ascii="Arial" w:hAnsi="Arial" w:cs="Arial"/>
                <w:color w:val="000000"/>
                <w:sz w:val="18"/>
                <w:szCs w:val="18"/>
              </w:rPr>
            </w:pPr>
            <w:r w:rsidRPr="00060311">
              <w:rPr>
                <w:rFonts w:ascii="Arial" w:hAnsi="Arial" w:cs="Arial"/>
                <w:color w:val="000000"/>
                <w:sz w:val="18"/>
                <w:szCs w:val="18"/>
              </w:rPr>
              <w:t>March</w:t>
            </w:r>
          </w:p>
        </w:tc>
        <w:tc>
          <w:tcPr>
            <w:tcW w:w="325" w:type="pct"/>
            <w:tcBorders>
              <w:top w:val="single" w:sz="4" w:space="0" w:color="auto"/>
            </w:tcBorders>
            <w:shd w:val="clear" w:color="auto" w:fill="auto"/>
            <w:noWrap/>
            <w:vAlign w:val="center"/>
            <w:hideMark/>
          </w:tcPr>
          <w:p w14:paraId="66CC0FF4"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5.420</w:t>
            </w:r>
          </w:p>
        </w:tc>
        <w:tc>
          <w:tcPr>
            <w:tcW w:w="509" w:type="pct"/>
            <w:tcBorders>
              <w:top w:val="single" w:sz="4" w:space="0" w:color="auto"/>
            </w:tcBorders>
            <w:shd w:val="clear" w:color="auto" w:fill="auto"/>
            <w:noWrap/>
            <w:vAlign w:val="center"/>
            <w:hideMark/>
          </w:tcPr>
          <w:p w14:paraId="3D8CEDF7"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258.911</w:t>
            </w:r>
          </w:p>
        </w:tc>
        <w:tc>
          <w:tcPr>
            <w:tcW w:w="534" w:type="pct"/>
            <w:tcBorders>
              <w:top w:val="single" w:sz="4" w:space="0" w:color="auto"/>
            </w:tcBorders>
            <w:shd w:val="clear" w:color="auto" w:fill="auto"/>
            <w:noWrap/>
            <w:vAlign w:val="center"/>
            <w:hideMark/>
          </w:tcPr>
          <w:p w14:paraId="6291ECE7"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281.997</w:t>
            </w:r>
          </w:p>
        </w:tc>
        <w:tc>
          <w:tcPr>
            <w:tcW w:w="486" w:type="pct"/>
            <w:tcBorders>
              <w:top w:val="single" w:sz="4" w:space="0" w:color="auto"/>
            </w:tcBorders>
            <w:shd w:val="clear" w:color="auto" w:fill="auto"/>
            <w:noWrap/>
            <w:vAlign w:val="center"/>
            <w:hideMark/>
          </w:tcPr>
          <w:p w14:paraId="133A4166"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91.979</w:t>
            </w:r>
          </w:p>
        </w:tc>
        <w:tc>
          <w:tcPr>
            <w:tcW w:w="451" w:type="pct"/>
            <w:tcBorders>
              <w:top w:val="single" w:sz="4" w:space="0" w:color="auto"/>
            </w:tcBorders>
            <w:shd w:val="clear" w:color="auto" w:fill="auto"/>
            <w:noWrap/>
            <w:vAlign w:val="center"/>
            <w:hideMark/>
          </w:tcPr>
          <w:p w14:paraId="3CEB939D"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0.000</w:t>
            </w:r>
          </w:p>
        </w:tc>
        <w:tc>
          <w:tcPr>
            <w:tcW w:w="312" w:type="pct"/>
            <w:tcBorders>
              <w:top w:val="single" w:sz="4" w:space="0" w:color="auto"/>
            </w:tcBorders>
            <w:shd w:val="clear" w:color="auto" w:fill="auto"/>
            <w:noWrap/>
            <w:vAlign w:val="center"/>
            <w:hideMark/>
          </w:tcPr>
          <w:p w14:paraId="348AB24C"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0.000</w:t>
            </w:r>
          </w:p>
        </w:tc>
        <w:tc>
          <w:tcPr>
            <w:tcW w:w="452" w:type="pct"/>
            <w:tcBorders>
              <w:top w:val="single" w:sz="4" w:space="0" w:color="auto"/>
            </w:tcBorders>
            <w:shd w:val="clear" w:color="auto" w:fill="auto"/>
            <w:noWrap/>
            <w:vAlign w:val="center"/>
            <w:hideMark/>
          </w:tcPr>
          <w:p w14:paraId="47E6D34B"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1,289.832</w:t>
            </w:r>
          </w:p>
        </w:tc>
        <w:tc>
          <w:tcPr>
            <w:tcW w:w="347" w:type="pct"/>
            <w:tcBorders>
              <w:top w:val="single" w:sz="4" w:space="0" w:color="auto"/>
            </w:tcBorders>
            <w:shd w:val="clear" w:color="auto" w:fill="auto"/>
            <w:noWrap/>
            <w:vAlign w:val="center"/>
            <w:hideMark/>
          </w:tcPr>
          <w:p w14:paraId="7D44BB3C"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6.530</w:t>
            </w:r>
          </w:p>
        </w:tc>
      </w:tr>
      <w:tr w:rsidR="00245772" w:rsidRPr="00DE10A8" w14:paraId="00417682" w14:textId="77777777" w:rsidTr="00245772">
        <w:trPr>
          <w:trHeight w:val="259"/>
          <w:jc w:val="center"/>
        </w:trPr>
        <w:tc>
          <w:tcPr>
            <w:tcW w:w="1005" w:type="pct"/>
            <w:shd w:val="clear" w:color="auto" w:fill="auto"/>
            <w:noWrap/>
            <w:vAlign w:val="center"/>
            <w:hideMark/>
          </w:tcPr>
          <w:p w14:paraId="531A524D" w14:textId="77777777" w:rsidR="00400FBA" w:rsidRPr="00060311" w:rsidRDefault="00400FBA" w:rsidP="00245772">
            <w:pPr>
              <w:rPr>
                <w:rFonts w:ascii="Arial" w:hAnsi="Arial" w:cs="Arial"/>
                <w:bCs/>
                <w:color w:val="000000"/>
                <w:sz w:val="18"/>
                <w:szCs w:val="18"/>
              </w:rPr>
            </w:pPr>
            <w:r w:rsidRPr="00060311">
              <w:rPr>
                <w:rFonts w:ascii="Arial" w:hAnsi="Arial" w:cs="Arial"/>
                <w:bCs/>
                <w:color w:val="000000"/>
                <w:sz w:val="18"/>
                <w:szCs w:val="18"/>
              </w:rPr>
              <w:t>City Developments Ltd</w:t>
            </w:r>
          </w:p>
        </w:tc>
        <w:tc>
          <w:tcPr>
            <w:tcW w:w="579" w:type="pct"/>
            <w:shd w:val="clear" w:color="auto" w:fill="auto"/>
            <w:noWrap/>
            <w:vAlign w:val="center"/>
            <w:hideMark/>
          </w:tcPr>
          <w:p w14:paraId="33D43A53" w14:textId="77777777" w:rsidR="00400FBA" w:rsidRPr="00060311" w:rsidRDefault="00400FBA" w:rsidP="00245772">
            <w:pPr>
              <w:jc w:val="center"/>
              <w:rPr>
                <w:rFonts w:ascii="Arial" w:hAnsi="Arial" w:cs="Arial"/>
                <w:color w:val="000000"/>
                <w:sz w:val="18"/>
                <w:szCs w:val="18"/>
              </w:rPr>
            </w:pPr>
            <w:r w:rsidRPr="00060311">
              <w:rPr>
                <w:rFonts w:ascii="Arial" w:hAnsi="Arial" w:cs="Arial"/>
                <w:color w:val="000000"/>
                <w:sz w:val="18"/>
                <w:szCs w:val="18"/>
              </w:rPr>
              <w:t>December</w:t>
            </w:r>
          </w:p>
        </w:tc>
        <w:tc>
          <w:tcPr>
            <w:tcW w:w="325" w:type="pct"/>
            <w:shd w:val="clear" w:color="auto" w:fill="auto"/>
            <w:noWrap/>
            <w:vAlign w:val="center"/>
            <w:hideMark/>
          </w:tcPr>
          <w:p w14:paraId="6FCE60A2"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9.600</w:t>
            </w:r>
          </w:p>
        </w:tc>
        <w:tc>
          <w:tcPr>
            <w:tcW w:w="509" w:type="pct"/>
            <w:shd w:val="clear" w:color="auto" w:fill="auto"/>
            <w:noWrap/>
            <w:vAlign w:val="center"/>
            <w:hideMark/>
          </w:tcPr>
          <w:p w14:paraId="5B5E28ED"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909.301</w:t>
            </w:r>
          </w:p>
        </w:tc>
        <w:tc>
          <w:tcPr>
            <w:tcW w:w="534" w:type="pct"/>
            <w:shd w:val="clear" w:color="auto" w:fill="auto"/>
            <w:noWrap/>
            <w:vAlign w:val="center"/>
            <w:hideMark/>
          </w:tcPr>
          <w:p w14:paraId="4654F286"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3,905.453</w:t>
            </w:r>
          </w:p>
        </w:tc>
        <w:tc>
          <w:tcPr>
            <w:tcW w:w="486" w:type="pct"/>
            <w:shd w:val="clear" w:color="auto" w:fill="auto"/>
            <w:noWrap/>
            <w:vAlign w:val="center"/>
            <w:hideMark/>
          </w:tcPr>
          <w:p w14:paraId="43E8E422"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653.224</w:t>
            </w:r>
          </w:p>
        </w:tc>
        <w:tc>
          <w:tcPr>
            <w:tcW w:w="451" w:type="pct"/>
            <w:shd w:val="clear" w:color="auto" w:fill="auto"/>
            <w:noWrap/>
            <w:vAlign w:val="center"/>
            <w:hideMark/>
          </w:tcPr>
          <w:p w14:paraId="5884C3F1"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5,737.767</w:t>
            </w:r>
          </w:p>
        </w:tc>
        <w:tc>
          <w:tcPr>
            <w:tcW w:w="312" w:type="pct"/>
            <w:shd w:val="clear" w:color="auto" w:fill="auto"/>
            <w:noWrap/>
            <w:vAlign w:val="center"/>
            <w:hideMark/>
          </w:tcPr>
          <w:p w14:paraId="785DDB59"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2.178</w:t>
            </w:r>
          </w:p>
        </w:tc>
        <w:tc>
          <w:tcPr>
            <w:tcW w:w="452" w:type="pct"/>
            <w:shd w:val="clear" w:color="auto" w:fill="auto"/>
            <w:noWrap/>
            <w:vAlign w:val="center"/>
            <w:hideMark/>
          </w:tcPr>
          <w:p w14:paraId="43B4EDA0"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11,408.684</w:t>
            </w:r>
          </w:p>
        </w:tc>
        <w:tc>
          <w:tcPr>
            <w:tcW w:w="347" w:type="pct"/>
            <w:shd w:val="clear" w:color="auto" w:fill="auto"/>
            <w:noWrap/>
            <w:vAlign w:val="center"/>
            <w:hideMark/>
          </w:tcPr>
          <w:p w14:paraId="0F0CFC8D"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8.427</w:t>
            </w:r>
          </w:p>
        </w:tc>
      </w:tr>
      <w:tr w:rsidR="00245772" w:rsidRPr="00DE10A8" w14:paraId="7EB66008" w14:textId="77777777" w:rsidTr="00245772">
        <w:trPr>
          <w:trHeight w:val="259"/>
          <w:jc w:val="center"/>
        </w:trPr>
        <w:tc>
          <w:tcPr>
            <w:tcW w:w="1005" w:type="pct"/>
            <w:shd w:val="clear" w:color="auto" w:fill="auto"/>
            <w:noWrap/>
            <w:vAlign w:val="center"/>
            <w:hideMark/>
          </w:tcPr>
          <w:p w14:paraId="11BAD0E8" w14:textId="5EF25FAD" w:rsidR="00400FBA" w:rsidRPr="00060311" w:rsidRDefault="00400FBA" w:rsidP="00245772">
            <w:pPr>
              <w:rPr>
                <w:rFonts w:ascii="Arial" w:hAnsi="Arial" w:cs="Arial"/>
                <w:bCs/>
                <w:color w:val="000000"/>
                <w:sz w:val="18"/>
                <w:szCs w:val="18"/>
              </w:rPr>
            </w:pPr>
            <w:r w:rsidRPr="00060311">
              <w:rPr>
                <w:rFonts w:ascii="Arial" w:hAnsi="Arial" w:cs="Arial"/>
                <w:bCs/>
                <w:color w:val="000000"/>
                <w:sz w:val="18"/>
                <w:szCs w:val="18"/>
              </w:rPr>
              <w:t>Frasers Cent</w:t>
            </w:r>
            <w:r w:rsidR="005E3227">
              <w:rPr>
                <w:rFonts w:ascii="Arial" w:hAnsi="Arial" w:cs="Arial"/>
                <w:bCs/>
                <w:color w:val="000000"/>
                <w:sz w:val="18"/>
                <w:szCs w:val="18"/>
              </w:rPr>
              <w:t>re</w:t>
            </w:r>
            <w:r w:rsidRPr="00060311">
              <w:rPr>
                <w:rFonts w:ascii="Arial" w:hAnsi="Arial" w:cs="Arial"/>
                <w:bCs/>
                <w:color w:val="000000"/>
                <w:sz w:val="18"/>
                <w:szCs w:val="18"/>
              </w:rPr>
              <w:t>point Limited</w:t>
            </w:r>
          </w:p>
        </w:tc>
        <w:tc>
          <w:tcPr>
            <w:tcW w:w="579" w:type="pct"/>
            <w:shd w:val="clear" w:color="auto" w:fill="auto"/>
            <w:noWrap/>
            <w:vAlign w:val="center"/>
            <w:hideMark/>
          </w:tcPr>
          <w:p w14:paraId="46ED0702" w14:textId="77777777" w:rsidR="00400FBA" w:rsidRPr="00060311" w:rsidRDefault="00400FBA" w:rsidP="00245772">
            <w:pPr>
              <w:jc w:val="center"/>
              <w:rPr>
                <w:rFonts w:ascii="Arial" w:hAnsi="Arial" w:cs="Arial"/>
                <w:color w:val="000000"/>
                <w:sz w:val="18"/>
                <w:szCs w:val="18"/>
              </w:rPr>
            </w:pPr>
            <w:r w:rsidRPr="00060311">
              <w:rPr>
                <w:rFonts w:ascii="Arial" w:hAnsi="Arial" w:cs="Arial"/>
                <w:color w:val="000000"/>
                <w:sz w:val="18"/>
                <w:szCs w:val="18"/>
              </w:rPr>
              <w:t>September</w:t>
            </w:r>
          </w:p>
        </w:tc>
        <w:tc>
          <w:tcPr>
            <w:tcW w:w="325" w:type="pct"/>
            <w:shd w:val="clear" w:color="auto" w:fill="auto"/>
            <w:noWrap/>
            <w:vAlign w:val="center"/>
            <w:hideMark/>
          </w:tcPr>
          <w:p w14:paraId="0E32B072"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1.700</w:t>
            </w:r>
          </w:p>
        </w:tc>
        <w:tc>
          <w:tcPr>
            <w:tcW w:w="509" w:type="pct"/>
            <w:shd w:val="clear" w:color="auto" w:fill="auto"/>
            <w:noWrap/>
            <w:vAlign w:val="center"/>
            <w:hideMark/>
          </w:tcPr>
          <w:p w14:paraId="49A7BB4A"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2,899.996</w:t>
            </w:r>
          </w:p>
        </w:tc>
        <w:tc>
          <w:tcPr>
            <w:tcW w:w="534" w:type="pct"/>
            <w:shd w:val="clear" w:color="auto" w:fill="auto"/>
            <w:noWrap/>
            <w:vAlign w:val="center"/>
            <w:hideMark/>
          </w:tcPr>
          <w:p w14:paraId="42C8D05D"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3,439.592</w:t>
            </w:r>
          </w:p>
        </w:tc>
        <w:tc>
          <w:tcPr>
            <w:tcW w:w="486" w:type="pct"/>
            <w:shd w:val="clear" w:color="auto" w:fill="auto"/>
            <w:noWrap/>
            <w:vAlign w:val="center"/>
            <w:hideMark/>
          </w:tcPr>
          <w:p w14:paraId="2CEE4864"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597.219</w:t>
            </w:r>
          </w:p>
        </w:tc>
        <w:tc>
          <w:tcPr>
            <w:tcW w:w="451" w:type="pct"/>
            <w:shd w:val="clear" w:color="auto" w:fill="auto"/>
            <w:noWrap/>
            <w:vAlign w:val="center"/>
            <w:hideMark/>
          </w:tcPr>
          <w:p w14:paraId="4C5BFE8B"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9,795.537</w:t>
            </w:r>
          </w:p>
        </w:tc>
        <w:tc>
          <w:tcPr>
            <w:tcW w:w="312" w:type="pct"/>
            <w:shd w:val="clear" w:color="auto" w:fill="auto"/>
            <w:noWrap/>
            <w:vAlign w:val="center"/>
            <w:hideMark/>
          </w:tcPr>
          <w:p w14:paraId="0040E8A7"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2.239</w:t>
            </w:r>
          </w:p>
        </w:tc>
        <w:tc>
          <w:tcPr>
            <w:tcW w:w="452" w:type="pct"/>
            <w:shd w:val="clear" w:color="auto" w:fill="auto"/>
            <w:noWrap/>
            <w:vAlign w:val="center"/>
            <w:hideMark/>
          </w:tcPr>
          <w:p w14:paraId="5529ED17"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11,843.484</w:t>
            </w:r>
          </w:p>
        </w:tc>
        <w:tc>
          <w:tcPr>
            <w:tcW w:w="347" w:type="pct"/>
            <w:shd w:val="clear" w:color="auto" w:fill="auto"/>
            <w:noWrap/>
            <w:vAlign w:val="center"/>
            <w:hideMark/>
          </w:tcPr>
          <w:p w14:paraId="44795B75"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6.257</w:t>
            </w:r>
          </w:p>
        </w:tc>
      </w:tr>
      <w:tr w:rsidR="00245772" w:rsidRPr="00DE10A8" w14:paraId="2A4AE942" w14:textId="77777777" w:rsidTr="00245772">
        <w:trPr>
          <w:trHeight w:val="259"/>
          <w:jc w:val="center"/>
        </w:trPr>
        <w:tc>
          <w:tcPr>
            <w:tcW w:w="1005" w:type="pct"/>
            <w:shd w:val="clear" w:color="auto" w:fill="auto"/>
            <w:noWrap/>
            <w:vAlign w:val="center"/>
            <w:hideMark/>
          </w:tcPr>
          <w:p w14:paraId="358F0C84" w14:textId="77777777" w:rsidR="00400FBA" w:rsidRPr="00060311" w:rsidRDefault="00400FBA" w:rsidP="00245772">
            <w:pPr>
              <w:rPr>
                <w:rFonts w:ascii="Arial" w:hAnsi="Arial" w:cs="Arial"/>
                <w:bCs/>
                <w:color w:val="000000"/>
                <w:sz w:val="18"/>
                <w:szCs w:val="18"/>
              </w:rPr>
            </w:pPr>
            <w:r w:rsidRPr="00060311">
              <w:rPr>
                <w:rFonts w:ascii="Arial" w:hAnsi="Arial" w:cs="Arial"/>
                <w:bCs/>
                <w:color w:val="000000"/>
                <w:sz w:val="18"/>
                <w:szCs w:val="18"/>
              </w:rPr>
              <w:t>Global Logistic Properties</w:t>
            </w:r>
          </w:p>
        </w:tc>
        <w:tc>
          <w:tcPr>
            <w:tcW w:w="579" w:type="pct"/>
            <w:shd w:val="clear" w:color="auto" w:fill="auto"/>
            <w:noWrap/>
            <w:vAlign w:val="center"/>
            <w:hideMark/>
          </w:tcPr>
          <w:p w14:paraId="4BDFF64D" w14:textId="77777777" w:rsidR="00400FBA" w:rsidRPr="00060311" w:rsidRDefault="00400FBA" w:rsidP="00245772">
            <w:pPr>
              <w:jc w:val="center"/>
              <w:rPr>
                <w:rFonts w:ascii="Arial" w:hAnsi="Arial" w:cs="Arial"/>
                <w:color w:val="000000"/>
                <w:sz w:val="18"/>
                <w:szCs w:val="18"/>
              </w:rPr>
            </w:pPr>
            <w:r w:rsidRPr="00060311">
              <w:rPr>
                <w:rFonts w:ascii="Arial" w:hAnsi="Arial" w:cs="Arial"/>
                <w:color w:val="000000"/>
                <w:sz w:val="18"/>
                <w:szCs w:val="18"/>
              </w:rPr>
              <w:t>March</w:t>
            </w:r>
          </w:p>
        </w:tc>
        <w:tc>
          <w:tcPr>
            <w:tcW w:w="325" w:type="pct"/>
            <w:shd w:val="clear" w:color="auto" w:fill="auto"/>
            <w:noWrap/>
            <w:vAlign w:val="center"/>
            <w:hideMark/>
          </w:tcPr>
          <w:p w14:paraId="69F8B359"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2.650</w:t>
            </w:r>
          </w:p>
        </w:tc>
        <w:tc>
          <w:tcPr>
            <w:tcW w:w="509" w:type="pct"/>
            <w:shd w:val="clear" w:color="auto" w:fill="auto"/>
            <w:noWrap/>
            <w:vAlign w:val="center"/>
            <w:hideMark/>
          </w:tcPr>
          <w:p w14:paraId="05055333"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4,743.686</w:t>
            </w:r>
          </w:p>
        </w:tc>
        <w:tc>
          <w:tcPr>
            <w:tcW w:w="534" w:type="pct"/>
            <w:shd w:val="clear" w:color="auto" w:fill="auto"/>
            <w:noWrap/>
            <w:vAlign w:val="center"/>
            <w:hideMark/>
          </w:tcPr>
          <w:p w14:paraId="3855744A"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960.183</w:t>
            </w:r>
          </w:p>
        </w:tc>
        <w:tc>
          <w:tcPr>
            <w:tcW w:w="486" w:type="pct"/>
            <w:shd w:val="clear" w:color="auto" w:fill="auto"/>
            <w:noWrap/>
            <w:vAlign w:val="center"/>
            <w:hideMark/>
          </w:tcPr>
          <w:p w14:paraId="415B0D87"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904.823</w:t>
            </w:r>
          </w:p>
        </w:tc>
        <w:tc>
          <w:tcPr>
            <w:tcW w:w="451" w:type="pct"/>
            <w:shd w:val="clear" w:color="auto" w:fill="auto"/>
            <w:noWrap/>
            <w:vAlign w:val="center"/>
            <w:hideMark/>
          </w:tcPr>
          <w:p w14:paraId="5D22DB4B"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6,002.647</w:t>
            </w:r>
          </w:p>
        </w:tc>
        <w:tc>
          <w:tcPr>
            <w:tcW w:w="312" w:type="pct"/>
            <w:shd w:val="clear" w:color="auto" w:fill="auto"/>
            <w:noWrap/>
            <w:vAlign w:val="center"/>
            <w:hideMark/>
          </w:tcPr>
          <w:p w14:paraId="1D43B1A0"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2.207</w:t>
            </w:r>
          </w:p>
        </w:tc>
        <w:tc>
          <w:tcPr>
            <w:tcW w:w="452" w:type="pct"/>
            <w:shd w:val="clear" w:color="auto" w:fill="auto"/>
            <w:noWrap/>
            <w:vAlign w:val="center"/>
            <w:hideMark/>
          </w:tcPr>
          <w:p w14:paraId="490217BF"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16,559.382</w:t>
            </w:r>
          </w:p>
        </w:tc>
        <w:tc>
          <w:tcPr>
            <w:tcW w:w="347" w:type="pct"/>
            <w:shd w:val="clear" w:color="auto" w:fill="auto"/>
            <w:noWrap/>
            <w:vAlign w:val="center"/>
            <w:hideMark/>
          </w:tcPr>
          <w:p w14:paraId="7055E54F"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9.488</w:t>
            </w:r>
          </w:p>
        </w:tc>
      </w:tr>
      <w:tr w:rsidR="00245772" w:rsidRPr="00DE10A8" w14:paraId="76723422" w14:textId="77777777" w:rsidTr="00245772">
        <w:trPr>
          <w:trHeight w:val="259"/>
          <w:jc w:val="center"/>
        </w:trPr>
        <w:tc>
          <w:tcPr>
            <w:tcW w:w="1005" w:type="pct"/>
            <w:shd w:val="clear" w:color="auto" w:fill="auto"/>
            <w:noWrap/>
            <w:vAlign w:val="center"/>
            <w:hideMark/>
          </w:tcPr>
          <w:p w14:paraId="16E34FA3" w14:textId="77777777" w:rsidR="00400FBA" w:rsidRPr="00060311" w:rsidRDefault="00400FBA" w:rsidP="00245772">
            <w:pPr>
              <w:rPr>
                <w:rFonts w:ascii="Arial" w:hAnsi="Arial" w:cs="Arial"/>
                <w:bCs/>
                <w:color w:val="000000"/>
                <w:sz w:val="18"/>
                <w:szCs w:val="18"/>
              </w:rPr>
            </w:pPr>
            <w:r w:rsidRPr="00060311">
              <w:rPr>
                <w:rFonts w:ascii="Arial" w:hAnsi="Arial" w:cs="Arial"/>
                <w:bCs/>
                <w:color w:val="000000"/>
                <w:sz w:val="18"/>
                <w:szCs w:val="18"/>
              </w:rPr>
              <w:t>Hongkong Land Holdings Ltd</w:t>
            </w:r>
          </w:p>
        </w:tc>
        <w:tc>
          <w:tcPr>
            <w:tcW w:w="579" w:type="pct"/>
            <w:shd w:val="clear" w:color="auto" w:fill="auto"/>
            <w:noWrap/>
            <w:vAlign w:val="center"/>
            <w:hideMark/>
          </w:tcPr>
          <w:p w14:paraId="2972DEB5" w14:textId="77777777" w:rsidR="00400FBA" w:rsidRPr="00060311" w:rsidRDefault="00400FBA" w:rsidP="00245772">
            <w:pPr>
              <w:jc w:val="center"/>
              <w:rPr>
                <w:rFonts w:ascii="Arial" w:hAnsi="Arial" w:cs="Arial"/>
                <w:color w:val="000000"/>
                <w:sz w:val="18"/>
                <w:szCs w:val="18"/>
              </w:rPr>
            </w:pPr>
            <w:r w:rsidRPr="00060311">
              <w:rPr>
                <w:rFonts w:ascii="Arial" w:hAnsi="Arial" w:cs="Arial"/>
                <w:color w:val="000000"/>
                <w:sz w:val="18"/>
                <w:szCs w:val="18"/>
              </w:rPr>
              <w:t>December</w:t>
            </w:r>
          </w:p>
        </w:tc>
        <w:tc>
          <w:tcPr>
            <w:tcW w:w="325" w:type="pct"/>
            <w:shd w:val="clear" w:color="auto" w:fill="auto"/>
            <w:noWrap/>
            <w:vAlign w:val="center"/>
            <w:hideMark/>
          </w:tcPr>
          <w:p w14:paraId="36D68BF6"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5.900</w:t>
            </w:r>
          </w:p>
        </w:tc>
        <w:tc>
          <w:tcPr>
            <w:tcW w:w="509" w:type="pct"/>
            <w:shd w:val="clear" w:color="auto" w:fill="auto"/>
            <w:noWrap/>
            <w:vAlign w:val="center"/>
            <w:hideMark/>
          </w:tcPr>
          <w:p w14:paraId="5FC43DC6"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2,352.800</w:t>
            </w:r>
          </w:p>
        </w:tc>
        <w:tc>
          <w:tcPr>
            <w:tcW w:w="534" w:type="pct"/>
            <w:shd w:val="clear" w:color="auto" w:fill="auto"/>
            <w:noWrap/>
            <w:vAlign w:val="center"/>
            <w:hideMark/>
          </w:tcPr>
          <w:p w14:paraId="0682B3DE"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2,473.395</w:t>
            </w:r>
          </w:p>
        </w:tc>
        <w:tc>
          <w:tcPr>
            <w:tcW w:w="486" w:type="pct"/>
            <w:shd w:val="clear" w:color="auto" w:fill="auto"/>
            <w:noWrap/>
            <w:vAlign w:val="center"/>
            <w:hideMark/>
          </w:tcPr>
          <w:p w14:paraId="5F3B0471"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4,151.022</w:t>
            </w:r>
          </w:p>
        </w:tc>
        <w:tc>
          <w:tcPr>
            <w:tcW w:w="451" w:type="pct"/>
            <w:shd w:val="clear" w:color="auto" w:fill="auto"/>
            <w:noWrap/>
            <w:vAlign w:val="center"/>
            <w:hideMark/>
          </w:tcPr>
          <w:p w14:paraId="7626571D"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4,858.221</w:t>
            </w:r>
          </w:p>
        </w:tc>
        <w:tc>
          <w:tcPr>
            <w:tcW w:w="312" w:type="pct"/>
            <w:shd w:val="clear" w:color="auto" w:fill="auto"/>
            <w:noWrap/>
            <w:vAlign w:val="center"/>
            <w:hideMark/>
          </w:tcPr>
          <w:p w14:paraId="37E8DB3D"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2.261</w:t>
            </w:r>
          </w:p>
        </w:tc>
        <w:tc>
          <w:tcPr>
            <w:tcW w:w="452" w:type="pct"/>
            <w:shd w:val="clear" w:color="auto" w:fill="auto"/>
            <w:noWrap/>
            <w:vAlign w:val="center"/>
            <w:hideMark/>
          </w:tcPr>
          <w:p w14:paraId="7B2F759E"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38,844.924</w:t>
            </w:r>
          </w:p>
        </w:tc>
        <w:tc>
          <w:tcPr>
            <w:tcW w:w="347" w:type="pct"/>
            <w:shd w:val="clear" w:color="auto" w:fill="auto"/>
            <w:noWrap/>
            <w:vAlign w:val="center"/>
            <w:hideMark/>
          </w:tcPr>
          <w:p w14:paraId="66C03305"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10.629</w:t>
            </w:r>
          </w:p>
        </w:tc>
      </w:tr>
      <w:tr w:rsidR="00245772" w:rsidRPr="00DE10A8" w14:paraId="7565B621" w14:textId="77777777" w:rsidTr="00245772">
        <w:trPr>
          <w:trHeight w:val="259"/>
          <w:jc w:val="center"/>
        </w:trPr>
        <w:tc>
          <w:tcPr>
            <w:tcW w:w="1005" w:type="pct"/>
            <w:shd w:val="clear" w:color="auto" w:fill="auto"/>
            <w:noWrap/>
            <w:vAlign w:val="center"/>
            <w:hideMark/>
          </w:tcPr>
          <w:p w14:paraId="1646FD15" w14:textId="77777777" w:rsidR="00400FBA" w:rsidRPr="00060311" w:rsidRDefault="00400FBA" w:rsidP="00245772">
            <w:pPr>
              <w:rPr>
                <w:rFonts w:ascii="Arial" w:hAnsi="Arial" w:cs="Arial"/>
                <w:bCs/>
                <w:color w:val="000000"/>
                <w:sz w:val="18"/>
                <w:szCs w:val="18"/>
              </w:rPr>
            </w:pPr>
            <w:r w:rsidRPr="00060311">
              <w:rPr>
                <w:rFonts w:ascii="Arial" w:hAnsi="Arial" w:cs="Arial"/>
                <w:bCs/>
                <w:color w:val="000000"/>
                <w:sz w:val="18"/>
                <w:szCs w:val="18"/>
              </w:rPr>
              <w:t>Pollux Properties Ltd</w:t>
            </w:r>
          </w:p>
        </w:tc>
        <w:tc>
          <w:tcPr>
            <w:tcW w:w="579" w:type="pct"/>
            <w:shd w:val="clear" w:color="auto" w:fill="auto"/>
            <w:noWrap/>
            <w:vAlign w:val="center"/>
            <w:hideMark/>
          </w:tcPr>
          <w:p w14:paraId="3C67C481" w14:textId="77777777" w:rsidR="00400FBA" w:rsidRPr="00060311" w:rsidRDefault="00400FBA" w:rsidP="00245772">
            <w:pPr>
              <w:jc w:val="center"/>
              <w:rPr>
                <w:rFonts w:ascii="Arial" w:hAnsi="Arial" w:cs="Arial"/>
                <w:color w:val="000000"/>
                <w:sz w:val="18"/>
                <w:szCs w:val="18"/>
              </w:rPr>
            </w:pPr>
            <w:r w:rsidRPr="00060311">
              <w:rPr>
                <w:rFonts w:ascii="Arial" w:hAnsi="Arial" w:cs="Arial"/>
                <w:color w:val="000000"/>
                <w:sz w:val="18"/>
                <w:szCs w:val="18"/>
              </w:rPr>
              <w:t>March</w:t>
            </w:r>
          </w:p>
        </w:tc>
        <w:tc>
          <w:tcPr>
            <w:tcW w:w="325" w:type="pct"/>
            <w:shd w:val="clear" w:color="auto" w:fill="auto"/>
            <w:noWrap/>
            <w:vAlign w:val="center"/>
            <w:hideMark/>
          </w:tcPr>
          <w:p w14:paraId="73EA5357"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0.079</w:t>
            </w:r>
          </w:p>
        </w:tc>
        <w:tc>
          <w:tcPr>
            <w:tcW w:w="509" w:type="pct"/>
            <w:shd w:val="clear" w:color="auto" w:fill="auto"/>
            <w:noWrap/>
            <w:vAlign w:val="center"/>
            <w:hideMark/>
          </w:tcPr>
          <w:p w14:paraId="7F8C1F92"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627.115</w:t>
            </w:r>
          </w:p>
        </w:tc>
        <w:tc>
          <w:tcPr>
            <w:tcW w:w="534" w:type="pct"/>
            <w:shd w:val="clear" w:color="auto" w:fill="auto"/>
            <w:noWrap/>
            <w:vAlign w:val="center"/>
            <w:hideMark/>
          </w:tcPr>
          <w:p w14:paraId="3DA424B1"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48.271</w:t>
            </w:r>
          </w:p>
        </w:tc>
        <w:tc>
          <w:tcPr>
            <w:tcW w:w="486" w:type="pct"/>
            <w:shd w:val="clear" w:color="auto" w:fill="auto"/>
            <w:noWrap/>
            <w:vAlign w:val="center"/>
            <w:hideMark/>
          </w:tcPr>
          <w:p w14:paraId="5D206F7E"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1.656</w:t>
            </w:r>
          </w:p>
        </w:tc>
        <w:tc>
          <w:tcPr>
            <w:tcW w:w="451" w:type="pct"/>
            <w:shd w:val="clear" w:color="auto" w:fill="auto"/>
            <w:noWrap/>
            <w:vAlign w:val="center"/>
            <w:hideMark/>
          </w:tcPr>
          <w:p w14:paraId="406222C5"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53.930</w:t>
            </w:r>
          </w:p>
        </w:tc>
        <w:tc>
          <w:tcPr>
            <w:tcW w:w="312" w:type="pct"/>
            <w:shd w:val="clear" w:color="auto" w:fill="auto"/>
            <w:noWrap/>
            <w:vAlign w:val="center"/>
            <w:hideMark/>
          </w:tcPr>
          <w:p w14:paraId="0FDCABEC"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2.014</w:t>
            </w:r>
          </w:p>
        </w:tc>
        <w:tc>
          <w:tcPr>
            <w:tcW w:w="452" w:type="pct"/>
            <w:shd w:val="clear" w:color="auto" w:fill="auto"/>
            <w:noWrap/>
            <w:vAlign w:val="center"/>
            <w:hideMark/>
          </w:tcPr>
          <w:p w14:paraId="1FBC33BC"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50.784</w:t>
            </w:r>
          </w:p>
        </w:tc>
        <w:tc>
          <w:tcPr>
            <w:tcW w:w="347" w:type="pct"/>
            <w:shd w:val="clear" w:color="auto" w:fill="auto"/>
            <w:noWrap/>
            <w:vAlign w:val="center"/>
            <w:hideMark/>
          </w:tcPr>
          <w:p w14:paraId="12197337"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8.091</w:t>
            </w:r>
          </w:p>
        </w:tc>
      </w:tr>
      <w:tr w:rsidR="00245772" w:rsidRPr="00DE10A8" w14:paraId="7351AF4E" w14:textId="77777777" w:rsidTr="00245772">
        <w:trPr>
          <w:trHeight w:val="259"/>
          <w:jc w:val="center"/>
        </w:trPr>
        <w:tc>
          <w:tcPr>
            <w:tcW w:w="1005" w:type="pct"/>
            <w:shd w:val="clear" w:color="auto" w:fill="auto"/>
            <w:noWrap/>
            <w:vAlign w:val="center"/>
            <w:hideMark/>
          </w:tcPr>
          <w:p w14:paraId="5A09162F" w14:textId="77777777" w:rsidR="00400FBA" w:rsidRPr="00060311" w:rsidRDefault="00400FBA" w:rsidP="00245772">
            <w:pPr>
              <w:rPr>
                <w:rFonts w:ascii="Arial" w:hAnsi="Arial" w:cs="Arial"/>
                <w:bCs/>
                <w:color w:val="000000"/>
                <w:sz w:val="18"/>
                <w:szCs w:val="18"/>
              </w:rPr>
            </w:pPr>
            <w:r w:rsidRPr="00060311">
              <w:rPr>
                <w:rFonts w:ascii="Arial" w:hAnsi="Arial" w:cs="Arial"/>
                <w:bCs/>
                <w:color w:val="000000"/>
                <w:sz w:val="18"/>
                <w:szCs w:val="18"/>
              </w:rPr>
              <w:t>Sinarmas Land Ltd</w:t>
            </w:r>
          </w:p>
        </w:tc>
        <w:tc>
          <w:tcPr>
            <w:tcW w:w="579" w:type="pct"/>
            <w:shd w:val="clear" w:color="auto" w:fill="auto"/>
            <w:noWrap/>
            <w:vAlign w:val="center"/>
            <w:hideMark/>
          </w:tcPr>
          <w:p w14:paraId="29A4EF34" w14:textId="77777777" w:rsidR="00400FBA" w:rsidRPr="00060311" w:rsidRDefault="00400FBA" w:rsidP="00245772">
            <w:pPr>
              <w:jc w:val="center"/>
              <w:rPr>
                <w:rFonts w:ascii="Arial" w:hAnsi="Arial" w:cs="Arial"/>
                <w:color w:val="000000"/>
                <w:sz w:val="18"/>
                <w:szCs w:val="18"/>
              </w:rPr>
            </w:pPr>
            <w:r w:rsidRPr="00060311">
              <w:rPr>
                <w:rFonts w:ascii="Arial" w:hAnsi="Arial" w:cs="Arial"/>
                <w:color w:val="000000"/>
                <w:sz w:val="18"/>
                <w:szCs w:val="18"/>
              </w:rPr>
              <w:t>December</w:t>
            </w:r>
          </w:p>
        </w:tc>
        <w:tc>
          <w:tcPr>
            <w:tcW w:w="325" w:type="pct"/>
            <w:shd w:val="clear" w:color="auto" w:fill="auto"/>
            <w:noWrap/>
            <w:vAlign w:val="center"/>
            <w:hideMark/>
          </w:tcPr>
          <w:p w14:paraId="37796779"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0.480</w:t>
            </w:r>
          </w:p>
        </w:tc>
        <w:tc>
          <w:tcPr>
            <w:tcW w:w="509" w:type="pct"/>
            <w:shd w:val="clear" w:color="auto" w:fill="auto"/>
            <w:noWrap/>
            <w:vAlign w:val="center"/>
            <w:hideMark/>
          </w:tcPr>
          <w:p w14:paraId="47834EAB"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4,255.862</w:t>
            </w:r>
          </w:p>
        </w:tc>
        <w:tc>
          <w:tcPr>
            <w:tcW w:w="534" w:type="pct"/>
            <w:shd w:val="clear" w:color="auto" w:fill="auto"/>
            <w:noWrap/>
            <w:vAlign w:val="center"/>
            <w:hideMark/>
          </w:tcPr>
          <w:p w14:paraId="136DDB6D"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878.388</w:t>
            </w:r>
          </w:p>
        </w:tc>
        <w:tc>
          <w:tcPr>
            <w:tcW w:w="486" w:type="pct"/>
            <w:shd w:val="clear" w:color="auto" w:fill="auto"/>
            <w:noWrap/>
            <w:vAlign w:val="center"/>
            <w:hideMark/>
          </w:tcPr>
          <w:p w14:paraId="7887AE40"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114.908</w:t>
            </w:r>
          </w:p>
        </w:tc>
        <w:tc>
          <w:tcPr>
            <w:tcW w:w="451" w:type="pct"/>
            <w:shd w:val="clear" w:color="auto" w:fill="auto"/>
            <w:noWrap/>
            <w:vAlign w:val="center"/>
            <w:hideMark/>
          </w:tcPr>
          <w:p w14:paraId="0834BC4C"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1,358.917</w:t>
            </w:r>
          </w:p>
        </w:tc>
        <w:tc>
          <w:tcPr>
            <w:tcW w:w="312" w:type="pct"/>
            <w:shd w:val="clear" w:color="auto" w:fill="auto"/>
            <w:noWrap/>
            <w:vAlign w:val="center"/>
            <w:hideMark/>
          </w:tcPr>
          <w:p w14:paraId="6A286A93"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2.451</w:t>
            </w:r>
          </w:p>
        </w:tc>
        <w:tc>
          <w:tcPr>
            <w:tcW w:w="452" w:type="pct"/>
            <w:shd w:val="clear" w:color="auto" w:fill="auto"/>
            <w:noWrap/>
            <w:vAlign w:val="center"/>
            <w:hideMark/>
          </w:tcPr>
          <w:p w14:paraId="2B8D87BC"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3,855.296</w:t>
            </w:r>
          </w:p>
        </w:tc>
        <w:tc>
          <w:tcPr>
            <w:tcW w:w="347" w:type="pct"/>
            <w:shd w:val="clear" w:color="auto" w:fill="auto"/>
            <w:noWrap/>
            <w:vAlign w:val="center"/>
            <w:hideMark/>
          </w:tcPr>
          <w:p w14:paraId="6F9CF436"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8.130</w:t>
            </w:r>
          </w:p>
        </w:tc>
      </w:tr>
      <w:tr w:rsidR="00245772" w:rsidRPr="00DE10A8" w14:paraId="71357F8C" w14:textId="77777777" w:rsidTr="00245772">
        <w:trPr>
          <w:trHeight w:val="259"/>
          <w:jc w:val="center"/>
        </w:trPr>
        <w:tc>
          <w:tcPr>
            <w:tcW w:w="1005" w:type="pct"/>
            <w:shd w:val="clear" w:color="auto" w:fill="auto"/>
            <w:noWrap/>
            <w:vAlign w:val="center"/>
            <w:hideMark/>
          </w:tcPr>
          <w:p w14:paraId="1FBF2E90" w14:textId="77777777" w:rsidR="00400FBA" w:rsidRPr="00060311" w:rsidRDefault="00400FBA" w:rsidP="00245772">
            <w:pPr>
              <w:rPr>
                <w:rFonts w:ascii="Arial" w:hAnsi="Arial" w:cs="Arial"/>
                <w:bCs/>
                <w:color w:val="000000"/>
                <w:sz w:val="18"/>
                <w:szCs w:val="18"/>
              </w:rPr>
            </w:pPr>
            <w:r w:rsidRPr="00060311">
              <w:rPr>
                <w:rFonts w:ascii="Arial" w:hAnsi="Arial" w:cs="Arial"/>
                <w:bCs/>
                <w:color w:val="000000"/>
                <w:sz w:val="18"/>
                <w:szCs w:val="18"/>
              </w:rPr>
              <w:t>Tuan Sing Holdings Ltd</w:t>
            </w:r>
          </w:p>
        </w:tc>
        <w:tc>
          <w:tcPr>
            <w:tcW w:w="579" w:type="pct"/>
            <w:shd w:val="clear" w:color="auto" w:fill="auto"/>
            <w:noWrap/>
            <w:vAlign w:val="center"/>
            <w:hideMark/>
          </w:tcPr>
          <w:p w14:paraId="0469FB18" w14:textId="77777777" w:rsidR="00400FBA" w:rsidRPr="00060311" w:rsidRDefault="00400FBA" w:rsidP="00245772">
            <w:pPr>
              <w:jc w:val="center"/>
              <w:rPr>
                <w:rFonts w:ascii="Arial" w:hAnsi="Arial" w:cs="Arial"/>
                <w:color w:val="000000"/>
                <w:sz w:val="18"/>
                <w:szCs w:val="18"/>
              </w:rPr>
            </w:pPr>
            <w:r w:rsidRPr="00060311">
              <w:rPr>
                <w:rFonts w:ascii="Arial" w:hAnsi="Arial" w:cs="Arial"/>
                <w:color w:val="000000"/>
                <w:sz w:val="18"/>
                <w:szCs w:val="18"/>
              </w:rPr>
              <w:t>December</w:t>
            </w:r>
          </w:p>
        </w:tc>
        <w:tc>
          <w:tcPr>
            <w:tcW w:w="325" w:type="pct"/>
            <w:shd w:val="clear" w:color="auto" w:fill="auto"/>
            <w:noWrap/>
            <w:vAlign w:val="center"/>
            <w:hideMark/>
          </w:tcPr>
          <w:p w14:paraId="70D284B5"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0.300</w:t>
            </w:r>
          </w:p>
        </w:tc>
        <w:tc>
          <w:tcPr>
            <w:tcW w:w="509" w:type="pct"/>
            <w:shd w:val="clear" w:color="auto" w:fill="auto"/>
            <w:noWrap/>
            <w:vAlign w:val="center"/>
            <w:hideMark/>
          </w:tcPr>
          <w:p w14:paraId="573A0E69"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1,182.800</w:t>
            </w:r>
          </w:p>
        </w:tc>
        <w:tc>
          <w:tcPr>
            <w:tcW w:w="534" w:type="pct"/>
            <w:shd w:val="clear" w:color="auto" w:fill="auto"/>
            <w:noWrap/>
            <w:vAlign w:val="center"/>
            <w:hideMark/>
          </w:tcPr>
          <w:p w14:paraId="6947B952"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404.018</w:t>
            </w:r>
          </w:p>
        </w:tc>
        <w:tc>
          <w:tcPr>
            <w:tcW w:w="486" w:type="pct"/>
            <w:shd w:val="clear" w:color="auto" w:fill="auto"/>
            <w:noWrap/>
            <w:vAlign w:val="center"/>
            <w:hideMark/>
          </w:tcPr>
          <w:p w14:paraId="7F9D5D32"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33.585</w:t>
            </w:r>
          </w:p>
        </w:tc>
        <w:tc>
          <w:tcPr>
            <w:tcW w:w="451" w:type="pct"/>
            <w:shd w:val="clear" w:color="auto" w:fill="auto"/>
            <w:noWrap/>
            <w:vAlign w:val="center"/>
            <w:hideMark/>
          </w:tcPr>
          <w:p w14:paraId="530D4245"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1,020.793</w:t>
            </w:r>
          </w:p>
        </w:tc>
        <w:tc>
          <w:tcPr>
            <w:tcW w:w="312" w:type="pct"/>
            <w:shd w:val="clear" w:color="auto" w:fill="auto"/>
            <w:noWrap/>
            <w:vAlign w:val="center"/>
            <w:hideMark/>
          </w:tcPr>
          <w:p w14:paraId="3EB43BB1"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2.660</w:t>
            </w:r>
          </w:p>
        </w:tc>
        <w:tc>
          <w:tcPr>
            <w:tcW w:w="452" w:type="pct"/>
            <w:shd w:val="clear" w:color="auto" w:fill="auto"/>
            <w:noWrap/>
            <w:vAlign w:val="center"/>
            <w:hideMark/>
          </w:tcPr>
          <w:p w14:paraId="2362BAFC"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930.456</w:t>
            </w:r>
          </w:p>
        </w:tc>
        <w:tc>
          <w:tcPr>
            <w:tcW w:w="347" w:type="pct"/>
            <w:shd w:val="clear" w:color="auto" w:fill="auto"/>
            <w:noWrap/>
            <w:vAlign w:val="center"/>
            <w:hideMark/>
          </w:tcPr>
          <w:p w14:paraId="1DAC2C8B"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7.101</w:t>
            </w:r>
          </w:p>
        </w:tc>
      </w:tr>
      <w:tr w:rsidR="00245772" w:rsidRPr="00DE10A8" w14:paraId="34D80744" w14:textId="77777777" w:rsidTr="00245772">
        <w:trPr>
          <w:trHeight w:val="259"/>
          <w:jc w:val="center"/>
        </w:trPr>
        <w:tc>
          <w:tcPr>
            <w:tcW w:w="1005" w:type="pct"/>
            <w:shd w:val="clear" w:color="auto" w:fill="auto"/>
            <w:noWrap/>
            <w:vAlign w:val="center"/>
            <w:hideMark/>
          </w:tcPr>
          <w:p w14:paraId="2C6B20C3" w14:textId="64EF1223" w:rsidR="00400FBA" w:rsidRPr="00060311" w:rsidRDefault="002051AE" w:rsidP="00245772">
            <w:pPr>
              <w:rPr>
                <w:rFonts w:ascii="Arial" w:hAnsi="Arial" w:cs="Arial"/>
                <w:bCs/>
                <w:color w:val="000000"/>
                <w:sz w:val="18"/>
                <w:szCs w:val="18"/>
              </w:rPr>
            </w:pPr>
            <w:r w:rsidRPr="00060311">
              <w:rPr>
                <w:rFonts w:ascii="Arial" w:hAnsi="Arial" w:cs="Arial"/>
                <w:bCs/>
                <w:color w:val="000000"/>
                <w:sz w:val="18"/>
                <w:szCs w:val="18"/>
              </w:rPr>
              <w:t>U</w:t>
            </w:r>
            <w:r>
              <w:rPr>
                <w:rFonts w:ascii="Arial" w:hAnsi="Arial" w:cs="Arial"/>
                <w:bCs/>
                <w:color w:val="000000"/>
                <w:sz w:val="18"/>
                <w:szCs w:val="18"/>
              </w:rPr>
              <w:t>IC</w:t>
            </w:r>
            <w:r w:rsidR="00400FBA" w:rsidRPr="00060311">
              <w:rPr>
                <w:rFonts w:ascii="Arial" w:hAnsi="Arial" w:cs="Arial"/>
                <w:bCs/>
                <w:color w:val="000000"/>
                <w:sz w:val="18"/>
                <w:szCs w:val="18"/>
              </w:rPr>
              <w:t>-United Indust Corp Ltd</w:t>
            </w:r>
          </w:p>
        </w:tc>
        <w:tc>
          <w:tcPr>
            <w:tcW w:w="579" w:type="pct"/>
            <w:shd w:val="clear" w:color="auto" w:fill="auto"/>
            <w:noWrap/>
            <w:vAlign w:val="center"/>
            <w:hideMark/>
          </w:tcPr>
          <w:p w14:paraId="24D498E8" w14:textId="77777777" w:rsidR="00400FBA" w:rsidRPr="00060311" w:rsidRDefault="00400FBA" w:rsidP="00245772">
            <w:pPr>
              <w:jc w:val="center"/>
              <w:rPr>
                <w:rFonts w:ascii="Arial" w:hAnsi="Arial" w:cs="Arial"/>
                <w:color w:val="000000"/>
                <w:sz w:val="18"/>
                <w:szCs w:val="18"/>
              </w:rPr>
            </w:pPr>
            <w:r w:rsidRPr="00060311">
              <w:rPr>
                <w:rFonts w:ascii="Arial" w:hAnsi="Arial" w:cs="Arial"/>
                <w:color w:val="000000"/>
                <w:sz w:val="18"/>
                <w:szCs w:val="18"/>
              </w:rPr>
              <w:t>December</w:t>
            </w:r>
          </w:p>
        </w:tc>
        <w:tc>
          <w:tcPr>
            <w:tcW w:w="325" w:type="pct"/>
            <w:shd w:val="clear" w:color="auto" w:fill="auto"/>
            <w:noWrap/>
            <w:vAlign w:val="center"/>
            <w:hideMark/>
          </w:tcPr>
          <w:p w14:paraId="0AFABB60"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2.970</w:t>
            </w:r>
          </w:p>
        </w:tc>
        <w:tc>
          <w:tcPr>
            <w:tcW w:w="509" w:type="pct"/>
            <w:shd w:val="clear" w:color="auto" w:fill="auto"/>
            <w:noWrap/>
            <w:vAlign w:val="center"/>
            <w:hideMark/>
          </w:tcPr>
          <w:p w14:paraId="4FF3031A"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1,419.089</w:t>
            </w:r>
          </w:p>
        </w:tc>
        <w:tc>
          <w:tcPr>
            <w:tcW w:w="534" w:type="pct"/>
            <w:shd w:val="clear" w:color="auto" w:fill="auto"/>
            <w:noWrap/>
            <w:vAlign w:val="center"/>
            <w:hideMark/>
          </w:tcPr>
          <w:p w14:paraId="38CAE33F"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1,036.584</w:t>
            </w:r>
          </w:p>
        </w:tc>
        <w:tc>
          <w:tcPr>
            <w:tcW w:w="486" w:type="pct"/>
            <w:shd w:val="clear" w:color="auto" w:fill="auto"/>
            <w:noWrap/>
            <w:vAlign w:val="center"/>
            <w:hideMark/>
          </w:tcPr>
          <w:p w14:paraId="5A7CC9D1"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286.045</w:t>
            </w:r>
          </w:p>
        </w:tc>
        <w:tc>
          <w:tcPr>
            <w:tcW w:w="451" w:type="pct"/>
            <w:shd w:val="clear" w:color="auto" w:fill="auto"/>
            <w:noWrap/>
            <w:vAlign w:val="center"/>
            <w:hideMark/>
          </w:tcPr>
          <w:p w14:paraId="00574047"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1,241.628</w:t>
            </w:r>
          </w:p>
        </w:tc>
        <w:tc>
          <w:tcPr>
            <w:tcW w:w="312" w:type="pct"/>
            <w:shd w:val="clear" w:color="auto" w:fill="auto"/>
            <w:noWrap/>
            <w:vAlign w:val="center"/>
            <w:hideMark/>
          </w:tcPr>
          <w:p w14:paraId="2E49A61B"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1.198</w:t>
            </w:r>
          </w:p>
        </w:tc>
        <w:tc>
          <w:tcPr>
            <w:tcW w:w="452" w:type="pct"/>
            <w:shd w:val="clear" w:color="auto" w:fill="auto"/>
            <w:noWrap/>
            <w:vAlign w:val="center"/>
            <w:hideMark/>
          </w:tcPr>
          <w:p w14:paraId="5A762A22"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7,035.062</w:t>
            </w:r>
          </w:p>
        </w:tc>
        <w:tc>
          <w:tcPr>
            <w:tcW w:w="347" w:type="pct"/>
            <w:shd w:val="clear" w:color="auto" w:fill="auto"/>
            <w:noWrap/>
            <w:vAlign w:val="center"/>
            <w:hideMark/>
          </w:tcPr>
          <w:p w14:paraId="023B37CB"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5.206</w:t>
            </w:r>
          </w:p>
        </w:tc>
      </w:tr>
      <w:tr w:rsidR="00245772" w:rsidRPr="00DE10A8" w14:paraId="5644E145" w14:textId="77777777" w:rsidTr="00245772">
        <w:trPr>
          <w:trHeight w:val="259"/>
          <w:jc w:val="center"/>
        </w:trPr>
        <w:tc>
          <w:tcPr>
            <w:tcW w:w="1005" w:type="pct"/>
            <w:shd w:val="clear" w:color="auto" w:fill="auto"/>
            <w:noWrap/>
            <w:vAlign w:val="center"/>
            <w:hideMark/>
          </w:tcPr>
          <w:p w14:paraId="5E9B8F19" w14:textId="1F7AFCF0" w:rsidR="00400FBA" w:rsidRPr="00060311" w:rsidRDefault="002051AE" w:rsidP="00245772">
            <w:pPr>
              <w:rPr>
                <w:rFonts w:ascii="Arial" w:hAnsi="Arial" w:cs="Arial"/>
                <w:bCs/>
                <w:color w:val="000000"/>
                <w:sz w:val="18"/>
                <w:szCs w:val="18"/>
              </w:rPr>
            </w:pPr>
            <w:r w:rsidRPr="00060311">
              <w:rPr>
                <w:rFonts w:ascii="Arial" w:hAnsi="Arial" w:cs="Arial"/>
                <w:bCs/>
                <w:color w:val="000000"/>
                <w:sz w:val="18"/>
                <w:szCs w:val="18"/>
              </w:rPr>
              <w:t>U</w:t>
            </w:r>
            <w:r>
              <w:rPr>
                <w:rFonts w:ascii="Arial" w:hAnsi="Arial" w:cs="Arial"/>
                <w:bCs/>
                <w:color w:val="000000"/>
                <w:sz w:val="18"/>
                <w:szCs w:val="18"/>
              </w:rPr>
              <w:t>OL</w:t>
            </w:r>
            <w:r w:rsidRPr="00060311">
              <w:rPr>
                <w:rFonts w:ascii="Arial" w:hAnsi="Arial" w:cs="Arial"/>
                <w:bCs/>
                <w:color w:val="000000"/>
                <w:sz w:val="18"/>
                <w:szCs w:val="18"/>
              </w:rPr>
              <w:t xml:space="preserve"> </w:t>
            </w:r>
            <w:r w:rsidR="00400FBA" w:rsidRPr="00060311">
              <w:rPr>
                <w:rFonts w:ascii="Arial" w:hAnsi="Arial" w:cs="Arial"/>
                <w:bCs/>
                <w:color w:val="000000"/>
                <w:sz w:val="18"/>
                <w:szCs w:val="18"/>
              </w:rPr>
              <w:t>Group Ltd</w:t>
            </w:r>
          </w:p>
        </w:tc>
        <w:tc>
          <w:tcPr>
            <w:tcW w:w="579" w:type="pct"/>
            <w:shd w:val="clear" w:color="auto" w:fill="auto"/>
            <w:noWrap/>
            <w:vAlign w:val="center"/>
            <w:hideMark/>
          </w:tcPr>
          <w:p w14:paraId="10CDA94C" w14:textId="77777777" w:rsidR="00400FBA" w:rsidRPr="00060311" w:rsidRDefault="00400FBA" w:rsidP="00245772">
            <w:pPr>
              <w:jc w:val="center"/>
              <w:rPr>
                <w:rFonts w:ascii="Arial" w:hAnsi="Arial" w:cs="Arial"/>
                <w:color w:val="000000"/>
                <w:sz w:val="18"/>
                <w:szCs w:val="18"/>
              </w:rPr>
            </w:pPr>
            <w:r w:rsidRPr="00060311">
              <w:rPr>
                <w:rFonts w:ascii="Arial" w:hAnsi="Arial" w:cs="Arial"/>
                <w:color w:val="000000"/>
                <w:sz w:val="18"/>
                <w:szCs w:val="18"/>
              </w:rPr>
              <w:t>December</w:t>
            </w:r>
          </w:p>
        </w:tc>
        <w:tc>
          <w:tcPr>
            <w:tcW w:w="325" w:type="pct"/>
            <w:shd w:val="clear" w:color="auto" w:fill="auto"/>
            <w:noWrap/>
            <w:vAlign w:val="center"/>
            <w:hideMark/>
          </w:tcPr>
          <w:p w14:paraId="3CE47BB6"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6.190</w:t>
            </w:r>
          </w:p>
        </w:tc>
        <w:tc>
          <w:tcPr>
            <w:tcW w:w="509" w:type="pct"/>
            <w:shd w:val="clear" w:color="auto" w:fill="auto"/>
            <w:noWrap/>
            <w:vAlign w:val="center"/>
            <w:hideMark/>
          </w:tcPr>
          <w:p w14:paraId="246ACA50"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804.611</w:t>
            </w:r>
          </w:p>
        </w:tc>
        <w:tc>
          <w:tcPr>
            <w:tcW w:w="534" w:type="pct"/>
            <w:shd w:val="clear" w:color="auto" w:fill="auto"/>
            <w:noWrap/>
            <w:vAlign w:val="center"/>
            <w:hideMark/>
          </w:tcPr>
          <w:p w14:paraId="2FE026B2"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1,410.558</w:t>
            </w:r>
          </w:p>
        </w:tc>
        <w:tc>
          <w:tcPr>
            <w:tcW w:w="486" w:type="pct"/>
            <w:shd w:val="clear" w:color="auto" w:fill="auto"/>
            <w:noWrap/>
            <w:vAlign w:val="center"/>
            <w:hideMark/>
          </w:tcPr>
          <w:p w14:paraId="45394704"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287.040</w:t>
            </w:r>
          </w:p>
        </w:tc>
        <w:tc>
          <w:tcPr>
            <w:tcW w:w="451" w:type="pct"/>
            <w:shd w:val="clear" w:color="auto" w:fill="auto"/>
            <w:noWrap/>
            <w:vAlign w:val="center"/>
            <w:hideMark/>
          </w:tcPr>
          <w:p w14:paraId="416641D0"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2,409.443</w:t>
            </w:r>
          </w:p>
        </w:tc>
        <w:tc>
          <w:tcPr>
            <w:tcW w:w="312" w:type="pct"/>
            <w:shd w:val="clear" w:color="auto" w:fill="auto"/>
            <w:noWrap/>
            <w:vAlign w:val="center"/>
            <w:hideMark/>
          </w:tcPr>
          <w:p w14:paraId="0AF7AED8"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2.267</w:t>
            </w:r>
          </w:p>
        </w:tc>
        <w:tc>
          <w:tcPr>
            <w:tcW w:w="452" w:type="pct"/>
            <w:shd w:val="clear" w:color="auto" w:fill="auto"/>
            <w:noWrap/>
            <w:vAlign w:val="center"/>
            <w:hideMark/>
          </w:tcPr>
          <w:p w14:paraId="5AFB459F"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8,635.364</w:t>
            </w:r>
          </w:p>
        </w:tc>
        <w:tc>
          <w:tcPr>
            <w:tcW w:w="347" w:type="pct"/>
            <w:shd w:val="clear" w:color="auto" w:fill="auto"/>
            <w:noWrap/>
            <w:vAlign w:val="center"/>
            <w:hideMark/>
          </w:tcPr>
          <w:p w14:paraId="74AAC498"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8.691</w:t>
            </w:r>
          </w:p>
        </w:tc>
      </w:tr>
      <w:tr w:rsidR="00245772" w:rsidRPr="00DE10A8" w14:paraId="53D50465" w14:textId="77777777" w:rsidTr="00245772">
        <w:trPr>
          <w:trHeight w:val="259"/>
          <w:jc w:val="center"/>
        </w:trPr>
        <w:tc>
          <w:tcPr>
            <w:tcW w:w="1005" w:type="pct"/>
            <w:shd w:val="clear" w:color="auto" w:fill="auto"/>
            <w:noWrap/>
            <w:vAlign w:val="center"/>
            <w:hideMark/>
          </w:tcPr>
          <w:p w14:paraId="2B82FD31" w14:textId="42FF4E0B" w:rsidR="00400FBA" w:rsidRPr="00060311" w:rsidRDefault="00400FBA" w:rsidP="00245772">
            <w:pPr>
              <w:rPr>
                <w:rFonts w:ascii="Arial" w:hAnsi="Arial" w:cs="Arial"/>
                <w:bCs/>
                <w:color w:val="000000"/>
                <w:sz w:val="18"/>
                <w:szCs w:val="18"/>
              </w:rPr>
            </w:pPr>
            <w:r w:rsidRPr="00060311">
              <w:rPr>
                <w:rFonts w:ascii="Arial" w:hAnsi="Arial" w:cs="Arial"/>
                <w:bCs/>
                <w:color w:val="000000"/>
                <w:sz w:val="18"/>
                <w:szCs w:val="18"/>
              </w:rPr>
              <w:t>Wheelock Properties (</w:t>
            </w:r>
            <w:r w:rsidR="001E7E49" w:rsidRPr="00060311">
              <w:rPr>
                <w:rFonts w:ascii="Arial" w:hAnsi="Arial" w:cs="Arial"/>
                <w:bCs/>
                <w:color w:val="000000"/>
                <w:sz w:val="18"/>
                <w:szCs w:val="18"/>
              </w:rPr>
              <w:t>S</w:t>
            </w:r>
            <w:r w:rsidR="001E7E49">
              <w:rPr>
                <w:rFonts w:ascii="Arial" w:hAnsi="Arial" w:cs="Arial"/>
                <w:bCs/>
                <w:color w:val="000000"/>
                <w:sz w:val="18"/>
                <w:szCs w:val="18"/>
              </w:rPr>
              <w:t>GP</w:t>
            </w:r>
            <w:r w:rsidRPr="00060311">
              <w:rPr>
                <w:rFonts w:ascii="Arial" w:hAnsi="Arial" w:cs="Arial"/>
                <w:bCs/>
                <w:color w:val="000000"/>
                <w:sz w:val="18"/>
                <w:szCs w:val="18"/>
              </w:rPr>
              <w:t>)</w:t>
            </w:r>
          </w:p>
        </w:tc>
        <w:tc>
          <w:tcPr>
            <w:tcW w:w="579" w:type="pct"/>
            <w:shd w:val="clear" w:color="auto" w:fill="auto"/>
            <w:noWrap/>
            <w:vAlign w:val="center"/>
            <w:hideMark/>
          </w:tcPr>
          <w:p w14:paraId="5B381492" w14:textId="77777777" w:rsidR="00400FBA" w:rsidRPr="00060311" w:rsidRDefault="00400FBA" w:rsidP="00245772">
            <w:pPr>
              <w:jc w:val="center"/>
              <w:rPr>
                <w:rFonts w:ascii="Arial" w:hAnsi="Arial" w:cs="Arial"/>
                <w:color w:val="000000"/>
                <w:sz w:val="18"/>
                <w:szCs w:val="18"/>
              </w:rPr>
            </w:pPr>
            <w:r w:rsidRPr="00060311">
              <w:rPr>
                <w:rFonts w:ascii="Arial" w:hAnsi="Arial" w:cs="Arial"/>
                <w:color w:val="000000"/>
                <w:sz w:val="18"/>
                <w:szCs w:val="18"/>
              </w:rPr>
              <w:t>December</w:t>
            </w:r>
          </w:p>
        </w:tc>
        <w:tc>
          <w:tcPr>
            <w:tcW w:w="325" w:type="pct"/>
            <w:shd w:val="clear" w:color="auto" w:fill="auto"/>
            <w:noWrap/>
            <w:vAlign w:val="center"/>
            <w:hideMark/>
          </w:tcPr>
          <w:p w14:paraId="117A01BB"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1.695</w:t>
            </w:r>
          </w:p>
        </w:tc>
        <w:tc>
          <w:tcPr>
            <w:tcW w:w="509" w:type="pct"/>
            <w:shd w:val="clear" w:color="auto" w:fill="auto"/>
            <w:noWrap/>
            <w:vAlign w:val="center"/>
            <w:hideMark/>
          </w:tcPr>
          <w:p w14:paraId="10A10A80"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1,196.560</w:t>
            </w:r>
          </w:p>
        </w:tc>
        <w:tc>
          <w:tcPr>
            <w:tcW w:w="534" w:type="pct"/>
            <w:shd w:val="clear" w:color="auto" w:fill="auto"/>
            <w:noWrap/>
            <w:vAlign w:val="center"/>
            <w:hideMark/>
          </w:tcPr>
          <w:p w14:paraId="0D1C8062"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769.673</w:t>
            </w:r>
          </w:p>
        </w:tc>
        <w:tc>
          <w:tcPr>
            <w:tcW w:w="486" w:type="pct"/>
            <w:shd w:val="clear" w:color="auto" w:fill="auto"/>
            <w:noWrap/>
            <w:vAlign w:val="center"/>
            <w:hideMark/>
          </w:tcPr>
          <w:p w14:paraId="1975E5B4"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58.349</w:t>
            </w:r>
          </w:p>
        </w:tc>
        <w:tc>
          <w:tcPr>
            <w:tcW w:w="451" w:type="pct"/>
            <w:shd w:val="clear" w:color="auto" w:fill="auto"/>
            <w:noWrap/>
            <w:vAlign w:val="center"/>
            <w:hideMark/>
          </w:tcPr>
          <w:p w14:paraId="5AF9E369"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0.000</w:t>
            </w:r>
          </w:p>
        </w:tc>
        <w:tc>
          <w:tcPr>
            <w:tcW w:w="312" w:type="pct"/>
            <w:shd w:val="clear" w:color="auto" w:fill="auto"/>
            <w:noWrap/>
            <w:vAlign w:val="center"/>
            <w:hideMark/>
          </w:tcPr>
          <w:p w14:paraId="3F9615C0"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0.000</w:t>
            </w:r>
          </w:p>
        </w:tc>
        <w:tc>
          <w:tcPr>
            <w:tcW w:w="452" w:type="pct"/>
            <w:shd w:val="clear" w:color="auto" w:fill="auto"/>
            <w:noWrap/>
            <w:vAlign w:val="center"/>
            <w:hideMark/>
          </w:tcPr>
          <w:p w14:paraId="7BCD4216"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2,989.286</w:t>
            </w:r>
          </w:p>
        </w:tc>
        <w:tc>
          <w:tcPr>
            <w:tcW w:w="347" w:type="pct"/>
            <w:shd w:val="clear" w:color="auto" w:fill="auto"/>
            <w:noWrap/>
            <w:vAlign w:val="center"/>
            <w:hideMark/>
          </w:tcPr>
          <w:p w14:paraId="0C6D2FF2"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7.043</w:t>
            </w:r>
          </w:p>
        </w:tc>
      </w:tr>
      <w:tr w:rsidR="00245772" w:rsidRPr="00DE10A8" w14:paraId="28AF166D" w14:textId="77777777" w:rsidTr="00245772">
        <w:trPr>
          <w:trHeight w:val="259"/>
          <w:jc w:val="center"/>
        </w:trPr>
        <w:tc>
          <w:tcPr>
            <w:tcW w:w="1005" w:type="pct"/>
            <w:shd w:val="clear" w:color="auto" w:fill="auto"/>
            <w:noWrap/>
            <w:vAlign w:val="center"/>
            <w:hideMark/>
          </w:tcPr>
          <w:p w14:paraId="2E167A59" w14:textId="77777777" w:rsidR="00400FBA" w:rsidRPr="00060311" w:rsidRDefault="00400FBA" w:rsidP="00245772">
            <w:pPr>
              <w:rPr>
                <w:rFonts w:ascii="Arial" w:hAnsi="Arial" w:cs="Arial"/>
                <w:bCs/>
                <w:color w:val="000000"/>
                <w:sz w:val="18"/>
                <w:szCs w:val="18"/>
              </w:rPr>
            </w:pPr>
            <w:r w:rsidRPr="00060311">
              <w:rPr>
                <w:rFonts w:ascii="Arial" w:hAnsi="Arial" w:cs="Arial"/>
                <w:bCs/>
                <w:color w:val="000000"/>
                <w:sz w:val="18"/>
                <w:szCs w:val="18"/>
              </w:rPr>
              <w:t>Wing Tai Holdings Ltd</w:t>
            </w:r>
          </w:p>
        </w:tc>
        <w:tc>
          <w:tcPr>
            <w:tcW w:w="579" w:type="pct"/>
            <w:shd w:val="clear" w:color="auto" w:fill="auto"/>
            <w:noWrap/>
            <w:vAlign w:val="center"/>
            <w:hideMark/>
          </w:tcPr>
          <w:p w14:paraId="2F607223" w14:textId="77777777" w:rsidR="00400FBA" w:rsidRPr="00060311" w:rsidRDefault="00400FBA" w:rsidP="00245772">
            <w:pPr>
              <w:jc w:val="center"/>
              <w:rPr>
                <w:rFonts w:ascii="Arial" w:hAnsi="Arial" w:cs="Arial"/>
                <w:color w:val="000000"/>
                <w:sz w:val="18"/>
                <w:szCs w:val="18"/>
              </w:rPr>
            </w:pPr>
            <w:r w:rsidRPr="00060311">
              <w:rPr>
                <w:rFonts w:ascii="Arial" w:hAnsi="Arial" w:cs="Arial"/>
                <w:color w:val="000000"/>
                <w:sz w:val="18"/>
                <w:szCs w:val="18"/>
              </w:rPr>
              <w:t>June</w:t>
            </w:r>
          </w:p>
        </w:tc>
        <w:tc>
          <w:tcPr>
            <w:tcW w:w="325" w:type="pct"/>
            <w:shd w:val="clear" w:color="auto" w:fill="auto"/>
            <w:noWrap/>
            <w:vAlign w:val="center"/>
            <w:hideMark/>
          </w:tcPr>
          <w:p w14:paraId="22077F56"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1.970</w:t>
            </w:r>
          </w:p>
        </w:tc>
        <w:tc>
          <w:tcPr>
            <w:tcW w:w="509" w:type="pct"/>
            <w:shd w:val="clear" w:color="auto" w:fill="auto"/>
            <w:noWrap/>
            <w:vAlign w:val="center"/>
            <w:hideMark/>
          </w:tcPr>
          <w:p w14:paraId="14ACB8D2"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772.509</w:t>
            </w:r>
          </w:p>
        </w:tc>
        <w:tc>
          <w:tcPr>
            <w:tcW w:w="534" w:type="pct"/>
            <w:shd w:val="clear" w:color="auto" w:fill="auto"/>
            <w:noWrap/>
            <w:vAlign w:val="center"/>
            <w:hideMark/>
          </w:tcPr>
          <w:p w14:paraId="413B1B11"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544.390</w:t>
            </w:r>
          </w:p>
        </w:tc>
        <w:tc>
          <w:tcPr>
            <w:tcW w:w="486" w:type="pct"/>
            <w:shd w:val="clear" w:color="auto" w:fill="auto"/>
            <w:noWrap/>
            <w:vAlign w:val="center"/>
            <w:hideMark/>
          </w:tcPr>
          <w:p w14:paraId="138A3FA8"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7.079</w:t>
            </w:r>
          </w:p>
        </w:tc>
        <w:tc>
          <w:tcPr>
            <w:tcW w:w="451" w:type="pct"/>
            <w:shd w:val="clear" w:color="auto" w:fill="auto"/>
            <w:noWrap/>
            <w:vAlign w:val="center"/>
            <w:hideMark/>
          </w:tcPr>
          <w:p w14:paraId="39B8D9C3"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1,376.506</w:t>
            </w:r>
          </w:p>
        </w:tc>
        <w:tc>
          <w:tcPr>
            <w:tcW w:w="312" w:type="pct"/>
            <w:shd w:val="clear" w:color="auto" w:fill="auto"/>
            <w:noWrap/>
            <w:vAlign w:val="center"/>
            <w:hideMark/>
          </w:tcPr>
          <w:p w14:paraId="0386DD7E"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1.749</w:t>
            </w:r>
          </w:p>
        </w:tc>
        <w:tc>
          <w:tcPr>
            <w:tcW w:w="452" w:type="pct"/>
            <w:shd w:val="clear" w:color="auto" w:fill="auto"/>
            <w:noWrap/>
            <w:vAlign w:val="center"/>
            <w:hideMark/>
          </w:tcPr>
          <w:p w14:paraId="67EBE178"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3,332.526</w:t>
            </w:r>
          </w:p>
        </w:tc>
        <w:tc>
          <w:tcPr>
            <w:tcW w:w="347" w:type="pct"/>
            <w:shd w:val="clear" w:color="auto" w:fill="auto"/>
            <w:noWrap/>
            <w:vAlign w:val="center"/>
            <w:hideMark/>
          </w:tcPr>
          <w:p w14:paraId="5F35A95C"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7.308</w:t>
            </w:r>
          </w:p>
        </w:tc>
      </w:tr>
      <w:tr w:rsidR="00245772" w:rsidRPr="00DE10A8" w14:paraId="6E0A16FF" w14:textId="77777777" w:rsidTr="00245772">
        <w:trPr>
          <w:trHeight w:val="259"/>
          <w:jc w:val="center"/>
        </w:trPr>
        <w:tc>
          <w:tcPr>
            <w:tcW w:w="1005" w:type="pct"/>
            <w:shd w:val="clear" w:color="auto" w:fill="auto"/>
            <w:noWrap/>
            <w:vAlign w:val="center"/>
            <w:hideMark/>
          </w:tcPr>
          <w:p w14:paraId="5FFC0B91" w14:textId="77777777" w:rsidR="00400FBA" w:rsidRPr="00060311" w:rsidRDefault="00400FBA" w:rsidP="00245772">
            <w:pPr>
              <w:rPr>
                <w:rFonts w:ascii="Arial" w:hAnsi="Arial" w:cs="Arial"/>
                <w:bCs/>
                <w:color w:val="000000"/>
                <w:sz w:val="18"/>
                <w:szCs w:val="18"/>
              </w:rPr>
            </w:pPr>
            <w:r w:rsidRPr="00060311">
              <w:rPr>
                <w:rFonts w:ascii="Arial" w:hAnsi="Arial" w:cs="Arial"/>
                <w:bCs/>
                <w:color w:val="000000"/>
                <w:sz w:val="18"/>
                <w:szCs w:val="18"/>
              </w:rPr>
              <w:t>Yanlord Land Group Ltd</w:t>
            </w:r>
          </w:p>
        </w:tc>
        <w:tc>
          <w:tcPr>
            <w:tcW w:w="579" w:type="pct"/>
            <w:shd w:val="clear" w:color="auto" w:fill="auto"/>
            <w:noWrap/>
            <w:vAlign w:val="center"/>
            <w:hideMark/>
          </w:tcPr>
          <w:p w14:paraId="6354ADD0" w14:textId="77777777" w:rsidR="00400FBA" w:rsidRPr="00060311" w:rsidRDefault="00400FBA" w:rsidP="00245772">
            <w:pPr>
              <w:jc w:val="center"/>
              <w:rPr>
                <w:rFonts w:ascii="Arial" w:hAnsi="Arial" w:cs="Arial"/>
                <w:color w:val="000000"/>
                <w:sz w:val="18"/>
                <w:szCs w:val="18"/>
              </w:rPr>
            </w:pPr>
            <w:r w:rsidRPr="00060311">
              <w:rPr>
                <w:rFonts w:ascii="Arial" w:hAnsi="Arial" w:cs="Arial"/>
                <w:color w:val="000000"/>
                <w:sz w:val="18"/>
                <w:szCs w:val="18"/>
              </w:rPr>
              <w:t>December</w:t>
            </w:r>
          </w:p>
        </w:tc>
        <w:tc>
          <w:tcPr>
            <w:tcW w:w="325" w:type="pct"/>
            <w:shd w:val="clear" w:color="auto" w:fill="auto"/>
            <w:noWrap/>
            <w:vAlign w:val="center"/>
            <w:hideMark/>
          </w:tcPr>
          <w:p w14:paraId="429CF33B"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1.225</w:t>
            </w:r>
          </w:p>
        </w:tc>
        <w:tc>
          <w:tcPr>
            <w:tcW w:w="509" w:type="pct"/>
            <w:shd w:val="clear" w:color="auto" w:fill="auto"/>
            <w:noWrap/>
            <w:vAlign w:val="center"/>
            <w:hideMark/>
          </w:tcPr>
          <w:p w14:paraId="1A2C0324"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1,941.586</w:t>
            </w:r>
          </w:p>
        </w:tc>
        <w:tc>
          <w:tcPr>
            <w:tcW w:w="534" w:type="pct"/>
            <w:shd w:val="clear" w:color="auto" w:fill="auto"/>
            <w:noWrap/>
            <w:vAlign w:val="center"/>
            <w:hideMark/>
          </w:tcPr>
          <w:p w14:paraId="2581345A"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5,351.540</w:t>
            </w:r>
          </w:p>
        </w:tc>
        <w:tc>
          <w:tcPr>
            <w:tcW w:w="486" w:type="pct"/>
            <w:shd w:val="clear" w:color="auto" w:fill="auto"/>
            <w:noWrap/>
            <w:vAlign w:val="center"/>
            <w:hideMark/>
          </w:tcPr>
          <w:p w14:paraId="68C223FB"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562.453</w:t>
            </w:r>
          </w:p>
        </w:tc>
        <w:tc>
          <w:tcPr>
            <w:tcW w:w="451" w:type="pct"/>
            <w:shd w:val="clear" w:color="auto" w:fill="auto"/>
            <w:noWrap/>
            <w:vAlign w:val="center"/>
            <w:hideMark/>
          </w:tcPr>
          <w:p w14:paraId="7AEB325D"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4,726.304</w:t>
            </w:r>
          </w:p>
        </w:tc>
        <w:tc>
          <w:tcPr>
            <w:tcW w:w="312" w:type="pct"/>
            <w:shd w:val="clear" w:color="auto" w:fill="auto"/>
            <w:noWrap/>
            <w:vAlign w:val="center"/>
            <w:hideMark/>
          </w:tcPr>
          <w:p w14:paraId="2BF8265A"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1.474</w:t>
            </w:r>
          </w:p>
        </w:tc>
        <w:tc>
          <w:tcPr>
            <w:tcW w:w="452" w:type="pct"/>
            <w:shd w:val="clear" w:color="auto" w:fill="auto"/>
            <w:noWrap/>
            <w:vAlign w:val="center"/>
            <w:hideMark/>
          </w:tcPr>
          <w:p w14:paraId="69E41B3E"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6,257.589</w:t>
            </w:r>
          </w:p>
        </w:tc>
        <w:tc>
          <w:tcPr>
            <w:tcW w:w="347" w:type="pct"/>
            <w:shd w:val="clear" w:color="auto" w:fill="auto"/>
            <w:noWrap/>
            <w:vAlign w:val="center"/>
            <w:hideMark/>
          </w:tcPr>
          <w:p w14:paraId="6EF5FD7A"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6.728</w:t>
            </w:r>
          </w:p>
        </w:tc>
      </w:tr>
      <w:tr w:rsidR="00245772" w:rsidRPr="00DE10A8" w14:paraId="3475810B" w14:textId="77777777" w:rsidTr="00245772">
        <w:trPr>
          <w:trHeight w:val="259"/>
          <w:jc w:val="center"/>
        </w:trPr>
        <w:tc>
          <w:tcPr>
            <w:tcW w:w="1005" w:type="pct"/>
            <w:shd w:val="clear" w:color="auto" w:fill="auto"/>
            <w:noWrap/>
            <w:vAlign w:val="center"/>
            <w:hideMark/>
          </w:tcPr>
          <w:p w14:paraId="14212136" w14:textId="77777777" w:rsidR="00400FBA" w:rsidRPr="00060311" w:rsidRDefault="00400FBA" w:rsidP="00245772">
            <w:pPr>
              <w:rPr>
                <w:rFonts w:ascii="Arial" w:hAnsi="Arial" w:cs="Arial"/>
                <w:bCs/>
                <w:color w:val="000000"/>
                <w:sz w:val="18"/>
                <w:szCs w:val="18"/>
              </w:rPr>
            </w:pPr>
            <w:r w:rsidRPr="00060311">
              <w:rPr>
                <w:rFonts w:ascii="Arial" w:hAnsi="Arial" w:cs="Arial"/>
                <w:bCs/>
                <w:color w:val="000000"/>
                <w:sz w:val="18"/>
                <w:szCs w:val="18"/>
              </w:rPr>
              <w:t>Yuexiu Property Co Ltd</w:t>
            </w:r>
          </w:p>
        </w:tc>
        <w:tc>
          <w:tcPr>
            <w:tcW w:w="579" w:type="pct"/>
            <w:shd w:val="clear" w:color="auto" w:fill="auto"/>
            <w:noWrap/>
            <w:vAlign w:val="center"/>
            <w:hideMark/>
          </w:tcPr>
          <w:p w14:paraId="5603CFBC" w14:textId="77777777" w:rsidR="00400FBA" w:rsidRPr="00060311" w:rsidRDefault="00400FBA" w:rsidP="00245772">
            <w:pPr>
              <w:jc w:val="center"/>
              <w:rPr>
                <w:rFonts w:ascii="Arial" w:hAnsi="Arial" w:cs="Arial"/>
                <w:color w:val="000000"/>
                <w:sz w:val="18"/>
                <w:szCs w:val="18"/>
              </w:rPr>
            </w:pPr>
            <w:r w:rsidRPr="00060311">
              <w:rPr>
                <w:rFonts w:ascii="Arial" w:hAnsi="Arial" w:cs="Arial"/>
                <w:color w:val="000000"/>
                <w:sz w:val="18"/>
                <w:szCs w:val="18"/>
              </w:rPr>
              <w:t>December</w:t>
            </w:r>
          </w:p>
        </w:tc>
        <w:tc>
          <w:tcPr>
            <w:tcW w:w="325" w:type="pct"/>
            <w:shd w:val="clear" w:color="auto" w:fill="auto"/>
            <w:noWrap/>
            <w:vAlign w:val="center"/>
            <w:hideMark/>
          </w:tcPr>
          <w:p w14:paraId="6B454532"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0.058</w:t>
            </w:r>
          </w:p>
        </w:tc>
        <w:tc>
          <w:tcPr>
            <w:tcW w:w="509" w:type="pct"/>
            <w:shd w:val="clear" w:color="auto" w:fill="auto"/>
            <w:noWrap/>
            <w:vAlign w:val="center"/>
            <w:hideMark/>
          </w:tcPr>
          <w:p w14:paraId="5B7C9090"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9,322.031</w:t>
            </w:r>
          </w:p>
        </w:tc>
        <w:tc>
          <w:tcPr>
            <w:tcW w:w="534" w:type="pct"/>
            <w:shd w:val="clear" w:color="auto" w:fill="auto"/>
            <w:noWrap/>
            <w:vAlign w:val="center"/>
            <w:hideMark/>
          </w:tcPr>
          <w:p w14:paraId="54C2D8D3"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4,352.023</w:t>
            </w:r>
          </w:p>
        </w:tc>
        <w:tc>
          <w:tcPr>
            <w:tcW w:w="486" w:type="pct"/>
            <w:shd w:val="clear" w:color="auto" w:fill="auto"/>
            <w:noWrap/>
            <w:vAlign w:val="center"/>
            <w:hideMark/>
          </w:tcPr>
          <w:p w14:paraId="520501CD"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321.153</w:t>
            </w:r>
          </w:p>
        </w:tc>
        <w:tc>
          <w:tcPr>
            <w:tcW w:w="451" w:type="pct"/>
            <w:shd w:val="clear" w:color="auto" w:fill="auto"/>
            <w:noWrap/>
            <w:vAlign w:val="center"/>
            <w:hideMark/>
          </w:tcPr>
          <w:p w14:paraId="2522E593"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8,401.949</w:t>
            </w:r>
          </w:p>
        </w:tc>
        <w:tc>
          <w:tcPr>
            <w:tcW w:w="312" w:type="pct"/>
            <w:shd w:val="clear" w:color="auto" w:fill="auto"/>
            <w:noWrap/>
            <w:vAlign w:val="center"/>
            <w:hideMark/>
          </w:tcPr>
          <w:p w14:paraId="46CDF28C"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2.312</w:t>
            </w:r>
          </w:p>
        </w:tc>
        <w:tc>
          <w:tcPr>
            <w:tcW w:w="452" w:type="pct"/>
            <w:shd w:val="clear" w:color="auto" w:fill="auto"/>
            <w:noWrap/>
            <w:vAlign w:val="center"/>
            <w:hideMark/>
          </w:tcPr>
          <w:p w14:paraId="65DEBCE6"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7,170.139</w:t>
            </w:r>
          </w:p>
        </w:tc>
        <w:tc>
          <w:tcPr>
            <w:tcW w:w="347" w:type="pct"/>
            <w:shd w:val="clear" w:color="auto" w:fill="auto"/>
            <w:noWrap/>
            <w:vAlign w:val="center"/>
            <w:hideMark/>
          </w:tcPr>
          <w:p w14:paraId="2D01ADCE" w14:textId="77777777" w:rsidR="00400FBA" w:rsidRPr="00060311" w:rsidRDefault="00400FBA" w:rsidP="00245772">
            <w:pPr>
              <w:jc w:val="right"/>
              <w:rPr>
                <w:rFonts w:ascii="Arial" w:hAnsi="Arial" w:cs="Arial"/>
                <w:color w:val="000000"/>
                <w:sz w:val="18"/>
                <w:szCs w:val="18"/>
              </w:rPr>
            </w:pPr>
            <w:r w:rsidRPr="00060311">
              <w:rPr>
                <w:rFonts w:ascii="Arial" w:hAnsi="Arial" w:cs="Arial"/>
                <w:color w:val="000000"/>
                <w:sz w:val="18"/>
                <w:szCs w:val="18"/>
              </w:rPr>
              <w:t>10.477</w:t>
            </w:r>
          </w:p>
        </w:tc>
      </w:tr>
    </w:tbl>
    <w:p w14:paraId="4430A78B" w14:textId="77777777" w:rsidR="00245772" w:rsidRDefault="00245772" w:rsidP="0052696C">
      <w:pPr>
        <w:pStyle w:val="ExhibitText"/>
      </w:pPr>
    </w:p>
    <w:p w14:paraId="6F12B890" w14:textId="69D1E136" w:rsidR="00C85DF7" w:rsidRPr="005F30D2" w:rsidRDefault="00C85DF7" w:rsidP="0052696C">
      <w:pPr>
        <w:pStyle w:val="Footnote"/>
        <w:jc w:val="both"/>
      </w:pPr>
      <w:r w:rsidRPr="005F30D2">
        <w:t>Note</w:t>
      </w:r>
      <w:r w:rsidR="001D2CDE">
        <w:t>s</w:t>
      </w:r>
      <w:r w:rsidRPr="005F30D2">
        <w:t>:</w:t>
      </w:r>
      <w:r w:rsidR="002F4415" w:rsidRPr="005F30D2">
        <w:t xml:space="preserve"> </w:t>
      </w:r>
      <w:r w:rsidRPr="005F30D2">
        <w:t xml:space="preserve">All data as at the respective </w:t>
      </w:r>
      <w:r w:rsidR="002F4415" w:rsidRPr="005F30D2">
        <w:t>compan</w:t>
      </w:r>
      <w:r w:rsidR="002051AE">
        <w:t>ie</w:t>
      </w:r>
      <w:r w:rsidR="002F4415" w:rsidRPr="005F30D2">
        <w:t>s</w:t>
      </w:r>
      <w:r w:rsidR="002051AE">
        <w:t>’</w:t>
      </w:r>
      <w:r w:rsidR="002F4415" w:rsidRPr="005F30D2">
        <w:t xml:space="preserve"> </w:t>
      </w:r>
      <w:r w:rsidRPr="005F30D2">
        <w:t xml:space="preserve">FY2013 </w:t>
      </w:r>
      <w:r w:rsidR="002F4415" w:rsidRPr="005F30D2">
        <w:t>year-</w:t>
      </w:r>
      <w:r w:rsidRPr="005F30D2">
        <w:t>end date</w:t>
      </w:r>
      <w:r w:rsidR="002F4415" w:rsidRPr="005F30D2">
        <w:t>s</w:t>
      </w:r>
      <w:r w:rsidR="002051AE">
        <w:t>;</w:t>
      </w:r>
      <w:r w:rsidRPr="005F30D2">
        <w:t xml:space="preserve"> </w:t>
      </w:r>
      <w:r w:rsidR="00071154">
        <w:t>a</w:t>
      </w:r>
      <w:r w:rsidR="002051AE" w:rsidRPr="009D02F7">
        <w:t>ll figures in SG</w:t>
      </w:r>
      <w:r w:rsidR="002051AE">
        <w:t>$;</w:t>
      </w:r>
      <w:r w:rsidR="002051AE" w:rsidRPr="009D02F7">
        <w:t xml:space="preserve"> </w:t>
      </w:r>
      <w:r w:rsidR="00C00C64" w:rsidRPr="009D02F7">
        <w:t xml:space="preserve">for companies with reporting currencies other than the Singapore </w:t>
      </w:r>
      <w:r w:rsidR="00C00C64">
        <w:t>d</w:t>
      </w:r>
      <w:r w:rsidR="00C00C64" w:rsidRPr="009D02F7">
        <w:t>ollar</w:t>
      </w:r>
      <w:r w:rsidR="00C00C64">
        <w:t>,</w:t>
      </w:r>
      <w:r w:rsidR="00C00C64" w:rsidRPr="009D02F7">
        <w:t xml:space="preserve"> </w:t>
      </w:r>
      <w:r w:rsidR="002051AE" w:rsidRPr="009D02F7">
        <w:t>amounts are converted to SG</w:t>
      </w:r>
      <w:r w:rsidR="002051AE">
        <w:t>$</w:t>
      </w:r>
      <w:r w:rsidR="002051AE" w:rsidRPr="009D02F7">
        <w:t xml:space="preserve"> using the applicable year-end exchange rate from XE.com</w:t>
      </w:r>
      <w:r w:rsidR="002051AE">
        <w:t>.</w:t>
      </w:r>
      <w:r w:rsidR="002051AE" w:rsidRPr="009D02F7">
        <w:t xml:space="preserve"> </w:t>
      </w:r>
    </w:p>
    <w:p w14:paraId="45786D29" w14:textId="0C88DB04" w:rsidR="00481DE5" w:rsidRDefault="00400FBA" w:rsidP="0052696C">
      <w:pPr>
        <w:pStyle w:val="Footnote"/>
        <w:jc w:val="both"/>
        <w:rPr>
          <w:b/>
          <w:caps/>
          <w:lang w:val="en-CA"/>
        </w:rPr>
      </w:pPr>
      <w:r w:rsidRPr="002F4415">
        <w:t xml:space="preserve">Source: Created by the </w:t>
      </w:r>
      <w:r w:rsidR="00071154">
        <w:t xml:space="preserve">case </w:t>
      </w:r>
      <w:r w:rsidRPr="002F4415">
        <w:t xml:space="preserve">authors using data from Bukit Sembawang Estates, </w:t>
      </w:r>
      <w:r w:rsidRPr="005F30D2">
        <w:rPr>
          <w:i/>
        </w:rPr>
        <w:t>Home for Every Generation, Annual Report 2013</w:t>
      </w:r>
      <w:r w:rsidR="001D2CDE">
        <w:t>,</w:t>
      </w:r>
      <w:r w:rsidRPr="002F4415">
        <w:t xml:space="preserve"> accessed January </w:t>
      </w:r>
      <w:r w:rsidR="001D2CDE" w:rsidRPr="002F4415">
        <w:t>27</w:t>
      </w:r>
      <w:r w:rsidR="001D2CDE">
        <w:t>,</w:t>
      </w:r>
      <w:r w:rsidR="001D2CDE" w:rsidRPr="002F4415">
        <w:t xml:space="preserve"> </w:t>
      </w:r>
      <w:r w:rsidRPr="002F4415">
        <w:t>2017</w:t>
      </w:r>
      <w:r w:rsidR="001D2CDE">
        <w:t>,</w:t>
      </w:r>
      <w:r w:rsidRPr="002F4415">
        <w:t xml:space="preserve"> </w:t>
      </w:r>
      <w:r w:rsidR="001D2CDE" w:rsidRPr="00DF7AD5">
        <w:t>www.bukitsembawang.sg/investor-relations/annual-report</w:t>
      </w:r>
      <w:r w:rsidR="001D2CDE">
        <w:t>;</w:t>
      </w:r>
      <w:r w:rsidRPr="002F4415">
        <w:t xml:space="preserve"> City Developments Ltd, </w:t>
      </w:r>
      <w:r w:rsidRPr="005F30D2">
        <w:rPr>
          <w:i/>
        </w:rPr>
        <w:t>50 Golden Years</w:t>
      </w:r>
      <w:r w:rsidR="001D2CDE">
        <w:rPr>
          <w:i/>
        </w:rPr>
        <w:t>:</w:t>
      </w:r>
      <w:r w:rsidR="001D2CDE" w:rsidRPr="005F30D2">
        <w:rPr>
          <w:i/>
        </w:rPr>
        <w:t xml:space="preserve"> </w:t>
      </w:r>
      <w:r w:rsidRPr="005F30D2">
        <w:rPr>
          <w:i/>
        </w:rPr>
        <w:t>Annual Report 2013</w:t>
      </w:r>
      <w:r w:rsidR="001D2CDE">
        <w:rPr>
          <w:i/>
        </w:rPr>
        <w:t>,</w:t>
      </w:r>
      <w:r w:rsidRPr="002F4415">
        <w:t xml:space="preserve"> accessed January </w:t>
      </w:r>
      <w:r w:rsidR="001D2CDE" w:rsidRPr="002F4415">
        <w:t>27</w:t>
      </w:r>
      <w:r w:rsidR="001D2CDE">
        <w:t>,</w:t>
      </w:r>
      <w:r w:rsidR="001D2CDE" w:rsidRPr="002F4415">
        <w:t xml:space="preserve"> </w:t>
      </w:r>
      <w:r w:rsidRPr="002F4415">
        <w:t>2017</w:t>
      </w:r>
      <w:r w:rsidR="001D2CDE">
        <w:t>,</w:t>
      </w:r>
      <w:r w:rsidRPr="002F4415">
        <w:t xml:space="preserve"> </w:t>
      </w:r>
      <w:r w:rsidR="001D2CDE" w:rsidRPr="00DF7AD5">
        <w:t>www.cdl.com.sg/annualreport2013/corporate_network.html</w:t>
      </w:r>
      <w:r w:rsidR="00083574">
        <w:t>;</w:t>
      </w:r>
      <w:r w:rsidRPr="002F4415">
        <w:t xml:space="preserve"> Frasers Cent</w:t>
      </w:r>
      <w:r w:rsidR="005E3227">
        <w:t>re</w:t>
      </w:r>
      <w:r w:rsidRPr="002F4415">
        <w:t xml:space="preserve">point Limited, </w:t>
      </w:r>
      <w:r w:rsidRPr="005F30D2">
        <w:rPr>
          <w:i/>
        </w:rPr>
        <w:t>Creating Value Through Space</w:t>
      </w:r>
      <w:r w:rsidR="001D2CDE" w:rsidRPr="005F30D2">
        <w:rPr>
          <w:i/>
        </w:rPr>
        <w:t xml:space="preserve">: </w:t>
      </w:r>
      <w:r w:rsidRPr="005F30D2">
        <w:rPr>
          <w:i/>
        </w:rPr>
        <w:t>Annual Report 2013</w:t>
      </w:r>
      <w:r w:rsidRPr="002F4415">
        <w:t xml:space="preserve">, accessed January </w:t>
      </w:r>
      <w:r w:rsidR="001D2CDE" w:rsidRPr="002F4415">
        <w:t>27</w:t>
      </w:r>
      <w:r w:rsidR="001D2CDE">
        <w:t>,</w:t>
      </w:r>
      <w:r w:rsidR="001D2CDE" w:rsidRPr="002F4415">
        <w:t xml:space="preserve"> </w:t>
      </w:r>
      <w:r w:rsidRPr="002F4415">
        <w:t>2017</w:t>
      </w:r>
      <w:r w:rsidR="001D2CDE">
        <w:t>,</w:t>
      </w:r>
      <w:r w:rsidRPr="002F4415">
        <w:t xml:space="preserve"> </w:t>
      </w:r>
      <w:r w:rsidRPr="005F30D2">
        <w:t>http://infopub.sgx.com/Apps?A=COW_Prospectus_Content&amp;B=AllAnnualReportByDate&amp;F=19473</w:t>
      </w:r>
      <w:r w:rsidR="001D2CDE">
        <w:t>;</w:t>
      </w:r>
      <w:r w:rsidRPr="002F4415">
        <w:t xml:space="preserve"> Global Logistic Properties, </w:t>
      </w:r>
      <w:r w:rsidRPr="005F30D2">
        <w:rPr>
          <w:i/>
        </w:rPr>
        <w:t>Right Time, Right Place, Right People</w:t>
      </w:r>
      <w:r w:rsidR="001D2CDE">
        <w:rPr>
          <w:i/>
        </w:rPr>
        <w:t>:</w:t>
      </w:r>
      <w:r w:rsidR="001D2CDE" w:rsidRPr="005F30D2">
        <w:rPr>
          <w:i/>
        </w:rPr>
        <w:t xml:space="preserve"> </w:t>
      </w:r>
      <w:r w:rsidRPr="005F30D2">
        <w:rPr>
          <w:i/>
        </w:rPr>
        <w:t>Annual Report 2013</w:t>
      </w:r>
      <w:r w:rsidRPr="002F4415">
        <w:t xml:space="preserve">, accessed January </w:t>
      </w:r>
      <w:r w:rsidR="001D2CDE" w:rsidRPr="002F4415">
        <w:t>27</w:t>
      </w:r>
      <w:r w:rsidR="001D2CDE">
        <w:t>,</w:t>
      </w:r>
      <w:r w:rsidR="001D2CDE" w:rsidRPr="002F4415">
        <w:t xml:space="preserve"> </w:t>
      </w:r>
      <w:r w:rsidRPr="002F4415">
        <w:t>2017</w:t>
      </w:r>
      <w:r w:rsidR="001D2CDE">
        <w:t>,</w:t>
      </w:r>
      <w:r w:rsidRPr="002F4415">
        <w:t xml:space="preserve"> </w:t>
      </w:r>
      <w:r w:rsidRPr="005F30D2">
        <w:t>http://ir.glprop.com/phoenix.zhtml?c=240724&amp;p=irol-reportsannual</w:t>
      </w:r>
      <w:r w:rsidR="001D2CDE">
        <w:t>;</w:t>
      </w:r>
      <w:r w:rsidRPr="002F4415">
        <w:t xml:space="preserve"> Hong</w:t>
      </w:r>
      <w:r w:rsidR="00083574">
        <w:t>k</w:t>
      </w:r>
      <w:r w:rsidRPr="002F4415">
        <w:t xml:space="preserve">ong Land Holdings Ltd, </w:t>
      </w:r>
      <w:r w:rsidRPr="005F30D2">
        <w:rPr>
          <w:i/>
        </w:rPr>
        <w:t>Annual Report 2013</w:t>
      </w:r>
      <w:r w:rsidRPr="002F4415">
        <w:t xml:space="preserve">, accessed January </w:t>
      </w:r>
      <w:r w:rsidR="001D2CDE" w:rsidRPr="002F4415">
        <w:t>27</w:t>
      </w:r>
      <w:r w:rsidR="001D2CDE">
        <w:t>,</w:t>
      </w:r>
      <w:r w:rsidR="001D2CDE" w:rsidRPr="002F4415">
        <w:t xml:space="preserve"> </w:t>
      </w:r>
      <w:r w:rsidRPr="002F4415">
        <w:t xml:space="preserve">2017, </w:t>
      </w:r>
      <w:r w:rsidR="001D2CDE" w:rsidRPr="005F30D2">
        <w:t>www.hkland.com/data/media_releases/results_announcements/2013/ar2013.pdf</w:t>
      </w:r>
      <w:r w:rsidR="001D2CDE">
        <w:t>;</w:t>
      </w:r>
      <w:r w:rsidRPr="002F4415">
        <w:t xml:space="preserve"> Pollux Properties Ltd, </w:t>
      </w:r>
      <w:r w:rsidRPr="005F30D2">
        <w:rPr>
          <w:i/>
        </w:rPr>
        <w:t>Annual Report 2013</w:t>
      </w:r>
      <w:r w:rsidRPr="002F4415">
        <w:t xml:space="preserve">, accessed January </w:t>
      </w:r>
      <w:r w:rsidR="001D2CDE" w:rsidRPr="002F4415">
        <w:t>27</w:t>
      </w:r>
      <w:r w:rsidR="001D2CDE">
        <w:t>,</w:t>
      </w:r>
      <w:r w:rsidR="001D2CDE" w:rsidRPr="002F4415">
        <w:t xml:space="preserve"> </w:t>
      </w:r>
      <w:r w:rsidRPr="002F4415">
        <w:t>2017</w:t>
      </w:r>
      <w:r w:rsidR="001D2CDE">
        <w:t xml:space="preserve">, </w:t>
      </w:r>
      <w:r w:rsidR="005E3227" w:rsidRPr="00F427A8">
        <w:t>http://pollux.com.sg/singapore/ar/pollux_ar2013.pdf</w:t>
      </w:r>
      <w:r w:rsidR="001D2CDE">
        <w:t>;</w:t>
      </w:r>
      <w:r w:rsidRPr="002F4415">
        <w:t xml:space="preserve"> Sinarmas Land</w:t>
      </w:r>
      <w:r w:rsidR="00083574">
        <w:t xml:space="preserve"> Ltd</w:t>
      </w:r>
      <w:r w:rsidRPr="002F4415">
        <w:t xml:space="preserve">, </w:t>
      </w:r>
      <w:r w:rsidRPr="005F30D2">
        <w:rPr>
          <w:i/>
        </w:rPr>
        <w:t>Building for a Better Future</w:t>
      </w:r>
      <w:r w:rsidR="001D2CDE">
        <w:rPr>
          <w:i/>
        </w:rPr>
        <w:t xml:space="preserve">: </w:t>
      </w:r>
      <w:r w:rsidR="001D2CDE" w:rsidRPr="002051AE">
        <w:rPr>
          <w:i/>
        </w:rPr>
        <w:t>Sinarmas Land Annual Report 2013</w:t>
      </w:r>
      <w:r w:rsidR="001D2CDE" w:rsidRPr="00C85DF7">
        <w:t>,</w:t>
      </w:r>
      <w:r w:rsidRPr="002F4415">
        <w:t xml:space="preserve"> accessed January </w:t>
      </w:r>
      <w:r w:rsidR="001D2CDE" w:rsidRPr="002F4415">
        <w:t>27</w:t>
      </w:r>
      <w:r w:rsidR="001D2CDE">
        <w:t>,</w:t>
      </w:r>
      <w:r w:rsidR="001D2CDE" w:rsidRPr="002F4415">
        <w:t xml:space="preserve"> </w:t>
      </w:r>
      <w:r w:rsidRPr="002F4415">
        <w:t>2017</w:t>
      </w:r>
      <w:r w:rsidR="001D2CDE">
        <w:t>,</w:t>
      </w:r>
      <w:r w:rsidRPr="002F4415">
        <w:t xml:space="preserve"> </w:t>
      </w:r>
      <w:r w:rsidRPr="005F30D2">
        <w:t>http://infopub.sgx.com/FileOpen/Sinarmas%20Land%20Limited%20Annual%20Report%202013_low%20res.ashx?App=Prospectus&amp;FileID=20925</w:t>
      </w:r>
      <w:r w:rsidR="001D2CDE">
        <w:t xml:space="preserve">; </w:t>
      </w:r>
      <w:r w:rsidRPr="002F4415">
        <w:t xml:space="preserve">Tuan Sing Holdings Ltd, </w:t>
      </w:r>
      <w:r w:rsidRPr="005F30D2">
        <w:rPr>
          <w:i/>
        </w:rPr>
        <w:t>2013 Annual Report</w:t>
      </w:r>
      <w:r w:rsidRPr="002F4415">
        <w:t xml:space="preserve">, accessed January </w:t>
      </w:r>
      <w:r w:rsidR="001D2CDE" w:rsidRPr="002F4415">
        <w:t>27</w:t>
      </w:r>
      <w:r w:rsidR="001D2CDE">
        <w:t>,</w:t>
      </w:r>
      <w:r w:rsidR="001D2CDE" w:rsidRPr="002F4415">
        <w:t xml:space="preserve"> </w:t>
      </w:r>
      <w:r w:rsidRPr="002F4415">
        <w:t>2017</w:t>
      </w:r>
      <w:r w:rsidR="001D2CDE">
        <w:t>,</w:t>
      </w:r>
      <w:r w:rsidRPr="002F4415">
        <w:t xml:space="preserve"> </w:t>
      </w:r>
      <w:r w:rsidR="001D2CDE" w:rsidRPr="005F30D2">
        <w:t>www.tuansing.com/InvestorRelations/ReportDownload.aspx?RID=1&amp;Year=2013</w:t>
      </w:r>
      <w:r w:rsidR="001D2CDE">
        <w:t>;</w:t>
      </w:r>
      <w:r w:rsidRPr="002F4415">
        <w:t xml:space="preserve"> UIC-United Industrial Corp Ltd, </w:t>
      </w:r>
      <w:r w:rsidRPr="005F30D2">
        <w:rPr>
          <w:i/>
        </w:rPr>
        <w:t>Annual Report 2013</w:t>
      </w:r>
      <w:r w:rsidRPr="002F4415">
        <w:t xml:space="preserve">, accessed January </w:t>
      </w:r>
      <w:r w:rsidR="00083574">
        <w:t xml:space="preserve">27, </w:t>
      </w:r>
      <w:r w:rsidRPr="002F4415">
        <w:t>2017</w:t>
      </w:r>
      <w:r w:rsidR="00083574">
        <w:t>,</w:t>
      </w:r>
      <w:r w:rsidRPr="002F4415">
        <w:t xml:space="preserve"> </w:t>
      </w:r>
      <w:r w:rsidRPr="005F30D2">
        <w:t>www.uic.com.sg/system/misc/ar2013.pdf</w:t>
      </w:r>
      <w:r w:rsidR="00083574">
        <w:t>;</w:t>
      </w:r>
      <w:r w:rsidRPr="002F4415">
        <w:t xml:space="preserve"> UOL Group Ltd, </w:t>
      </w:r>
      <w:r w:rsidRPr="0052696C">
        <w:rPr>
          <w:i/>
        </w:rPr>
        <w:t xml:space="preserve">Creating Value, </w:t>
      </w:r>
      <w:r w:rsidR="00071154" w:rsidRPr="0052696C">
        <w:rPr>
          <w:i/>
        </w:rPr>
        <w:t>S</w:t>
      </w:r>
      <w:r w:rsidRPr="0052696C">
        <w:rPr>
          <w:i/>
        </w:rPr>
        <w:t xml:space="preserve">haping </w:t>
      </w:r>
      <w:r w:rsidR="00071154" w:rsidRPr="0052696C">
        <w:rPr>
          <w:i/>
        </w:rPr>
        <w:t>F</w:t>
      </w:r>
      <w:r w:rsidRPr="0052696C">
        <w:rPr>
          <w:i/>
        </w:rPr>
        <w:t>uture</w:t>
      </w:r>
      <w:r w:rsidR="00071154" w:rsidRPr="0052696C">
        <w:rPr>
          <w:i/>
        </w:rPr>
        <w:t>:</w:t>
      </w:r>
      <w:r w:rsidRPr="0052696C">
        <w:rPr>
          <w:i/>
        </w:rPr>
        <w:t xml:space="preserve"> Annual Report 2013</w:t>
      </w:r>
      <w:r w:rsidRPr="002F4415">
        <w:t xml:space="preserve">, accessed January </w:t>
      </w:r>
      <w:r w:rsidR="00071154" w:rsidRPr="002F4415">
        <w:t>27</w:t>
      </w:r>
      <w:r w:rsidR="00071154">
        <w:t>,</w:t>
      </w:r>
      <w:r w:rsidR="00071154" w:rsidRPr="002F4415">
        <w:t xml:space="preserve"> </w:t>
      </w:r>
      <w:r w:rsidRPr="002F4415">
        <w:t>2017</w:t>
      </w:r>
      <w:r w:rsidR="00071154">
        <w:t>,</w:t>
      </w:r>
      <w:r w:rsidRPr="002F4415">
        <w:t xml:space="preserve"> </w:t>
      </w:r>
      <w:r w:rsidRPr="005F30D2">
        <w:t>www.uol.com.sg/investors_and_media/annual_reports</w:t>
      </w:r>
      <w:r w:rsidR="001D2CDE">
        <w:t>;</w:t>
      </w:r>
      <w:r w:rsidRPr="002F4415">
        <w:t xml:space="preserve"> Wheelock Properties, </w:t>
      </w:r>
      <w:r w:rsidR="001D2CDE" w:rsidRPr="005F30D2">
        <w:rPr>
          <w:i/>
        </w:rPr>
        <w:t>Audited Results for the Year Ended 31 December 2013</w:t>
      </w:r>
      <w:r w:rsidR="001D2CDE" w:rsidRPr="001D2CDE">
        <w:t xml:space="preserve">, </w:t>
      </w:r>
      <w:r w:rsidRPr="002F4415">
        <w:t xml:space="preserve">accessed January </w:t>
      </w:r>
      <w:r w:rsidR="001D2CDE" w:rsidRPr="002F4415">
        <w:t>27</w:t>
      </w:r>
      <w:r w:rsidR="001D2CDE">
        <w:t>,</w:t>
      </w:r>
      <w:r w:rsidR="001D2CDE" w:rsidRPr="002F4415">
        <w:t xml:space="preserve"> </w:t>
      </w:r>
      <w:r w:rsidRPr="002F4415">
        <w:t>2017</w:t>
      </w:r>
      <w:r w:rsidR="001D2CDE">
        <w:t xml:space="preserve">, </w:t>
      </w:r>
      <w:r w:rsidR="001D2CDE" w:rsidRPr="005F30D2">
        <w:t>www.wheelockproperties.com.sg/pdf/WPSL_ANN_Results_311213.pdf</w:t>
      </w:r>
      <w:r w:rsidR="001D2CDE">
        <w:t>;</w:t>
      </w:r>
      <w:r w:rsidRPr="002F4415">
        <w:t xml:space="preserve"> Wing Tai Holdings Ltd, </w:t>
      </w:r>
      <w:r w:rsidRPr="005F30D2">
        <w:rPr>
          <w:i/>
        </w:rPr>
        <w:t>Celebrating Our Winning Partnerships</w:t>
      </w:r>
      <w:r w:rsidR="001D2CDE">
        <w:rPr>
          <w:i/>
        </w:rPr>
        <w:t>:</w:t>
      </w:r>
      <w:r w:rsidR="001D2CDE" w:rsidRPr="005F30D2">
        <w:rPr>
          <w:i/>
        </w:rPr>
        <w:t xml:space="preserve"> </w:t>
      </w:r>
      <w:r w:rsidRPr="005F30D2">
        <w:rPr>
          <w:i/>
        </w:rPr>
        <w:t>Annual Report 2013</w:t>
      </w:r>
      <w:r w:rsidRPr="002F4415">
        <w:t xml:space="preserve">, accessed January </w:t>
      </w:r>
      <w:r w:rsidR="001D2CDE" w:rsidRPr="002F4415">
        <w:t>27</w:t>
      </w:r>
      <w:r w:rsidR="001D2CDE">
        <w:t>,</w:t>
      </w:r>
      <w:r w:rsidR="001D2CDE" w:rsidRPr="002F4415">
        <w:t xml:space="preserve"> </w:t>
      </w:r>
      <w:r w:rsidRPr="002F4415">
        <w:t>2017</w:t>
      </w:r>
      <w:r w:rsidR="001D2CDE">
        <w:t>,</w:t>
      </w:r>
      <w:r w:rsidRPr="002F4415">
        <w:t xml:space="preserve"> </w:t>
      </w:r>
      <w:r w:rsidR="001D2CDE" w:rsidRPr="005F30D2">
        <w:t>www.wingtaiasia.com.sg/uploadfiles/1_%20Annual%20Report%202013(1).pdf</w:t>
      </w:r>
      <w:r w:rsidR="001D2CDE">
        <w:t>;</w:t>
      </w:r>
      <w:r w:rsidRPr="002F4415">
        <w:t xml:space="preserve"> Yanlord Land Group Limited, </w:t>
      </w:r>
      <w:r w:rsidRPr="005F30D2">
        <w:rPr>
          <w:i/>
        </w:rPr>
        <w:t xml:space="preserve">Expanding </w:t>
      </w:r>
      <w:r w:rsidR="00071154">
        <w:rPr>
          <w:i/>
        </w:rPr>
        <w:t>O</w:t>
      </w:r>
      <w:r w:rsidRPr="005F30D2">
        <w:rPr>
          <w:i/>
        </w:rPr>
        <w:t>ur Presence, Annual Report 2013</w:t>
      </w:r>
      <w:r w:rsidRPr="002F4415">
        <w:t>, accessed</w:t>
      </w:r>
      <w:r w:rsidR="00957DD4">
        <w:t xml:space="preserve"> </w:t>
      </w:r>
      <w:r w:rsidRPr="002F4415">
        <w:t xml:space="preserve">January </w:t>
      </w:r>
      <w:r w:rsidR="001D2CDE" w:rsidRPr="002F4415">
        <w:t>27</w:t>
      </w:r>
      <w:r w:rsidR="001D2CDE">
        <w:t>,</w:t>
      </w:r>
      <w:r w:rsidR="001D2CDE" w:rsidRPr="002F4415">
        <w:t xml:space="preserve"> </w:t>
      </w:r>
      <w:r w:rsidRPr="002F4415">
        <w:t>2017</w:t>
      </w:r>
      <w:r w:rsidR="001D2CDE">
        <w:t>,</w:t>
      </w:r>
      <w:r w:rsidRPr="002F4415">
        <w:t xml:space="preserve"> </w:t>
      </w:r>
      <w:r w:rsidRPr="005F30D2">
        <w:t>http://yanlord.listedcompany.com/misc/ar2013.pdf</w:t>
      </w:r>
      <w:r w:rsidR="001D2CDE">
        <w:t>;</w:t>
      </w:r>
      <w:r w:rsidRPr="002F4415">
        <w:t xml:space="preserve"> Yuexiu </w:t>
      </w:r>
      <w:r w:rsidR="00746BC6">
        <w:t xml:space="preserve">Property Company </w:t>
      </w:r>
      <w:r w:rsidR="00071154">
        <w:t>Ltd</w:t>
      </w:r>
      <w:r w:rsidR="001D2CDE" w:rsidRPr="001D2CDE">
        <w:t>,</w:t>
      </w:r>
      <w:r w:rsidRPr="002F4415">
        <w:t xml:space="preserve"> </w:t>
      </w:r>
      <w:r w:rsidRPr="005F30D2">
        <w:rPr>
          <w:i/>
        </w:rPr>
        <w:t>Annual Report 2013</w:t>
      </w:r>
      <w:r w:rsidRPr="002F4415">
        <w:t xml:space="preserve">, accessed January </w:t>
      </w:r>
      <w:r w:rsidR="001D2CDE" w:rsidRPr="002F4415">
        <w:t>27</w:t>
      </w:r>
      <w:r w:rsidR="001D2CDE">
        <w:t xml:space="preserve">, </w:t>
      </w:r>
      <w:r w:rsidRPr="002F4415">
        <w:t>2017</w:t>
      </w:r>
      <w:r w:rsidR="001D2CDE">
        <w:t>,</w:t>
      </w:r>
      <w:r w:rsidRPr="002F4415">
        <w:t xml:space="preserve"> </w:t>
      </w:r>
      <w:r w:rsidR="001D2CDE">
        <w:t>h</w:t>
      </w:r>
      <w:r w:rsidR="001D2CDE" w:rsidRPr="002F4415">
        <w:t>tt</w:t>
      </w:r>
      <w:r w:rsidR="001D2CDE">
        <w:t>p</w:t>
      </w:r>
      <w:r w:rsidR="001D2CDE" w:rsidRPr="002F4415">
        <w:t>://</w:t>
      </w:r>
      <w:r w:rsidRPr="002F4415">
        <w:t>file.irasia.com/listco/hk/yuexiuproperty/annual/2013/ar2013.pdf</w:t>
      </w:r>
      <w:r w:rsidR="001D2CDE">
        <w:t>.</w:t>
      </w:r>
    </w:p>
    <w:p w14:paraId="2D6F53E0" w14:textId="77777777" w:rsidR="00481DE5" w:rsidRDefault="00481DE5">
      <w:pPr>
        <w:spacing w:after="200" w:line="276" w:lineRule="auto"/>
        <w:rPr>
          <w:rFonts w:ascii="Arial" w:hAnsi="Arial" w:cs="Arial"/>
          <w:b/>
          <w:caps/>
          <w:lang w:val="en-CA"/>
        </w:rPr>
      </w:pPr>
      <w:r>
        <w:rPr>
          <w:rFonts w:ascii="Arial" w:hAnsi="Arial" w:cs="Arial"/>
          <w:b/>
          <w:caps/>
          <w:lang w:val="en-CA"/>
        </w:rPr>
        <w:br w:type="page"/>
      </w:r>
    </w:p>
    <w:p w14:paraId="6B9100DB" w14:textId="22F18CE6" w:rsidR="00E52582" w:rsidRDefault="00B65A7B" w:rsidP="00481DE5">
      <w:pPr>
        <w:pStyle w:val="ExhibitHeading"/>
        <w:rPr>
          <w:lang w:val="en-CA"/>
        </w:rPr>
      </w:pPr>
      <w:r w:rsidRPr="00B214F7">
        <w:rPr>
          <w:lang w:val="en-CA"/>
        </w:rPr>
        <w:t xml:space="preserve">Exhibit </w:t>
      </w:r>
      <w:r w:rsidR="00792814">
        <w:rPr>
          <w:lang w:val="en-CA"/>
        </w:rPr>
        <w:t>9</w:t>
      </w:r>
      <w:r>
        <w:rPr>
          <w:lang w:val="en-CA"/>
        </w:rPr>
        <w:t xml:space="preserve">: Precedent </w:t>
      </w:r>
      <w:r w:rsidR="00E52582">
        <w:rPr>
          <w:lang w:val="en-CA"/>
        </w:rPr>
        <w:t>transactions</w:t>
      </w:r>
    </w:p>
    <w:p w14:paraId="0FF7FC46" w14:textId="77777777" w:rsidR="00E52582" w:rsidRDefault="00E52582" w:rsidP="0052696C">
      <w:pPr>
        <w:pStyle w:val="ExhibitText"/>
        <w:rPr>
          <w:lang w:val="en-CA"/>
        </w:rPr>
      </w:pPr>
    </w:p>
    <w:tbl>
      <w:tblPr>
        <w:tblW w:w="5000" w:type="pct"/>
        <w:jc w:val="center"/>
        <w:tblBorders>
          <w:top w:val="double" w:sz="4" w:space="0" w:color="auto"/>
          <w:bottom w:val="double" w:sz="4" w:space="0" w:color="auto"/>
        </w:tblBorders>
        <w:tblCellMar>
          <w:top w:w="58" w:type="dxa"/>
          <w:left w:w="29" w:type="dxa"/>
          <w:bottom w:w="58" w:type="dxa"/>
          <w:right w:w="29" w:type="dxa"/>
        </w:tblCellMar>
        <w:tblLook w:val="04A0" w:firstRow="1" w:lastRow="0" w:firstColumn="1" w:lastColumn="0" w:noHBand="0" w:noVBand="1"/>
      </w:tblPr>
      <w:tblGrid>
        <w:gridCol w:w="1800"/>
        <w:gridCol w:w="3868"/>
        <w:gridCol w:w="1710"/>
        <w:gridCol w:w="1711"/>
        <w:gridCol w:w="1711"/>
        <w:gridCol w:w="1350"/>
        <w:gridCol w:w="1170"/>
      </w:tblGrid>
      <w:tr w:rsidR="005C1ED9" w:rsidRPr="005C1ED9" w14:paraId="338443B0" w14:textId="77777777" w:rsidTr="00704333">
        <w:trPr>
          <w:cantSplit/>
          <w:trHeight w:val="288"/>
          <w:tblHeader/>
          <w:jc w:val="center"/>
        </w:trPr>
        <w:tc>
          <w:tcPr>
            <w:tcW w:w="1800" w:type="dxa"/>
            <w:tcBorders>
              <w:top w:val="double" w:sz="4" w:space="0" w:color="auto"/>
              <w:bottom w:val="single" w:sz="4" w:space="0" w:color="auto"/>
            </w:tcBorders>
            <w:shd w:val="clear" w:color="auto" w:fill="auto"/>
            <w:vAlign w:val="center"/>
            <w:hideMark/>
          </w:tcPr>
          <w:p w14:paraId="5FD2BB71" w14:textId="77777777" w:rsidR="007A3C64" w:rsidRPr="005C1ED9" w:rsidRDefault="007A3C64" w:rsidP="005C1ED9">
            <w:pPr>
              <w:pStyle w:val="ExhibitText"/>
              <w:jc w:val="left"/>
              <w:rPr>
                <w:b/>
                <w:sz w:val="18"/>
                <w:szCs w:val="18"/>
                <w:lang w:val="en-CA"/>
              </w:rPr>
            </w:pPr>
            <w:r w:rsidRPr="005C1ED9">
              <w:rPr>
                <w:b/>
                <w:sz w:val="18"/>
                <w:szCs w:val="18"/>
              </w:rPr>
              <w:t>Announce Date</w:t>
            </w:r>
          </w:p>
        </w:tc>
        <w:tc>
          <w:tcPr>
            <w:tcW w:w="3868" w:type="dxa"/>
            <w:tcBorders>
              <w:top w:val="double" w:sz="4" w:space="0" w:color="auto"/>
              <w:bottom w:val="single" w:sz="4" w:space="0" w:color="auto"/>
            </w:tcBorders>
            <w:shd w:val="clear" w:color="auto" w:fill="auto"/>
            <w:vAlign w:val="center"/>
            <w:hideMark/>
          </w:tcPr>
          <w:p w14:paraId="326DCA79" w14:textId="77777777" w:rsidR="007A3C64" w:rsidRPr="005C1ED9" w:rsidRDefault="007A3C64" w:rsidP="005C1ED9">
            <w:pPr>
              <w:pStyle w:val="ExhibitText"/>
              <w:ind w:right="144"/>
              <w:jc w:val="left"/>
              <w:rPr>
                <w:b/>
                <w:sz w:val="18"/>
                <w:szCs w:val="18"/>
              </w:rPr>
            </w:pPr>
            <w:r w:rsidRPr="005C1ED9">
              <w:rPr>
                <w:b/>
                <w:sz w:val="18"/>
                <w:szCs w:val="18"/>
              </w:rPr>
              <w:t>Deal Description</w:t>
            </w:r>
          </w:p>
        </w:tc>
        <w:tc>
          <w:tcPr>
            <w:tcW w:w="1710" w:type="dxa"/>
            <w:tcBorders>
              <w:top w:val="double" w:sz="4" w:space="0" w:color="auto"/>
              <w:bottom w:val="single" w:sz="4" w:space="0" w:color="auto"/>
            </w:tcBorders>
            <w:shd w:val="clear" w:color="auto" w:fill="auto"/>
            <w:vAlign w:val="center"/>
            <w:hideMark/>
          </w:tcPr>
          <w:p w14:paraId="38FD576E" w14:textId="77777777" w:rsidR="007A3C64" w:rsidRPr="005C1ED9" w:rsidRDefault="007A3C64" w:rsidP="005C1ED9">
            <w:pPr>
              <w:pStyle w:val="ExhibitText"/>
              <w:ind w:right="144"/>
              <w:jc w:val="left"/>
              <w:rPr>
                <w:b/>
                <w:sz w:val="18"/>
                <w:szCs w:val="18"/>
              </w:rPr>
            </w:pPr>
            <w:r w:rsidRPr="005C1ED9">
              <w:rPr>
                <w:b/>
                <w:sz w:val="18"/>
                <w:szCs w:val="18"/>
              </w:rPr>
              <w:t>Target Name</w:t>
            </w:r>
          </w:p>
        </w:tc>
        <w:tc>
          <w:tcPr>
            <w:tcW w:w="1711" w:type="dxa"/>
            <w:tcBorders>
              <w:top w:val="double" w:sz="4" w:space="0" w:color="auto"/>
              <w:bottom w:val="single" w:sz="4" w:space="0" w:color="auto"/>
            </w:tcBorders>
            <w:shd w:val="clear" w:color="auto" w:fill="auto"/>
            <w:vAlign w:val="center"/>
            <w:hideMark/>
          </w:tcPr>
          <w:p w14:paraId="6A0FD7C6" w14:textId="0989C49C" w:rsidR="007A3C64" w:rsidRPr="005C1ED9" w:rsidRDefault="007A3C64" w:rsidP="005C1ED9">
            <w:pPr>
              <w:pStyle w:val="ExhibitText"/>
              <w:ind w:right="144"/>
              <w:jc w:val="left"/>
              <w:rPr>
                <w:b/>
                <w:sz w:val="18"/>
                <w:szCs w:val="18"/>
              </w:rPr>
            </w:pPr>
            <w:r w:rsidRPr="005C1ED9">
              <w:rPr>
                <w:b/>
                <w:sz w:val="18"/>
                <w:szCs w:val="18"/>
              </w:rPr>
              <w:t>Target Country</w:t>
            </w:r>
          </w:p>
        </w:tc>
        <w:tc>
          <w:tcPr>
            <w:tcW w:w="1711" w:type="dxa"/>
            <w:tcBorders>
              <w:top w:val="double" w:sz="4" w:space="0" w:color="auto"/>
              <w:bottom w:val="single" w:sz="4" w:space="0" w:color="auto"/>
            </w:tcBorders>
            <w:shd w:val="clear" w:color="auto" w:fill="auto"/>
            <w:vAlign w:val="center"/>
            <w:hideMark/>
          </w:tcPr>
          <w:p w14:paraId="7CD5A556" w14:textId="77777777" w:rsidR="007A3C64" w:rsidRPr="005C1ED9" w:rsidRDefault="007A3C64" w:rsidP="005C1ED9">
            <w:pPr>
              <w:pStyle w:val="ExhibitText"/>
              <w:ind w:right="144"/>
              <w:jc w:val="left"/>
              <w:rPr>
                <w:b/>
                <w:sz w:val="18"/>
                <w:szCs w:val="18"/>
              </w:rPr>
            </w:pPr>
            <w:r w:rsidRPr="005C1ED9">
              <w:rPr>
                <w:b/>
                <w:sz w:val="18"/>
                <w:szCs w:val="18"/>
              </w:rPr>
              <w:t>Acquirer Name</w:t>
            </w:r>
          </w:p>
        </w:tc>
        <w:tc>
          <w:tcPr>
            <w:tcW w:w="1350" w:type="dxa"/>
            <w:tcBorders>
              <w:top w:val="double" w:sz="4" w:space="0" w:color="auto"/>
              <w:bottom w:val="single" w:sz="4" w:space="0" w:color="auto"/>
            </w:tcBorders>
            <w:shd w:val="clear" w:color="auto" w:fill="auto"/>
            <w:vAlign w:val="center"/>
            <w:hideMark/>
          </w:tcPr>
          <w:p w14:paraId="2B34CF5A" w14:textId="3F0AC23D" w:rsidR="007A3C64" w:rsidRPr="005C1ED9" w:rsidRDefault="007A3C64" w:rsidP="005C1ED9">
            <w:pPr>
              <w:pStyle w:val="ExhibitText"/>
              <w:jc w:val="center"/>
              <w:rPr>
                <w:b/>
                <w:sz w:val="18"/>
                <w:szCs w:val="18"/>
              </w:rPr>
            </w:pPr>
            <w:r w:rsidRPr="005C1ED9">
              <w:rPr>
                <w:b/>
                <w:sz w:val="18"/>
                <w:szCs w:val="18"/>
              </w:rPr>
              <w:t>Announced Total Value</w:t>
            </w:r>
            <w:r w:rsidRPr="005C1ED9">
              <w:rPr>
                <w:b/>
                <w:sz w:val="18"/>
                <w:szCs w:val="18"/>
              </w:rPr>
              <w:br/>
              <w:t>(US$ millions)</w:t>
            </w:r>
          </w:p>
        </w:tc>
        <w:tc>
          <w:tcPr>
            <w:tcW w:w="1170" w:type="dxa"/>
            <w:tcBorders>
              <w:top w:val="double" w:sz="4" w:space="0" w:color="auto"/>
              <w:bottom w:val="single" w:sz="4" w:space="0" w:color="auto"/>
            </w:tcBorders>
            <w:shd w:val="clear" w:color="auto" w:fill="auto"/>
            <w:vAlign w:val="center"/>
            <w:hideMark/>
          </w:tcPr>
          <w:p w14:paraId="240373F5" w14:textId="77777777" w:rsidR="007A3C64" w:rsidRPr="005C1ED9" w:rsidRDefault="007A3C64" w:rsidP="005C1ED9">
            <w:pPr>
              <w:pStyle w:val="ExhibitText"/>
              <w:jc w:val="center"/>
              <w:rPr>
                <w:b/>
                <w:sz w:val="18"/>
                <w:szCs w:val="18"/>
              </w:rPr>
            </w:pPr>
            <w:r w:rsidRPr="005C1ED9">
              <w:rPr>
                <w:b/>
                <w:sz w:val="18"/>
                <w:szCs w:val="18"/>
              </w:rPr>
              <w:t xml:space="preserve">Announced </w:t>
            </w:r>
            <w:r w:rsidRPr="005C1ED9">
              <w:rPr>
                <w:b/>
                <w:sz w:val="18"/>
                <w:szCs w:val="18"/>
              </w:rPr>
              <w:br/>
              <w:t>Premium</w:t>
            </w:r>
          </w:p>
        </w:tc>
      </w:tr>
      <w:tr w:rsidR="007A3C64" w:rsidRPr="007A3C64" w14:paraId="16DECBA8" w14:textId="77777777" w:rsidTr="00704333">
        <w:trPr>
          <w:cantSplit/>
          <w:trHeight w:val="288"/>
          <w:jc w:val="center"/>
        </w:trPr>
        <w:tc>
          <w:tcPr>
            <w:tcW w:w="1800" w:type="dxa"/>
            <w:tcBorders>
              <w:top w:val="single" w:sz="4" w:space="0" w:color="auto"/>
              <w:bottom w:val="dotted" w:sz="4" w:space="0" w:color="auto"/>
            </w:tcBorders>
            <w:shd w:val="clear" w:color="auto" w:fill="auto"/>
            <w:noWrap/>
            <w:vAlign w:val="center"/>
            <w:hideMark/>
          </w:tcPr>
          <w:p w14:paraId="74258DED" w14:textId="6A1DB59C" w:rsidR="007A3C64" w:rsidRPr="007A3C64" w:rsidRDefault="007A3C64" w:rsidP="005C1ED9">
            <w:pPr>
              <w:pStyle w:val="ExhibitText"/>
              <w:jc w:val="left"/>
              <w:rPr>
                <w:color w:val="000000"/>
                <w:sz w:val="18"/>
                <w:szCs w:val="18"/>
              </w:rPr>
            </w:pPr>
            <w:r w:rsidRPr="007A3C64">
              <w:rPr>
                <w:color w:val="000000"/>
                <w:sz w:val="18"/>
                <w:szCs w:val="18"/>
              </w:rPr>
              <w:t>August 24, 2004</w:t>
            </w:r>
          </w:p>
        </w:tc>
        <w:tc>
          <w:tcPr>
            <w:tcW w:w="3868" w:type="dxa"/>
            <w:tcBorders>
              <w:top w:val="single" w:sz="4" w:space="0" w:color="auto"/>
              <w:bottom w:val="dotted" w:sz="4" w:space="0" w:color="auto"/>
            </w:tcBorders>
            <w:shd w:val="clear" w:color="auto" w:fill="auto"/>
            <w:vAlign w:val="center"/>
            <w:hideMark/>
          </w:tcPr>
          <w:p w14:paraId="5FC2B8E1" w14:textId="77777777" w:rsidR="007A3C64" w:rsidRPr="007A3C64" w:rsidRDefault="007A3C64" w:rsidP="005C1ED9">
            <w:pPr>
              <w:pStyle w:val="ExhibitText"/>
              <w:ind w:right="144"/>
              <w:jc w:val="left"/>
              <w:rPr>
                <w:color w:val="000000"/>
                <w:sz w:val="18"/>
                <w:szCs w:val="18"/>
              </w:rPr>
            </w:pPr>
            <w:r w:rsidRPr="007A3C64">
              <w:rPr>
                <w:color w:val="000000"/>
                <w:sz w:val="18"/>
                <w:szCs w:val="18"/>
              </w:rPr>
              <w:t>PL Retail LLC acquired Price Legacy Corp. for US$1,241.08 million. The transaction was announced on August 24, 2004, and completed on December 22, 2004.</w:t>
            </w:r>
          </w:p>
        </w:tc>
        <w:tc>
          <w:tcPr>
            <w:tcW w:w="1710" w:type="dxa"/>
            <w:tcBorders>
              <w:top w:val="single" w:sz="4" w:space="0" w:color="auto"/>
              <w:bottom w:val="dotted" w:sz="4" w:space="0" w:color="auto"/>
            </w:tcBorders>
            <w:shd w:val="clear" w:color="auto" w:fill="auto"/>
            <w:vAlign w:val="center"/>
            <w:hideMark/>
          </w:tcPr>
          <w:p w14:paraId="4C3B6C46" w14:textId="77777777" w:rsidR="007A3C64" w:rsidRPr="007A3C64" w:rsidRDefault="007A3C64" w:rsidP="005C1ED9">
            <w:pPr>
              <w:pStyle w:val="ExhibitText"/>
              <w:ind w:right="144"/>
              <w:jc w:val="left"/>
              <w:rPr>
                <w:color w:val="000000"/>
                <w:sz w:val="18"/>
                <w:szCs w:val="18"/>
              </w:rPr>
            </w:pPr>
            <w:r w:rsidRPr="007A3C64">
              <w:rPr>
                <w:color w:val="000000"/>
                <w:sz w:val="18"/>
                <w:szCs w:val="18"/>
              </w:rPr>
              <w:t>Price Legacy Corp.</w:t>
            </w:r>
          </w:p>
        </w:tc>
        <w:tc>
          <w:tcPr>
            <w:tcW w:w="1711" w:type="dxa"/>
            <w:tcBorders>
              <w:top w:val="single" w:sz="4" w:space="0" w:color="auto"/>
              <w:bottom w:val="dotted" w:sz="4" w:space="0" w:color="auto"/>
            </w:tcBorders>
            <w:shd w:val="clear" w:color="auto" w:fill="auto"/>
            <w:noWrap/>
            <w:vAlign w:val="center"/>
            <w:hideMark/>
          </w:tcPr>
          <w:p w14:paraId="1EB59FC9" w14:textId="77777777" w:rsidR="007A3C64" w:rsidRPr="007A3C64" w:rsidRDefault="007A3C64" w:rsidP="005C1ED9">
            <w:pPr>
              <w:pStyle w:val="ExhibitText"/>
              <w:ind w:right="144"/>
              <w:jc w:val="left"/>
              <w:rPr>
                <w:color w:val="000000"/>
                <w:sz w:val="18"/>
                <w:szCs w:val="18"/>
              </w:rPr>
            </w:pPr>
            <w:r w:rsidRPr="007A3C64">
              <w:rPr>
                <w:color w:val="000000"/>
                <w:sz w:val="18"/>
                <w:szCs w:val="18"/>
              </w:rPr>
              <w:t>United States</w:t>
            </w:r>
          </w:p>
        </w:tc>
        <w:tc>
          <w:tcPr>
            <w:tcW w:w="1711" w:type="dxa"/>
            <w:tcBorders>
              <w:top w:val="single" w:sz="4" w:space="0" w:color="auto"/>
              <w:bottom w:val="dotted" w:sz="4" w:space="0" w:color="auto"/>
            </w:tcBorders>
            <w:shd w:val="clear" w:color="auto" w:fill="auto"/>
            <w:vAlign w:val="center"/>
            <w:hideMark/>
          </w:tcPr>
          <w:p w14:paraId="38BF9A24" w14:textId="77777777" w:rsidR="007A3C64" w:rsidRPr="007A3C64" w:rsidRDefault="007A3C64" w:rsidP="005C1ED9">
            <w:pPr>
              <w:pStyle w:val="ExhibitText"/>
              <w:ind w:right="144"/>
              <w:jc w:val="left"/>
              <w:rPr>
                <w:color w:val="000000"/>
                <w:sz w:val="18"/>
                <w:szCs w:val="18"/>
              </w:rPr>
            </w:pPr>
            <w:r w:rsidRPr="007A3C64">
              <w:rPr>
                <w:color w:val="000000"/>
                <w:sz w:val="18"/>
                <w:szCs w:val="18"/>
              </w:rPr>
              <w:t>PL Retail LLC</w:t>
            </w:r>
          </w:p>
        </w:tc>
        <w:tc>
          <w:tcPr>
            <w:tcW w:w="1350" w:type="dxa"/>
            <w:tcBorders>
              <w:top w:val="single" w:sz="4" w:space="0" w:color="auto"/>
              <w:bottom w:val="dotted" w:sz="4" w:space="0" w:color="auto"/>
            </w:tcBorders>
            <w:shd w:val="clear" w:color="auto" w:fill="auto"/>
            <w:noWrap/>
            <w:vAlign w:val="center"/>
            <w:hideMark/>
          </w:tcPr>
          <w:p w14:paraId="298932CB" w14:textId="77777777" w:rsidR="007A3C64" w:rsidRPr="007A3C64" w:rsidRDefault="007A3C64" w:rsidP="005C1ED9">
            <w:pPr>
              <w:pStyle w:val="ExhibitText"/>
              <w:jc w:val="right"/>
              <w:rPr>
                <w:color w:val="000000"/>
                <w:sz w:val="18"/>
                <w:szCs w:val="18"/>
              </w:rPr>
            </w:pPr>
            <w:r w:rsidRPr="007A3C64">
              <w:rPr>
                <w:color w:val="000000"/>
                <w:sz w:val="18"/>
                <w:szCs w:val="18"/>
              </w:rPr>
              <w:t>1,241.1</w:t>
            </w:r>
          </w:p>
        </w:tc>
        <w:tc>
          <w:tcPr>
            <w:tcW w:w="1170" w:type="dxa"/>
            <w:tcBorders>
              <w:top w:val="single" w:sz="4" w:space="0" w:color="auto"/>
              <w:bottom w:val="dotted" w:sz="4" w:space="0" w:color="auto"/>
            </w:tcBorders>
            <w:shd w:val="clear" w:color="auto" w:fill="auto"/>
            <w:noWrap/>
            <w:vAlign w:val="center"/>
            <w:hideMark/>
          </w:tcPr>
          <w:p w14:paraId="0F6E55D0" w14:textId="77777777" w:rsidR="007A3C64" w:rsidRPr="007A3C64" w:rsidRDefault="007A3C64" w:rsidP="005C1ED9">
            <w:pPr>
              <w:pStyle w:val="ExhibitText"/>
              <w:jc w:val="right"/>
              <w:rPr>
                <w:color w:val="000000"/>
                <w:sz w:val="18"/>
                <w:szCs w:val="18"/>
              </w:rPr>
            </w:pPr>
            <w:r w:rsidRPr="007A3C64">
              <w:rPr>
                <w:color w:val="000000"/>
                <w:sz w:val="18"/>
                <w:szCs w:val="18"/>
              </w:rPr>
              <w:t>2.8%</w:t>
            </w:r>
          </w:p>
        </w:tc>
      </w:tr>
      <w:tr w:rsidR="007A3C64" w:rsidRPr="007A3C64" w14:paraId="0283F4C0" w14:textId="77777777" w:rsidTr="00704333">
        <w:trPr>
          <w:cantSplit/>
          <w:trHeight w:val="288"/>
          <w:jc w:val="center"/>
        </w:trPr>
        <w:tc>
          <w:tcPr>
            <w:tcW w:w="1800" w:type="dxa"/>
            <w:tcBorders>
              <w:top w:val="dotted" w:sz="4" w:space="0" w:color="auto"/>
              <w:bottom w:val="dotted" w:sz="4" w:space="0" w:color="auto"/>
            </w:tcBorders>
            <w:shd w:val="clear" w:color="auto" w:fill="auto"/>
            <w:noWrap/>
            <w:vAlign w:val="center"/>
            <w:hideMark/>
          </w:tcPr>
          <w:p w14:paraId="7C379D41" w14:textId="19ED6B18" w:rsidR="007A3C64" w:rsidRPr="007A3C64" w:rsidRDefault="007A3C64" w:rsidP="005C1ED9">
            <w:pPr>
              <w:pStyle w:val="ExhibitText"/>
              <w:jc w:val="left"/>
              <w:rPr>
                <w:color w:val="000000"/>
                <w:sz w:val="18"/>
                <w:szCs w:val="18"/>
              </w:rPr>
            </w:pPr>
            <w:r w:rsidRPr="007A3C64">
              <w:rPr>
                <w:color w:val="000000"/>
                <w:sz w:val="18"/>
                <w:szCs w:val="18"/>
              </w:rPr>
              <w:t>December 20, 2004</w:t>
            </w:r>
          </w:p>
        </w:tc>
        <w:tc>
          <w:tcPr>
            <w:tcW w:w="3868" w:type="dxa"/>
            <w:tcBorders>
              <w:top w:val="dotted" w:sz="4" w:space="0" w:color="auto"/>
              <w:bottom w:val="dotted" w:sz="4" w:space="0" w:color="auto"/>
            </w:tcBorders>
            <w:shd w:val="clear" w:color="auto" w:fill="auto"/>
            <w:vAlign w:val="center"/>
            <w:hideMark/>
          </w:tcPr>
          <w:p w14:paraId="7C98D3C6" w14:textId="77777777" w:rsidR="007A3C64" w:rsidRPr="007A3C64" w:rsidRDefault="007A3C64" w:rsidP="005C1ED9">
            <w:pPr>
              <w:pStyle w:val="ExhibitText"/>
              <w:ind w:right="144"/>
              <w:jc w:val="left"/>
              <w:rPr>
                <w:color w:val="000000"/>
                <w:sz w:val="18"/>
                <w:szCs w:val="18"/>
              </w:rPr>
            </w:pPr>
            <w:r w:rsidRPr="007A3C64">
              <w:rPr>
                <w:color w:val="000000"/>
                <w:sz w:val="18"/>
                <w:szCs w:val="18"/>
              </w:rPr>
              <w:t>CNPR Group acquired Kramont Realty Trust for US$1,103.89 million. The transaction was announced on December 20, 2004, and completed on April 19, 2005.</w:t>
            </w:r>
          </w:p>
        </w:tc>
        <w:tc>
          <w:tcPr>
            <w:tcW w:w="1710" w:type="dxa"/>
            <w:tcBorders>
              <w:top w:val="dotted" w:sz="4" w:space="0" w:color="auto"/>
              <w:bottom w:val="dotted" w:sz="4" w:space="0" w:color="auto"/>
            </w:tcBorders>
            <w:shd w:val="clear" w:color="auto" w:fill="auto"/>
            <w:vAlign w:val="center"/>
            <w:hideMark/>
          </w:tcPr>
          <w:p w14:paraId="0E015B3A" w14:textId="77777777" w:rsidR="007A3C64" w:rsidRPr="007A3C64" w:rsidRDefault="007A3C64" w:rsidP="005C1ED9">
            <w:pPr>
              <w:pStyle w:val="ExhibitText"/>
              <w:ind w:right="144"/>
              <w:jc w:val="left"/>
              <w:rPr>
                <w:color w:val="000000"/>
                <w:sz w:val="18"/>
                <w:szCs w:val="18"/>
              </w:rPr>
            </w:pPr>
            <w:r w:rsidRPr="007A3C64">
              <w:rPr>
                <w:color w:val="000000"/>
                <w:sz w:val="18"/>
                <w:szCs w:val="18"/>
              </w:rPr>
              <w:t>Kramont Realty Trust</w:t>
            </w:r>
          </w:p>
        </w:tc>
        <w:tc>
          <w:tcPr>
            <w:tcW w:w="1711" w:type="dxa"/>
            <w:tcBorders>
              <w:top w:val="dotted" w:sz="4" w:space="0" w:color="auto"/>
              <w:bottom w:val="dotted" w:sz="4" w:space="0" w:color="auto"/>
            </w:tcBorders>
            <w:shd w:val="clear" w:color="auto" w:fill="auto"/>
            <w:noWrap/>
            <w:vAlign w:val="center"/>
            <w:hideMark/>
          </w:tcPr>
          <w:p w14:paraId="65158321" w14:textId="77777777" w:rsidR="007A3C64" w:rsidRPr="007A3C64" w:rsidRDefault="007A3C64" w:rsidP="005C1ED9">
            <w:pPr>
              <w:pStyle w:val="ExhibitText"/>
              <w:ind w:right="144"/>
              <w:jc w:val="left"/>
              <w:rPr>
                <w:color w:val="000000"/>
                <w:sz w:val="18"/>
                <w:szCs w:val="18"/>
              </w:rPr>
            </w:pPr>
            <w:r w:rsidRPr="007A3C64">
              <w:rPr>
                <w:color w:val="000000"/>
                <w:sz w:val="18"/>
                <w:szCs w:val="18"/>
              </w:rPr>
              <w:t>United States</w:t>
            </w:r>
          </w:p>
        </w:tc>
        <w:tc>
          <w:tcPr>
            <w:tcW w:w="1711" w:type="dxa"/>
            <w:tcBorders>
              <w:top w:val="dotted" w:sz="4" w:space="0" w:color="auto"/>
              <w:bottom w:val="dotted" w:sz="4" w:space="0" w:color="auto"/>
            </w:tcBorders>
            <w:shd w:val="clear" w:color="auto" w:fill="auto"/>
            <w:vAlign w:val="center"/>
            <w:hideMark/>
          </w:tcPr>
          <w:p w14:paraId="055478A3" w14:textId="77777777" w:rsidR="007A3C64" w:rsidRPr="007A3C64" w:rsidRDefault="007A3C64" w:rsidP="005C1ED9">
            <w:pPr>
              <w:pStyle w:val="ExhibitText"/>
              <w:ind w:right="144"/>
              <w:jc w:val="left"/>
              <w:rPr>
                <w:color w:val="000000"/>
                <w:sz w:val="18"/>
                <w:szCs w:val="18"/>
              </w:rPr>
            </w:pPr>
            <w:r w:rsidRPr="007A3C64">
              <w:rPr>
                <w:color w:val="000000"/>
                <w:sz w:val="18"/>
                <w:szCs w:val="18"/>
              </w:rPr>
              <w:t>CNPR Group</w:t>
            </w:r>
          </w:p>
        </w:tc>
        <w:tc>
          <w:tcPr>
            <w:tcW w:w="1350" w:type="dxa"/>
            <w:tcBorders>
              <w:top w:val="dotted" w:sz="4" w:space="0" w:color="auto"/>
              <w:bottom w:val="dotted" w:sz="4" w:space="0" w:color="auto"/>
            </w:tcBorders>
            <w:shd w:val="clear" w:color="auto" w:fill="auto"/>
            <w:noWrap/>
            <w:vAlign w:val="center"/>
            <w:hideMark/>
          </w:tcPr>
          <w:p w14:paraId="14A4AB0E" w14:textId="77777777" w:rsidR="007A3C64" w:rsidRPr="007A3C64" w:rsidRDefault="007A3C64" w:rsidP="005C1ED9">
            <w:pPr>
              <w:pStyle w:val="ExhibitText"/>
              <w:jc w:val="right"/>
              <w:rPr>
                <w:color w:val="000000"/>
                <w:sz w:val="18"/>
                <w:szCs w:val="18"/>
              </w:rPr>
            </w:pPr>
            <w:r w:rsidRPr="007A3C64">
              <w:rPr>
                <w:color w:val="000000"/>
                <w:sz w:val="18"/>
                <w:szCs w:val="18"/>
              </w:rPr>
              <w:t>1,103.9</w:t>
            </w:r>
          </w:p>
        </w:tc>
        <w:tc>
          <w:tcPr>
            <w:tcW w:w="1170" w:type="dxa"/>
            <w:tcBorders>
              <w:top w:val="dotted" w:sz="4" w:space="0" w:color="auto"/>
              <w:bottom w:val="dotted" w:sz="4" w:space="0" w:color="auto"/>
            </w:tcBorders>
            <w:shd w:val="clear" w:color="auto" w:fill="auto"/>
            <w:noWrap/>
            <w:vAlign w:val="center"/>
            <w:hideMark/>
          </w:tcPr>
          <w:p w14:paraId="0C430783" w14:textId="77777777" w:rsidR="007A3C64" w:rsidRPr="007A3C64" w:rsidRDefault="007A3C64" w:rsidP="005C1ED9">
            <w:pPr>
              <w:pStyle w:val="ExhibitText"/>
              <w:jc w:val="right"/>
              <w:rPr>
                <w:color w:val="000000"/>
                <w:sz w:val="18"/>
                <w:szCs w:val="18"/>
              </w:rPr>
            </w:pPr>
            <w:r w:rsidRPr="007A3C64">
              <w:rPr>
                <w:color w:val="000000"/>
                <w:sz w:val="18"/>
                <w:szCs w:val="18"/>
              </w:rPr>
              <w:t>17.1%</w:t>
            </w:r>
          </w:p>
        </w:tc>
      </w:tr>
      <w:tr w:rsidR="007A3C64" w:rsidRPr="007A3C64" w14:paraId="5A5A63BD" w14:textId="77777777" w:rsidTr="00704333">
        <w:trPr>
          <w:cantSplit/>
          <w:trHeight w:val="288"/>
          <w:jc w:val="center"/>
        </w:trPr>
        <w:tc>
          <w:tcPr>
            <w:tcW w:w="1800" w:type="dxa"/>
            <w:tcBorders>
              <w:top w:val="dotted" w:sz="4" w:space="0" w:color="auto"/>
              <w:bottom w:val="dotted" w:sz="4" w:space="0" w:color="auto"/>
            </w:tcBorders>
            <w:shd w:val="clear" w:color="auto" w:fill="auto"/>
            <w:noWrap/>
            <w:vAlign w:val="center"/>
            <w:hideMark/>
          </w:tcPr>
          <w:p w14:paraId="1B511A28" w14:textId="016DA6E5" w:rsidR="007A3C64" w:rsidRPr="007A3C64" w:rsidRDefault="007A3C64" w:rsidP="005C1ED9">
            <w:pPr>
              <w:pStyle w:val="ExhibitText"/>
              <w:jc w:val="left"/>
              <w:rPr>
                <w:color w:val="000000"/>
                <w:sz w:val="18"/>
                <w:szCs w:val="18"/>
              </w:rPr>
            </w:pPr>
            <w:r w:rsidRPr="007A3C64">
              <w:rPr>
                <w:color w:val="000000"/>
                <w:sz w:val="18"/>
                <w:szCs w:val="18"/>
              </w:rPr>
              <w:t>July 10, 2006</w:t>
            </w:r>
          </w:p>
        </w:tc>
        <w:tc>
          <w:tcPr>
            <w:tcW w:w="3868" w:type="dxa"/>
            <w:tcBorders>
              <w:top w:val="dotted" w:sz="4" w:space="0" w:color="auto"/>
              <w:bottom w:val="dotted" w:sz="4" w:space="0" w:color="auto"/>
            </w:tcBorders>
            <w:shd w:val="clear" w:color="auto" w:fill="auto"/>
            <w:vAlign w:val="center"/>
            <w:hideMark/>
          </w:tcPr>
          <w:p w14:paraId="1165310D" w14:textId="77777777" w:rsidR="007A3C64" w:rsidRPr="007A3C64" w:rsidRDefault="007A3C64" w:rsidP="005C1ED9">
            <w:pPr>
              <w:pStyle w:val="ExhibitText"/>
              <w:ind w:right="144"/>
              <w:jc w:val="left"/>
              <w:rPr>
                <w:color w:val="000000"/>
                <w:sz w:val="18"/>
                <w:szCs w:val="18"/>
              </w:rPr>
            </w:pPr>
            <w:r w:rsidRPr="007A3C64">
              <w:rPr>
                <w:color w:val="000000"/>
                <w:sz w:val="18"/>
                <w:szCs w:val="18"/>
              </w:rPr>
              <w:t>Kimco Realty Corp. acquired Pan Pacific Retail Properties Inc. for US$3,867.52 million. The transaction was announced on July 10, 2006, and completed on October 31, 2006.</w:t>
            </w:r>
          </w:p>
        </w:tc>
        <w:tc>
          <w:tcPr>
            <w:tcW w:w="1710" w:type="dxa"/>
            <w:tcBorders>
              <w:top w:val="dotted" w:sz="4" w:space="0" w:color="auto"/>
              <w:bottom w:val="dotted" w:sz="4" w:space="0" w:color="auto"/>
            </w:tcBorders>
            <w:shd w:val="clear" w:color="auto" w:fill="auto"/>
            <w:vAlign w:val="center"/>
            <w:hideMark/>
          </w:tcPr>
          <w:p w14:paraId="721772E5" w14:textId="77777777" w:rsidR="007A3C64" w:rsidRPr="007A3C64" w:rsidRDefault="007A3C64" w:rsidP="005C1ED9">
            <w:pPr>
              <w:pStyle w:val="ExhibitText"/>
              <w:ind w:right="144"/>
              <w:jc w:val="left"/>
              <w:rPr>
                <w:color w:val="000000"/>
                <w:sz w:val="18"/>
                <w:szCs w:val="18"/>
              </w:rPr>
            </w:pPr>
            <w:r w:rsidRPr="007A3C64">
              <w:rPr>
                <w:color w:val="000000"/>
                <w:sz w:val="18"/>
                <w:szCs w:val="18"/>
              </w:rPr>
              <w:t>Pan Pacific Retail Properties Inc.</w:t>
            </w:r>
          </w:p>
        </w:tc>
        <w:tc>
          <w:tcPr>
            <w:tcW w:w="1711" w:type="dxa"/>
            <w:tcBorders>
              <w:top w:val="dotted" w:sz="4" w:space="0" w:color="auto"/>
              <w:bottom w:val="dotted" w:sz="4" w:space="0" w:color="auto"/>
            </w:tcBorders>
            <w:shd w:val="clear" w:color="auto" w:fill="auto"/>
            <w:noWrap/>
            <w:vAlign w:val="center"/>
            <w:hideMark/>
          </w:tcPr>
          <w:p w14:paraId="089FBDB8" w14:textId="77777777" w:rsidR="007A3C64" w:rsidRPr="007A3C64" w:rsidRDefault="007A3C64" w:rsidP="005C1ED9">
            <w:pPr>
              <w:pStyle w:val="ExhibitText"/>
              <w:ind w:right="144"/>
              <w:jc w:val="left"/>
              <w:rPr>
                <w:color w:val="000000"/>
                <w:sz w:val="18"/>
                <w:szCs w:val="18"/>
              </w:rPr>
            </w:pPr>
            <w:r w:rsidRPr="007A3C64">
              <w:rPr>
                <w:color w:val="000000"/>
                <w:sz w:val="18"/>
                <w:szCs w:val="18"/>
              </w:rPr>
              <w:t>United States</w:t>
            </w:r>
          </w:p>
        </w:tc>
        <w:tc>
          <w:tcPr>
            <w:tcW w:w="1711" w:type="dxa"/>
            <w:tcBorders>
              <w:top w:val="dotted" w:sz="4" w:space="0" w:color="auto"/>
              <w:bottom w:val="dotted" w:sz="4" w:space="0" w:color="auto"/>
            </w:tcBorders>
            <w:shd w:val="clear" w:color="auto" w:fill="auto"/>
            <w:vAlign w:val="center"/>
            <w:hideMark/>
          </w:tcPr>
          <w:p w14:paraId="733DFF80" w14:textId="77777777" w:rsidR="007A3C64" w:rsidRPr="007A3C64" w:rsidRDefault="007A3C64" w:rsidP="005C1ED9">
            <w:pPr>
              <w:pStyle w:val="ExhibitText"/>
              <w:ind w:right="144"/>
              <w:jc w:val="left"/>
              <w:rPr>
                <w:color w:val="000000"/>
                <w:sz w:val="18"/>
                <w:szCs w:val="18"/>
              </w:rPr>
            </w:pPr>
            <w:r w:rsidRPr="007A3C64">
              <w:rPr>
                <w:color w:val="000000"/>
                <w:sz w:val="18"/>
                <w:szCs w:val="18"/>
              </w:rPr>
              <w:t>Kimco Realty Corp.</w:t>
            </w:r>
          </w:p>
        </w:tc>
        <w:tc>
          <w:tcPr>
            <w:tcW w:w="1350" w:type="dxa"/>
            <w:tcBorders>
              <w:top w:val="dotted" w:sz="4" w:space="0" w:color="auto"/>
              <w:bottom w:val="dotted" w:sz="4" w:space="0" w:color="auto"/>
            </w:tcBorders>
            <w:shd w:val="clear" w:color="auto" w:fill="auto"/>
            <w:noWrap/>
            <w:vAlign w:val="center"/>
            <w:hideMark/>
          </w:tcPr>
          <w:p w14:paraId="2C7FD287" w14:textId="77777777" w:rsidR="007A3C64" w:rsidRPr="007A3C64" w:rsidRDefault="007A3C64" w:rsidP="005C1ED9">
            <w:pPr>
              <w:pStyle w:val="ExhibitText"/>
              <w:jc w:val="right"/>
              <w:rPr>
                <w:color w:val="000000"/>
                <w:sz w:val="18"/>
                <w:szCs w:val="18"/>
              </w:rPr>
            </w:pPr>
            <w:r w:rsidRPr="007A3C64">
              <w:rPr>
                <w:color w:val="000000"/>
                <w:sz w:val="18"/>
                <w:szCs w:val="18"/>
              </w:rPr>
              <w:t>3,867.5</w:t>
            </w:r>
          </w:p>
        </w:tc>
        <w:tc>
          <w:tcPr>
            <w:tcW w:w="1170" w:type="dxa"/>
            <w:tcBorders>
              <w:top w:val="dotted" w:sz="4" w:space="0" w:color="auto"/>
              <w:bottom w:val="dotted" w:sz="4" w:space="0" w:color="auto"/>
            </w:tcBorders>
            <w:shd w:val="clear" w:color="auto" w:fill="auto"/>
            <w:noWrap/>
            <w:vAlign w:val="center"/>
            <w:hideMark/>
          </w:tcPr>
          <w:p w14:paraId="3EBC56CA" w14:textId="77777777" w:rsidR="007A3C64" w:rsidRPr="007A3C64" w:rsidRDefault="007A3C64" w:rsidP="005C1ED9">
            <w:pPr>
              <w:pStyle w:val="ExhibitText"/>
              <w:jc w:val="right"/>
              <w:rPr>
                <w:color w:val="000000"/>
                <w:sz w:val="18"/>
                <w:szCs w:val="18"/>
              </w:rPr>
            </w:pPr>
            <w:r w:rsidRPr="007A3C64">
              <w:rPr>
                <w:color w:val="000000"/>
                <w:sz w:val="18"/>
                <w:szCs w:val="18"/>
              </w:rPr>
              <w:t>1.3%</w:t>
            </w:r>
          </w:p>
        </w:tc>
      </w:tr>
      <w:tr w:rsidR="007A3C64" w:rsidRPr="007A3C64" w14:paraId="16EA95B0" w14:textId="77777777" w:rsidTr="00704333">
        <w:trPr>
          <w:cantSplit/>
          <w:trHeight w:val="288"/>
          <w:jc w:val="center"/>
        </w:trPr>
        <w:tc>
          <w:tcPr>
            <w:tcW w:w="1800" w:type="dxa"/>
            <w:tcBorders>
              <w:top w:val="dotted" w:sz="4" w:space="0" w:color="auto"/>
              <w:bottom w:val="dotted" w:sz="4" w:space="0" w:color="auto"/>
            </w:tcBorders>
            <w:shd w:val="clear" w:color="auto" w:fill="auto"/>
            <w:noWrap/>
            <w:vAlign w:val="center"/>
            <w:hideMark/>
          </w:tcPr>
          <w:p w14:paraId="58B13A20" w14:textId="45616F4E" w:rsidR="007A3C64" w:rsidRPr="007A3C64" w:rsidRDefault="007A3C64" w:rsidP="005C1ED9">
            <w:pPr>
              <w:pStyle w:val="ExhibitText"/>
              <w:jc w:val="left"/>
              <w:rPr>
                <w:color w:val="000000"/>
                <w:sz w:val="18"/>
                <w:szCs w:val="18"/>
              </w:rPr>
            </w:pPr>
            <w:r w:rsidRPr="007A3C64">
              <w:rPr>
                <w:color w:val="000000"/>
                <w:sz w:val="18"/>
                <w:szCs w:val="18"/>
              </w:rPr>
              <w:t>July 10, 2006</w:t>
            </w:r>
          </w:p>
        </w:tc>
        <w:tc>
          <w:tcPr>
            <w:tcW w:w="3868" w:type="dxa"/>
            <w:tcBorders>
              <w:top w:val="dotted" w:sz="4" w:space="0" w:color="auto"/>
              <w:bottom w:val="dotted" w:sz="4" w:space="0" w:color="auto"/>
            </w:tcBorders>
            <w:shd w:val="clear" w:color="auto" w:fill="auto"/>
            <w:vAlign w:val="center"/>
            <w:hideMark/>
          </w:tcPr>
          <w:p w14:paraId="220FD01E" w14:textId="77777777" w:rsidR="007A3C64" w:rsidRPr="007A3C64" w:rsidRDefault="007A3C64" w:rsidP="005C1ED9">
            <w:pPr>
              <w:pStyle w:val="ExhibitText"/>
              <w:ind w:right="144"/>
              <w:jc w:val="left"/>
              <w:rPr>
                <w:color w:val="000000"/>
                <w:sz w:val="18"/>
                <w:szCs w:val="18"/>
              </w:rPr>
            </w:pPr>
            <w:r w:rsidRPr="007A3C64">
              <w:rPr>
                <w:color w:val="000000"/>
                <w:sz w:val="18"/>
                <w:szCs w:val="18"/>
              </w:rPr>
              <w:t>CNPR Group acquired Heritage Property Investment Trust Inc. for US$3,203.71 million. The transaction was announced on July 10, 2006, and completed on October 6, 2006.</w:t>
            </w:r>
          </w:p>
        </w:tc>
        <w:tc>
          <w:tcPr>
            <w:tcW w:w="1710" w:type="dxa"/>
            <w:tcBorders>
              <w:top w:val="dotted" w:sz="4" w:space="0" w:color="auto"/>
              <w:bottom w:val="dotted" w:sz="4" w:space="0" w:color="auto"/>
            </w:tcBorders>
            <w:shd w:val="clear" w:color="auto" w:fill="auto"/>
            <w:vAlign w:val="center"/>
            <w:hideMark/>
          </w:tcPr>
          <w:p w14:paraId="53AFD75A" w14:textId="77777777" w:rsidR="007A3C64" w:rsidRPr="007A3C64" w:rsidRDefault="007A3C64" w:rsidP="005C1ED9">
            <w:pPr>
              <w:pStyle w:val="ExhibitText"/>
              <w:ind w:right="144"/>
              <w:jc w:val="left"/>
              <w:rPr>
                <w:color w:val="000000"/>
                <w:sz w:val="18"/>
                <w:szCs w:val="18"/>
              </w:rPr>
            </w:pPr>
            <w:r w:rsidRPr="007A3C64">
              <w:rPr>
                <w:color w:val="000000"/>
                <w:sz w:val="18"/>
                <w:szCs w:val="18"/>
              </w:rPr>
              <w:t>Heritage Property Investment Trust Inc.</w:t>
            </w:r>
          </w:p>
        </w:tc>
        <w:tc>
          <w:tcPr>
            <w:tcW w:w="1711" w:type="dxa"/>
            <w:tcBorders>
              <w:top w:val="dotted" w:sz="4" w:space="0" w:color="auto"/>
              <w:bottom w:val="dotted" w:sz="4" w:space="0" w:color="auto"/>
            </w:tcBorders>
            <w:shd w:val="clear" w:color="auto" w:fill="auto"/>
            <w:noWrap/>
            <w:vAlign w:val="center"/>
            <w:hideMark/>
          </w:tcPr>
          <w:p w14:paraId="1BE58A57" w14:textId="77777777" w:rsidR="007A3C64" w:rsidRPr="007A3C64" w:rsidRDefault="007A3C64" w:rsidP="005C1ED9">
            <w:pPr>
              <w:pStyle w:val="ExhibitText"/>
              <w:ind w:right="144"/>
              <w:jc w:val="left"/>
              <w:rPr>
                <w:color w:val="000000"/>
                <w:sz w:val="18"/>
                <w:szCs w:val="18"/>
              </w:rPr>
            </w:pPr>
            <w:r w:rsidRPr="007A3C64">
              <w:rPr>
                <w:color w:val="000000"/>
                <w:sz w:val="18"/>
                <w:szCs w:val="18"/>
              </w:rPr>
              <w:t>United States</w:t>
            </w:r>
          </w:p>
        </w:tc>
        <w:tc>
          <w:tcPr>
            <w:tcW w:w="1711" w:type="dxa"/>
            <w:tcBorders>
              <w:top w:val="dotted" w:sz="4" w:space="0" w:color="auto"/>
              <w:bottom w:val="dotted" w:sz="4" w:space="0" w:color="auto"/>
            </w:tcBorders>
            <w:shd w:val="clear" w:color="auto" w:fill="auto"/>
            <w:vAlign w:val="center"/>
            <w:hideMark/>
          </w:tcPr>
          <w:p w14:paraId="4FF8DBA2" w14:textId="77777777" w:rsidR="007A3C64" w:rsidRPr="007A3C64" w:rsidRDefault="007A3C64" w:rsidP="005C1ED9">
            <w:pPr>
              <w:pStyle w:val="ExhibitText"/>
              <w:ind w:right="144"/>
              <w:jc w:val="left"/>
              <w:rPr>
                <w:color w:val="000000"/>
                <w:sz w:val="18"/>
                <w:szCs w:val="18"/>
              </w:rPr>
            </w:pPr>
            <w:r w:rsidRPr="007A3C64">
              <w:rPr>
                <w:color w:val="000000"/>
                <w:sz w:val="18"/>
                <w:szCs w:val="18"/>
              </w:rPr>
              <w:t>CNPR Group</w:t>
            </w:r>
          </w:p>
        </w:tc>
        <w:tc>
          <w:tcPr>
            <w:tcW w:w="1350" w:type="dxa"/>
            <w:tcBorders>
              <w:top w:val="dotted" w:sz="4" w:space="0" w:color="auto"/>
              <w:bottom w:val="dotted" w:sz="4" w:space="0" w:color="auto"/>
            </w:tcBorders>
            <w:shd w:val="clear" w:color="auto" w:fill="auto"/>
            <w:noWrap/>
            <w:vAlign w:val="center"/>
            <w:hideMark/>
          </w:tcPr>
          <w:p w14:paraId="190EC041" w14:textId="77777777" w:rsidR="007A3C64" w:rsidRPr="007A3C64" w:rsidRDefault="007A3C64" w:rsidP="005C1ED9">
            <w:pPr>
              <w:pStyle w:val="ExhibitText"/>
              <w:jc w:val="right"/>
              <w:rPr>
                <w:color w:val="000000"/>
                <w:sz w:val="18"/>
                <w:szCs w:val="18"/>
              </w:rPr>
            </w:pPr>
            <w:r w:rsidRPr="007A3C64">
              <w:rPr>
                <w:color w:val="000000"/>
                <w:sz w:val="18"/>
                <w:szCs w:val="18"/>
              </w:rPr>
              <w:t>3,203.7</w:t>
            </w:r>
          </w:p>
        </w:tc>
        <w:tc>
          <w:tcPr>
            <w:tcW w:w="1170" w:type="dxa"/>
            <w:tcBorders>
              <w:top w:val="dotted" w:sz="4" w:space="0" w:color="auto"/>
              <w:bottom w:val="dotted" w:sz="4" w:space="0" w:color="auto"/>
            </w:tcBorders>
            <w:shd w:val="clear" w:color="auto" w:fill="auto"/>
            <w:noWrap/>
            <w:vAlign w:val="center"/>
            <w:hideMark/>
          </w:tcPr>
          <w:p w14:paraId="65F22E64" w14:textId="77777777" w:rsidR="007A3C64" w:rsidRPr="007A3C64" w:rsidRDefault="007A3C64" w:rsidP="005C1ED9">
            <w:pPr>
              <w:pStyle w:val="ExhibitText"/>
              <w:jc w:val="right"/>
              <w:rPr>
                <w:color w:val="000000"/>
                <w:sz w:val="18"/>
                <w:szCs w:val="18"/>
              </w:rPr>
            </w:pPr>
            <w:r w:rsidRPr="007A3C64">
              <w:rPr>
                <w:color w:val="000000"/>
                <w:sz w:val="18"/>
                <w:szCs w:val="18"/>
              </w:rPr>
              <w:t>7.5%</w:t>
            </w:r>
          </w:p>
        </w:tc>
      </w:tr>
      <w:tr w:rsidR="007A3C64" w:rsidRPr="007A3C64" w14:paraId="43DA33CB" w14:textId="77777777" w:rsidTr="00704333">
        <w:trPr>
          <w:cantSplit/>
          <w:trHeight w:val="288"/>
          <w:jc w:val="center"/>
        </w:trPr>
        <w:tc>
          <w:tcPr>
            <w:tcW w:w="1800" w:type="dxa"/>
            <w:tcBorders>
              <w:top w:val="dotted" w:sz="4" w:space="0" w:color="auto"/>
              <w:bottom w:val="dotted" w:sz="4" w:space="0" w:color="auto"/>
            </w:tcBorders>
            <w:shd w:val="clear" w:color="auto" w:fill="auto"/>
            <w:noWrap/>
            <w:vAlign w:val="center"/>
            <w:hideMark/>
          </w:tcPr>
          <w:p w14:paraId="407D2EDE" w14:textId="081F7D60" w:rsidR="007A3C64" w:rsidRPr="007A3C64" w:rsidRDefault="007A3C64" w:rsidP="005C1ED9">
            <w:pPr>
              <w:pStyle w:val="ExhibitText"/>
              <w:jc w:val="left"/>
              <w:rPr>
                <w:color w:val="000000"/>
                <w:sz w:val="18"/>
                <w:szCs w:val="18"/>
              </w:rPr>
            </w:pPr>
            <w:r w:rsidRPr="007A3C64">
              <w:rPr>
                <w:color w:val="000000"/>
                <w:sz w:val="18"/>
                <w:szCs w:val="18"/>
              </w:rPr>
              <w:t>October 23, 2006</w:t>
            </w:r>
          </w:p>
        </w:tc>
        <w:tc>
          <w:tcPr>
            <w:tcW w:w="3868" w:type="dxa"/>
            <w:tcBorders>
              <w:top w:val="dotted" w:sz="4" w:space="0" w:color="auto"/>
              <w:bottom w:val="dotted" w:sz="4" w:space="0" w:color="auto"/>
            </w:tcBorders>
            <w:shd w:val="clear" w:color="auto" w:fill="auto"/>
            <w:vAlign w:val="center"/>
            <w:hideMark/>
          </w:tcPr>
          <w:p w14:paraId="1D7BE1C1" w14:textId="77777777" w:rsidR="007A3C64" w:rsidRPr="007A3C64" w:rsidRDefault="007A3C64" w:rsidP="005C1ED9">
            <w:pPr>
              <w:pStyle w:val="ExhibitText"/>
              <w:ind w:right="144"/>
              <w:jc w:val="left"/>
              <w:rPr>
                <w:color w:val="000000"/>
                <w:sz w:val="18"/>
                <w:szCs w:val="18"/>
              </w:rPr>
            </w:pPr>
            <w:r w:rsidRPr="007A3C64">
              <w:rPr>
                <w:color w:val="000000"/>
                <w:sz w:val="18"/>
                <w:szCs w:val="18"/>
              </w:rPr>
              <w:t>DDR Corp. acquired Inland Retail Real Estate Trust Inc. for US$5,871.46 million. The transaction was announced on October 23, 2006, and completed on February 27, 2007.</w:t>
            </w:r>
          </w:p>
        </w:tc>
        <w:tc>
          <w:tcPr>
            <w:tcW w:w="1710" w:type="dxa"/>
            <w:tcBorders>
              <w:top w:val="dotted" w:sz="4" w:space="0" w:color="auto"/>
              <w:bottom w:val="dotted" w:sz="4" w:space="0" w:color="auto"/>
            </w:tcBorders>
            <w:shd w:val="clear" w:color="auto" w:fill="auto"/>
            <w:vAlign w:val="center"/>
            <w:hideMark/>
          </w:tcPr>
          <w:p w14:paraId="34905A31" w14:textId="77777777" w:rsidR="007A3C64" w:rsidRPr="007A3C64" w:rsidRDefault="007A3C64" w:rsidP="005C1ED9">
            <w:pPr>
              <w:pStyle w:val="ExhibitText"/>
              <w:ind w:right="144"/>
              <w:jc w:val="left"/>
              <w:rPr>
                <w:color w:val="000000"/>
                <w:sz w:val="18"/>
                <w:szCs w:val="18"/>
              </w:rPr>
            </w:pPr>
            <w:r w:rsidRPr="007A3C64">
              <w:rPr>
                <w:color w:val="000000"/>
                <w:sz w:val="18"/>
                <w:szCs w:val="18"/>
              </w:rPr>
              <w:t>Inland Retail Real Estate Trust Inc.</w:t>
            </w:r>
          </w:p>
        </w:tc>
        <w:tc>
          <w:tcPr>
            <w:tcW w:w="1711" w:type="dxa"/>
            <w:tcBorders>
              <w:top w:val="dotted" w:sz="4" w:space="0" w:color="auto"/>
              <w:bottom w:val="dotted" w:sz="4" w:space="0" w:color="auto"/>
            </w:tcBorders>
            <w:shd w:val="clear" w:color="auto" w:fill="auto"/>
            <w:noWrap/>
            <w:vAlign w:val="center"/>
            <w:hideMark/>
          </w:tcPr>
          <w:p w14:paraId="20E0E2AB" w14:textId="77777777" w:rsidR="007A3C64" w:rsidRPr="007A3C64" w:rsidRDefault="007A3C64" w:rsidP="005C1ED9">
            <w:pPr>
              <w:pStyle w:val="ExhibitText"/>
              <w:ind w:right="144"/>
              <w:jc w:val="left"/>
              <w:rPr>
                <w:color w:val="000000"/>
                <w:sz w:val="18"/>
                <w:szCs w:val="18"/>
              </w:rPr>
            </w:pPr>
            <w:r w:rsidRPr="007A3C64">
              <w:rPr>
                <w:color w:val="000000"/>
                <w:sz w:val="18"/>
                <w:szCs w:val="18"/>
              </w:rPr>
              <w:t>United States</w:t>
            </w:r>
          </w:p>
        </w:tc>
        <w:tc>
          <w:tcPr>
            <w:tcW w:w="1711" w:type="dxa"/>
            <w:tcBorders>
              <w:top w:val="dotted" w:sz="4" w:space="0" w:color="auto"/>
              <w:bottom w:val="dotted" w:sz="4" w:space="0" w:color="auto"/>
            </w:tcBorders>
            <w:shd w:val="clear" w:color="auto" w:fill="auto"/>
            <w:vAlign w:val="center"/>
            <w:hideMark/>
          </w:tcPr>
          <w:p w14:paraId="6E647DEE" w14:textId="77777777" w:rsidR="007A3C64" w:rsidRPr="007A3C64" w:rsidRDefault="007A3C64" w:rsidP="005C1ED9">
            <w:pPr>
              <w:pStyle w:val="ExhibitText"/>
              <w:ind w:right="144"/>
              <w:jc w:val="left"/>
              <w:rPr>
                <w:color w:val="000000"/>
                <w:sz w:val="18"/>
                <w:szCs w:val="18"/>
              </w:rPr>
            </w:pPr>
            <w:r w:rsidRPr="007A3C64">
              <w:rPr>
                <w:color w:val="000000"/>
                <w:sz w:val="18"/>
                <w:szCs w:val="18"/>
              </w:rPr>
              <w:t>DDR Corp.</w:t>
            </w:r>
          </w:p>
        </w:tc>
        <w:tc>
          <w:tcPr>
            <w:tcW w:w="1350" w:type="dxa"/>
            <w:tcBorders>
              <w:top w:val="dotted" w:sz="4" w:space="0" w:color="auto"/>
              <w:bottom w:val="dotted" w:sz="4" w:space="0" w:color="auto"/>
            </w:tcBorders>
            <w:shd w:val="clear" w:color="auto" w:fill="auto"/>
            <w:noWrap/>
            <w:vAlign w:val="center"/>
            <w:hideMark/>
          </w:tcPr>
          <w:p w14:paraId="203FFC10" w14:textId="77777777" w:rsidR="007A3C64" w:rsidRPr="007A3C64" w:rsidRDefault="007A3C64" w:rsidP="005C1ED9">
            <w:pPr>
              <w:pStyle w:val="ExhibitText"/>
              <w:jc w:val="right"/>
              <w:rPr>
                <w:color w:val="000000"/>
                <w:sz w:val="18"/>
                <w:szCs w:val="18"/>
              </w:rPr>
            </w:pPr>
            <w:r w:rsidRPr="007A3C64">
              <w:rPr>
                <w:color w:val="000000"/>
                <w:sz w:val="18"/>
                <w:szCs w:val="18"/>
              </w:rPr>
              <w:t>5,871.5</w:t>
            </w:r>
          </w:p>
        </w:tc>
        <w:tc>
          <w:tcPr>
            <w:tcW w:w="1170" w:type="dxa"/>
            <w:tcBorders>
              <w:top w:val="dotted" w:sz="4" w:space="0" w:color="auto"/>
              <w:bottom w:val="dotted" w:sz="4" w:space="0" w:color="auto"/>
            </w:tcBorders>
            <w:shd w:val="clear" w:color="auto" w:fill="auto"/>
            <w:noWrap/>
            <w:vAlign w:val="center"/>
            <w:hideMark/>
          </w:tcPr>
          <w:p w14:paraId="51B5BB2B" w14:textId="77777777" w:rsidR="007A3C64" w:rsidRPr="007A3C64" w:rsidRDefault="007A3C64" w:rsidP="005C1ED9">
            <w:pPr>
              <w:pStyle w:val="ExhibitText"/>
              <w:jc w:val="right"/>
              <w:rPr>
                <w:color w:val="000000"/>
                <w:sz w:val="18"/>
                <w:szCs w:val="18"/>
              </w:rPr>
            </w:pPr>
            <w:r w:rsidRPr="007A3C64">
              <w:rPr>
                <w:color w:val="000000"/>
                <w:sz w:val="18"/>
                <w:szCs w:val="18"/>
              </w:rPr>
              <w:t>21.4%</w:t>
            </w:r>
          </w:p>
        </w:tc>
      </w:tr>
      <w:tr w:rsidR="007A3C64" w:rsidRPr="007A3C64" w14:paraId="605734A0" w14:textId="77777777" w:rsidTr="00704333">
        <w:trPr>
          <w:cantSplit/>
          <w:trHeight w:val="288"/>
          <w:jc w:val="center"/>
        </w:trPr>
        <w:tc>
          <w:tcPr>
            <w:tcW w:w="1800" w:type="dxa"/>
            <w:tcBorders>
              <w:top w:val="dotted" w:sz="4" w:space="0" w:color="auto"/>
              <w:bottom w:val="dotted" w:sz="4" w:space="0" w:color="auto"/>
            </w:tcBorders>
            <w:shd w:val="clear" w:color="auto" w:fill="auto"/>
            <w:noWrap/>
            <w:vAlign w:val="center"/>
            <w:hideMark/>
          </w:tcPr>
          <w:p w14:paraId="2501BE0D" w14:textId="051FBB5C" w:rsidR="007A3C64" w:rsidRPr="007A3C64" w:rsidRDefault="007A3C64" w:rsidP="005C1ED9">
            <w:pPr>
              <w:pStyle w:val="ExhibitText"/>
              <w:jc w:val="left"/>
              <w:rPr>
                <w:color w:val="000000"/>
                <w:sz w:val="18"/>
                <w:szCs w:val="18"/>
              </w:rPr>
            </w:pPr>
            <w:r w:rsidRPr="007A3C64">
              <w:rPr>
                <w:color w:val="000000"/>
                <w:sz w:val="18"/>
                <w:szCs w:val="18"/>
              </w:rPr>
              <w:t>February 27, 2007</w:t>
            </w:r>
          </w:p>
        </w:tc>
        <w:tc>
          <w:tcPr>
            <w:tcW w:w="3868" w:type="dxa"/>
            <w:tcBorders>
              <w:top w:val="dotted" w:sz="4" w:space="0" w:color="auto"/>
              <w:bottom w:val="dotted" w:sz="4" w:space="0" w:color="auto"/>
            </w:tcBorders>
            <w:shd w:val="clear" w:color="auto" w:fill="auto"/>
            <w:vAlign w:val="center"/>
            <w:hideMark/>
          </w:tcPr>
          <w:p w14:paraId="4EE4C141" w14:textId="77777777" w:rsidR="007A3C64" w:rsidRPr="007A3C64" w:rsidRDefault="007A3C64" w:rsidP="005C1ED9">
            <w:pPr>
              <w:pStyle w:val="ExhibitText"/>
              <w:ind w:right="144"/>
              <w:jc w:val="left"/>
              <w:rPr>
                <w:color w:val="000000"/>
                <w:sz w:val="18"/>
                <w:szCs w:val="18"/>
              </w:rPr>
            </w:pPr>
            <w:r w:rsidRPr="007A3C64">
              <w:rPr>
                <w:color w:val="000000"/>
                <w:sz w:val="18"/>
                <w:szCs w:val="18"/>
              </w:rPr>
              <w:t>CNPR Group acquired Brixmor LLC for US$5,234.05 million. The transaction was announced on February 27, 2007, and completed on April 23, 2007. As of the completion date, this was CNPR Group's largest acquisition on record.</w:t>
            </w:r>
          </w:p>
        </w:tc>
        <w:tc>
          <w:tcPr>
            <w:tcW w:w="1710" w:type="dxa"/>
            <w:tcBorders>
              <w:top w:val="dotted" w:sz="4" w:space="0" w:color="auto"/>
              <w:bottom w:val="dotted" w:sz="4" w:space="0" w:color="auto"/>
            </w:tcBorders>
            <w:shd w:val="clear" w:color="auto" w:fill="auto"/>
            <w:vAlign w:val="center"/>
            <w:hideMark/>
          </w:tcPr>
          <w:p w14:paraId="38D6ADDC" w14:textId="77777777" w:rsidR="007A3C64" w:rsidRPr="007A3C64" w:rsidRDefault="007A3C64" w:rsidP="005C1ED9">
            <w:pPr>
              <w:pStyle w:val="ExhibitText"/>
              <w:ind w:right="144"/>
              <w:jc w:val="left"/>
              <w:rPr>
                <w:color w:val="000000"/>
                <w:sz w:val="18"/>
                <w:szCs w:val="18"/>
              </w:rPr>
            </w:pPr>
            <w:r w:rsidRPr="007A3C64">
              <w:rPr>
                <w:color w:val="000000"/>
                <w:sz w:val="18"/>
                <w:szCs w:val="18"/>
              </w:rPr>
              <w:t>Brixmor LLC</w:t>
            </w:r>
          </w:p>
        </w:tc>
        <w:tc>
          <w:tcPr>
            <w:tcW w:w="1711" w:type="dxa"/>
            <w:tcBorders>
              <w:top w:val="dotted" w:sz="4" w:space="0" w:color="auto"/>
              <w:bottom w:val="dotted" w:sz="4" w:space="0" w:color="auto"/>
            </w:tcBorders>
            <w:shd w:val="clear" w:color="auto" w:fill="auto"/>
            <w:noWrap/>
            <w:vAlign w:val="center"/>
            <w:hideMark/>
          </w:tcPr>
          <w:p w14:paraId="1ED8A332" w14:textId="77777777" w:rsidR="007A3C64" w:rsidRPr="007A3C64" w:rsidRDefault="007A3C64" w:rsidP="005C1ED9">
            <w:pPr>
              <w:pStyle w:val="ExhibitText"/>
              <w:ind w:right="144"/>
              <w:jc w:val="left"/>
              <w:rPr>
                <w:color w:val="000000"/>
                <w:sz w:val="18"/>
                <w:szCs w:val="18"/>
              </w:rPr>
            </w:pPr>
            <w:r w:rsidRPr="007A3C64">
              <w:rPr>
                <w:color w:val="000000"/>
                <w:sz w:val="18"/>
                <w:szCs w:val="18"/>
              </w:rPr>
              <w:t>United States</w:t>
            </w:r>
          </w:p>
        </w:tc>
        <w:tc>
          <w:tcPr>
            <w:tcW w:w="1711" w:type="dxa"/>
            <w:tcBorders>
              <w:top w:val="dotted" w:sz="4" w:space="0" w:color="auto"/>
              <w:bottom w:val="dotted" w:sz="4" w:space="0" w:color="auto"/>
            </w:tcBorders>
            <w:shd w:val="clear" w:color="auto" w:fill="auto"/>
            <w:vAlign w:val="center"/>
            <w:hideMark/>
          </w:tcPr>
          <w:p w14:paraId="77F97992" w14:textId="77777777" w:rsidR="007A3C64" w:rsidRPr="007A3C64" w:rsidRDefault="007A3C64" w:rsidP="005C1ED9">
            <w:pPr>
              <w:pStyle w:val="ExhibitText"/>
              <w:ind w:right="144"/>
              <w:jc w:val="left"/>
              <w:rPr>
                <w:color w:val="000000"/>
                <w:sz w:val="18"/>
                <w:szCs w:val="18"/>
              </w:rPr>
            </w:pPr>
            <w:r w:rsidRPr="007A3C64">
              <w:rPr>
                <w:color w:val="000000"/>
                <w:sz w:val="18"/>
                <w:szCs w:val="18"/>
              </w:rPr>
              <w:t>CNPR Group</w:t>
            </w:r>
          </w:p>
        </w:tc>
        <w:tc>
          <w:tcPr>
            <w:tcW w:w="1350" w:type="dxa"/>
            <w:tcBorders>
              <w:top w:val="dotted" w:sz="4" w:space="0" w:color="auto"/>
              <w:bottom w:val="dotted" w:sz="4" w:space="0" w:color="auto"/>
            </w:tcBorders>
            <w:shd w:val="clear" w:color="auto" w:fill="auto"/>
            <w:noWrap/>
            <w:vAlign w:val="center"/>
            <w:hideMark/>
          </w:tcPr>
          <w:p w14:paraId="38B9D006" w14:textId="77777777" w:rsidR="007A3C64" w:rsidRPr="007A3C64" w:rsidRDefault="007A3C64" w:rsidP="005C1ED9">
            <w:pPr>
              <w:pStyle w:val="ExhibitText"/>
              <w:jc w:val="right"/>
              <w:rPr>
                <w:color w:val="000000"/>
                <w:sz w:val="18"/>
                <w:szCs w:val="18"/>
              </w:rPr>
            </w:pPr>
            <w:r w:rsidRPr="007A3C64">
              <w:rPr>
                <w:color w:val="000000"/>
                <w:sz w:val="18"/>
                <w:szCs w:val="18"/>
              </w:rPr>
              <w:t>5,234.1</w:t>
            </w:r>
          </w:p>
        </w:tc>
        <w:tc>
          <w:tcPr>
            <w:tcW w:w="1170" w:type="dxa"/>
            <w:tcBorders>
              <w:top w:val="dotted" w:sz="4" w:space="0" w:color="auto"/>
              <w:bottom w:val="dotted" w:sz="4" w:space="0" w:color="auto"/>
            </w:tcBorders>
            <w:shd w:val="clear" w:color="auto" w:fill="auto"/>
            <w:noWrap/>
            <w:vAlign w:val="center"/>
            <w:hideMark/>
          </w:tcPr>
          <w:p w14:paraId="4B6E44EE" w14:textId="77777777" w:rsidR="007A3C64" w:rsidRPr="007A3C64" w:rsidRDefault="007A3C64" w:rsidP="005C1ED9">
            <w:pPr>
              <w:pStyle w:val="ExhibitText"/>
              <w:jc w:val="right"/>
              <w:rPr>
                <w:color w:val="000000"/>
                <w:sz w:val="18"/>
                <w:szCs w:val="18"/>
              </w:rPr>
            </w:pPr>
            <w:r w:rsidRPr="007A3C64">
              <w:rPr>
                <w:color w:val="000000"/>
                <w:sz w:val="18"/>
                <w:szCs w:val="18"/>
              </w:rPr>
              <w:t>0.2%</w:t>
            </w:r>
          </w:p>
        </w:tc>
      </w:tr>
      <w:tr w:rsidR="007A3C64" w:rsidRPr="007A3C64" w14:paraId="5BD5A134" w14:textId="77777777" w:rsidTr="00704333">
        <w:trPr>
          <w:cantSplit/>
          <w:trHeight w:val="288"/>
          <w:jc w:val="center"/>
        </w:trPr>
        <w:tc>
          <w:tcPr>
            <w:tcW w:w="1800" w:type="dxa"/>
            <w:tcBorders>
              <w:top w:val="dotted" w:sz="4" w:space="0" w:color="auto"/>
              <w:bottom w:val="dotted" w:sz="4" w:space="0" w:color="auto"/>
            </w:tcBorders>
            <w:shd w:val="clear" w:color="auto" w:fill="auto"/>
            <w:noWrap/>
            <w:vAlign w:val="center"/>
            <w:hideMark/>
          </w:tcPr>
          <w:p w14:paraId="0C8AD9FC" w14:textId="7836E776" w:rsidR="007A3C64" w:rsidRPr="007A3C64" w:rsidRDefault="007A3C64" w:rsidP="005C1ED9">
            <w:pPr>
              <w:pStyle w:val="ExhibitText"/>
              <w:jc w:val="left"/>
              <w:rPr>
                <w:color w:val="000000"/>
                <w:sz w:val="18"/>
                <w:szCs w:val="18"/>
              </w:rPr>
            </w:pPr>
            <w:r w:rsidRPr="007A3C64">
              <w:rPr>
                <w:color w:val="000000"/>
                <w:sz w:val="18"/>
                <w:szCs w:val="18"/>
              </w:rPr>
              <w:t>April 3, 2007</w:t>
            </w:r>
          </w:p>
        </w:tc>
        <w:tc>
          <w:tcPr>
            <w:tcW w:w="3868" w:type="dxa"/>
            <w:tcBorders>
              <w:top w:val="dotted" w:sz="4" w:space="0" w:color="auto"/>
              <w:bottom w:val="dotted" w:sz="4" w:space="0" w:color="auto"/>
            </w:tcBorders>
            <w:shd w:val="clear" w:color="auto" w:fill="auto"/>
            <w:vAlign w:val="center"/>
            <w:hideMark/>
          </w:tcPr>
          <w:p w14:paraId="45D955B0" w14:textId="77777777" w:rsidR="007A3C64" w:rsidRPr="007A3C64" w:rsidRDefault="007A3C64" w:rsidP="005C1ED9">
            <w:pPr>
              <w:pStyle w:val="ExhibitText"/>
              <w:ind w:right="144"/>
              <w:jc w:val="left"/>
              <w:rPr>
                <w:color w:val="000000"/>
                <w:sz w:val="18"/>
                <w:szCs w:val="18"/>
              </w:rPr>
            </w:pPr>
            <w:r w:rsidRPr="007A3C64">
              <w:rPr>
                <w:color w:val="000000"/>
                <w:sz w:val="18"/>
                <w:szCs w:val="18"/>
              </w:rPr>
              <w:t>Banques Populaires/France acquired Foncia Groupe SAS for €516.75 million. The transaction was announced on April 3, 2007, and completed on May 10, 2007.</w:t>
            </w:r>
          </w:p>
        </w:tc>
        <w:tc>
          <w:tcPr>
            <w:tcW w:w="1710" w:type="dxa"/>
            <w:tcBorders>
              <w:top w:val="dotted" w:sz="4" w:space="0" w:color="auto"/>
              <w:bottom w:val="dotted" w:sz="4" w:space="0" w:color="auto"/>
            </w:tcBorders>
            <w:shd w:val="clear" w:color="auto" w:fill="auto"/>
            <w:vAlign w:val="center"/>
            <w:hideMark/>
          </w:tcPr>
          <w:p w14:paraId="3DB9232B" w14:textId="77777777" w:rsidR="007A3C64" w:rsidRPr="007A3C64" w:rsidRDefault="007A3C64" w:rsidP="005C1ED9">
            <w:pPr>
              <w:pStyle w:val="ExhibitText"/>
              <w:ind w:right="144"/>
              <w:jc w:val="left"/>
              <w:rPr>
                <w:color w:val="000000"/>
                <w:sz w:val="18"/>
                <w:szCs w:val="18"/>
              </w:rPr>
            </w:pPr>
            <w:r w:rsidRPr="007A3C64">
              <w:rPr>
                <w:color w:val="000000"/>
                <w:sz w:val="18"/>
                <w:szCs w:val="18"/>
              </w:rPr>
              <w:t>Foncia Groupe SAS</w:t>
            </w:r>
          </w:p>
        </w:tc>
        <w:tc>
          <w:tcPr>
            <w:tcW w:w="1711" w:type="dxa"/>
            <w:tcBorders>
              <w:top w:val="dotted" w:sz="4" w:space="0" w:color="auto"/>
              <w:bottom w:val="dotted" w:sz="4" w:space="0" w:color="auto"/>
            </w:tcBorders>
            <w:shd w:val="clear" w:color="auto" w:fill="auto"/>
            <w:noWrap/>
            <w:vAlign w:val="center"/>
            <w:hideMark/>
          </w:tcPr>
          <w:p w14:paraId="0287077C" w14:textId="77777777" w:rsidR="007A3C64" w:rsidRPr="007A3C64" w:rsidRDefault="007A3C64" w:rsidP="005C1ED9">
            <w:pPr>
              <w:pStyle w:val="ExhibitText"/>
              <w:ind w:right="144"/>
              <w:jc w:val="left"/>
              <w:rPr>
                <w:color w:val="000000"/>
                <w:sz w:val="18"/>
                <w:szCs w:val="18"/>
              </w:rPr>
            </w:pPr>
            <w:r w:rsidRPr="007A3C64">
              <w:rPr>
                <w:color w:val="000000"/>
                <w:sz w:val="18"/>
                <w:szCs w:val="18"/>
              </w:rPr>
              <w:t>France</w:t>
            </w:r>
          </w:p>
        </w:tc>
        <w:tc>
          <w:tcPr>
            <w:tcW w:w="1711" w:type="dxa"/>
            <w:tcBorders>
              <w:top w:val="dotted" w:sz="4" w:space="0" w:color="auto"/>
              <w:bottom w:val="dotted" w:sz="4" w:space="0" w:color="auto"/>
            </w:tcBorders>
            <w:shd w:val="clear" w:color="auto" w:fill="auto"/>
            <w:vAlign w:val="center"/>
            <w:hideMark/>
          </w:tcPr>
          <w:p w14:paraId="1136D1E1" w14:textId="77777777" w:rsidR="007A3C64" w:rsidRPr="007A3C64" w:rsidRDefault="007A3C64" w:rsidP="005C1ED9">
            <w:pPr>
              <w:pStyle w:val="ExhibitText"/>
              <w:ind w:right="144"/>
              <w:jc w:val="left"/>
              <w:rPr>
                <w:color w:val="000000"/>
                <w:sz w:val="18"/>
                <w:szCs w:val="18"/>
              </w:rPr>
            </w:pPr>
            <w:r w:rsidRPr="007A3C64">
              <w:rPr>
                <w:color w:val="000000"/>
                <w:sz w:val="18"/>
                <w:szCs w:val="18"/>
              </w:rPr>
              <w:t>Banques Populaires/France</w:t>
            </w:r>
          </w:p>
        </w:tc>
        <w:tc>
          <w:tcPr>
            <w:tcW w:w="1350" w:type="dxa"/>
            <w:tcBorders>
              <w:top w:val="dotted" w:sz="4" w:space="0" w:color="auto"/>
              <w:bottom w:val="dotted" w:sz="4" w:space="0" w:color="auto"/>
            </w:tcBorders>
            <w:shd w:val="clear" w:color="auto" w:fill="auto"/>
            <w:noWrap/>
            <w:vAlign w:val="center"/>
            <w:hideMark/>
          </w:tcPr>
          <w:p w14:paraId="7F1E5032" w14:textId="77777777" w:rsidR="007A3C64" w:rsidRPr="007A3C64" w:rsidRDefault="007A3C64" w:rsidP="005C1ED9">
            <w:pPr>
              <w:pStyle w:val="ExhibitText"/>
              <w:jc w:val="right"/>
              <w:rPr>
                <w:color w:val="000000"/>
                <w:sz w:val="18"/>
                <w:szCs w:val="18"/>
              </w:rPr>
            </w:pPr>
            <w:r w:rsidRPr="007A3C64">
              <w:rPr>
                <w:color w:val="000000"/>
                <w:sz w:val="18"/>
                <w:szCs w:val="18"/>
              </w:rPr>
              <w:t>690.3</w:t>
            </w:r>
          </w:p>
        </w:tc>
        <w:tc>
          <w:tcPr>
            <w:tcW w:w="1170" w:type="dxa"/>
            <w:tcBorders>
              <w:top w:val="dotted" w:sz="4" w:space="0" w:color="auto"/>
              <w:bottom w:val="dotted" w:sz="4" w:space="0" w:color="auto"/>
            </w:tcBorders>
            <w:shd w:val="clear" w:color="auto" w:fill="auto"/>
            <w:noWrap/>
            <w:vAlign w:val="center"/>
            <w:hideMark/>
          </w:tcPr>
          <w:p w14:paraId="48F78C7E" w14:textId="77777777" w:rsidR="007A3C64" w:rsidRPr="007A3C64" w:rsidRDefault="007A3C64" w:rsidP="005C1ED9">
            <w:pPr>
              <w:pStyle w:val="ExhibitText"/>
              <w:jc w:val="right"/>
              <w:rPr>
                <w:color w:val="000000"/>
                <w:sz w:val="18"/>
                <w:szCs w:val="18"/>
              </w:rPr>
            </w:pPr>
            <w:r w:rsidRPr="007A3C64">
              <w:rPr>
                <w:color w:val="000000"/>
                <w:sz w:val="18"/>
                <w:szCs w:val="18"/>
              </w:rPr>
              <w:t>0.8%</w:t>
            </w:r>
          </w:p>
        </w:tc>
      </w:tr>
    </w:tbl>
    <w:p w14:paraId="67E63CA1" w14:textId="2A8305D7" w:rsidR="00704333" w:rsidRDefault="00704333" w:rsidP="0052696C">
      <w:pPr>
        <w:pStyle w:val="ExhibitText"/>
      </w:pPr>
    </w:p>
    <w:p w14:paraId="7F83DF92" w14:textId="77777777" w:rsidR="00704333" w:rsidRDefault="00704333">
      <w:pPr>
        <w:spacing w:after="200" w:line="276" w:lineRule="auto"/>
      </w:pPr>
      <w:r>
        <w:br w:type="page"/>
      </w:r>
    </w:p>
    <w:p w14:paraId="16908E19" w14:textId="18FF9273" w:rsidR="00704333" w:rsidRDefault="00704333" w:rsidP="00704333">
      <w:pPr>
        <w:pStyle w:val="ExhibitHeading"/>
        <w:rPr>
          <w:lang w:val="en-CA"/>
        </w:rPr>
      </w:pPr>
      <w:r w:rsidRPr="00B214F7">
        <w:rPr>
          <w:lang w:val="en-CA"/>
        </w:rPr>
        <w:t xml:space="preserve">Exhibit </w:t>
      </w:r>
      <w:r>
        <w:rPr>
          <w:lang w:val="en-CA"/>
        </w:rPr>
        <w:t>9: Precedent transactions (Continued)</w:t>
      </w:r>
    </w:p>
    <w:p w14:paraId="469057BF" w14:textId="77777777" w:rsidR="00704333" w:rsidRDefault="00704333" w:rsidP="0052696C">
      <w:pPr>
        <w:pStyle w:val="ExhibitText"/>
      </w:pPr>
    </w:p>
    <w:tbl>
      <w:tblPr>
        <w:tblW w:w="5000" w:type="pct"/>
        <w:jc w:val="center"/>
        <w:tblBorders>
          <w:top w:val="double" w:sz="4" w:space="0" w:color="auto"/>
          <w:bottom w:val="double" w:sz="4" w:space="0" w:color="auto"/>
        </w:tblBorders>
        <w:tblCellMar>
          <w:top w:w="58" w:type="dxa"/>
          <w:left w:w="29" w:type="dxa"/>
          <w:bottom w:w="58" w:type="dxa"/>
          <w:right w:w="29" w:type="dxa"/>
        </w:tblCellMar>
        <w:tblLook w:val="04A0" w:firstRow="1" w:lastRow="0" w:firstColumn="1" w:lastColumn="0" w:noHBand="0" w:noVBand="1"/>
      </w:tblPr>
      <w:tblGrid>
        <w:gridCol w:w="1800"/>
        <w:gridCol w:w="3868"/>
        <w:gridCol w:w="1710"/>
        <w:gridCol w:w="1711"/>
        <w:gridCol w:w="1711"/>
        <w:gridCol w:w="1350"/>
        <w:gridCol w:w="1170"/>
      </w:tblGrid>
      <w:tr w:rsidR="00704333" w:rsidRPr="005C1ED9" w14:paraId="765395FB" w14:textId="77777777" w:rsidTr="00BD644A">
        <w:trPr>
          <w:cantSplit/>
          <w:trHeight w:val="288"/>
          <w:tblHeader/>
          <w:jc w:val="center"/>
        </w:trPr>
        <w:tc>
          <w:tcPr>
            <w:tcW w:w="1800" w:type="dxa"/>
            <w:tcBorders>
              <w:top w:val="double" w:sz="4" w:space="0" w:color="auto"/>
              <w:bottom w:val="single" w:sz="4" w:space="0" w:color="auto"/>
            </w:tcBorders>
            <w:shd w:val="clear" w:color="auto" w:fill="auto"/>
            <w:vAlign w:val="center"/>
            <w:hideMark/>
          </w:tcPr>
          <w:p w14:paraId="483E7D85" w14:textId="77777777" w:rsidR="00704333" w:rsidRPr="005C1ED9" w:rsidRDefault="00704333" w:rsidP="00BD644A">
            <w:pPr>
              <w:pStyle w:val="ExhibitText"/>
              <w:jc w:val="left"/>
              <w:rPr>
                <w:b/>
                <w:sz w:val="18"/>
                <w:szCs w:val="18"/>
                <w:lang w:val="en-CA"/>
              </w:rPr>
            </w:pPr>
            <w:r w:rsidRPr="005C1ED9">
              <w:rPr>
                <w:b/>
                <w:sz w:val="18"/>
                <w:szCs w:val="18"/>
              </w:rPr>
              <w:t>Announce Date</w:t>
            </w:r>
          </w:p>
        </w:tc>
        <w:tc>
          <w:tcPr>
            <w:tcW w:w="3868" w:type="dxa"/>
            <w:tcBorders>
              <w:top w:val="double" w:sz="4" w:space="0" w:color="auto"/>
              <w:bottom w:val="single" w:sz="4" w:space="0" w:color="auto"/>
            </w:tcBorders>
            <w:shd w:val="clear" w:color="auto" w:fill="auto"/>
            <w:vAlign w:val="center"/>
            <w:hideMark/>
          </w:tcPr>
          <w:p w14:paraId="206229AA" w14:textId="77777777" w:rsidR="00704333" w:rsidRPr="005C1ED9" w:rsidRDefault="00704333" w:rsidP="00BD644A">
            <w:pPr>
              <w:pStyle w:val="ExhibitText"/>
              <w:ind w:right="144"/>
              <w:jc w:val="left"/>
              <w:rPr>
                <w:b/>
                <w:sz w:val="18"/>
                <w:szCs w:val="18"/>
              </w:rPr>
            </w:pPr>
            <w:r w:rsidRPr="005C1ED9">
              <w:rPr>
                <w:b/>
                <w:sz w:val="18"/>
                <w:szCs w:val="18"/>
              </w:rPr>
              <w:t>Deal Description</w:t>
            </w:r>
          </w:p>
        </w:tc>
        <w:tc>
          <w:tcPr>
            <w:tcW w:w="1710" w:type="dxa"/>
            <w:tcBorders>
              <w:top w:val="double" w:sz="4" w:space="0" w:color="auto"/>
              <w:bottom w:val="single" w:sz="4" w:space="0" w:color="auto"/>
            </w:tcBorders>
            <w:shd w:val="clear" w:color="auto" w:fill="auto"/>
            <w:vAlign w:val="center"/>
            <w:hideMark/>
          </w:tcPr>
          <w:p w14:paraId="70E52A22" w14:textId="77777777" w:rsidR="00704333" w:rsidRPr="005C1ED9" w:rsidRDefault="00704333" w:rsidP="00BD644A">
            <w:pPr>
              <w:pStyle w:val="ExhibitText"/>
              <w:ind w:right="144"/>
              <w:jc w:val="left"/>
              <w:rPr>
                <w:b/>
                <w:sz w:val="18"/>
                <w:szCs w:val="18"/>
              </w:rPr>
            </w:pPr>
            <w:r w:rsidRPr="005C1ED9">
              <w:rPr>
                <w:b/>
                <w:sz w:val="18"/>
                <w:szCs w:val="18"/>
              </w:rPr>
              <w:t>Target Name</w:t>
            </w:r>
          </w:p>
        </w:tc>
        <w:tc>
          <w:tcPr>
            <w:tcW w:w="1711" w:type="dxa"/>
            <w:tcBorders>
              <w:top w:val="double" w:sz="4" w:space="0" w:color="auto"/>
              <w:bottom w:val="single" w:sz="4" w:space="0" w:color="auto"/>
            </w:tcBorders>
            <w:shd w:val="clear" w:color="auto" w:fill="auto"/>
            <w:vAlign w:val="center"/>
            <w:hideMark/>
          </w:tcPr>
          <w:p w14:paraId="228E5037" w14:textId="77777777" w:rsidR="00704333" w:rsidRPr="005C1ED9" w:rsidRDefault="00704333" w:rsidP="00BD644A">
            <w:pPr>
              <w:pStyle w:val="ExhibitText"/>
              <w:ind w:right="144"/>
              <w:jc w:val="left"/>
              <w:rPr>
                <w:b/>
                <w:sz w:val="18"/>
                <w:szCs w:val="18"/>
              </w:rPr>
            </w:pPr>
            <w:r w:rsidRPr="005C1ED9">
              <w:rPr>
                <w:b/>
                <w:sz w:val="18"/>
                <w:szCs w:val="18"/>
              </w:rPr>
              <w:t>Target Country</w:t>
            </w:r>
          </w:p>
        </w:tc>
        <w:tc>
          <w:tcPr>
            <w:tcW w:w="1711" w:type="dxa"/>
            <w:tcBorders>
              <w:top w:val="double" w:sz="4" w:space="0" w:color="auto"/>
              <w:bottom w:val="single" w:sz="4" w:space="0" w:color="auto"/>
            </w:tcBorders>
            <w:shd w:val="clear" w:color="auto" w:fill="auto"/>
            <w:vAlign w:val="center"/>
            <w:hideMark/>
          </w:tcPr>
          <w:p w14:paraId="48A81D2E" w14:textId="77777777" w:rsidR="00704333" w:rsidRPr="005C1ED9" w:rsidRDefault="00704333" w:rsidP="00BD644A">
            <w:pPr>
              <w:pStyle w:val="ExhibitText"/>
              <w:ind w:right="144"/>
              <w:jc w:val="left"/>
              <w:rPr>
                <w:b/>
                <w:sz w:val="18"/>
                <w:szCs w:val="18"/>
              </w:rPr>
            </w:pPr>
            <w:r w:rsidRPr="005C1ED9">
              <w:rPr>
                <w:b/>
                <w:sz w:val="18"/>
                <w:szCs w:val="18"/>
              </w:rPr>
              <w:t>Acquirer Name</w:t>
            </w:r>
          </w:p>
        </w:tc>
        <w:tc>
          <w:tcPr>
            <w:tcW w:w="1350" w:type="dxa"/>
            <w:tcBorders>
              <w:top w:val="double" w:sz="4" w:space="0" w:color="auto"/>
              <w:bottom w:val="single" w:sz="4" w:space="0" w:color="auto"/>
            </w:tcBorders>
            <w:shd w:val="clear" w:color="auto" w:fill="auto"/>
            <w:vAlign w:val="center"/>
            <w:hideMark/>
          </w:tcPr>
          <w:p w14:paraId="74744753" w14:textId="77777777" w:rsidR="00704333" w:rsidRPr="005C1ED9" w:rsidRDefault="00704333" w:rsidP="00BD644A">
            <w:pPr>
              <w:pStyle w:val="ExhibitText"/>
              <w:jc w:val="center"/>
              <w:rPr>
                <w:b/>
                <w:sz w:val="18"/>
                <w:szCs w:val="18"/>
              </w:rPr>
            </w:pPr>
            <w:r w:rsidRPr="005C1ED9">
              <w:rPr>
                <w:b/>
                <w:sz w:val="18"/>
                <w:szCs w:val="18"/>
              </w:rPr>
              <w:t>Announced Total Value</w:t>
            </w:r>
            <w:r w:rsidRPr="005C1ED9">
              <w:rPr>
                <w:b/>
                <w:sz w:val="18"/>
                <w:szCs w:val="18"/>
              </w:rPr>
              <w:br/>
              <w:t>(US$ millions)</w:t>
            </w:r>
          </w:p>
        </w:tc>
        <w:tc>
          <w:tcPr>
            <w:tcW w:w="1170" w:type="dxa"/>
            <w:tcBorders>
              <w:top w:val="double" w:sz="4" w:space="0" w:color="auto"/>
              <w:bottom w:val="single" w:sz="4" w:space="0" w:color="auto"/>
            </w:tcBorders>
            <w:shd w:val="clear" w:color="auto" w:fill="auto"/>
            <w:vAlign w:val="center"/>
            <w:hideMark/>
          </w:tcPr>
          <w:p w14:paraId="2BE11E49" w14:textId="77777777" w:rsidR="00704333" w:rsidRPr="005C1ED9" w:rsidRDefault="00704333" w:rsidP="00BD644A">
            <w:pPr>
              <w:pStyle w:val="ExhibitText"/>
              <w:jc w:val="center"/>
              <w:rPr>
                <w:b/>
                <w:sz w:val="18"/>
                <w:szCs w:val="18"/>
              </w:rPr>
            </w:pPr>
            <w:r w:rsidRPr="005C1ED9">
              <w:rPr>
                <w:b/>
                <w:sz w:val="18"/>
                <w:szCs w:val="18"/>
              </w:rPr>
              <w:t xml:space="preserve">Announced </w:t>
            </w:r>
            <w:r w:rsidRPr="005C1ED9">
              <w:rPr>
                <w:b/>
                <w:sz w:val="18"/>
                <w:szCs w:val="18"/>
              </w:rPr>
              <w:br/>
              <w:t>Premium</w:t>
            </w:r>
          </w:p>
        </w:tc>
      </w:tr>
      <w:tr w:rsidR="007A3C64" w:rsidRPr="007A3C64" w14:paraId="519FCC7D" w14:textId="77777777" w:rsidTr="00704333">
        <w:trPr>
          <w:cantSplit/>
          <w:trHeight w:val="288"/>
          <w:jc w:val="center"/>
        </w:trPr>
        <w:tc>
          <w:tcPr>
            <w:tcW w:w="1800" w:type="dxa"/>
            <w:tcBorders>
              <w:top w:val="dotted" w:sz="4" w:space="0" w:color="auto"/>
              <w:bottom w:val="dotted" w:sz="4" w:space="0" w:color="auto"/>
            </w:tcBorders>
            <w:shd w:val="clear" w:color="auto" w:fill="auto"/>
            <w:noWrap/>
            <w:vAlign w:val="center"/>
            <w:hideMark/>
          </w:tcPr>
          <w:p w14:paraId="2D962328" w14:textId="475012FD" w:rsidR="007A3C64" w:rsidRPr="007A3C64" w:rsidRDefault="007A3C64" w:rsidP="005C1ED9">
            <w:pPr>
              <w:pStyle w:val="ExhibitText"/>
              <w:jc w:val="left"/>
              <w:rPr>
                <w:color w:val="000000"/>
                <w:sz w:val="18"/>
                <w:szCs w:val="18"/>
              </w:rPr>
            </w:pPr>
            <w:r w:rsidRPr="007A3C64">
              <w:rPr>
                <w:color w:val="000000"/>
                <w:sz w:val="18"/>
                <w:szCs w:val="18"/>
              </w:rPr>
              <w:t>June 29, 2007</w:t>
            </w:r>
          </w:p>
        </w:tc>
        <w:tc>
          <w:tcPr>
            <w:tcW w:w="3868" w:type="dxa"/>
            <w:tcBorders>
              <w:top w:val="dotted" w:sz="4" w:space="0" w:color="auto"/>
              <w:bottom w:val="dotted" w:sz="4" w:space="0" w:color="auto"/>
            </w:tcBorders>
            <w:shd w:val="clear" w:color="auto" w:fill="auto"/>
            <w:vAlign w:val="center"/>
            <w:hideMark/>
          </w:tcPr>
          <w:p w14:paraId="73CF7225" w14:textId="77777777" w:rsidR="007A3C64" w:rsidRPr="007A3C64" w:rsidRDefault="007A3C64" w:rsidP="005C1ED9">
            <w:pPr>
              <w:pStyle w:val="ExhibitText"/>
              <w:ind w:right="144"/>
              <w:jc w:val="left"/>
              <w:rPr>
                <w:color w:val="000000"/>
                <w:sz w:val="18"/>
                <w:szCs w:val="18"/>
              </w:rPr>
            </w:pPr>
            <w:r w:rsidRPr="007A3C64">
              <w:rPr>
                <w:color w:val="000000"/>
                <w:sz w:val="18"/>
                <w:szCs w:val="18"/>
              </w:rPr>
              <w:t>Landic Property hf acquired Landic Property A/S for DKK4,356.53 million. The transaction was announced on June 29, 2007, and completed on September 20, 2007.</w:t>
            </w:r>
          </w:p>
        </w:tc>
        <w:tc>
          <w:tcPr>
            <w:tcW w:w="1710" w:type="dxa"/>
            <w:tcBorders>
              <w:top w:val="dotted" w:sz="4" w:space="0" w:color="auto"/>
              <w:bottom w:val="dotted" w:sz="4" w:space="0" w:color="auto"/>
            </w:tcBorders>
            <w:shd w:val="clear" w:color="auto" w:fill="auto"/>
            <w:vAlign w:val="center"/>
            <w:hideMark/>
          </w:tcPr>
          <w:p w14:paraId="785AF39E" w14:textId="77777777" w:rsidR="007A3C64" w:rsidRPr="007A3C64" w:rsidRDefault="007A3C64" w:rsidP="005C1ED9">
            <w:pPr>
              <w:pStyle w:val="ExhibitText"/>
              <w:ind w:right="144"/>
              <w:jc w:val="left"/>
              <w:rPr>
                <w:color w:val="000000"/>
                <w:sz w:val="18"/>
                <w:szCs w:val="18"/>
              </w:rPr>
            </w:pPr>
            <w:r w:rsidRPr="007A3C64">
              <w:rPr>
                <w:color w:val="000000"/>
                <w:sz w:val="18"/>
                <w:szCs w:val="18"/>
              </w:rPr>
              <w:t>Landic Property A/S</w:t>
            </w:r>
          </w:p>
        </w:tc>
        <w:tc>
          <w:tcPr>
            <w:tcW w:w="1711" w:type="dxa"/>
            <w:tcBorders>
              <w:top w:val="dotted" w:sz="4" w:space="0" w:color="auto"/>
              <w:bottom w:val="dotted" w:sz="4" w:space="0" w:color="auto"/>
            </w:tcBorders>
            <w:shd w:val="clear" w:color="auto" w:fill="auto"/>
            <w:noWrap/>
            <w:vAlign w:val="center"/>
            <w:hideMark/>
          </w:tcPr>
          <w:p w14:paraId="5440F01B" w14:textId="77777777" w:rsidR="007A3C64" w:rsidRPr="007A3C64" w:rsidRDefault="007A3C64" w:rsidP="005C1ED9">
            <w:pPr>
              <w:pStyle w:val="ExhibitText"/>
              <w:ind w:right="144"/>
              <w:jc w:val="left"/>
              <w:rPr>
                <w:color w:val="000000"/>
                <w:sz w:val="18"/>
                <w:szCs w:val="18"/>
              </w:rPr>
            </w:pPr>
            <w:r w:rsidRPr="007A3C64">
              <w:rPr>
                <w:color w:val="000000"/>
                <w:sz w:val="18"/>
                <w:szCs w:val="18"/>
              </w:rPr>
              <w:t>Denmark</w:t>
            </w:r>
          </w:p>
        </w:tc>
        <w:tc>
          <w:tcPr>
            <w:tcW w:w="1711" w:type="dxa"/>
            <w:tcBorders>
              <w:top w:val="dotted" w:sz="4" w:space="0" w:color="auto"/>
              <w:bottom w:val="dotted" w:sz="4" w:space="0" w:color="auto"/>
            </w:tcBorders>
            <w:shd w:val="clear" w:color="auto" w:fill="auto"/>
            <w:vAlign w:val="center"/>
            <w:hideMark/>
          </w:tcPr>
          <w:p w14:paraId="5A481173" w14:textId="77777777" w:rsidR="007A3C64" w:rsidRPr="007A3C64" w:rsidRDefault="007A3C64" w:rsidP="005C1ED9">
            <w:pPr>
              <w:pStyle w:val="ExhibitText"/>
              <w:ind w:right="144"/>
              <w:jc w:val="left"/>
              <w:rPr>
                <w:color w:val="000000"/>
                <w:sz w:val="18"/>
                <w:szCs w:val="18"/>
              </w:rPr>
            </w:pPr>
            <w:r w:rsidRPr="007A3C64">
              <w:rPr>
                <w:color w:val="000000"/>
                <w:sz w:val="18"/>
                <w:szCs w:val="18"/>
              </w:rPr>
              <w:t>Landic Property hf</w:t>
            </w:r>
          </w:p>
        </w:tc>
        <w:tc>
          <w:tcPr>
            <w:tcW w:w="1350" w:type="dxa"/>
            <w:tcBorders>
              <w:top w:val="dotted" w:sz="4" w:space="0" w:color="auto"/>
              <w:bottom w:val="dotted" w:sz="4" w:space="0" w:color="auto"/>
            </w:tcBorders>
            <w:shd w:val="clear" w:color="auto" w:fill="auto"/>
            <w:noWrap/>
            <w:vAlign w:val="center"/>
            <w:hideMark/>
          </w:tcPr>
          <w:p w14:paraId="19D25A39" w14:textId="77777777" w:rsidR="007A3C64" w:rsidRPr="007A3C64" w:rsidRDefault="007A3C64" w:rsidP="005C1ED9">
            <w:pPr>
              <w:pStyle w:val="ExhibitText"/>
              <w:jc w:val="right"/>
              <w:rPr>
                <w:color w:val="000000"/>
                <w:sz w:val="18"/>
                <w:szCs w:val="18"/>
              </w:rPr>
            </w:pPr>
            <w:r w:rsidRPr="007A3C64">
              <w:rPr>
                <w:color w:val="000000"/>
                <w:sz w:val="18"/>
                <w:szCs w:val="18"/>
              </w:rPr>
              <w:t>792.5</w:t>
            </w:r>
          </w:p>
        </w:tc>
        <w:tc>
          <w:tcPr>
            <w:tcW w:w="1170" w:type="dxa"/>
            <w:tcBorders>
              <w:top w:val="dotted" w:sz="4" w:space="0" w:color="auto"/>
              <w:bottom w:val="dotted" w:sz="4" w:space="0" w:color="auto"/>
            </w:tcBorders>
            <w:shd w:val="clear" w:color="auto" w:fill="auto"/>
            <w:noWrap/>
            <w:vAlign w:val="center"/>
            <w:hideMark/>
          </w:tcPr>
          <w:p w14:paraId="35DBF055" w14:textId="77777777" w:rsidR="007A3C64" w:rsidRPr="007A3C64" w:rsidRDefault="007A3C64" w:rsidP="005C1ED9">
            <w:pPr>
              <w:pStyle w:val="ExhibitText"/>
              <w:jc w:val="right"/>
              <w:rPr>
                <w:color w:val="000000"/>
                <w:sz w:val="18"/>
                <w:szCs w:val="18"/>
              </w:rPr>
            </w:pPr>
            <w:r w:rsidRPr="007A3C64">
              <w:rPr>
                <w:color w:val="000000"/>
                <w:sz w:val="18"/>
                <w:szCs w:val="18"/>
              </w:rPr>
              <w:t>11.0%</w:t>
            </w:r>
          </w:p>
        </w:tc>
      </w:tr>
      <w:tr w:rsidR="007A3C64" w:rsidRPr="007A3C64" w14:paraId="442E0C48" w14:textId="77777777" w:rsidTr="00704333">
        <w:trPr>
          <w:cantSplit/>
          <w:trHeight w:val="288"/>
          <w:jc w:val="center"/>
        </w:trPr>
        <w:tc>
          <w:tcPr>
            <w:tcW w:w="1800" w:type="dxa"/>
            <w:tcBorders>
              <w:top w:val="dotted" w:sz="4" w:space="0" w:color="auto"/>
              <w:bottom w:val="dotted" w:sz="4" w:space="0" w:color="auto"/>
            </w:tcBorders>
            <w:shd w:val="clear" w:color="auto" w:fill="auto"/>
            <w:noWrap/>
            <w:vAlign w:val="center"/>
            <w:hideMark/>
          </w:tcPr>
          <w:p w14:paraId="7A74A88E" w14:textId="41DD1F95" w:rsidR="007A3C64" w:rsidRPr="007A3C64" w:rsidRDefault="007A3C64" w:rsidP="005C1ED9">
            <w:pPr>
              <w:pStyle w:val="ExhibitText"/>
              <w:jc w:val="left"/>
              <w:rPr>
                <w:sz w:val="18"/>
                <w:szCs w:val="18"/>
              </w:rPr>
            </w:pPr>
            <w:r w:rsidRPr="007A3C64">
              <w:rPr>
                <w:sz w:val="18"/>
                <w:szCs w:val="18"/>
              </w:rPr>
              <w:t>June 15, 2010</w:t>
            </w:r>
          </w:p>
        </w:tc>
        <w:tc>
          <w:tcPr>
            <w:tcW w:w="3868" w:type="dxa"/>
            <w:tcBorders>
              <w:top w:val="dotted" w:sz="4" w:space="0" w:color="auto"/>
              <w:bottom w:val="dotted" w:sz="4" w:space="0" w:color="auto"/>
            </w:tcBorders>
            <w:shd w:val="clear" w:color="auto" w:fill="auto"/>
            <w:vAlign w:val="center"/>
            <w:hideMark/>
          </w:tcPr>
          <w:p w14:paraId="687344EC" w14:textId="77777777" w:rsidR="007A3C64" w:rsidRPr="007A3C64" w:rsidRDefault="007A3C64" w:rsidP="005C1ED9">
            <w:pPr>
              <w:pStyle w:val="ExhibitText"/>
              <w:ind w:right="144"/>
              <w:jc w:val="left"/>
              <w:rPr>
                <w:sz w:val="18"/>
                <w:szCs w:val="18"/>
              </w:rPr>
            </w:pPr>
            <w:r w:rsidRPr="007A3C64">
              <w:rPr>
                <w:sz w:val="18"/>
                <w:szCs w:val="18"/>
              </w:rPr>
              <w:t>Conwert Immobilien Invest GmbH acquired ECO Business-Immobilien AG for €629.10 million. The transaction was announced on June 15, 2010, and completed on November 4, 2010.</w:t>
            </w:r>
          </w:p>
        </w:tc>
        <w:tc>
          <w:tcPr>
            <w:tcW w:w="1710" w:type="dxa"/>
            <w:tcBorders>
              <w:top w:val="dotted" w:sz="4" w:space="0" w:color="auto"/>
              <w:bottom w:val="dotted" w:sz="4" w:space="0" w:color="auto"/>
            </w:tcBorders>
            <w:shd w:val="clear" w:color="auto" w:fill="auto"/>
            <w:vAlign w:val="center"/>
            <w:hideMark/>
          </w:tcPr>
          <w:p w14:paraId="2927FCF5" w14:textId="77777777" w:rsidR="007A3C64" w:rsidRPr="007A3C64" w:rsidRDefault="007A3C64" w:rsidP="005C1ED9">
            <w:pPr>
              <w:pStyle w:val="ExhibitText"/>
              <w:ind w:right="144"/>
              <w:jc w:val="left"/>
              <w:rPr>
                <w:sz w:val="18"/>
                <w:szCs w:val="18"/>
              </w:rPr>
            </w:pPr>
            <w:r w:rsidRPr="007A3C64">
              <w:rPr>
                <w:sz w:val="18"/>
                <w:szCs w:val="18"/>
              </w:rPr>
              <w:t>ECO Business-Immobilien AG</w:t>
            </w:r>
          </w:p>
        </w:tc>
        <w:tc>
          <w:tcPr>
            <w:tcW w:w="1711" w:type="dxa"/>
            <w:tcBorders>
              <w:top w:val="dotted" w:sz="4" w:space="0" w:color="auto"/>
              <w:bottom w:val="dotted" w:sz="4" w:space="0" w:color="auto"/>
            </w:tcBorders>
            <w:shd w:val="clear" w:color="auto" w:fill="auto"/>
            <w:noWrap/>
            <w:vAlign w:val="center"/>
            <w:hideMark/>
          </w:tcPr>
          <w:p w14:paraId="7E201A11" w14:textId="77777777" w:rsidR="007A3C64" w:rsidRPr="007A3C64" w:rsidRDefault="007A3C64" w:rsidP="005C1ED9">
            <w:pPr>
              <w:pStyle w:val="ExhibitText"/>
              <w:ind w:right="144"/>
              <w:jc w:val="left"/>
              <w:rPr>
                <w:sz w:val="18"/>
                <w:szCs w:val="18"/>
              </w:rPr>
            </w:pPr>
            <w:r w:rsidRPr="007A3C64">
              <w:rPr>
                <w:sz w:val="18"/>
                <w:szCs w:val="18"/>
              </w:rPr>
              <w:t>Germany</w:t>
            </w:r>
          </w:p>
        </w:tc>
        <w:tc>
          <w:tcPr>
            <w:tcW w:w="1711" w:type="dxa"/>
            <w:tcBorders>
              <w:top w:val="dotted" w:sz="4" w:space="0" w:color="auto"/>
              <w:bottom w:val="dotted" w:sz="4" w:space="0" w:color="auto"/>
            </w:tcBorders>
            <w:shd w:val="clear" w:color="auto" w:fill="auto"/>
            <w:vAlign w:val="center"/>
            <w:hideMark/>
          </w:tcPr>
          <w:p w14:paraId="309500ED" w14:textId="77777777" w:rsidR="007A3C64" w:rsidRPr="007A3C64" w:rsidRDefault="007A3C64" w:rsidP="005C1ED9">
            <w:pPr>
              <w:pStyle w:val="ExhibitText"/>
              <w:ind w:right="144"/>
              <w:jc w:val="left"/>
              <w:rPr>
                <w:sz w:val="18"/>
                <w:szCs w:val="18"/>
              </w:rPr>
            </w:pPr>
            <w:r w:rsidRPr="007A3C64">
              <w:rPr>
                <w:sz w:val="18"/>
                <w:szCs w:val="18"/>
              </w:rPr>
              <w:t>Conwert Immobilien Invest. GmbH</w:t>
            </w:r>
          </w:p>
        </w:tc>
        <w:tc>
          <w:tcPr>
            <w:tcW w:w="1350" w:type="dxa"/>
            <w:tcBorders>
              <w:top w:val="dotted" w:sz="4" w:space="0" w:color="auto"/>
              <w:bottom w:val="dotted" w:sz="4" w:space="0" w:color="auto"/>
            </w:tcBorders>
            <w:shd w:val="clear" w:color="auto" w:fill="auto"/>
            <w:noWrap/>
            <w:vAlign w:val="center"/>
            <w:hideMark/>
          </w:tcPr>
          <w:p w14:paraId="5F515C96" w14:textId="77777777" w:rsidR="007A3C64" w:rsidRPr="007A3C64" w:rsidRDefault="007A3C64" w:rsidP="005C1ED9">
            <w:pPr>
              <w:pStyle w:val="ExhibitText"/>
              <w:jc w:val="right"/>
              <w:rPr>
                <w:sz w:val="18"/>
                <w:szCs w:val="18"/>
              </w:rPr>
            </w:pPr>
            <w:r w:rsidRPr="007A3C64">
              <w:rPr>
                <w:sz w:val="18"/>
                <w:szCs w:val="18"/>
              </w:rPr>
              <w:t>775.7</w:t>
            </w:r>
          </w:p>
        </w:tc>
        <w:tc>
          <w:tcPr>
            <w:tcW w:w="1170" w:type="dxa"/>
            <w:tcBorders>
              <w:top w:val="dotted" w:sz="4" w:space="0" w:color="auto"/>
              <w:bottom w:val="dotted" w:sz="4" w:space="0" w:color="auto"/>
            </w:tcBorders>
            <w:shd w:val="clear" w:color="auto" w:fill="auto"/>
            <w:noWrap/>
            <w:vAlign w:val="center"/>
            <w:hideMark/>
          </w:tcPr>
          <w:p w14:paraId="4F59D430" w14:textId="77777777" w:rsidR="007A3C64" w:rsidRPr="007A3C64" w:rsidRDefault="007A3C64" w:rsidP="005C1ED9">
            <w:pPr>
              <w:pStyle w:val="ExhibitText"/>
              <w:jc w:val="right"/>
              <w:rPr>
                <w:sz w:val="18"/>
                <w:szCs w:val="18"/>
              </w:rPr>
            </w:pPr>
            <w:r w:rsidRPr="007A3C64">
              <w:rPr>
                <w:sz w:val="18"/>
                <w:szCs w:val="18"/>
              </w:rPr>
              <w:t>38.8%</w:t>
            </w:r>
          </w:p>
        </w:tc>
      </w:tr>
      <w:tr w:rsidR="007A3C64" w:rsidRPr="007A3C64" w14:paraId="229E33F2" w14:textId="77777777" w:rsidTr="00704333">
        <w:trPr>
          <w:cantSplit/>
          <w:trHeight w:val="288"/>
          <w:jc w:val="center"/>
        </w:trPr>
        <w:tc>
          <w:tcPr>
            <w:tcW w:w="1800" w:type="dxa"/>
            <w:tcBorders>
              <w:top w:val="dotted" w:sz="4" w:space="0" w:color="auto"/>
              <w:bottom w:val="dotted" w:sz="4" w:space="0" w:color="auto"/>
            </w:tcBorders>
            <w:shd w:val="clear" w:color="auto" w:fill="auto"/>
            <w:noWrap/>
            <w:vAlign w:val="center"/>
            <w:hideMark/>
          </w:tcPr>
          <w:p w14:paraId="3599EDA4" w14:textId="0F66554F" w:rsidR="007A3C64" w:rsidRPr="007A3C64" w:rsidRDefault="007A3C64" w:rsidP="005C1ED9">
            <w:pPr>
              <w:pStyle w:val="ExhibitText"/>
              <w:jc w:val="left"/>
              <w:rPr>
                <w:sz w:val="18"/>
                <w:szCs w:val="18"/>
              </w:rPr>
            </w:pPr>
            <w:r w:rsidRPr="007A3C64">
              <w:rPr>
                <w:sz w:val="18"/>
                <w:szCs w:val="18"/>
              </w:rPr>
              <w:t>October 4, 2010</w:t>
            </w:r>
          </w:p>
        </w:tc>
        <w:tc>
          <w:tcPr>
            <w:tcW w:w="3868" w:type="dxa"/>
            <w:tcBorders>
              <w:top w:val="dotted" w:sz="4" w:space="0" w:color="auto"/>
              <w:bottom w:val="dotted" w:sz="4" w:space="0" w:color="auto"/>
            </w:tcBorders>
            <w:shd w:val="clear" w:color="auto" w:fill="auto"/>
            <w:vAlign w:val="center"/>
            <w:hideMark/>
          </w:tcPr>
          <w:p w14:paraId="6D3E6AFE" w14:textId="77777777" w:rsidR="007A3C64" w:rsidRPr="007A3C64" w:rsidRDefault="007A3C64" w:rsidP="005C1ED9">
            <w:pPr>
              <w:pStyle w:val="ExhibitText"/>
              <w:ind w:right="144"/>
              <w:jc w:val="left"/>
              <w:rPr>
                <w:sz w:val="18"/>
                <w:szCs w:val="18"/>
              </w:rPr>
            </w:pPr>
            <w:r w:rsidRPr="007A3C64">
              <w:rPr>
                <w:sz w:val="18"/>
                <w:szCs w:val="18"/>
              </w:rPr>
              <w:t>British Columbia Investment Management Corp. acquired Parkbridge Lifestyle Communities Inc. for CA$787.09M. The transaction was announced on October 4, 2010, and completed on January 12, 2011.</w:t>
            </w:r>
          </w:p>
        </w:tc>
        <w:tc>
          <w:tcPr>
            <w:tcW w:w="1710" w:type="dxa"/>
            <w:tcBorders>
              <w:top w:val="dotted" w:sz="4" w:space="0" w:color="auto"/>
              <w:bottom w:val="dotted" w:sz="4" w:space="0" w:color="auto"/>
            </w:tcBorders>
            <w:shd w:val="clear" w:color="auto" w:fill="auto"/>
            <w:vAlign w:val="center"/>
            <w:hideMark/>
          </w:tcPr>
          <w:p w14:paraId="0E9B77E1" w14:textId="77777777" w:rsidR="007A3C64" w:rsidRPr="007A3C64" w:rsidRDefault="007A3C64" w:rsidP="005C1ED9">
            <w:pPr>
              <w:pStyle w:val="ExhibitText"/>
              <w:ind w:right="144"/>
              <w:jc w:val="left"/>
              <w:rPr>
                <w:sz w:val="18"/>
                <w:szCs w:val="18"/>
              </w:rPr>
            </w:pPr>
            <w:r w:rsidRPr="007A3C64">
              <w:rPr>
                <w:sz w:val="18"/>
                <w:szCs w:val="18"/>
              </w:rPr>
              <w:t>Parkbridge Lifestyle Communities Inc.</w:t>
            </w:r>
          </w:p>
        </w:tc>
        <w:tc>
          <w:tcPr>
            <w:tcW w:w="1711" w:type="dxa"/>
            <w:tcBorders>
              <w:top w:val="dotted" w:sz="4" w:space="0" w:color="auto"/>
              <w:bottom w:val="dotted" w:sz="4" w:space="0" w:color="auto"/>
            </w:tcBorders>
            <w:shd w:val="clear" w:color="auto" w:fill="auto"/>
            <w:noWrap/>
            <w:vAlign w:val="center"/>
            <w:hideMark/>
          </w:tcPr>
          <w:p w14:paraId="7D52B1E6" w14:textId="77777777" w:rsidR="007A3C64" w:rsidRPr="007A3C64" w:rsidRDefault="007A3C64" w:rsidP="005C1ED9">
            <w:pPr>
              <w:pStyle w:val="ExhibitText"/>
              <w:ind w:right="144"/>
              <w:jc w:val="left"/>
              <w:rPr>
                <w:sz w:val="18"/>
                <w:szCs w:val="18"/>
              </w:rPr>
            </w:pPr>
            <w:r w:rsidRPr="007A3C64">
              <w:rPr>
                <w:sz w:val="18"/>
                <w:szCs w:val="18"/>
              </w:rPr>
              <w:t>Canada</w:t>
            </w:r>
          </w:p>
        </w:tc>
        <w:tc>
          <w:tcPr>
            <w:tcW w:w="1711" w:type="dxa"/>
            <w:tcBorders>
              <w:top w:val="dotted" w:sz="4" w:space="0" w:color="auto"/>
              <w:bottom w:val="dotted" w:sz="4" w:space="0" w:color="auto"/>
            </w:tcBorders>
            <w:shd w:val="clear" w:color="auto" w:fill="auto"/>
            <w:vAlign w:val="center"/>
            <w:hideMark/>
          </w:tcPr>
          <w:p w14:paraId="687FC97A" w14:textId="77777777" w:rsidR="007A3C64" w:rsidRPr="007A3C64" w:rsidRDefault="007A3C64" w:rsidP="005C1ED9">
            <w:pPr>
              <w:pStyle w:val="ExhibitText"/>
              <w:ind w:right="144"/>
              <w:jc w:val="left"/>
              <w:rPr>
                <w:sz w:val="18"/>
                <w:szCs w:val="18"/>
              </w:rPr>
            </w:pPr>
            <w:r w:rsidRPr="007A3C64">
              <w:rPr>
                <w:sz w:val="18"/>
                <w:szCs w:val="18"/>
              </w:rPr>
              <w:t>British Columbia Investment Management Corp.</w:t>
            </w:r>
          </w:p>
        </w:tc>
        <w:tc>
          <w:tcPr>
            <w:tcW w:w="1350" w:type="dxa"/>
            <w:tcBorders>
              <w:top w:val="dotted" w:sz="4" w:space="0" w:color="auto"/>
              <w:bottom w:val="dotted" w:sz="4" w:space="0" w:color="auto"/>
            </w:tcBorders>
            <w:shd w:val="clear" w:color="auto" w:fill="auto"/>
            <w:noWrap/>
            <w:vAlign w:val="center"/>
            <w:hideMark/>
          </w:tcPr>
          <w:p w14:paraId="09613028" w14:textId="77777777" w:rsidR="007A3C64" w:rsidRPr="007A3C64" w:rsidRDefault="007A3C64" w:rsidP="005C1ED9">
            <w:pPr>
              <w:pStyle w:val="ExhibitText"/>
              <w:jc w:val="right"/>
              <w:rPr>
                <w:sz w:val="18"/>
                <w:szCs w:val="18"/>
              </w:rPr>
            </w:pPr>
            <w:r w:rsidRPr="007A3C64">
              <w:rPr>
                <w:sz w:val="18"/>
                <w:szCs w:val="18"/>
              </w:rPr>
              <w:t>769.2</w:t>
            </w:r>
          </w:p>
        </w:tc>
        <w:tc>
          <w:tcPr>
            <w:tcW w:w="1170" w:type="dxa"/>
            <w:tcBorders>
              <w:top w:val="dotted" w:sz="4" w:space="0" w:color="auto"/>
              <w:bottom w:val="dotted" w:sz="4" w:space="0" w:color="auto"/>
            </w:tcBorders>
            <w:shd w:val="clear" w:color="auto" w:fill="auto"/>
            <w:noWrap/>
            <w:vAlign w:val="center"/>
            <w:hideMark/>
          </w:tcPr>
          <w:p w14:paraId="7081120B" w14:textId="77777777" w:rsidR="007A3C64" w:rsidRPr="007A3C64" w:rsidRDefault="007A3C64" w:rsidP="005C1ED9">
            <w:pPr>
              <w:pStyle w:val="ExhibitText"/>
              <w:jc w:val="right"/>
              <w:rPr>
                <w:sz w:val="18"/>
                <w:szCs w:val="18"/>
              </w:rPr>
            </w:pPr>
            <w:r w:rsidRPr="007A3C64">
              <w:rPr>
                <w:sz w:val="18"/>
                <w:szCs w:val="18"/>
              </w:rPr>
              <w:t>33.4%</w:t>
            </w:r>
          </w:p>
        </w:tc>
      </w:tr>
      <w:tr w:rsidR="007A3C64" w:rsidRPr="007A3C64" w14:paraId="2821AB51" w14:textId="77777777" w:rsidTr="00704333">
        <w:trPr>
          <w:cantSplit/>
          <w:trHeight w:val="288"/>
          <w:jc w:val="center"/>
        </w:trPr>
        <w:tc>
          <w:tcPr>
            <w:tcW w:w="1800" w:type="dxa"/>
            <w:tcBorders>
              <w:top w:val="dotted" w:sz="4" w:space="0" w:color="auto"/>
              <w:bottom w:val="dotted" w:sz="4" w:space="0" w:color="auto"/>
            </w:tcBorders>
            <w:shd w:val="clear" w:color="auto" w:fill="auto"/>
            <w:noWrap/>
            <w:vAlign w:val="center"/>
            <w:hideMark/>
          </w:tcPr>
          <w:p w14:paraId="2A3B9FCF" w14:textId="6B5153C1" w:rsidR="007A3C64" w:rsidRPr="007A3C64" w:rsidRDefault="007A3C64" w:rsidP="005C1ED9">
            <w:pPr>
              <w:pStyle w:val="ExhibitText"/>
              <w:jc w:val="left"/>
              <w:rPr>
                <w:sz w:val="18"/>
                <w:szCs w:val="18"/>
              </w:rPr>
            </w:pPr>
            <w:r w:rsidRPr="007A3C64">
              <w:rPr>
                <w:sz w:val="18"/>
                <w:szCs w:val="18"/>
              </w:rPr>
              <w:t>March 10, 2011</w:t>
            </w:r>
          </w:p>
        </w:tc>
        <w:tc>
          <w:tcPr>
            <w:tcW w:w="3868" w:type="dxa"/>
            <w:tcBorders>
              <w:top w:val="dotted" w:sz="4" w:space="0" w:color="auto"/>
              <w:bottom w:val="dotted" w:sz="4" w:space="0" w:color="auto"/>
            </w:tcBorders>
            <w:shd w:val="clear" w:color="auto" w:fill="auto"/>
            <w:vAlign w:val="center"/>
            <w:hideMark/>
          </w:tcPr>
          <w:p w14:paraId="4C6E9A52" w14:textId="77777777" w:rsidR="007A3C64" w:rsidRPr="007A3C64" w:rsidRDefault="007A3C64" w:rsidP="005C1ED9">
            <w:pPr>
              <w:pStyle w:val="ExhibitText"/>
              <w:ind w:right="144"/>
              <w:jc w:val="left"/>
              <w:rPr>
                <w:sz w:val="18"/>
                <w:szCs w:val="18"/>
              </w:rPr>
            </w:pPr>
            <w:r w:rsidRPr="007A3C64">
              <w:rPr>
                <w:sz w:val="18"/>
                <w:szCs w:val="18"/>
              </w:rPr>
              <w:t>A consortium led by Elbit Imaging Ltd. acquired EDT Retail Trust for AU$1,189.17 million. The transaction was announced on March 10, 2011, and completed on September 6, 2011.</w:t>
            </w:r>
          </w:p>
        </w:tc>
        <w:tc>
          <w:tcPr>
            <w:tcW w:w="1710" w:type="dxa"/>
            <w:tcBorders>
              <w:top w:val="dotted" w:sz="4" w:space="0" w:color="auto"/>
              <w:bottom w:val="dotted" w:sz="4" w:space="0" w:color="auto"/>
            </w:tcBorders>
            <w:shd w:val="clear" w:color="auto" w:fill="auto"/>
            <w:vAlign w:val="center"/>
            <w:hideMark/>
          </w:tcPr>
          <w:p w14:paraId="4A2318A0" w14:textId="77777777" w:rsidR="007A3C64" w:rsidRPr="007A3C64" w:rsidRDefault="007A3C64" w:rsidP="005C1ED9">
            <w:pPr>
              <w:pStyle w:val="ExhibitText"/>
              <w:ind w:right="144"/>
              <w:jc w:val="left"/>
              <w:rPr>
                <w:sz w:val="18"/>
                <w:szCs w:val="18"/>
              </w:rPr>
            </w:pPr>
            <w:r w:rsidRPr="007A3C64">
              <w:rPr>
                <w:sz w:val="18"/>
                <w:szCs w:val="18"/>
              </w:rPr>
              <w:t>EDT Retail Trust</w:t>
            </w:r>
          </w:p>
        </w:tc>
        <w:tc>
          <w:tcPr>
            <w:tcW w:w="1711" w:type="dxa"/>
            <w:tcBorders>
              <w:top w:val="dotted" w:sz="4" w:space="0" w:color="auto"/>
              <w:bottom w:val="dotted" w:sz="4" w:space="0" w:color="auto"/>
            </w:tcBorders>
            <w:shd w:val="clear" w:color="auto" w:fill="auto"/>
            <w:noWrap/>
            <w:vAlign w:val="center"/>
            <w:hideMark/>
          </w:tcPr>
          <w:p w14:paraId="3F748DFD" w14:textId="77777777" w:rsidR="007A3C64" w:rsidRPr="007A3C64" w:rsidRDefault="007A3C64" w:rsidP="005C1ED9">
            <w:pPr>
              <w:pStyle w:val="ExhibitText"/>
              <w:ind w:right="144"/>
              <w:jc w:val="left"/>
              <w:rPr>
                <w:sz w:val="18"/>
                <w:szCs w:val="18"/>
              </w:rPr>
            </w:pPr>
            <w:r w:rsidRPr="007A3C64">
              <w:rPr>
                <w:sz w:val="18"/>
                <w:szCs w:val="18"/>
              </w:rPr>
              <w:t>Australia</w:t>
            </w:r>
          </w:p>
        </w:tc>
        <w:tc>
          <w:tcPr>
            <w:tcW w:w="1711" w:type="dxa"/>
            <w:tcBorders>
              <w:top w:val="dotted" w:sz="4" w:space="0" w:color="auto"/>
              <w:bottom w:val="dotted" w:sz="4" w:space="0" w:color="auto"/>
            </w:tcBorders>
            <w:shd w:val="clear" w:color="auto" w:fill="auto"/>
            <w:vAlign w:val="center"/>
            <w:hideMark/>
          </w:tcPr>
          <w:p w14:paraId="7577F0E8" w14:textId="799518D3" w:rsidR="007A3C64" w:rsidRPr="007A3C64" w:rsidRDefault="007A3C64" w:rsidP="005C1ED9">
            <w:pPr>
              <w:pStyle w:val="ExhibitText"/>
              <w:ind w:right="144"/>
              <w:jc w:val="left"/>
              <w:rPr>
                <w:sz w:val="18"/>
                <w:szCs w:val="18"/>
              </w:rPr>
            </w:pPr>
            <w:r w:rsidRPr="007A3C64">
              <w:rPr>
                <w:sz w:val="18"/>
                <w:szCs w:val="18"/>
              </w:rPr>
              <w:t>Elbit Imaging Ltd., Plaza Centers NV, Eastgate Property LLC</w:t>
            </w:r>
          </w:p>
        </w:tc>
        <w:tc>
          <w:tcPr>
            <w:tcW w:w="1350" w:type="dxa"/>
            <w:tcBorders>
              <w:top w:val="dotted" w:sz="4" w:space="0" w:color="auto"/>
              <w:bottom w:val="dotted" w:sz="4" w:space="0" w:color="auto"/>
            </w:tcBorders>
            <w:shd w:val="clear" w:color="auto" w:fill="auto"/>
            <w:noWrap/>
            <w:vAlign w:val="center"/>
            <w:hideMark/>
          </w:tcPr>
          <w:p w14:paraId="1561F7DC" w14:textId="77777777" w:rsidR="007A3C64" w:rsidRPr="007A3C64" w:rsidRDefault="007A3C64" w:rsidP="005C1ED9">
            <w:pPr>
              <w:pStyle w:val="ExhibitText"/>
              <w:jc w:val="right"/>
              <w:rPr>
                <w:sz w:val="18"/>
                <w:szCs w:val="18"/>
              </w:rPr>
            </w:pPr>
            <w:r w:rsidRPr="007A3C64">
              <w:rPr>
                <w:sz w:val="18"/>
                <w:szCs w:val="18"/>
              </w:rPr>
              <w:t>1,191.2</w:t>
            </w:r>
          </w:p>
        </w:tc>
        <w:tc>
          <w:tcPr>
            <w:tcW w:w="1170" w:type="dxa"/>
            <w:tcBorders>
              <w:top w:val="dotted" w:sz="4" w:space="0" w:color="auto"/>
              <w:bottom w:val="dotted" w:sz="4" w:space="0" w:color="auto"/>
            </w:tcBorders>
            <w:shd w:val="clear" w:color="auto" w:fill="auto"/>
            <w:noWrap/>
            <w:vAlign w:val="center"/>
            <w:hideMark/>
          </w:tcPr>
          <w:p w14:paraId="6A6E64E6" w14:textId="77777777" w:rsidR="007A3C64" w:rsidRPr="007A3C64" w:rsidRDefault="007A3C64" w:rsidP="005C1ED9">
            <w:pPr>
              <w:pStyle w:val="ExhibitText"/>
              <w:jc w:val="right"/>
              <w:rPr>
                <w:sz w:val="18"/>
                <w:szCs w:val="18"/>
              </w:rPr>
            </w:pPr>
            <w:r w:rsidRPr="007A3C64">
              <w:rPr>
                <w:sz w:val="18"/>
                <w:szCs w:val="18"/>
              </w:rPr>
              <w:t>22.6%</w:t>
            </w:r>
          </w:p>
        </w:tc>
      </w:tr>
      <w:tr w:rsidR="007A3C64" w:rsidRPr="007A3C64" w14:paraId="55218B60" w14:textId="77777777" w:rsidTr="00704333">
        <w:trPr>
          <w:cantSplit/>
          <w:trHeight w:val="288"/>
          <w:jc w:val="center"/>
        </w:trPr>
        <w:tc>
          <w:tcPr>
            <w:tcW w:w="1800" w:type="dxa"/>
            <w:tcBorders>
              <w:top w:val="dotted" w:sz="4" w:space="0" w:color="auto"/>
              <w:bottom w:val="double" w:sz="4" w:space="0" w:color="auto"/>
            </w:tcBorders>
            <w:shd w:val="clear" w:color="auto" w:fill="auto"/>
            <w:noWrap/>
            <w:vAlign w:val="center"/>
            <w:hideMark/>
          </w:tcPr>
          <w:p w14:paraId="2EB5FB26" w14:textId="4EC58504" w:rsidR="007A3C64" w:rsidRPr="007A3C64" w:rsidRDefault="007A3C64" w:rsidP="005C1ED9">
            <w:pPr>
              <w:pStyle w:val="ExhibitText"/>
              <w:jc w:val="left"/>
              <w:rPr>
                <w:sz w:val="18"/>
                <w:szCs w:val="18"/>
              </w:rPr>
            </w:pPr>
            <w:r w:rsidRPr="007A3C64">
              <w:rPr>
                <w:sz w:val="18"/>
                <w:szCs w:val="18"/>
              </w:rPr>
              <w:t>January 16, 2013</w:t>
            </w:r>
          </w:p>
        </w:tc>
        <w:tc>
          <w:tcPr>
            <w:tcW w:w="3868" w:type="dxa"/>
            <w:tcBorders>
              <w:top w:val="dotted" w:sz="4" w:space="0" w:color="auto"/>
              <w:bottom w:val="double" w:sz="4" w:space="0" w:color="auto"/>
            </w:tcBorders>
            <w:shd w:val="clear" w:color="auto" w:fill="auto"/>
            <w:vAlign w:val="center"/>
            <w:hideMark/>
          </w:tcPr>
          <w:p w14:paraId="1670A78A" w14:textId="77777777" w:rsidR="007A3C64" w:rsidRPr="007A3C64" w:rsidRDefault="007A3C64" w:rsidP="005C1ED9">
            <w:pPr>
              <w:pStyle w:val="ExhibitText"/>
              <w:ind w:right="144"/>
              <w:jc w:val="left"/>
              <w:rPr>
                <w:sz w:val="18"/>
                <w:szCs w:val="18"/>
              </w:rPr>
            </w:pPr>
            <w:r w:rsidRPr="007A3C64">
              <w:rPr>
                <w:sz w:val="18"/>
                <w:szCs w:val="18"/>
              </w:rPr>
              <w:t>H&amp;R Real Estate Investment Trust acquired Primaris Retail Real Estate Investment Trust for CA$4,049.52 million. The transaction was announced on January 16, 2013, and completed on April 9, 2013. Through the acquisition, H&amp;R became Canada's largest REIT by enterprise value.</w:t>
            </w:r>
          </w:p>
        </w:tc>
        <w:tc>
          <w:tcPr>
            <w:tcW w:w="1710" w:type="dxa"/>
            <w:tcBorders>
              <w:top w:val="dotted" w:sz="4" w:space="0" w:color="auto"/>
              <w:bottom w:val="double" w:sz="4" w:space="0" w:color="auto"/>
            </w:tcBorders>
            <w:shd w:val="clear" w:color="auto" w:fill="auto"/>
            <w:vAlign w:val="center"/>
            <w:hideMark/>
          </w:tcPr>
          <w:p w14:paraId="7AD81E97" w14:textId="77777777" w:rsidR="007A3C64" w:rsidRPr="007A3C64" w:rsidRDefault="007A3C64" w:rsidP="005C1ED9">
            <w:pPr>
              <w:pStyle w:val="ExhibitText"/>
              <w:ind w:right="144"/>
              <w:jc w:val="left"/>
              <w:rPr>
                <w:sz w:val="18"/>
                <w:szCs w:val="18"/>
              </w:rPr>
            </w:pPr>
            <w:r w:rsidRPr="007A3C64">
              <w:rPr>
                <w:sz w:val="18"/>
                <w:szCs w:val="18"/>
              </w:rPr>
              <w:t>Primaris Retail Real Estate Investment Trust</w:t>
            </w:r>
          </w:p>
        </w:tc>
        <w:tc>
          <w:tcPr>
            <w:tcW w:w="1711" w:type="dxa"/>
            <w:tcBorders>
              <w:top w:val="dotted" w:sz="4" w:space="0" w:color="auto"/>
              <w:bottom w:val="double" w:sz="4" w:space="0" w:color="auto"/>
            </w:tcBorders>
            <w:shd w:val="clear" w:color="auto" w:fill="auto"/>
            <w:noWrap/>
            <w:vAlign w:val="center"/>
            <w:hideMark/>
          </w:tcPr>
          <w:p w14:paraId="501A6F4E" w14:textId="77777777" w:rsidR="007A3C64" w:rsidRPr="007A3C64" w:rsidRDefault="007A3C64" w:rsidP="005C1ED9">
            <w:pPr>
              <w:pStyle w:val="ExhibitText"/>
              <w:ind w:right="144"/>
              <w:jc w:val="left"/>
              <w:rPr>
                <w:sz w:val="18"/>
                <w:szCs w:val="18"/>
              </w:rPr>
            </w:pPr>
            <w:r w:rsidRPr="007A3C64">
              <w:rPr>
                <w:sz w:val="18"/>
                <w:szCs w:val="18"/>
              </w:rPr>
              <w:t>Canada</w:t>
            </w:r>
          </w:p>
        </w:tc>
        <w:tc>
          <w:tcPr>
            <w:tcW w:w="1711" w:type="dxa"/>
            <w:tcBorders>
              <w:top w:val="dotted" w:sz="4" w:space="0" w:color="auto"/>
              <w:bottom w:val="double" w:sz="4" w:space="0" w:color="auto"/>
            </w:tcBorders>
            <w:shd w:val="clear" w:color="auto" w:fill="auto"/>
            <w:vAlign w:val="center"/>
            <w:hideMark/>
          </w:tcPr>
          <w:p w14:paraId="212CE545" w14:textId="77777777" w:rsidR="007A3C64" w:rsidRPr="007A3C64" w:rsidRDefault="007A3C64" w:rsidP="005C1ED9">
            <w:pPr>
              <w:pStyle w:val="ExhibitText"/>
              <w:ind w:right="144"/>
              <w:jc w:val="left"/>
              <w:rPr>
                <w:sz w:val="18"/>
                <w:szCs w:val="18"/>
              </w:rPr>
            </w:pPr>
            <w:r w:rsidRPr="007A3C64">
              <w:rPr>
                <w:sz w:val="18"/>
                <w:szCs w:val="18"/>
              </w:rPr>
              <w:t>H&amp;R Real Estate Investment Trust</w:t>
            </w:r>
          </w:p>
        </w:tc>
        <w:tc>
          <w:tcPr>
            <w:tcW w:w="1350" w:type="dxa"/>
            <w:tcBorders>
              <w:top w:val="dotted" w:sz="4" w:space="0" w:color="auto"/>
              <w:bottom w:val="double" w:sz="4" w:space="0" w:color="auto"/>
            </w:tcBorders>
            <w:shd w:val="clear" w:color="auto" w:fill="auto"/>
            <w:noWrap/>
            <w:vAlign w:val="center"/>
            <w:hideMark/>
          </w:tcPr>
          <w:p w14:paraId="52644B0D" w14:textId="77777777" w:rsidR="007A3C64" w:rsidRPr="007A3C64" w:rsidRDefault="007A3C64" w:rsidP="005C1ED9">
            <w:pPr>
              <w:pStyle w:val="ExhibitText"/>
              <w:jc w:val="right"/>
              <w:rPr>
                <w:sz w:val="18"/>
                <w:szCs w:val="18"/>
              </w:rPr>
            </w:pPr>
            <w:r w:rsidRPr="007A3C64">
              <w:rPr>
                <w:sz w:val="18"/>
                <w:szCs w:val="18"/>
              </w:rPr>
              <w:t>4,105.8</w:t>
            </w:r>
          </w:p>
        </w:tc>
        <w:tc>
          <w:tcPr>
            <w:tcW w:w="1170" w:type="dxa"/>
            <w:tcBorders>
              <w:top w:val="dotted" w:sz="4" w:space="0" w:color="auto"/>
              <w:bottom w:val="double" w:sz="4" w:space="0" w:color="auto"/>
            </w:tcBorders>
            <w:shd w:val="clear" w:color="auto" w:fill="auto"/>
            <w:noWrap/>
            <w:vAlign w:val="center"/>
            <w:hideMark/>
          </w:tcPr>
          <w:p w14:paraId="6CA01A65" w14:textId="77777777" w:rsidR="007A3C64" w:rsidRPr="007A3C64" w:rsidRDefault="007A3C64" w:rsidP="005C1ED9">
            <w:pPr>
              <w:pStyle w:val="ExhibitText"/>
              <w:jc w:val="right"/>
              <w:rPr>
                <w:sz w:val="18"/>
                <w:szCs w:val="18"/>
              </w:rPr>
            </w:pPr>
            <w:r w:rsidRPr="007A3C64">
              <w:rPr>
                <w:sz w:val="18"/>
                <w:szCs w:val="18"/>
              </w:rPr>
              <w:t>5.0%</w:t>
            </w:r>
          </w:p>
        </w:tc>
      </w:tr>
    </w:tbl>
    <w:p w14:paraId="7C2DF12A" w14:textId="77777777" w:rsidR="005C1ED9" w:rsidRDefault="005C1ED9" w:rsidP="005C1ED9">
      <w:pPr>
        <w:pStyle w:val="ExhibitText"/>
        <w:rPr>
          <w:lang w:val="en-CA"/>
        </w:rPr>
      </w:pPr>
    </w:p>
    <w:p w14:paraId="6961A074" w14:textId="551405C3" w:rsidR="007A3C64" w:rsidRDefault="00BB7D02" w:rsidP="00B10FC3">
      <w:pPr>
        <w:pStyle w:val="Footnote"/>
        <w:rPr>
          <w:lang w:val="en-CA"/>
        </w:rPr>
      </w:pPr>
      <w:r>
        <w:rPr>
          <w:lang w:val="en-CA"/>
        </w:rPr>
        <w:t xml:space="preserve">Note: REIT = </w:t>
      </w:r>
      <w:r w:rsidR="007A3C64">
        <w:rPr>
          <w:lang w:val="en-CA"/>
        </w:rPr>
        <w:t>real estate investment trust.</w:t>
      </w:r>
    </w:p>
    <w:p w14:paraId="34DAB07E" w14:textId="0A2643F8" w:rsidR="00E52582" w:rsidRDefault="00694839" w:rsidP="00B10FC3">
      <w:pPr>
        <w:pStyle w:val="Footnote"/>
        <w:rPr>
          <w:lang w:val="en-CA"/>
        </w:rPr>
      </w:pPr>
      <w:r w:rsidRPr="0071313E">
        <w:rPr>
          <w:lang w:val="en-CA"/>
        </w:rPr>
        <w:t xml:space="preserve">Source: </w:t>
      </w:r>
      <w:r>
        <w:rPr>
          <w:lang w:val="en-CA"/>
        </w:rPr>
        <w:t xml:space="preserve">Created by the </w:t>
      </w:r>
      <w:r w:rsidR="00BB7D02">
        <w:rPr>
          <w:lang w:val="en-CA"/>
        </w:rPr>
        <w:t xml:space="preserve">case </w:t>
      </w:r>
      <w:r>
        <w:rPr>
          <w:lang w:val="en-CA"/>
        </w:rPr>
        <w:t xml:space="preserve">authors using data from </w:t>
      </w:r>
      <w:r w:rsidRPr="0071313E">
        <w:rPr>
          <w:lang w:val="en-CA"/>
        </w:rPr>
        <w:t>“Industry Codes for Shopping Mall REITS, Real Estate Management</w:t>
      </w:r>
      <w:r>
        <w:rPr>
          <w:lang w:val="en-CA"/>
        </w:rPr>
        <w:t>,”</w:t>
      </w:r>
      <w:r w:rsidRPr="0071313E">
        <w:rPr>
          <w:lang w:val="en-CA"/>
        </w:rPr>
        <w:t xml:space="preserve"> Bloomberg </w:t>
      </w:r>
      <w:r>
        <w:rPr>
          <w:lang w:val="en-CA"/>
        </w:rPr>
        <w:t>L</w:t>
      </w:r>
      <w:r w:rsidRPr="00DF7AD5">
        <w:rPr>
          <w:lang w:val="en-CA"/>
        </w:rPr>
        <w:t>.P.,</w:t>
      </w:r>
      <w:r w:rsidR="0070131F" w:rsidRPr="00DF7AD5">
        <w:rPr>
          <w:lang w:val="en-CA"/>
        </w:rPr>
        <w:t xml:space="preserve"> accessed October 26, 2018</w:t>
      </w:r>
      <w:r w:rsidR="00DF7AD5" w:rsidRPr="00DF7AD5">
        <w:rPr>
          <w:lang w:val="en-CA"/>
        </w:rPr>
        <w:t>.</w:t>
      </w:r>
    </w:p>
    <w:p w14:paraId="790A3EC2" w14:textId="77777777" w:rsidR="00704333" w:rsidRDefault="00704333" w:rsidP="00B10FC3">
      <w:pPr>
        <w:pStyle w:val="Footnote"/>
        <w:rPr>
          <w:lang w:val="en-CA"/>
        </w:rPr>
      </w:pPr>
    </w:p>
    <w:p w14:paraId="1EDABF6B" w14:textId="77777777" w:rsidR="007A3C64" w:rsidRDefault="007A3C64" w:rsidP="00B10FC3">
      <w:pPr>
        <w:pStyle w:val="Footnote"/>
        <w:rPr>
          <w:lang w:val="en-CA"/>
        </w:rPr>
        <w:sectPr w:rsidR="007A3C64" w:rsidSect="007A3C64">
          <w:headerReference w:type="default" r:id="rId13"/>
          <w:endnotePr>
            <w:numFmt w:val="decimal"/>
          </w:endnotePr>
          <w:pgSz w:w="15840" w:h="12240" w:orient="landscape" w:code="1"/>
          <w:pgMar w:top="1440" w:right="1440" w:bottom="1440" w:left="1080" w:header="1080" w:footer="720" w:gutter="0"/>
          <w:cols w:space="720"/>
          <w:docGrid w:linePitch="360"/>
        </w:sectPr>
      </w:pPr>
    </w:p>
    <w:p w14:paraId="7995F758" w14:textId="6CB6B188" w:rsidR="00A12567" w:rsidRDefault="00A12567" w:rsidP="0052696C">
      <w:pPr>
        <w:pStyle w:val="ExhibitHeading"/>
        <w:rPr>
          <w:lang w:val="en-CA"/>
        </w:rPr>
      </w:pPr>
      <w:r w:rsidRPr="00B214F7">
        <w:rPr>
          <w:lang w:val="en-CA"/>
        </w:rPr>
        <w:t xml:space="preserve">Exhibit </w:t>
      </w:r>
      <w:r w:rsidR="009B450E">
        <w:rPr>
          <w:lang w:val="en-CA"/>
        </w:rPr>
        <w:t>1</w:t>
      </w:r>
      <w:r w:rsidR="00792814">
        <w:rPr>
          <w:lang w:val="en-CA"/>
        </w:rPr>
        <w:t>0</w:t>
      </w:r>
      <w:r>
        <w:rPr>
          <w:lang w:val="en-CA"/>
        </w:rPr>
        <w:t xml:space="preserve">: </w:t>
      </w:r>
      <w:r w:rsidR="00BB3685">
        <w:rPr>
          <w:lang w:val="en-CA"/>
        </w:rPr>
        <w:t xml:space="preserve">Volume and </w:t>
      </w:r>
      <w:r>
        <w:rPr>
          <w:lang w:val="en-CA"/>
        </w:rPr>
        <w:t xml:space="preserve">Price data </w:t>
      </w:r>
      <w:r w:rsidR="008D7BEC">
        <w:rPr>
          <w:lang w:val="en-CA"/>
        </w:rPr>
        <w:t>(Price in SG$)</w:t>
      </w:r>
    </w:p>
    <w:p w14:paraId="093ED67F" w14:textId="77777777" w:rsidR="00083BB3" w:rsidRDefault="00083BB3" w:rsidP="0052696C">
      <w:pPr>
        <w:pStyle w:val="ExhibitText"/>
      </w:pPr>
    </w:p>
    <w:tbl>
      <w:tblPr>
        <w:tblStyle w:val="TableGrid1"/>
        <w:tblW w:w="5000" w:type="pct"/>
        <w:tblLook w:val="0600" w:firstRow="0" w:lastRow="0" w:firstColumn="0" w:lastColumn="0" w:noHBand="1" w:noVBand="1"/>
      </w:tblPr>
      <w:tblGrid>
        <w:gridCol w:w="1616"/>
        <w:gridCol w:w="1442"/>
        <w:gridCol w:w="1159"/>
        <w:gridCol w:w="1361"/>
        <w:gridCol w:w="1171"/>
        <w:gridCol w:w="1350"/>
        <w:gridCol w:w="1251"/>
      </w:tblGrid>
      <w:tr w:rsidR="008D7BEC" w:rsidRPr="008D7BEC" w14:paraId="2C26C82F" w14:textId="77777777" w:rsidTr="009A28D6">
        <w:trPr>
          <w:trHeight w:val="170"/>
        </w:trPr>
        <w:tc>
          <w:tcPr>
            <w:tcW w:w="864" w:type="pct"/>
            <w:hideMark/>
          </w:tcPr>
          <w:p w14:paraId="632D1C4C" w14:textId="66DA86FE" w:rsidR="008D7BEC" w:rsidRPr="008D7BEC" w:rsidRDefault="008D7BEC" w:rsidP="008D7BEC">
            <w:pPr>
              <w:pStyle w:val="ExhibitText"/>
              <w:rPr>
                <w:b/>
                <w:sz w:val="18"/>
                <w:szCs w:val="18"/>
                <w:lang w:val="en-SG"/>
              </w:rPr>
            </w:pPr>
          </w:p>
        </w:tc>
        <w:tc>
          <w:tcPr>
            <w:tcW w:w="1390" w:type="pct"/>
            <w:gridSpan w:val="2"/>
            <w:hideMark/>
          </w:tcPr>
          <w:p w14:paraId="1C562F59" w14:textId="37C5A385" w:rsidR="008D7BEC" w:rsidRPr="008D7BEC" w:rsidRDefault="00156F2A" w:rsidP="008D7BEC">
            <w:pPr>
              <w:pStyle w:val="ExhibitText"/>
              <w:jc w:val="center"/>
              <w:rPr>
                <w:b/>
                <w:sz w:val="18"/>
                <w:szCs w:val="18"/>
                <w:lang w:val="en-SG"/>
              </w:rPr>
            </w:pPr>
            <w:r>
              <w:rPr>
                <w:b/>
                <w:sz w:val="18"/>
                <w:szCs w:val="18"/>
                <w:lang w:val="en-SG"/>
              </w:rPr>
              <w:t>Straits Times Index</w:t>
            </w:r>
          </w:p>
        </w:tc>
        <w:tc>
          <w:tcPr>
            <w:tcW w:w="1354" w:type="pct"/>
            <w:gridSpan w:val="2"/>
            <w:hideMark/>
          </w:tcPr>
          <w:p w14:paraId="44B0A7B6" w14:textId="341EFB8F" w:rsidR="008D7BEC" w:rsidRPr="008D7BEC" w:rsidRDefault="00156F2A" w:rsidP="008D7BEC">
            <w:pPr>
              <w:pStyle w:val="ExhibitText"/>
              <w:jc w:val="center"/>
              <w:rPr>
                <w:b/>
                <w:sz w:val="18"/>
                <w:szCs w:val="18"/>
                <w:lang w:val="en-SG"/>
              </w:rPr>
            </w:pPr>
            <w:r w:rsidRPr="008D7BEC">
              <w:rPr>
                <w:b/>
                <w:sz w:val="18"/>
                <w:szCs w:val="18"/>
                <w:lang w:val="en-SG"/>
              </w:rPr>
              <w:t>C</w:t>
            </w:r>
            <w:r>
              <w:rPr>
                <w:b/>
                <w:sz w:val="18"/>
                <w:szCs w:val="18"/>
                <w:lang w:val="en-SG"/>
              </w:rPr>
              <w:t>apitaMalls Asia</w:t>
            </w:r>
          </w:p>
        </w:tc>
        <w:tc>
          <w:tcPr>
            <w:tcW w:w="1392" w:type="pct"/>
            <w:gridSpan w:val="2"/>
            <w:hideMark/>
          </w:tcPr>
          <w:p w14:paraId="62D54E39" w14:textId="14CFCC94" w:rsidR="008D7BEC" w:rsidRPr="008D7BEC" w:rsidRDefault="008D7BEC" w:rsidP="008D7BEC">
            <w:pPr>
              <w:pStyle w:val="ExhibitText"/>
              <w:jc w:val="center"/>
              <w:rPr>
                <w:b/>
                <w:sz w:val="18"/>
                <w:szCs w:val="18"/>
                <w:lang w:val="en-SG"/>
              </w:rPr>
            </w:pPr>
            <w:r w:rsidRPr="008D7BEC">
              <w:rPr>
                <w:b/>
                <w:sz w:val="18"/>
                <w:szCs w:val="18"/>
                <w:lang w:val="en-SG"/>
              </w:rPr>
              <w:t>CapitaLand</w:t>
            </w:r>
          </w:p>
        </w:tc>
      </w:tr>
      <w:tr w:rsidR="009A28D6" w:rsidRPr="008D7BEC" w14:paraId="360DC472" w14:textId="77777777" w:rsidTr="009A28D6">
        <w:trPr>
          <w:trHeight w:val="288"/>
        </w:trPr>
        <w:tc>
          <w:tcPr>
            <w:tcW w:w="864" w:type="pct"/>
            <w:hideMark/>
          </w:tcPr>
          <w:p w14:paraId="35C9B223" w14:textId="576770F0" w:rsidR="00BE2C44" w:rsidRPr="008D7BEC" w:rsidRDefault="00704333" w:rsidP="008D7BEC">
            <w:pPr>
              <w:pStyle w:val="ExhibitText"/>
              <w:rPr>
                <w:b/>
                <w:sz w:val="18"/>
                <w:szCs w:val="18"/>
                <w:lang w:val="en-SG"/>
              </w:rPr>
            </w:pPr>
            <w:r w:rsidRPr="008D7BEC">
              <w:rPr>
                <w:b/>
                <w:sz w:val="18"/>
                <w:szCs w:val="18"/>
                <w:lang w:val="en-SG"/>
              </w:rPr>
              <w:t>Date</w:t>
            </w:r>
          </w:p>
        </w:tc>
        <w:tc>
          <w:tcPr>
            <w:tcW w:w="771" w:type="pct"/>
            <w:hideMark/>
          </w:tcPr>
          <w:p w14:paraId="15C3A915" w14:textId="271A5C07" w:rsidR="00BE2C44" w:rsidRPr="008D7BEC" w:rsidRDefault="00BE2C44" w:rsidP="008D7BEC">
            <w:pPr>
              <w:pStyle w:val="ExhibitText"/>
              <w:ind w:right="144"/>
              <w:jc w:val="center"/>
              <w:rPr>
                <w:b/>
                <w:sz w:val="18"/>
                <w:szCs w:val="18"/>
                <w:lang w:val="en-SG"/>
              </w:rPr>
            </w:pPr>
            <w:r w:rsidRPr="008D7BEC">
              <w:rPr>
                <w:b/>
                <w:sz w:val="18"/>
                <w:szCs w:val="18"/>
                <w:lang w:val="en-SG"/>
              </w:rPr>
              <w:t>Volume</w:t>
            </w:r>
            <w:r w:rsidR="002C11B6">
              <w:rPr>
                <w:b/>
                <w:sz w:val="18"/>
                <w:szCs w:val="18"/>
                <w:lang w:val="en-SG"/>
              </w:rPr>
              <w:t xml:space="preserve"> Traded</w:t>
            </w:r>
          </w:p>
        </w:tc>
        <w:tc>
          <w:tcPr>
            <w:tcW w:w="620" w:type="pct"/>
            <w:hideMark/>
          </w:tcPr>
          <w:p w14:paraId="0E3A3F3B" w14:textId="55D0D6EB" w:rsidR="00BE2C44" w:rsidRPr="008D7BEC" w:rsidRDefault="002C11B6" w:rsidP="00167E93">
            <w:pPr>
              <w:pStyle w:val="ExhibitText"/>
              <w:ind w:right="144"/>
              <w:jc w:val="center"/>
              <w:rPr>
                <w:b/>
                <w:sz w:val="18"/>
                <w:szCs w:val="18"/>
                <w:lang w:val="en-SG"/>
              </w:rPr>
            </w:pPr>
            <w:r>
              <w:rPr>
                <w:b/>
                <w:sz w:val="18"/>
                <w:szCs w:val="18"/>
                <w:lang w:val="en-SG"/>
              </w:rPr>
              <w:t xml:space="preserve"> </w:t>
            </w:r>
            <w:r w:rsidR="00BE2C44" w:rsidRPr="008D7BEC">
              <w:rPr>
                <w:b/>
                <w:sz w:val="18"/>
                <w:szCs w:val="18"/>
                <w:lang w:val="en-SG"/>
              </w:rPr>
              <w:t>P</w:t>
            </w:r>
            <w:r w:rsidR="00167E93">
              <w:rPr>
                <w:b/>
                <w:sz w:val="18"/>
                <w:szCs w:val="18"/>
                <w:lang w:val="en-SG"/>
              </w:rPr>
              <w:t>oints</w:t>
            </w:r>
          </w:p>
        </w:tc>
        <w:tc>
          <w:tcPr>
            <w:tcW w:w="728" w:type="pct"/>
            <w:hideMark/>
          </w:tcPr>
          <w:p w14:paraId="6B98818A" w14:textId="3BD5B3D1" w:rsidR="00BE2C44" w:rsidRPr="008D7BEC" w:rsidRDefault="00BE2C44" w:rsidP="008D7BEC">
            <w:pPr>
              <w:pStyle w:val="ExhibitText"/>
              <w:ind w:right="144"/>
              <w:jc w:val="center"/>
              <w:rPr>
                <w:b/>
                <w:sz w:val="18"/>
                <w:szCs w:val="18"/>
                <w:lang w:val="en-SG"/>
              </w:rPr>
            </w:pPr>
            <w:r w:rsidRPr="008D7BEC">
              <w:rPr>
                <w:b/>
                <w:sz w:val="18"/>
                <w:szCs w:val="18"/>
                <w:lang w:val="en-SG"/>
              </w:rPr>
              <w:t>Volume</w:t>
            </w:r>
            <w:r w:rsidR="002C11B6">
              <w:rPr>
                <w:b/>
                <w:sz w:val="18"/>
                <w:szCs w:val="18"/>
                <w:lang w:val="en-SG"/>
              </w:rPr>
              <w:t xml:space="preserve"> Traded</w:t>
            </w:r>
          </w:p>
        </w:tc>
        <w:tc>
          <w:tcPr>
            <w:tcW w:w="626" w:type="pct"/>
            <w:hideMark/>
          </w:tcPr>
          <w:p w14:paraId="54AE736F" w14:textId="451CBACA" w:rsidR="00BE2C44" w:rsidRPr="008D7BEC" w:rsidRDefault="00BE2C44" w:rsidP="008D7BEC">
            <w:pPr>
              <w:pStyle w:val="ExhibitText"/>
              <w:ind w:right="144"/>
              <w:jc w:val="center"/>
              <w:rPr>
                <w:b/>
                <w:sz w:val="18"/>
                <w:szCs w:val="18"/>
                <w:lang w:val="en-SG"/>
              </w:rPr>
            </w:pPr>
            <w:r w:rsidRPr="008D7BEC">
              <w:rPr>
                <w:b/>
                <w:sz w:val="18"/>
                <w:szCs w:val="18"/>
                <w:lang w:val="en-SG"/>
              </w:rPr>
              <w:t>Price</w:t>
            </w:r>
            <w:r w:rsidR="00167E93">
              <w:rPr>
                <w:b/>
                <w:sz w:val="18"/>
                <w:szCs w:val="18"/>
                <w:lang w:val="en-SG"/>
              </w:rPr>
              <w:t xml:space="preserve"> Per Share</w:t>
            </w:r>
          </w:p>
        </w:tc>
        <w:tc>
          <w:tcPr>
            <w:tcW w:w="722" w:type="pct"/>
            <w:hideMark/>
          </w:tcPr>
          <w:p w14:paraId="438F3D2B" w14:textId="5B89F27E" w:rsidR="00BE2C44" w:rsidRPr="008D7BEC" w:rsidRDefault="00BE2C44" w:rsidP="008D7BEC">
            <w:pPr>
              <w:pStyle w:val="ExhibitText"/>
              <w:ind w:right="144"/>
              <w:jc w:val="center"/>
              <w:rPr>
                <w:b/>
                <w:sz w:val="18"/>
                <w:szCs w:val="18"/>
                <w:lang w:val="en-SG"/>
              </w:rPr>
            </w:pPr>
            <w:r w:rsidRPr="008D7BEC">
              <w:rPr>
                <w:b/>
                <w:sz w:val="18"/>
                <w:szCs w:val="18"/>
                <w:lang w:val="en-SG"/>
              </w:rPr>
              <w:t>Volume</w:t>
            </w:r>
            <w:r w:rsidR="002C11B6">
              <w:rPr>
                <w:b/>
                <w:sz w:val="18"/>
                <w:szCs w:val="18"/>
                <w:lang w:val="en-SG"/>
              </w:rPr>
              <w:t xml:space="preserve"> Traded</w:t>
            </w:r>
          </w:p>
        </w:tc>
        <w:tc>
          <w:tcPr>
            <w:tcW w:w="670" w:type="pct"/>
            <w:hideMark/>
          </w:tcPr>
          <w:p w14:paraId="692A7E46" w14:textId="7A36A947" w:rsidR="00BE2C44" w:rsidRPr="008D7BEC" w:rsidRDefault="00BE2C44" w:rsidP="008D7BEC">
            <w:pPr>
              <w:pStyle w:val="ExhibitText"/>
              <w:ind w:right="144"/>
              <w:jc w:val="center"/>
              <w:rPr>
                <w:b/>
                <w:sz w:val="18"/>
                <w:szCs w:val="18"/>
                <w:lang w:val="en-SG"/>
              </w:rPr>
            </w:pPr>
            <w:r w:rsidRPr="008D7BEC">
              <w:rPr>
                <w:b/>
                <w:sz w:val="18"/>
                <w:szCs w:val="18"/>
                <w:lang w:val="en-SG"/>
              </w:rPr>
              <w:t>Price</w:t>
            </w:r>
            <w:r w:rsidR="00167E93">
              <w:rPr>
                <w:b/>
                <w:sz w:val="18"/>
                <w:szCs w:val="18"/>
                <w:lang w:val="en-SG"/>
              </w:rPr>
              <w:t xml:space="preserve"> Per Share</w:t>
            </w:r>
          </w:p>
        </w:tc>
      </w:tr>
      <w:tr w:rsidR="009A28D6" w:rsidRPr="008D7BEC" w14:paraId="561FBC51" w14:textId="77777777" w:rsidTr="009A28D6">
        <w:trPr>
          <w:trHeight w:val="60"/>
        </w:trPr>
        <w:tc>
          <w:tcPr>
            <w:tcW w:w="864" w:type="pct"/>
            <w:hideMark/>
          </w:tcPr>
          <w:p w14:paraId="493606EE" w14:textId="2324B740" w:rsidR="00BE2C44" w:rsidRPr="008D7BEC" w:rsidRDefault="000D5142" w:rsidP="008D7BEC">
            <w:pPr>
              <w:pStyle w:val="ExhibitText"/>
              <w:rPr>
                <w:sz w:val="18"/>
                <w:szCs w:val="18"/>
              </w:rPr>
            </w:pPr>
            <w:r w:rsidRPr="008D7BEC">
              <w:rPr>
                <w:sz w:val="18"/>
                <w:szCs w:val="18"/>
              </w:rPr>
              <w:t xml:space="preserve">April </w:t>
            </w:r>
            <w:r w:rsidR="00BE2C44" w:rsidRPr="008D7BEC">
              <w:rPr>
                <w:sz w:val="18"/>
                <w:szCs w:val="18"/>
              </w:rPr>
              <w:t>1</w:t>
            </w:r>
            <w:r w:rsidRPr="008D7BEC">
              <w:rPr>
                <w:sz w:val="18"/>
                <w:szCs w:val="18"/>
              </w:rPr>
              <w:t xml:space="preserve">, </w:t>
            </w:r>
            <w:r w:rsidR="00BE2C44" w:rsidRPr="008D7BEC">
              <w:rPr>
                <w:sz w:val="18"/>
                <w:szCs w:val="18"/>
              </w:rPr>
              <w:t>2014</w:t>
            </w:r>
          </w:p>
        </w:tc>
        <w:tc>
          <w:tcPr>
            <w:tcW w:w="771" w:type="pct"/>
            <w:hideMark/>
          </w:tcPr>
          <w:p w14:paraId="38B4B72C" w14:textId="46A673BF" w:rsidR="00BE2C44" w:rsidRPr="008D7BEC" w:rsidRDefault="00BE2C44" w:rsidP="008D7BEC">
            <w:pPr>
              <w:pStyle w:val="ExhibitText"/>
              <w:ind w:right="144"/>
              <w:jc w:val="right"/>
              <w:rPr>
                <w:sz w:val="18"/>
                <w:szCs w:val="18"/>
              </w:rPr>
            </w:pPr>
            <w:r w:rsidRPr="008D7BEC">
              <w:rPr>
                <w:sz w:val="18"/>
                <w:szCs w:val="18"/>
              </w:rPr>
              <w:t xml:space="preserve">197,530,100 </w:t>
            </w:r>
          </w:p>
        </w:tc>
        <w:tc>
          <w:tcPr>
            <w:tcW w:w="620" w:type="pct"/>
            <w:hideMark/>
          </w:tcPr>
          <w:p w14:paraId="07E3DD3E" w14:textId="77777777" w:rsidR="00BE2C44" w:rsidRPr="008D7BEC" w:rsidRDefault="00BE2C44" w:rsidP="008D7BEC">
            <w:pPr>
              <w:pStyle w:val="ExhibitText"/>
              <w:ind w:right="144"/>
              <w:jc w:val="right"/>
              <w:rPr>
                <w:sz w:val="18"/>
                <w:szCs w:val="18"/>
              </w:rPr>
            </w:pPr>
            <w:r w:rsidRPr="008D7BEC">
              <w:rPr>
                <w:sz w:val="18"/>
                <w:szCs w:val="18"/>
              </w:rPr>
              <w:t xml:space="preserve"> 3,198.52 </w:t>
            </w:r>
          </w:p>
        </w:tc>
        <w:tc>
          <w:tcPr>
            <w:tcW w:w="728" w:type="pct"/>
            <w:hideMark/>
          </w:tcPr>
          <w:p w14:paraId="4BAB4739" w14:textId="77777777" w:rsidR="00BE2C44" w:rsidRPr="008D7BEC" w:rsidRDefault="00BE2C44" w:rsidP="008D7BEC">
            <w:pPr>
              <w:pStyle w:val="ExhibitText"/>
              <w:ind w:right="144"/>
              <w:jc w:val="right"/>
              <w:rPr>
                <w:sz w:val="18"/>
                <w:szCs w:val="18"/>
              </w:rPr>
            </w:pPr>
            <w:r w:rsidRPr="008D7BEC">
              <w:rPr>
                <w:sz w:val="18"/>
                <w:szCs w:val="18"/>
              </w:rPr>
              <w:t xml:space="preserve"> 10,032,000 </w:t>
            </w:r>
          </w:p>
        </w:tc>
        <w:tc>
          <w:tcPr>
            <w:tcW w:w="626" w:type="pct"/>
            <w:hideMark/>
          </w:tcPr>
          <w:p w14:paraId="04D83C4A" w14:textId="34499668" w:rsidR="00BE2C44" w:rsidRPr="008D7BEC" w:rsidRDefault="00BE2C44" w:rsidP="008D7BEC">
            <w:pPr>
              <w:pStyle w:val="ExhibitText"/>
              <w:ind w:right="144"/>
              <w:jc w:val="right"/>
              <w:rPr>
                <w:sz w:val="18"/>
                <w:szCs w:val="18"/>
              </w:rPr>
            </w:pPr>
            <w:r w:rsidRPr="008D7BEC">
              <w:rPr>
                <w:sz w:val="18"/>
                <w:szCs w:val="18"/>
              </w:rPr>
              <w:t>1.79</w:t>
            </w:r>
            <w:r w:rsidR="000D5142" w:rsidRPr="008D7BEC">
              <w:rPr>
                <w:sz w:val="18"/>
                <w:szCs w:val="18"/>
              </w:rPr>
              <w:t>0</w:t>
            </w:r>
          </w:p>
        </w:tc>
        <w:tc>
          <w:tcPr>
            <w:tcW w:w="722" w:type="pct"/>
            <w:hideMark/>
          </w:tcPr>
          <w:p w14:paraId="768D898B" w14:textId="77777777" w:rsidR="00BE2C44" w:rsidRPr="008D7BEC" w:rsidRDefault="00BE2C44" w:rsidP="008D7BEC">
            <w:pPr>
              <w:pStyle w:val="ExhibitText"/>
              <w:ind w:right="144"/>
              <w:jc w:val="right"/>
              <w:rPr>
                <w:sz w:val="18"/>
                <w:szCs w:val="18"/>
              </w:rPr>
            </w:pPr>
            <w:r w:rsidRPr="008D7BEC">
              <w:rPr>
                <w:sz w:val="18"/>
                <w:szCs w:val="18"/>
              </w:rPr>
              <w:t xml:space="preserve"> 18,422,000 </w:t>
            </w:r>
          </w:p>
        </w:tc>
        <w:tc>
          <w:tcPr>
            <w:tcW w:w="670" w:type="pct"/>
            <w:hideMark/>
          </w:tcPr>
          <w:p w14:paraId="2EE28F36" w14:textId="77777777" w:rsidR="00BE2C44" w:rsidRPr="008D7BEC" w:rsidRDefault="00BE2C44" w:rsidP="008D7BEC">
            <w:pPr>
              <w:pStyle w:val="ExhibitText"/>
              <w:ind w:right="144"/>
              <w:jc w:val="right"/>
              <w:rPr>
                <w:sz w:val="18"/>
                <w:szCs w:val="18"/>
              </w:rPr>
            </w:pPr>
            <w:r w:rsidRPr="008D7BEC">
              <w:rPr>
                <w:sz w:val="18"/>
                <w:szCs w:val="18"/>
              </w:rPr>
              <w:t xml:space="preserve"> 2.91 </w:t>
            </w:r>
          </w:p>
        </w:tc>
      </w:tr>
      <w:tr w:rsidR="009A28D6" w:rsidRPr="008D7BEC" w14:paraId="5EBB7E9D" w14:textId="77777777" w:rsidTr="009A28D6">
        <w:trPr>
          <w:trHeight w:val="60"/>
        </w:trPr>
        <w:tc>
          <w:tcPr>
            <w:tcW w:w="864" w:type="pct"/>
            <w:hideMark/>
          </w:tcPr>
          <w:p w14:paraId="1A885DDF" w14:textId="3C72A33D" w:rsidR="00BE2C44" w:rsidRPr="008D7BEC" w:rsidRDefault="000D5142" w:rsidP="008D7BEC">
            <w:pPr>
              <w:pStyle w:val="ExhibitText"/>
              <w:rPr>
                <w:sz w:val="18"/>
                <w:szCs w:val="18"/>
              </w:rPr>
            </w:pPr>
            <w:r w:rsidRPr="008D7BEC">
              <w:rPr>
                <w:sz w:val="18"/>
                <w:szCs w:val="18"/>
              </w:rPr>
              <w:t xml:space="preserve">April </w:t>
            </w:r>
            <w:r w:rsidR="00BE2C44" w:rsidRPr="008D7BEC">
              <w:rPr>
                <w:sz w:val="18"/>
                <w:szCs w:val="18"/>
              </w:rPr>
              <w:t>2</w:t>
            </w:r>
            <w:r w:rsidRPr="008D7BEC">
              <w:rPr>
                <w:sz w:val="18"/>
                <w:szCs w:val="18"/>
              </w:rPr>
              <w:t xml:space="preserve">, </w:t>
            </w:r>
            <w:r w:rsidR="00BE2C44" w:rsidRPr="008D7BEC">
              <w:rPr>
                <w:sz w:val="18"/>
                <w:szCs w:val="18"/>
              </w:rPr>
              <w:t>2014</w:t>
            </w:r>
          </w:p>
        </w:tc>
        <w:tc>
          <w:tcPr>
            <w:tcW w:w="771" w:type="pct"/>
            <w:hideMark/>
          </w:tcPr>
          <w:p w14:paraId="7C8603CF" w14:textId="7AB33249" w:rsidR="00BE2C44" w:rsidRPr="008D7BEC" w:rsidRDefault="00BE2C44" w:rsidP="008D7BEC">
            <w:pPr>
              <w:pStyle w:val="ExhibitText"/>
              <w:ind w:right="144"/>
              <w:jc w:val="right"/>
              <w:rPr>
                <w:sz w:val="18"/>
                <w:szCs w:val="18"/>
              </w:rPr>
            </w:pPr>
            <w:r w:rsidRPr="008D7BEC">
              <w:rPr>
                <w:sz w:val="18"/>
                <w:szCs w:val="18"/>
              </w:rPr>
              <w:t xml:space="preserve">342,589,000 </w:t>
            </w:r>
          </w:p>
        </w:tc>
        <w:tc>
          <w:tcPr>
            <w:tcW w:w="620" w:type="pct"/>
            <w:hideMark/>
          </w:tcPr>
          <w:p w14:paraId="3C4D0733" w14:textId="77777777" w:rsidR="00BE2C44" w:rsidRPr="008D7BEC" w:rsidRDefault="00BE2C44" w:rsidP="008D7BEC">
            <w:pPr>
              <w:pStyle w:val="ExhibitText"/>
              <w:ind w:right="144"/>
              <w:jc w:val="right"/>
              <w:rPr>
                <w:sz w:val="18"/>
                <w:szCs w:val="18"/>
              </w:rPr>
            </w:pPr>
            <w:r w:rsidRPr="008D7BEC">
              <w:rPr>
                <w:sz w:val="18"/>
                <w:szCs w:val="18"/>
              </w:rPr>
              <w:t xml:space="preserve"> 3,192.78 </w:t>
            </w:r>
          </w:p>
        </w:tc>
        <w:tc>
          <w:tcPr>
            <w:tcW w:w="728" w:type="pct"/>
            <w:hideMark/>
          </w:tcPr>
          <w:p w14:paraId="7219F1B0" w14:textId="77777777" w:rsidR="00BE2C44" w:rsidRPr="008D7BEC" w:rsidRDefault="00BE2C44" w:rsidP="008D7BEC">
            <w:pPr>
              <w:pStyle w:val="ExhibitText"/>
              <w:ind w:right="144"/>
              <w:jc w:val="right"/>
              <w:rPr>
                <w:sz w:val="18"/>
                <w:szCs w:val="18"/>
              </w:rPr>
            </w:pPr>
            <w:r w:rsidRPr="008D7BEC">
              <w:rPr>
                <w:sz w:val="18"/>
                <w:szCs w:val="18"/>
              </w:rPr>
              <w:t xml:space="preserve"> 16,613,000 </w:t>
            </w:r>
          </w:p>
        </w:tc>
        <w:tc>
          <w:tcPr>
            <w:tcW w:w="626" w:type="pct"/>
            <w:hideMark/>
          </w:tcPr>
          <w:p w14:paraId="6859D5AF" w14:textId="061BED66" w:rsidR="00BE2C44" w:rsidRPr="008D7BEC" w:rsidRDefault="00BE2C44" w:rsidP="008D7BEC">
            <w:pPr>
              <w:pStyle w:val="ExhibitText"/>
              <w:ind w:right="144"/>
              <w:jc w:val="right"/>
              <w:rPr>
                <w:sz w:val="18"/>
                <w:szCs w:val="18"/>
              </w:rPr>
            </w:pPr>
            <w:r w:rsidRPr="008D7BEC">
              <w:rPr>
                <w:sz w:val="18"/>
                <w:szCs w:val="18"/>
              </w:rPr>
              <w:t>1.76</w:t>
            </w:r>
            <w:r w:rsidR="000D5142" w:rsidRPr="008D7BEC">
              <w:rPr>
                <w:sz w:val="18"/>
                <w:szCs w:val="18"/>
              </w:rPr>
              <w:t>0</w:t>
            </w:r>
          </w:p>
        </w:tc>
        <w:tc>
          <w:tcPr>
            <w:tcW w:w="722" w:type="pct"/>
            <w:hideMark/>
          </w:tcPr>
          <w:p w14:paraId="59679861" w14:textId="77777777" w:rsidR="00BE2C44" w:rsidRPr="008D7BEC" w:rsidRDefault="00BE2C44" w:rsidP="008D7BEC">
            <w:pPr>
              <w:pStyle w:val="ExhibitText"/>
              <w:ind w:right="144"/>
              <w:jc w:val="right"/>
              <w:rPr>
                <w:sz w:val="18"/>
                <w:szCs w:val="18"/>
              </w:rPr>
            </w:pPr>
            <w:r w:rsidRPr="008D7BEC">
              <w:rPr>
                <w:sz w:val="18"/>
                <w:szCs w:val="18"/>
              </w:rPr>
              <w:t xml:space="preserve"> 15,257,000 </w:t>
            </w:r>
          </w:p>
        </w:tc>
        <w:tc>
          <w:tcPr>
            <w:tcW w:w="670" w:type="pct"/>
            <w:hideMark/>
          </w:tcPr>
          <w:p w14:paraId="764D9A1A" w14:textId="77777777" w:rsidR="00BE2C44" w:rsidRPr="008D7BEC" w:rsidRDefault="00BE2C44" w:rsidP="008D7BEC">
            <w:pPr>
              <w:pStyle w:val="ExhibitText"/>
              <w:ind w:right="144"/>
              <w:jc w:val="right"/>
              <w:rPr>
                <w:sz w:val="18"/>
                <w:szCs w:val="18"/>
              </w:rPr>
            </w:pPr>
            <w:r w:rsidRPr="008D7BEC">
              <w:rPr>
                <w:sz w:val="18"/>
                <w:szCs w:val="18"/>
              </w:rPr>
              <w:t xml:space="preserve"> 2.94 </w:t>
            </w:r>
          </w:p>
        </w:tc>
      </w:tr>
      <w:tr w:rsidR="009A28D6" w:rsidRPr="008D7BEC" w14:paraId="55CB185F" w14:textId="77777777" w:rsidTr="009A28D6">
        <w:trPr>
          <w:trHeight w:val="60"/>
        </w:trPr>
        <w:tc>
          <w:tcPr>
            <w:tcW w:w="864" w:type="pct"/>
            <w:hideMark/>
          </w:tcPr>
          <w:p w14:paraId="59F53EC6" w14:textId="5BB2A95C" w:rsidR="00BE2C44" w:rsidRPr="008D7BEC" w:rsidRDefault="000D5142" w:rsidP="008D7BEC">
            <w:pPr>
              <w:pStyle w:val="ExhibitText"/>
              <w:rPr>
                <w:sz w:val="18"/>
                <w:szCs w:val="18"/>
              </w:rPr>
            </w:pPr>
            <w:r w:rsidRPr="008D7BEC">
              <w:rPr>
                <w:sz w:val="18"/>
                <w:szCs w:val="18"/>
              </w:rPr>
              <w:t xml:space="preserve">April </w:t>
            </w:r>
            <w:r w:rsidR="00BE2C44" w:rsidRPr="008D7BEC">
              <w:rPr>
                <w:sz w:val="18"/>
                <w:szCs w:val="18"/>
              </w:rPr>
              <w:t>3</w:t>
            </w:r>
            <w:r w:rsidRPr="008D7BEC">
              <w:rPr>
                <w:sz w:val="18"/>
                <w:szCs w:val="18"/>
              </w:rPr>
              <w:t xml:space="preserve">, </w:t>
            </w:r>
            <w:r w:rsidR="00BE2C44" w:rsidRPr="008D7BEC">
              <w:rPr>
                <w:sz w:val="18"/>
                <w:szCs w:val="18"/>
              </w:rPr>
              <w:t>2014</w:t>
            </w:r>
          </w:p>
        </w:tc>
        <w:tc>
          <w:tcPr>
            <w:tcW w:w="771" w:type="pct"/>
            <w:hideMark/>
          </w:tcPr>
          <w:p w14:paraId="307627CB" w14:textId="479D1ACC" w:rsidR="00BE2C44" w:rsidRPr="008D7BEC" w:rsidRDefault="00BE2C44" w:rsidP="008D7BEC">
            <w:pPr>
              <w:pStyle w:val="ExhibitText"/>
              <w:ind w:right="144"/>
              <w:jc w:val="right"/>
              <w:rPr>
                <w:sz w:val="18"/>
                <w:szCs w:val="18"/>
              </w:rPr>
            </w:pPr>
            <w:r w:rsidRPr="008D7BEC">
              <w:rPr>
                <w:sz w:val="18"/>
                <w:szCs w:val="18"/>
              </w:rPr>
              <w:t xml:space="preserve">329,078,400 </w:t>
            </w:r>
          </w:p>
        </w:tc>
        <w:tc>
          <w:tcPr>
            <w:tcW w:w="620" w:type="pct"/>
            <w:hideMark/>
          </w:tcPr>
          <w:p w14:paraId="3FE165DF" w14:textId="77777777" w:rsidR="00BE2C44" w:rsidRPr="008D7BEC" w:rsidRDefault="00BE2C44" w:rsidP="008D7BEC">
            <w:pPr>
              <w:pStyle w:val="ExhibitText"/>
              <w:ind w:right="144"/>
              <w:jc w:val="right"/>
              <w:rPr>
                <w:sz w:val="18"/>
                <w:szCs w:val="18"/>
              </w:rPr>
            </w:pPr>
            <w:r w:rsidRPr="008D7BEC">
              <w:rPr>
                <w:sz w:val="18"/>
                <w:szCs w:val="18"/>
              </w:rPr>
              <w:t xml:space="preserve"> 3,220.06 </w:t>
            </w:r>
          </w:p>
        </w:tc>
        <w:tc>
          <w:tcPr>
            <w:tcW w:w="728" w:type="pct"/>
            <w:hideMark/>
          </w:tcPr>
          <w:p w14:paraId="450DEEA8" w14:textId="77777777" w:rsidR="00BE2C44" w:rsidRPr="008D7BEC" w:rsidRDefault="00BE2C44" w:rsidP="008D7BEC">
            <w:pPr>
              <w:pStyle w:val="ExhibitText"/>
              <w:ind w:right="144"/>
              <w:jc w:val="right"/>
              <w:rPr>
                <w:sz w:val="18"/>
                <w:szCs w:val="18"/>
              </w:rPr>
            </w:pPr>
            <w:r w:rsidRPr="008D7BEC">
              <w:rPr>
                <w:sz w:val="18"/>
                <w:szCs w:val="18"/>
              </w:rPr>
              <w:t xml:space="preserve"> 8,902,000 </w:t>
            </w:r>
          </w:p>
        </w:tc>
        <w:tc>
          <w:tcPr>
            <w:tcW w:w="626" w:type="pct"/>
            <w:hideMark/>
          </w:tcPr>
          <w:p w14:paraId="42898A48" w14:textId="77777777" w:rsidR="00BE2C44" w:rsidRPr="008D7BEC" w:rsidRDefault="00BE2C44" w:rsidP="008D7BEC">
            <w:pPr>
              <w:pStyle w:val="ExhibitText"/>
              <w:ind w:right="144"/>
              <w:jc w:val="right"/>
              <w:rPr>
                <w:sz w:val="18"/>
                <w:szCs w:val="18"/>
              </w:rPr>
            </w:pPr>
            <w:r w:rsidRPr="008D7BEC">
              <w:rPr>
                <w:sz w:val="18"/>
                <w:szCs w:val="18"/>
              </w:rPr>
              <w:t>1.755</w:t>
            </w:r>
          </w:p>
        </w:tc>
        <w:tc>
          <w:tcPr>
            <w:tcW w:w="722" w:type="pct"/>
            <w:hideMark/>
          </w:tcPr>
          <w:p w14:paraId="318AD189" w14:textId="77777777" w:rsidR="00BE2C44" w:rsidRPr="008D7BEC" w:rsidRDefault="00BE2C44" w:rsidP="008D7BEC">
            <w:pPr>
              <w:pStyle w:val="ExhibitText"/>
              <w:ind w:right="144"/>
              <w:jc w:val="right"/>
              <w:rPr>
                <w:sz w:val="18"/>
                <w:szCs w:val="18"/>
              </w:rPr>
            </w:pPr>
            <w:r w:rsidRPr="008D7BEC">
              <w:rPr>
                <w:sz w:val="18"/>
                <w:szCs w:val="18"/>
              </w:rPr>
              <w:t xml:space="preserve"> 9,337,000 </w:t>
            </w:r>
          </w:p>
        </w:tc>
        <w:tc>
          <w:tcPr>
            <w:tcW w:w="670" w:type="pct"/>
            <w:hideMark/>
          </w:tcPr>
          <w:p w14:paraId="35954565" w14:textId="77777777" w:rsidR="00BE2C44" w:rsidRPr="008D7BEC" w:rsidRDefault="00BE2C44" w:rsidP="008D7BEC">
            <w:pPr>
              <w:pStyle w:val="ExhibitText"/>
              <w:ind w:right="144"/>
              <w:jc w:val="right"/>
              <w:rPr>
                <w:sz w:val="18"/>
                <w:szCs w:val="18"/>
              </w:rPr>
            </w:pPr>
            <w:r w:rsidRPr="008D7BEC">
              <w:rPr>
                <w:sz w:val="18"/>
                <w:szCs w:val="18"/>
              </w:rPr>
              <w:t xml:space="preserve"> 2.96 </w:t>
            </w:r>
          </w:p>
        </w:tc>
      </w:tr>
      <w:tr w:rsidR="009A28D6" w:rsidRPr="008D7BEC" w14:paraId="010CCC0E" w14:textId="77777777" w:rsidTr="009A28D6">
        <w:trPr>
          <w:trHeight w:val="60"/>
        </w:trPr>
        <w:tc>
          <w:tcPr>
            <w:tcW w:w="864" w:type="pct"/>
            <w:hideMark/>
          </w:tcPr>
          <w:p w14:paraId="6B72D910" w14:textId="746B2024" w:rsidR="00BE2C44" w:rsidRPr="008D7BEC" w:rsidRDefault="000D5142" w:rsidP="008D7BEC">
            <w:pPr>
              <w:pStyle w:val="ExhibitText"/>
              <w:rPr>
                <w:sz w:val="18"/>
                <w:szCs w:val="18"/>
              </w:rPr>
            </w:pPr>
            <w:r w:rsidRPr="008D7BEC">
              <w:rPr>
                <w:sz w:val="18"/>
                <w:szCs w:val="18"/>
              </w:rPr>
              <w:t xml:space="preserve">April </w:t>
            </w:r>
            <w:r w:rsidR="00BE2C44" w:rsidRPr="008D7BEC">
              <w:rPr>
                <w:sz w:val="18"/>
                <w:szCs w:val="18"/>
              </w:rPr>
              <w:t>4</w:t>
            </w:r>
            <w:r w:rsidRPr="008D7BEC">
              <w:rPr>
                <w:sz w:val="18"/>
                <w:szCs w:val="18"/>
              </w:rPr>
              <w:t xml:space="preserve">, </w:t>
            </w:r>
            <w:r w:rsidR="00BE2C44" w:rsidRPr="008D7BEC">
              <w:rPr>
                <w:sz w:val="18"/>
                <w:szCs w:val="18"/>
              </w:rPr>
              <w:t>2014</w:t>
            </w:r>
          </w:p>
        </w:tc>
        <w:tc>
          <w:tcPr>
            <w:tcW w:w="771" w:type="pct"/>
            <w:hideMark/>
          </w:tcPr>
          <w:p w14:paraId="2FFE31E0" w14:textId="7119DCBF" w:rsidR="00BE2C44" w:rsidRPr="008D7BEC" w:rsidRDefault="00BE2C44" w:rsidP="008D7BEC">
            <w:pPr>
              <w:pStyle w:val="ExhibitText"/>
              <w:ind w:right="144"/>
              <w:jc w:val="right"/>
              <w:rPr>
                <w:sz w:val="18"/>
                <w:szCs w:val="18"/>
              </w:rPr>
            </w:pPr>
            <w:r w:rsidRPr="008D7BEC">
              <w:rPr>
                <w:sz w:val="18"/>
                <w:szCs w:val="18"/>
              </w:rPr>
              <w:t xml:space="preserve">182,690,000 </w:t>
            </w:r>
          </w:p>
        </w:tc>
        <w:tc>
          <w:tcPr>
            <w:tcW w:w="620" w:type="pct"/>
            <w:hideMark/>
          </w:tcPr>
          <w:p w14:paraId="45CC29FA" w14:textId="77777777" w:rsidR="00BE2C44" w:rsidRPr="008D7BEC" w:rsidRDefault="00BE2C44" w:rsidP="008D7BEC">
            <w:pPr>
              <w:pStyle w:val="ExhibitText"/>
              <w:ind w:right="144"/>
              <w:jc w:val="right"/>
              <w:rPr>
                <w:sz w:val="18"/>
                <w:szCs w:val="18"/>
              </w:rPr>
            </w:pPr>
            <w:r w:rsidRPr="008D7BEC">
              <w:rPr>
                <w:sz w:val="18"/>
                <w:szCs w:val="18"/>
              </w:rPr>
              <w:t xml:space="preserve"> 3,212.72 </w:t>
            </w:r>
          </w:p>
        </w:tc>
        <w:tc>
          <w:tcPr>
            <w:tcW w:w="728" w:type="pct"/>
            <w:hideMark/>
          </w:tcPr>
          <w:p w14:paraId="44734039" w14:textId="77777777" w:rsidR="00BE2C44" w:rsidRPr="008D7BEC" w:rsidRDefault="00BE2C44" w:rsidP="008D7BEC">
            <w:pPr>
              <w:pStyle w:val="ExhibitText"/>
              <w:ind w:right="144"/>
              <w:jc w:val="right"/>
              <w:rPr>
                <w:sz w:val="18"/>
                <w:szCs w:val="18"/>
              </w:rPr>
            </w:pPr>
            <w:r w:rsidRPr="008D7BEC">
              <w:rPr>
                <w:sz w:val="18"/>
                <w:szCs w:val="18"/>
              </w:rPr>
              <w:t xml:space="preserve"> 5,652,000 </w:t>
            </w:r>
          </w:p>
        </w:tc>
        <w:tc>
          <w:tcPr>
            <w:tcW w:w="626" w:type="pct"/>
            <w:hideMark/>
          </w:tcPr>
          <w:p w14:paraId="1473B3D6" w14:textId="77777777" w:rsidR="00BE2C44" w:rsidRPr="008D7BEC" w:rsidRDefault="00BE2C44" w:rsidP="008D7BEC">
            <w:pPr>
              <w:pStyle w:val="ExhibitText"/>
              <w:ind w:right="144"/>
              <w:jc w:val="right"/>
              <w:rPr>
                <w:sz w:val="18"/>
                <w:szCs w:val="18"/>
              </w:rPr>
            </w:pPr>
            <w:r w:rsidRPr="008D7BEC">
              <w:rPr>
                <w:sz w:val="18"/>
                <w:szCs w:val="18"/>
              </w:rPr>
              <w:t>1.755</w:t>
            </w:r>
          </w:p>
        </w:tc>
        <w:tc>
          <w:tcPr>
            <w:tcW w:w="722" w:type="pct"/>
            <w:hideMark/>
          </w:tcPr>
          <w:p w14:paraId="35C6C626" w14:textId="77777777" w:rsidR="00BE2C44" w:rsidRPr="008D7BEC" w:rsidRDefault="00BE2C44" w:rsidP="008D7BEC">
            <w:pPr>
              <w:pStyle w:val="ExhibitText"/>
              <w:ind w:right="144"/>
              <w:jc w:val="right"/>
              <w:rPr>
                <w:sz w:val="18"/>
                <w:szCs w:val="18"/>
              </w:rPr>
            </w:pPr>
            <w:r w:rsidRPr="008D7BEC">
              <w:rPr>
                <w:sz w:val="18"/>
                <w:szCs w:val="18"/>
              </w:rPr>
              <w:t xml:space="preserve"> 5,593,000 </w:t>
            </w:r>
          </w:p>
        </w:tc>
        <w:tc>
          <w:tcPr>
            <w:tcW w:w="670" w:type="pct"/>
            <w:hideMark/>
          </w:tcPr>
          <w:p w14:paraId="25AC7C7E" w14:textId="77777777" w:rsidR="00BE2C44" w:rsidRPr="008D7BEC" w:rsidRDefault="00BE2C44" w:rsidP="008D7BEC">
            <w:pPr>
              <w:pStyle w:val="ExhibitText"/>
              <w:ind w:right="144"/>
              <w:jc w:val="right"/>
              <w:rPr>
                <w:sz w:val="18"/>
                <w:szCs w:val="18"/>
              </w:rPr>
            </w:pPr>
            <w:r w:rsidRPr="008D7BEC">
              <w:rPr>
                <w:sz w:val="18"/>
                <w:szCs w:val="18"/>
              </w:rPr>
              <w:t xml:space="preserve"> 2.96 </w:t>
            </w:r>
          </w:p>
        </w:tc>
      </w:tr>
      <w:tr w:rsidR="009A28D6" w:rsidRPr="008D7BEC" w14:paraId="4620B022" w14:textId="77777777" w:rsidTr="009A28D6">
        <w:trPr>
          <w:trHeight w:val="60"/>
        </w:trPr>
        <w:tc>
          <w:tcPr>
            <w:tcW w:w="864" w:type="pct"/>
            <w:hideMark/>
          </w:tcPr>
          <w:p w14:paraId="62FCD886" w14:textId="30C4D2C9" w:rsidR="00BE2C44" w:rsidRPr="008D7BEC" w:rsidRDefault="000D5142" w:rsidP="008D7BEC">
            <w:pPr>
              <w:pStyle w:val="ExhibitText"/>
              <w:rPr>
                <w:sz w:val="18"/>
                <w:szCs w:val="18"/>
              </w:rPr>
            </w:pPr>
            <w:r w:rsidRPr="008D7BEC">
              <w:rPr>
                <w:sz w:val="18"/>
                <w:szCs w:val="18"/>
              </w:rPr>
              <w:t xml:space="preserve">April </w:t>
            </w:r>
            <w:r w:rsidR="00BE2C44" w:rsidRPr="008D7BEC">
              <w:rPr>
                <w:sz w:val="18"/>
                <w:szCs w:val="18"/>
              </w:rPr>
              <w:t>7</w:t>
            </w:r>
            <w:r w:rsidRPr="008D7BEC">
              <w:rPr>
                <w:sz w:val="18"/>
                <w:szCs w:val="18"/>
              </w:rPr>
              <w:t xml:space="preserve">, </w:t>
            </w:r>
            <w:r w:rsidR="00BE2C44" w:rsidRPr="008D7BEC">
              <w:rPr>
                <w:sz w:val="18"/>
                <w:szCs w:val="18"/>
              </w:rPr>
              <w:t>2014</w:t>
            </w:r>
          </w:p>
        </w:tc>
        <w:tc>
          <w:tcPr>
            <w:tcW w:w="771" w:type="pct"/>
            <w:hideMark/>
          </w:tcPr>
          <w:p w14:paraId="190B89AA" w14:textId="08368706" w:rsidR="00BE2C44" w:rsidRPr="008D7BEC" w:rsidRDefault="00BE2C44" w:rsidP="008D7BEC">
            <w:pPr>
              <w:pStyle w:val="ExhibitText"/>
              <w:ind w:right="144"/>
              <w:jc w:val="right"/>
              <w:rPr>
                <w:sz w:val="18"/>
                <w:szCs w:val="18"/>
              </w:rPr>
            </w:pPr>
            <w:r w:rsidRPr="008D7BEC">
              <w:rPr>
                <w:sz w:val="18"/>
                <w:szCs w:val="18"/>
              </w:rPr>
              <w:t xml:space="preserve">201,864,700 </w:t>
            </w:r>
          </w:p>
        </w:tc>
        <w:tc>
          <w:tcPr>
            <w:tcW w:w="620" w:type="pct"/>
            <w:hideMark/>
          </w:tcPr>
          <w:p w14:paraId="6AACFCCC" w14:textId="77777777" w:rsidR="00BE2C44" w:rsidRPr="008D7BEC" w:rsidRDefault="00BE2C44" w:rsidP="008D7BEC">
            <w:pPr>
              <w:pStyle w:val="ExhibitText"/>
              <w:ind w:right="144"/>
              <w:jc w:val="right"/>
              <w:rPr>
                <w:sz w:val="18"/>
                <w:szCs w:val="18"/>
              </w:rPr>
            </w:pPr>
            <w:r w:rsidRPr="008D7BEC">
              <w:rPr>
                <w:sz w:val="18"/>
                <w:szCs w:val="18"/>
              </w:rPr>
              <w:t xml:space="preserve"> 3,193.59 </w:t>
            </w:r>
          </w:p>
        </w:tc>
        <w:tc>
          <w:tcPr>
            <w:tcW w:w="728" w:type="pct"/>
            <w:hideMark/>
          </w:tcPr>
          <w:p w14:paraId="096B073D" w14:textId="77777777" w:rsidR="00BE2C44" w:rsidRPr="008D7BEC" w:rsidRDefault="00BE2C44" w:rsidP="008D7BEC">
            <w:pPr>
              <w:pStyle w:val="ExhibitText"/>
              <w:ind w:right="144"/>
              <w:jc w:val="right"/>
              <w:rPr>
                <w:sz w:val="18"/>
                <w:szCs w:val="18"/>
              </w:rPr>
            </w:pPr>
            <w:r w:rsidRPr="008D7BEC">
              <w:rPr>
                <w:sz w:val="18"/>
                <w:szCs w:val="18"/>
              </w:rPr>
              <w:t xml:space="preserve"> 8,235,000 </w:t>
            </w:r>
          </w:p>
        </w:tc>
        <w:tc>
          <w:tcPr>
            <w:tcW w:w="626" w:type="pct"/>
            <w:hideMark/>
          </w:tcPr>
          <w:p w14:paraId="6A015C91" w14:textId="77777777" w:rsidR="00BE2C44" w:rsidRPr="008D7BEC" w:rsidRDefault="00BE2C44" w:rsidP="008D7BEC">
            <w:pPr>
              <w:pStyle w:val="ExhibitText"/>
              <w:ind w:right="144"/>
              <w:jc w:val="right"/>
              <w:rPr>
                <w:sz w:val="18"/>
                <w:szCs w:val="18"/>
              </w:rPr>
            </w:pPr>
            <w:r w:rsidRPr="008D7BEC">
              <w:rPr>
                <w:sz w:val="18"/>
                <w:szCs w:val="18"/>
              </w:rPr>
              <w:t>1.735</w:t>
            </w:r>
          </w:p>
        </w:tc>
        <w:tc>
          <w:tcPr>
            <w:tcW w:w="722" w:type="pct"/>
            <w:hideMark/>
          </w:tcPr>
          <w:p w14:paraId="5149035D" w14:textId="77777777" w:rsidR="00BE2C44" w:rsidRPr="008D7BEC" w:rsidRDefault="00BE2C44" w:rsidP="008D7BEC">
            <w:pPr>
              <w:pStyle w:val="ExhibitText"/>
              <w:ind w:right="144"/>
              <w:jc w:val="right"/>
              <w:rPr>
                <w:sz w:val="18"/>
                <w:szCs w:val="18"/>
              </w:rPr>
            </w:pPr>
            <w:r w:rsidRPr="008D7BEC">
              <w:rPr>
                <w:sz w:val="18"/>
                <w:szCs w:val="18"/>
              </w:rPr>
              <w:t xml:space="preserve"> 5,349,000 </w:t>
            </w:r>
          </w:p>
        </w:tc>
        <w:tc>
          <w:tcPr>
            <w:tcW w:w="670" w:type="pct"/>
            <w:hideMark/>
          </w:tcPr>
          <w:p w14:paraId="7912D4B5" w14:textId="77777777" w:rsidR="00BE2C44" w:rsidRPr="008D7BEC" w:rsidRDefault="00BE2C44" w:rsidP="008D7BEC">
            <w:pPr>
              <w:pStyle w:val="ExhibitText"/>
              <w:ind w:right="144"/>
              <w:jc w:val="right"/>
              <w:rPr>
                <w:sz w:val="18"/>
                <w:szCs w:val="18"/>
              </w:rPr>
            </w:pPr>
            <w:r w:rsidRPr="008D7BEC">
              <w:rPr>
                <w:sz w:val="18"/>
                <w:szCs w:val="18"/>
              </w:rPr>
              <w:t xml:space="preserve"> 2.96 </w:t>
            </w:r>
          </w:p>
        </w:tc>
      </w:tr>
      <w:tr w:rsidR="009A28D6" w:rsidRPr="008D7BEC" w14:paraId="6ED668FC" w14:textId="77777777" w:rsidTr="009A28D6">
        <w:trPr>
          <w:trHeight w:val="60"/>
        </w:trPr>
        <w:tc>
          <w:tcPr>
            <w:tcW w:w="864" w:type="pct"/>
            <w:hideMark/>
          </w:tcPr>
          <w:p w14:paraId="6F11EA48" w14:textId="3ED8F8F4" w:rsidR="00BE2C44" w:rsidRPr="008D7BEC" w:rsidRDefault="000D5142" w:rsidP="008D7BEC">
            <w:pPr>
              <w:pStyle w:val="ExhibitText"/>
              <w:rPr>
                <w:sz w:val="18"/>
                <w:szCs w:val="18"/>
              </w:rPr>
            </w:pPr>
            <w:r w:rsidRPr="008D7BEC">
              <w:rPr>
                <w:sz w:val="18"/>
                <w:szCs w:val="18"/>
              </w:rPr>
              <w:t xml:space="preserve">April </w:t>
            </w:r>
            <w:r w:rsidR="00BE2C44" w:rsidRPr="008D7BEC">
              <w:rPr>
                <w:sz w:val="18"/>
                <w:szCs w:val="18"/>
              </w:rPr>
              <w:t>8</w:t>
            </w:r>
            <w:r w:rsidRPr="008D7BEC">
              <w:rPr>
                <w:sz w:val="18"/>
                <w:szCs w:val="18"/>
              </w:rPr>
              <w:t xml:space="preserve">, </w:t>
            </w:r>
            <w:r w:rsidR="00BE2C44" w:rsidRPr="008D7BEC">
              <w:rPr>
                <w:sz w:val="18"/>
                <w:szCs w:val="18"/>
              </w:rPr>
              <w:t>2014</w:t>
            </w:r>
          </w:p>
        </w:tc>
        <w:tc>
          <w:tcPr>
            <w:tcW w:w="771" w:type="pct"/>
            <w:hideMark/>
          </w:tcPr>
          <w:p w14:paraId="1D55B582" w14:textId="2EE69991" w:rsidR="00BE2C44" w:rsidRPr="008D7BEC" w:rsidRDefault="00BE2C44" w:rsidP="008D7BEC">
            <w:pPr>
              <w:pStyle w:val="ExhibitText"/>
              <w:ind w:right="144"/>
              <w:jc w:val="right"/>
              <w:rPr>
                <w:sz w:val="18"/>
                <w:szCs w:val="18"/>
              </w:rPr>
            </w:pPr>
            <w:r w:rsidRPr="008D7BEC">
              <w:rPr>
                <w:sz w:val="18"/>
                <w:szCs w:val="18"/>
              </w:rPr>
              <w:t xml:space="preserve">268,919,900 </w:t>
            </w:r>
          </w:p>
        </w:tc>
        <w:tc>
          <w:tcPr>
            <w:tcW w:w="620" w:type="pct"/>
            <w:hideMark/>
          </w:tcPr>
          <w:p w14:paraId="7C20FEAF" w14:textId="77777777" w:rsidR="00BE2C44" w:rsidRPr="008D7BEC" w:rsidRDefault="00BE2C44" w:rsidP="008D7BEC">
            <w:pPr>
              <w:pStyle w:val="ExhibitText"/>
              <w:ind w:right="144"/>
              <w:jc w:val="right"/>
              <w:rPr>
                <w:sz w:val="18"/>
                <w:szCs w:val="18"/>
              </w:rPr>
            </w:pPr>
            <w:r w:rsidRPr="008D7BEC">
              <w:rPr>
                <w:sz w:val="18"/>
                <w:szCs w:val="18"/>
              </w:rPr>
              <w:t xml:space="preserve"> 3,204.09 </w:t>
            </w:r>
          </w:p>
        </w:tc>
        <w:tc>
          <w:tcPr>
            <w:tcW w:w="728" w:type="pct"/>
            <w:hideMark/>
          </w:tcPr>
          <w:p w14:paraId="18D78433" w14:textId="77777777" w:rsidR="00BE2C44" w:rsidRPr="008D7BEC" w:rsidRDefault="00BE2C44" w:rsidP="008D7BEC">
            <w:pPr>
              <w:pStyle w:val="ExhibitText"/>
              <w:ind w:right="144"/>
              <w:jc w:val="right"/>
              <w:rPr>
                <w:sz w:val="18"/>
                <w:szCs w:val="18"/>
              </w:rPr>
            </w:pPr>
            <w:r w:rsidRPr="008D7BEC">
              <w:rPr>
                <w:sz w:val="18"/>
                <w:szCs w:val="18"/>
              </w:rPr>
              <w:t xml:space="preserve"> 6,573,000 </w:t>
            </w:r>
          </w:p>
        </w:tc>
        <w:tc>
          <w:tcPr>
            <w:tcW w:w="626" w:type="pct"/>
            <w:hideMark/>
          </w:tcPr>
          <w:p w14:paraId="1EF75F7D" w14:textId="786F1ED2" w:rsidR="00BE2C44" w:rsidRPr="008D7BEC" w:rsidRDefault="00BE2C44" w:rsidP="008D7BEC">
            <w:pPr>
              <w:pStyle w:val="ExhibitText"/>
              <w:ind w:right="144"/>
              <w:jc w:val="right"/>
              <w:rPr>
                <w:sz w:val="18"/>
                <w:szCs w:val="18"/>
              </w:rPr>
            </w:pPr>
            <w:r w:rsidRPr="008D7BEC">
              <w:rPr>
                <w:sz w:val="18"/>
                <w:szCs w:val="18"/>
              </w:rPr>
              <w:t>1.75</w:t>
            </w:r>
            <w:r w:rsidR="000D5142" w:rsidRPr="008D7BEC">
              <w:rPr>
                <w:sz w:val="18"/>
                <w:szCs w:val="18"/>
              </w:rPr>
              <w:t>0</w:t>
            </w:r>
          </w:p>
        </w:tc>
        <w:tc>
          <w:tcPr>
            <w:tcW w:w="722" w:type="pct"/>
            <w:hideMark/>
          </w:tcPr>
          <w:p w14:paraId="1316F26A" w14:textId="77777777" w:rsidR="00BE2C44" w:rsidRPr="008D7BEC" w:rsidRDefault="00BE2C44" w:rsidP="008D7BEC">
            <w:pPr>
              <w:pStyle w:val="ExhibitText"/>
              <w:ind w:right="144"/>
              <w:jc w:val="right"/>
              <w:rPr>
                <w:sz w:val="18"/>
                <w:szCs w:val="18"/>
              </w:rPr>
            </w:pPr>
            <w:r w:rsidRPr="008D7BEC">
              <w:rPr>
                <w:sz w:val="18"/>
                <w:szCs w:val="18"/>
              </w:rPr>
              <w:t xml:space="preserve"> 10,133,000 </w:t>
            </w:r>
          </w:p>
        </w:tc>
        <w:tc>
          <w:tcPr>
            <w:tcW w:w="670" w:type="pct"/>
            <w:hideMark/>
          </w:tcPr>
          <w:p w14:paraId="725E823B" w14:textId="77777777" w:rsidR="00BE2C44" w:rsidRPr="008D7BEC" w:rsidRDefault="00BE2C44" w:rsidP="008D7BEC">
            <w:pPr>
              <w:pStyle w:val="ExhibitText"/>
              <w:ind w:right="144"/>
              <w:jc w:val="right"/>
              <w:rPr>
                <w:sz w:val="18"/>
                <w:szCs w:val="18"/>
              </w:rPr>
            </w:pPr>
            <w:r w:rsidRPr="008D7BEC">
              <w:rPr>
                <w:sz w:val="18"/>
                <w:szCs w:val="18"/>
              </w:rPr>
              <w:t xml:space="preserve"> 2.98 </w:t>
            </w:r>
          </w:p>
        </w:tc>
      </w:tr>
      <w:tr w:rsidR="009A28D6" w:rsidRPr="008D7BEC" w14:paraId="47BEE8CD" w14:textId="77777777" w:rsidTr="009A28D6">
        <w:trPr>
          <w:trHeight w:val="60"/>
        </w:trPr>
        <w:tc>
          <w:tcPr>
            <w:tcW w:w="864" w:type="pct"/>
            <w:hideMark/>
          </w:tcPr>
          <w:p w14:paraId="32866B62" w14:textId="6E2CE981" w:rsidR="00BE2C44" w:rsidRPr="008D7BEC" w:rsidRDefault="000D5142" w:rsidP="008D7BEC">
            <w:pPr>
              <w:pStyle w:val="ExhibitText"/>
              <w:rPr>
                <w:sz w:val="18"/>
                <w:szCs w:val="18"/>
              </w:rPr>
            </w:pPr>
            <w:r w:rsidRPr="008D7BEC">
              <w:rPr>
                <w:sz w:val="18"/>
                <w:szCs w:val="18"/>
              </w:rPr>
              <w:t xml:space="preserve">April </w:t>
            </w:r>
            <w:r w:rsidR="00BE2C44" w:rsidRPr="008D7BEC">
              <w:rPr>
                <w:sz w:val="18"/>
                <w:szCs w:val="18"/>
              </w:rPr>
              <w:t>9</w:t>
            </w:r>
            <w:r w:rsidRPr="008D7BEC">
              <w:rPr>
                <w:sz w:val="18"/>
                <w:szCs w:val="18"/>
              </w:rPr>
              <w:t xml:space="preserve">, </w:t>
            </w:r>
            <w:r w:rsidR="00BE2C44" w:rsidRPr="008D7BEC">
              <w:rPr>
                <w:sz w:val="18"/>
                <w:szCs w:val="18"/>
              </w:rPr>
              <w:t>2014</w:t>
            </w:r>
          </w:p>
        </w:tc>
        <w:tc>
          <w:tcPr>
            <w:tcW w:w="771" w:type="pct"/>
            <w:hideMark/>
          </w:tcPr>
          <w:p w14:paraId="69D24E5D" w14:textId="5F9E25D7" w:rsidR="00BE2C44" w:rsidRPr="008D7BEC" w:rsidRDefault="00BE2C44" w:rsidP="008D7BEC">
            <w:pPr>
              <w:pStyle w:val="ExhibitText"/>
              <w:ind w:right="144"/>
              <w:jc w:val="right"/>
              <w:rPr>
                <w:sz w:val="18"/>
                <w:szCs w:val="18"/>
              </w:rPr>
            </w:pPr>
            <w:r w:rsidRPr="008D7BEC">
              <w:rPr>
                <w:sz w:val="18"/>
                <w:szCs w:val="18"/>
              </w:rPr>
              <w:t xml:space="preserve">320,399,100 </w:t>
            </w:r>
          </w:p>
        </w:tc>
        <w:tc>
          <w:tcPr>
            <w:tcW w:w="620" w:type="pct"/>
            <w:hideMark/>
          </w:tcPr>
          <w:p w14:paraId="441535BA" w14:textId="77777777" w:rsidR="00BE2C44" w:rsidRPr="008D7BEC" w:rsidRDefault="00BE2C44" w:rsidP="008D7BEC">
            <w:pPr>
              <w:pStyle w:val="ExhibitText"/>
              <w:ind w:right="144"/>
              <w:jc w:val="right"/>
              <w:rPr>
                <w:sz w:val="18"/>
                <w:szCs w:val="18"/>
              </w:rPr>
            </w:pPr>
            <w:r w:rsidRPr="008D7BEC">
              <w:rPr>
                <w:sz w:val="18"/>
                <w:szCs w:val="18"/>
              </w:rPr>
              <w:t xml:space="preserve"> 3,209.92 </w:t>
            </w:r>
          </w:p>
        </w:tc>
        <w:tc>
          <w:tcPr>
            <w:tcW w:w="728" w:type="pct"/>
            <w:hideMark/>
          </w:tcPr>
          <w:p w14:paraId="7CBB08A4" w14:textId="77777777" w:rsidR="00BE2C44" w:rsidRPr="008D7BEC" w:rsidRDefault="00BE2C44" w:rsidP="008D7BEC">
            <w:pPr>
              <w:pStyle w:val="ExhibitText"/>
              <w:ind w:right="144"/>
              <w:jc w:val="right"/>
              <w:rPr>
                <w:sz w:val="18"/>
                <w:szCs w:val="18"/>
              </w:rPr>
            </w:pPr>
            <w:r w:rsidRPr="008D7BEC">
              <w:rPr>
                <w:sz w:val="18"/>
                <w:szCs w:val="18"/>
              </w:rPr>
              <w:t xml:space="preserve"> 10,054,000 </w:t>
            </w:r>
          </w:p>
        </w:tc>
        <w:tc>
          <w:tcPr>
            <w:tcW w:w="626" w:type="pct"/>
            <w:hideMark/>
          </w:tcPr>
          <w:p w14:paraId="2E47873F" w14:textId="59FE440A" w:rsidR="00BE2C44" w:rsidRPr="008D7BEC" w:rsidRDefault="00BE2C44" w:rsidP="008D7BEC">
            <w:pPr>
              <w:pStyle w:val="ExhibitText"/>
              <w:ind w:right="144"/>
              <w:jc w:val="right"/>
              <w:rPr>
                <w:sz w:val="18"/>
                <w:szCs w:val="18"/>
              </w:rPr>
            </w:pPr>
            <w:r w:rsidRPr="008D7BEC">
              <w:rPr>
                <w:sz w:val="18"/>
                <w:szCs w:val="18"/>
              </w:rPr>
              <w:t>1.76</w:t>
            </w:r>
            <w:r w:rsidR="000D5142" w:rsidRPr="008D7BEC">
              <w:rPr>
                <w:sz w:val="18"/>
                <w:szCs w:val="18"/>
              </w:rPr>
              <w:t>0</w:t>
            </w:r>
          </w:p>
        </w:tc>
        <w:tc>
          <w:tcPr>
            <w:tcW w:w="722" w:type="pct"/>
            <w:hideMark/>
          </w:tcPr>
          <w:p w14:paraId="091C458B" w14:textId="77777777" w:rsidR="00BE2C44" w:rsidRPr="008D7BEC" w:rsidRDefault="00BE2C44" w:rsidP="008D7BEC">
            <w:pPr>
              <w:pStyle w:val="ExhibitText"/>
              <w:ind w:right="144"/>
              <w:jc w:val="right"/>
              <w:rPr>
                <w:sz w:val="18"/>
                <w:szCs w:val="18"/>
              </w:rPr>
            </w:pPr>
            <w:r w:rsidRPr="008D7BEC">
              <w:rPr>
                <w:sz w:val="18"/>
                <w:szCs w:val="18"/>
              </w:rPr>
              <w:t xml:space="preserve"> 6,759,000 </w:t>
            </w:r>
          </w:p>
        </w:tc>
        <w:tc>
          <w:tcPr>
            <w:tcW w:w="670" w:type="pct"/>
            <w:hideMark/>
          </w:tcPr>
          <w:p w14:paraId="1CA4AE2E" w14:textId="77777777" w:rsidR="00BE2C44" w:rsidRPr="008D7BEC" w:rsidRDefault="00BE2C44" w:rsidP="008D7BEC">
            <w:pPr>
              <w:pStyle w:val="ExhibitText"/>
              <w:ind w:right="144"/>
              <w:jc w:val="right"/>
              <w:rPr>
                <w:sz w:val="18"/>
                <w:szCs w:val="18"/>
              </w:rPr>
            </w:pPr>
            <w:r w:rsidRPr="008D7BEC">
              <w:rPr>
                <w:sz w:val="18"/>
                <w:szCs w:val="18"/>
              </w:rPr>
              <w:t xml:space="preserve"> 2.98 </w:t>
            </w:r>
          </w:p>
        </w:tc>
      </w:tr>
      <w:tr w:rsidR="009A28D6" w:rsidRPr="008D7BEC" w14:paraId="277F979E" w14:textId="77777777" w:rsidTr="009A28D6">
        <w:trPr>
          <w:trHeight w:val="60"/>
        </w:trPr>
        <w:tc>
          <w:tcPr>
            <w:tcW w:w="864" w:type="pct"/>
            <w:hideMark/>
          </w:tcPr>
          <w:p w14:paraId="01F5C8B5" w14:textId="69645E76" w:rsidR="00BE2C44" w:rsidRPr="008D7BEC" w:rsidRDefault="000D5142" w:rsidP="008D7BEC">
            <w:pPr>
              <w:pStyle w:val="ExhibitText"/>
              <w:rPr>
                <w:sz w:val="18"/>
                <w:szCs w:val="18"/>
              </w:rPr>
            </w:pPr>
            <w:r w:rsidRPr="008D7BEC">
              <w:rPr>
                <w:sz w:val="18"/>
                <w:szCs w:val="18"/>
              </w:rPr>
              <w:t xml:space="preserve">April </w:t>
            </w:r>
            <w:r w:rsidR="00BE2C44" w:rsidRPr="008D7BEC">
              <w:rPr>
                <w:sz w:val="18"/>
                <w:szCs w:val="18"/>
              </w:rPr>
              <w:t>10</w:t>
            </w:r>
            <w:r w:rsidRPr="008D7BEC">
              <w:rPr>
                <w:sz w:val="18"/>
                <w:szCs w:val="18"/>
              </w:rPr>
              <w:t xml:space="preserve">, </w:t>
            </w:r>
            <w:r w:rsidR="00BE2C44" w:rsidRPr="008D7BEC">
              <w:rPr>
                <w:sz w:val="18"/>
                <w:szCs w:val="18"/>
              </w:rPr>
              <w:t>2014</w:t>
            </w:r>
          </w:p>
        </w:tc>
        <w:tc>
          <w:tcPr>
            <w:tcW w:w="771" w:type="pct"/>
            <w:hideMark/>
          </w:tcPr>
          <w:p w14:paraId="4D217F20" w14:textId="511EA4F6" w:rsidR="00BE2C44" w:rsidRPr="008D7BEC" w:rsidRDefault="00BE2C44" w:rsidP="008D7BEC">
            <w:pPr>
              <w:pStyle w:val="ExhibitText"/>
              <w:ind w:right="144"/>
              <w:jc w:val="right"/>
              <w:rPr>
                <w:sz w:val="18"/>
                <w:szCs w:val="18"/>
              </w:rPr>
            </w:pPr>
            <w:r w:rsidRPr="008D7BEC">
              <w:rPr>
                <w:sz w:val="18"/>
                <w:szCs w:val="18"/>
              </w:rPr>
              <w:t xml:space="preserve">318,300,500 </w:t>
            </w:r>
          </w:p>
        </w:tc>
        <w:tc>
          <w:tcPr>
            <w:tcW w:w="620" w:type="pct"/>
            <w:hideMark/>
          </w:tcPr>
          <w:p w14:paraId="1916D163" w14:textId="77777777" w:rsidR="00BE2C44" w:rsidRPr="008D7BEC" w:rsidRDefault="00BE2C44" w:rsidP="008D7BEC">
            <w:pPr>
              <w:pStyle w:val="ExhibitText"/>
              <w:ind w:right="144"/>
              <w:jc w:val="right"/>
              <w:rPr>
                <w:sz w:val="18"/>
                <w:szCs w:val="18"/>
              </w:rPr>
            </w:pPr>
            <w:r w:rsidRPr="008D7BEC">
              <w:rPr>
                <w:sz w:val="18"/>
                <w:szCs w:val="18"/>
              </w:rPr>
              <w:t xml:space="preserve"> 3,203.58 </w:t>
            </w:r>
          </w:p>
        </w:tc>
        <w:tc>
          <w:tcPr>
            <w:tcW w:w="728" w:type="pct"/>
            <w:hideMark/>
          </w:tcPr>
          <w:p w14:paraId="1B6B7685" w14:textId="77777777" w:rsidR="00BE2C44" w:rsidRPr="008D7BEC" w:rsidRDefault="00BE2C44" w:rsidP="008D7BEC">
            <w:pPr>
              <w:pStyle w:val="ExhibitText"/>
              <w:ind w:right="144"/>
              <w:jc w:val="right"/>
              <w:rPr>
                <w:sz w:val="18"/>
                <w:szCs w:val="18"/>
              </w:rPr>
            </w:pPr>
            <w:r w:rsidRPr="008D7BEC">
              <w:rPr>
                <w:sz w:val="18"/>
                <w:szCs w:val="18"/>
              </w:rPr>
              <w:t xml:space="preserve"> 34,596,000 </w:t>
            </w:r>
          </w:p>
        </w:tc>
        <w:tc>
          <w:tcPr>
            <w:tcW w:w="626" w:type="pct"/>
            <w:hideMark/>
          </w:tcPr>
          <w:p w14:paraId="04AE7E99" w14:textId="77777777" w:rsidR="00BE2C44" w:rsidRPr="008D7BEC" w:rsidRDefault="00BE2C44" w:rsidP="008D7BEC">
            <w:pPr>
              <w:pStyle w:val="ExhibitText"/>
              <w:ind w:right="144"/>
              <w:jc w:val="right"/>
              <w:rPr>
                <w:sz w:val="18"/>
                <w:szCs w:val="18"/>
              </w:rPr>
            </w:pPr>
            <w:r w:rsidRPr="008D7BEC">
              <w:rPr>
                <w:sz w:val="18"/>
                <w:szCs w:val="18"/>
              </w:rPr>
              <w:t>1.805</w:t>
            </w:r>
          </w:p>
        </w:tc>
        <w:tc>
          <w:tcPr>
            <w:tcW w:w="722" w:type="pct"/>
            <w:hideMark/>
          </w:tcPr>
          <w:p w14:paraId="353B627D" w14:textId="77777777" w:rsidR="00BE2C44" w:rsidRPr="008D7BEC" w:rsidRDefault="00BE2C44" w:rsidP="008D7BEC">
            <w:pPr>
              <w:pStyle w:val="ExhibitText"/>
              <w:ind w:right="144"/>
              <w:jc w:val="right"/>
              <w:rPr>
                <w:sz w:val="18"/>
                <w:szCs w:val="18"/>
              </w:rPr>
            </w:pPr>
            <w:r w:rsidRPr="008D7BEC">
              <w:rPr>
                <w:sz w:val="18"/>
                <w:szCs w:val="18"/>
              </w:rPr>
              <w:t xml:space="preserve"> 8,250,000 </w:t>
            </w:r>
          </w:p>
        </w:tc>
        <w:tc>
          <w:tcPr>
            <w:tcW w:w="670" w:type="pct"/>
            <w:hideMark/>
          </w:tcPr>
          <w:p w14:paraId="423E2403" w14:textId="77777777" w:rsidR="00BE2C44" w:rsidRPr="008D7BEC" w:rsidRDefault="00BE2C44" w:rsidP="008D7BEC">
            <w:pPr>
              <w:pStyle w:val="ExhibitText"/>
              <w:ind w:right="144"/>
              <w:jc w:val="right"/>
              <w:rPr>
                <w:sz w:val="18"/>
                <w:szCs w:val="18"/>
              </w:rPr>
            </w:pPr>
            <w:r w:rsidRPr="008D7BEC">
              <w:rPr>
                <w:sz w:val="18"/>
                <w:szCs w:val="18"/>
              </w:rPr>
              <w:t xml:space="preserve"> 2.95 </w:t>
            </w:r>
          </w:p>
        </w:tc>
      </w:tr>
      <w:tr w:rsidR="009A28D6" w:rsidRPr="008D7BEC" w14:paraId="752B1926" w14:textId="77777777" w:rsidTr="009A28D6">
        <w:trPr>
          <w:trHeight w:val="60"/>
        </w:trPr>
        <w:tc>
          <w:tcPr>
            <w:tcW w:w="864" w:type="pct"/>
            <w:hideMark/>
          </w:tcPr>
          <w:p w14:paraId="64E8452A" w14:textId="090849C7" w:rsidR="00BE2C44" w:rsidRPr="008D7BEC" w:rsidRDefault="000D5142" w:rsidP="008D7BEC">
            <w:pPr>
              <w:pStyle w:val="ExhibitText"/>
              <w:rPr>
                <w:sz w:val="18"/>
                <w:szCs w:val="18"/>
              </w:rPr>
            </w:pPr>
            <w:r w:rsidRPr="008D7BEC">
              <w:rPr>
                <w:sz w:val="18"/>
                <w:szCs w:val="18"/>
              </w:rPr>
              <w:t xml:space="preserve">April </w:t>
            </w:r>
            <w:r w:rsidR="00BE2C44" w:rsidRPr="008D7BEC">
              <w:rPr>
                <w:sz w:val="18"/>
                <w:szCs w:val="18"/>
              </w:rPr>
              <w:t>11</w:t>
            </w:r>
            <w:r w:rsidRPr="008D7BEC">
              <w:rPr>
                <w:sz w:val="18"/>
                <w:szCs w:val="18"/>
              </w:rPr>
              <w:t xml:space="preserve">, </w:t>
            </w:r>
            <w:r w:rsidR="00BE2C44" w:rsidRPr="008D7BEC">
              <w:rPr>
                <w:sz w:val="18"/>
                <w:szCs w:val="18"/>
              </w:rPr>
              <w:t>2014</w:t>
            </w:r>
          </w:p>
        </w:tc>
        <w:tc>
          <w:tcPr>
            <w:tcW w:w="771" w:type="pct"/>
            <w:hideMark/>
          </w:tcPr>
          <w:p w14:paraId="3DB24203" w14:textId="1FAB54E0" w:rsidR="00BE2C44" w:rsidRPr="008D7BEC" w:rsidRDefault="00BE2C44" w:rsidP="008D7BEC">
            <w:pPr>
              <w:pStyle w:val="ExhibitText"/>
              <w:ind w:right="144"/>
              <w:jc w:val="right"/>
              <w:rPr>
                <w:sz w:val="18"/>
                <w:szCs w:val="18"/>
              </w:rPr>
            </w:pPr>
            <w:r w:rsidRPr="008D7BEC">
              <w:rPr>
                <w:sz w:val="18"/>
                <w:szCs w:val="18"/>
              </w:rPr>
              <w:t xml:space="preserve">204,142,300 </w:t>
            </w:r>
          </w:p>
        </w:tc>
        <w:tc>
          <w:tcPr>
            <w:tcW w:w="620" w:type="pct"/>
            <w:hideMark/>
          </w:tcPr>
          <w:p w14:paraId="7A9B3A30" w14:textId="77777777" w:rsidR="00BE2C44" w:rsidRPr="008D7BEC" w:rsidRDefault="00BE2C44" w:rsidP="008D7BEC">
            <w:pPr>
              <w:pStyle w:val="ExhibitText"/>
              <w:ind w:right="144"/>
              <w:jc w:val="right"/>
              <w:rPr>
                <w:sz w:val="18"/>
                <w:szCs w:val="18"/>
              </w:rPr>
            </w:pPr>
            <w:r w:rsidRPr="008D7BEC">
              <w:rPr>
                <w:sz w:val="18"/>
                <w:szCs w:val="18"/>
              </w:rPr>
              <w:t xml:space="preserve"> 3,198.22 </w:t>
            </w:r>
          </w:p>
        </w:tc>
        <w:tc>
          <w:tcPr>
            <w:tcW w:w="728" w:type="pct"/>
            <w:hideMark/>
          </w:tcPr>
          <w:p w14:paraId="3014401F" w14:textId="77777777" w:rsidR="00BE2C44" w:rsidRPr="008D7BEC" w:rsidRDefault="00BE2C44" w:rsidP="008D7BEC">
            <w:pPr>
              <w:pStyle w:val="ExhibitText"/>
              <w:ind w:right="144"/>
              <w:jc w:val="right"/>
              <w:rPr>
                <w:sz w:val="18"/>
                <w:szCs w:val="18"/>
              </w:rPr>
            </w:pPr>
            <w:r w:rsidRPr="008D7BEC">
              <w:rPr>
                <w:sz w:val="18"/>
                <w:szCs w:val="18"/>
              </w:rPr>
              <w:t xml:space="preserve"> 5,153,000 </w:t>
            </w:r>
          </w:p>
        </w:tc>
        <w:tc>
          <w:tcPr>
            <w:tcW w:w="626" w:type="pct"/>
            <w:hideMark/>
          </w:tcPr>
          <w:p w14:paraId="13ECA255" w14:textId="77777777" w:rsidR="00BE2C44" w:rsidRPr="008D7BEC" w:rsidRDefault="00BE2C44" w:rsidP="008D7BEC">
            <w:pPr>
              <w:pStyle w:val="ExhibitText"/>
              <w:ind w:right="144"/>
              <w:jc w:val="right"/>
              <w:rPr>
                <w:sz w:val="18"/>
                <w:szCs w:val="18"/>
              </w:rPr>
            </w:pPr>
            <w:r w:rsidRPr="008D7BEC">
              <w:rPr>
                <w:sz w:val="18"/>
                <w:szCs w:val="18"/>
              </w:rPr>
              <w:t>1.815</w:t>
            </w:r>
          </w:p>
        </w:tc>
        <w:tc>
          <w:tcPr>
            <w:tcW w:w="722" w:type="pct"/>
            <w:hideMark/>
          </w:tcPr>
          <w:p w14:paraId="781C4BC6" w14:textId="77777777" w:rsidR="00BE2C44" w:rsidRPr="008D7BEC" w:rsidRDefault="00BE2C44" w:rsidP="008D7BEC">
            <w:pPr>
              <w:pStyle w:val="ExhibitText"/>
              <w:ind w:right="144"/>
              <w:jc w:val="right"/>
              <w:rPr>
                <w:sz w:val="18"/>
                <w:szCs w:val="18"/>
              </w:rPr>
            </w:pPr>
            <w:r w:rsidRPr="008D7BEC">
              <w:rPr>
                <w:sz w:val="18"/>
                <w:szCs w:val="18"/>
              </w:rPr>
              <w:t xml:space="preserve"> 10,538,000 </w:t>
            </w:r>
          </w:p>
        </w:tc>
        <w:tc>
          <w:tcPr>
            <w:tcW w:w="670" w:type="pct"/>
            <w:hideMark/>
          </w:tcPr>
          <w:p w14:paraId="7093F445" w14:textId="77777777" w:rsidR="00BE2C44" w:rsidRPr="008D7BEC" w:rsidRDefault="00BE2C44" w:rsidP="008D7BEC">
            <w:pPr>
              <w:pStyle w:val="ExhibitText"/>
              <w:ind w:right="144"/>
              <w:jc w:val="right"/>
              <w:rPr>
                <w:sz w:val="18"/>
                <w:szCs w:val="18"/>
              </w:rPr>
            </w:pPr>
            <w:r w:rsidRPr="008D7BEC">
              <w:rPr>
                <w:sz w:val="18"/>
                <w:szCs w:val="18"/>
              </w:rPr>
              <w:t xml:space="preserve"> 2.92 </w:t>
            </w:r>
          </w:p>
        </w:tc>
      </w:tr>
      <w:tr w:rsidR="009A28D6" w:rsidRPr="008D7BEC" w14:paraId="51EEA022" w14:textId="77777777" w:rsidTr="009A28D6">
        <w:trPr>
          <w:trHeight w:val="60"/>
        </w:trPr>
        <w:tc>
          <w:tcPr>
            <w:tcW w:w="864" w:type="pct"/>
            <w:hideMark/>
          </w:tcPr>
          <w:p w14:paraId="1170CBBB" w14:textId="7374AC9F" w:rsidR="00BE2C44" w:rsidRPr="008D7BEC" w:rsidRDefault="000D5142" w:rsidP="008D7BEC">
            <w:pPr>
              <w:pStyle w:val="ExhibitText"/>
              <w:rPr>
                <w:sz w:val="18"/>
                <w:szCs w:val="18"/>
              </w:rPr>
            </w:pPr>
            <w:r w:rsidRPr="008D7BEC">
              <w:rPr>
                <w:sz w:val="18"/>
                <w:szCs w:val="18"/>
              </w:rPr>
              <w:t xml:space="preserve">April </w:t>
            </w:r>
            <w:r w:rsidR="00BE2C44" w:rsidRPr="008D7BEC">
              <w:rPr>
                <w:sz w:val="18"/>
                <w:szCs w:val="18"/>
              </w:rPr>
              <w:t>14</w:t>
            </w:r>
            <w:r w:rsidRPr="008D7BEC">
              <w:rPr>
                <w:sz w:val="18"/>
                <w:szCs w:val="18"/>
              </w:rPr>
              <w:t xml:space="preserve">, </w:t>
            </w:r>
            <w:r w:rsidR="00BE2C44" w:rsidRPr="008D7BEC">
              <w:rPr>
                <w:sz w:val="18"/>
                <w:szCs w:val="18"/>
              </w:rPr>
              <w:t>2014</w:t>
            </w:r>
          </w:p>
        </w:tc>
        <w:tc>
          <w:tcPr>
            <w:tcW w:w="771" w:type="pct"/>
            <w:hideMark/>
          </w:tcPr>
          <w:p w14:paraId="2F448167" w14:textId="0AE3D13F" w:rsidR="00BE2C44" w:rsidRPr="008D7BEC" w:rsidRDefault="00BE2C44" w:rsidP="008D7BEC">
            <w:pPr>
              <w:pStyle w:val="ExhibitText"/>
              <w:ind w:right="144"/>
              <w:jc w:val="right"/>
              <w:rPr>
                <w:sz w:val="18"/>
                <w:szCs w:val="18"/>
              </w:rPr>
            </w:pPr>
            <w:r w:rsidRPr="008D7BEC">
              <w:rPr>
                <w:sz w:val="18"/>
                <w:szCs w:val="18"/>
              </w:rPr>
              <w:t xml:space="preserve">151,492,500 </w:t>
            </w:r>
          </w:p>
        </w:tc>
        <w:tc>
          <w:tcPr>
            <w:tcW w:w="620" w:type="pct"/>
            <w:hideMark/>
          </w:tcPr>
          <w:p w14:paraId="7225164B" w14:textId="77777777" w:rsidR="00BE2C44" w:rsidRPr="008D7BEC" w:rsidRDefault="00BE2C44" w:rsidP="008D7BEC">
            <w:pPr>
              <w:pStyle w:val="ExhibitText"/>
              <w:ind w:right="144"/>
              <w:jc w:val="right"/>
              <w:rPr>
                <w:sz w:val="18"/>
                <w:szCs w:val="18"/>
              </w:rPr>
            </w:pPr>
            <w:r w:rsidRPr="008D7BEC">
              <w:rPr>
                <w:sz w:val="18"/>
                <w:szCs w:val="18"/>
              </w:rPr>
              <w:t xml:space="preserve"> 3,214.83 </w:t>
            </w:r>
          </w:p>
        </w:tc>
        <w:tc>
          <w:tcPr>
            <w:tcW w:w="728" w:type="pct"/>
            <w:hideMark/>
          </w:tcPr>
          <w:p w14:paraId="13D53F33" w14:textId="1E2F9088" w:rsidR="00BE2C44" w:rsidRPr="008D7BEC" w:rsidRDefault="00BE2C44" w:rsidP="008D7BEC">
            <w:pPr>
              <w:pStyle w:val="ExhibitText"/>
              <w:ind w:right="144"/>
              <w:jc w:val="right"/>
              <w:rPr>
                <w:sz w:val="18"/>
                <w:szCs w:val="18"/>
              </w:rPr>
            </w:pPr>
            <w:r w:rsidRPr="008D7BEC">
              <w:rPr>
                <w:sz w:val="18"/>
                <w:szCs w:val="18"/>
              </w:rPr>
              <w:t xml:space="preserve"> </w:t>
            </w:r>
            <w:r w:rsidR="00BB3685">
              <w:rPr>
                <w:sz w:val="18"/>
                <w:szCs w:val="18"/>
              </w:rPr>
              <w:t>—</w:t>
            </w:r>
            <w:r w:rsidR="00957DD4" w:rsidRPr="008D7BEC">
              <w:rPr>
                <w:sz w:val="18"/>
                <w:szCs w:val="18"/>
              </w:rPr>
              <w:t xml:space="preserve"> </w:t>
            </w:r>
          </w:p>
        </w:tc>
        <w:tc>
          <w:tcPr>
            <w:tcW w:w="626" w:type="pct"/>
            <w:hideMark/>
          </w:tcPr>
          <w:p w14:paraId="76E6360E" w14:textId="77777777" w:rsidR="00BE2C44" w:rsidRPr="008D7BEC" w:rsidRDefault="00BE2C44" w:rsidP="008D7BEC">
            <w:pPr>
              <w:pStyle w:val="ExhibitText"/>
              <w:ind w:right="144"/>
              <w:jc w:val="right"/>
              <w:rPr>
                <w:sz w:val="18"/>
                <w:szCs w:val="18"/>
              </w:rPr>
            </w:pPr>
            <w:r w:rsidRPr="008D7BEC">
              <w:rPr>
                <w:sz w:val="18"/>
                <w:szCs w:val="18"/>
              </w:rPr>
              <w:t>1.805</w:t>
            </w:r>
          </w:p>
        </w:tc>
        <w:tc>
          <w:tcPr>
            <w:tcW w:w="722" w:type="pct"/>
            <w:hideMark/>
          </w:tcPr>
          <w:p w14:paraId="78B4AF91" w14:textId="212354A5" w:rsidR="00BE2C44" w:rsidRPr="008D7BEC" w:rsidRDefault="00BB3685" w:rsidP="008D7BEC">
            <w:pPr>
              <w:pStyle w:val="ExhibitText"/>
              <w:ind w:right="144"/>
              <w:jc w:val="right"/>
              <w:rPr>
                <w:sz w:val="18"/>
                <w:szCs w:val="18"/>
              </w:rPr>
            </w:pPr>
            <w:r>
              <w:rPr>
                <w:sz w:val="18"/>
                <w:szCs w:val="18"/>
              </w:rPr>
              <w:t>—</w:t>
            </w:r>
            <w:r w:rsidR="00957DD4" w:rsidRPr="008D7BEC">
              <w:rPr>
                <w:sz w:val="18"/>
                <w:szCs w:val="18"/>
              </w:rPr>
              <w:t xml:space="preserve"> </w:t>
            </w:r>
          </w:p>
        </w:tc>
        <w:tc>
          <w:tcPr>
            <w:tcW w:w="670" w:type="pct"/>
            <w:hideMark/>
          </w:tcPr>
          <w:p w14:paraId="46C050E0" w14:textId="77777777" w:rsidR="00BE2C44" w:rsidRPr="008D7BEC" w:rsidRDefault="00BE2C44" w:rsidP="008D7BEC">
            <w:pPr>
              <w:pStyle w:val="ExhibitText"/>
              <w:ind w:right="144"/>
              <w:jc w:val="right"/>
              <w:rPr>
                <w:sz w:val="18"/>
                <w:szCs w:val="18"/>
              </w:rPr>
            </w:pPr>
            <w:r w:rsidRPr="008D7BEC">
              <w:rPr>
                <w:sz w:val="18"/>
                <w:szCs w:val="18"/>
              </w:rPr>
              <w:t xml:space="preserve"> 2.92 </w:t>
            </w:r>
          </w:p>
        </w:tc>
      </w:tr>
      <w:tr w:rsidR="009A28D6" w:rsidRPr="008D7BEC" w14:paraId="5ECEFF8A" w14:textId="77777777" w:rsidTr="009A28D6">
        <w:trPr>
          <w:trHeight w:val="60"/>
        </w:trPr>
        <w:tc>
          <w:tcPr>
            <w:tcW w:w="864" w:type="pct"/>
            <w:hideMark/>
          </w:tcPr>
          <w:p w14:paraId="4A82243F" w14:textId="07DB9AEE" w:rsidR="00BE2C44" w:rsidRPr="008D7BEC" w:rsidRDefault="000D5142" w:rsidP="008D7BEC">
            <w:pPr>
              <w:pStyle w:val="ExhibitText"/>
              <w:rPr>
                <w:sz w:val="18"/>
                <w:szCs w:val="18"/>
              </w:rPr>
            </w:pPr>
            <w:r w:rsidRPr="008D7BEC">
              <w:rPr>
                <w:sz w:val="18"/>
                <w:szCs w:val="18"/>
              </w:rPr>
              <w:t xml:space="preserve">April </w:t>
            </w:r>
            <w:r w:rsidR="00BE2C44" w:rsidRPr="008D7BEC">
              <w:rPr>
                <w:sz w:val="18"/>
                <w:szCs w:val="18"/>
              </w:rPr>
              <w:t>15</w:t>
            </w:r>
            <w:r w:rsidRPr="008D7BEC">
              <w:rPr>
                <w:sz w:val="18"/>
                <w:szCs w:val="18"/>
              </w:rPr>
              <w:t xml:space="preserve">, </w:t>
            </w:r>
            <w:r w:rsidR="00BE2C44" w:rsidRPr="008D7BEC">
              <w:rPr>
                <w:sz w:val="18"/>
                <w:szCs w:val="18"/>
              </w:rPr>
              <w:t>2014</w:t>
            </w:r>
          </w:p>
        </w:tc>
        <w:tc>
          <w:tcPr>
            <w:tcW w:w="771" w:type="pct"/>
            <w:hideMark/>
          </w:tcPr>
          <w:p w14:paraId="7DB5744D" w14:textId="60DF1662" w:rsidR="00BE2C44" w:rsidRPr="008D7BEC" w:rsidRDefault="00BE2C44" w:rsidP="008D7BEC">
            <w:pPr>
              <w:pStyle w:val="ExhibitText"/>
              <w:ind w:right="144"/>
              <w:jc w:val="right"/>
              <w:rPr>
                <w:sz w:val="18"/>
                <w:szCs w:val="18"/>
              </w:rPr>
            </w:pPr>
            <w:r w:rsidRPr="008D7BEC">
              <w:rPr>
                <w:sz w:val="18"/>
                <w:szCs w:val="18"/>
              </w:rPr>
              <w:t xml:space="preserve">415,223,400 </w:t>
            </w:r>
          </w:p>
        </w:tc>
        <w:tc>
          <w:tcPr>
            <w:tcW w:w="620" w:type="pct"/>
            <w:hideMark/>
          </w:tcPr>
          <w:p w14:paraId="353BB1FF" w14:textId="77777777" w:rsidR="00BE2C44" w:rsidRPr="008D7BEC" w:rsidRDefault="00BE2C44" w:rsidP="008D7BEC">
            <w:pPr>
              <w:pStyle w:val="ExhibitText"/>
              <w:ind w:right="144"/>
              <w:jc w:val="right"/>
              <w:rPr>
                <w:sz w:val="18"/>
                <w:szCs w:val="18"/>
              </w:rPr>
            </w:pPr>
            <w:r w:rsidRPr="008D7BEC">
              <w:rPr>
                <w:sz w:val="18"/>
                <w:szCs w:val="18"/>
              </w:rPr>
              <w:t xml:space="preserve"> 3,246.32 </w:t>
            </w:r>
          </w:p>
        </w:tc>
        <w:tc>
          <w:tcPr>
            <w:tcW w:w="728" w:type="pct"/>
            <w:hideMark/>
          </w:tcPr>
          <w:p w14:paraId="4E285F93" w14:textId="696A85CA" w:rsidR="00BE2C44" w:rsidRPr="008D7BEC" w:rsidRDefault="00BE2C44" w:rsidP="008D7BEC">
            <w:pPr>
              <w:pStyle w:val="ExhibitText"/>
              <w:ind w:right="144"/>
              <w:jc w:val="right"/>
              <w:rPr>
                <w:sz w:val="18"/>
                <w:szCs w:val="18"/>
              </w:rPr>
            </w:pPr>
            <w:r w:rsidRPr="008D7BEC">
              <w:rPr>
                <w:sz w:val="18"/>
                <w:szCs w:val="18"/>
              </w:rPr>
              <w:t xml:space="preserve">183,127,000 </w:t>
            </w:r>
          </w:p>
        </w:tc>
        <w:tc>
          <w:tcPr>
            <w:tcW w:w="626" w:type="pct"/>
            <w:hideMark/>
          </w:tcPr>
          <w:p w14:paraId="7DE75F5E" w14:textId="0A852740" w:rsidR="00BE2C44" w:rsidRPr="008D7BEC" w:rsidRDefault="00BE2C44" w:rsidP="008D7BEC">
            <w:pPr>
              <w:pStyle w:val="ExhibitText"/>
              <w:ind w:right="144"/>
              <w:jc w:val="right"/>
              <w:rPr>
                <w:sz w:val="18"/>
                <w:szCs w:val="18"/>
              </w:rPr>
            </w:pPr>
            <w:r w:rsidRPr="008D7BEC">
              <w:rPr>
                <w:sz w:val="18"/>
                <w:szCs w:val="18"/>
              </w:rPr>
              <w:t>2.19</w:t>
            </w:r>
            <w:r w:rsidR="000D5142" w:rsidRPr="008D7BEC">
              <w:rPr>
                <w:sz w:val="18"/>
                <w:szCs w:val="18"/>
              </w:rPr>
              <w:t>0</w:t>
            </w:r>
          </w:p>
        </w:tc>
        <w:tc>
          <w:tcPr>
            <w:tcW w:w="722" w:type="pct"/>
            <w:hideMark/>
          </w:tcPr>
          <w:p w14:paraId="3042989A" w14:textId="77777777" w:rsidR="00BE2C44" w:rsidRPr="008D7BEC" w:rsidRDefault="00BE2C44" w:rsidP="008D7BEC">
            <w:pPr>
              <w:pStyle w:val="ExhibitText"/>
              <w:ind w:right="144"/>
              <w:jc w:val="right"/>
              <w:rPr>
                <w:sz w:val="18"/>
                <w:szCs w:val="18"/>
              </w:rPr>
            </w:pPr>
            <w:r w:rsidRPr="008D7BEC">
              <w:rPr>
                <w:sz w:val="18"/>
                <w:szCs w:val="18"/>
              </w:rPr>
              <w:t xml:space="preserve"> 48,854,000 </w:t>
            </w:r>
          </w:p>
        </w:tc>
        <w:tc>
          <w:tcPr>
            <w:tcW w:w="670" w:type="pct"/>
            <w:hideMark/>
          </w:tcPr>
          <w:p w14:paraId="05E524BD" w14:textId="77777777" w:rsidR="00BE2C44" w:rsidRPr="008D7BEC" w:rsidRDefault="00BE2C44" w:rsidP="008D7BEC">
            <w:pPr>
              <w:pStyle w:val="ExhibitText"/>
              <w:ind w:right="144"/>
              <w:jc w:val="right"/>
              <w:rPr>
                <w:sz w:val="18"/>
                <w:szCs w:val="18"/>
              </w:rPr>
            </w:pPr>
            <w:r w:rsidRPr="008D7BEC">
              <w:rPr>
                <w:sz w:val="18"/>
                <w:szCs w:val="18"/>
              </w:rPr>
              <w:t xml:space="preserve"> 3.11 </w:t>
            </w:r>
          </w:p>
        </w:tc>
      </w:tr>
    </w:tbl>
    <w:p w14:paraId="75A851E5" w14:textId="77777777" w:rsidR="00BE2C44" w:rsidRDefault="00BE2C44" w:rsidP="0052696C">
      <w:pPr>
        <w:pStyle w:val="ExhibitText"/>
      </w:pPr>
    </w:p>
    <w:p w14:paraId="6BB2E8CD" w14:textId="1A480761" w:rsidR="00496A90" w:rsidRPr="0052696C" w:rsidRDefault="00496A90" w:rsidP="0052696C">
      <w:pPr>
        <w:pStyle w:val="Footnote"/>
        <w:jc w:val="both"/>
      </w:pPr>
      <w:r w:rsidRPr="0052696C">
        <w:t>Source: Created by the authors using data from “Straits Times Index (^STI),</w:t>
      </w:r>
      <w:r w:rsidR="001B15B0" w:rsidRPr="0052696C">
        <w:t xml:space="preserve">” accessed January 27, 2017, https://sg.finance.yahoo.com/quote/%5ESTI; </w:t>
      </w:r>
      <w:r w:rsidRPr="0052696C">
        <w:t>“Capita</w:t>
      </w:r>
      <w:r w:rsidR="0082332E" w:rsidRPr="0052696C">
        <w:t>L</w:t>
      </w:r>
      <w:r w:rsidRPr="0052696C">
        <w:t>and Limited (CATL.SI)</w:t>
      </w:r>
      <w:r w:rsidR="001B15B0" w:rsidRPr="0052696C">
        <w:t>,</w:t>
      </w:r>
      <w:r w:rsidRPr="0052696C">
        <w:t xml:space="preserve">” </w:t>
      </w:r>
      <w:r w:rsidR="001B15B0" w:rsidRPr="0052696C">
        <w:t>accessed January 27, 2017, https://finance.yahoo.com/quote/CATL.SI</w:t>
      </w:r>
      <w:r w:rsidR="00482E86" w:rsidRPr="0052696C">
        <w:t>;</w:t>
      </w:r>
      <w:r w:rsidR="001B15B0" w:rsidRPr="0052696C">
        <w:t xml:space="preserve"> </w:t>
      </w:r>
      <w:r w:rsidRPr="0052696C">
        <w:t>“CapitaMalls Asia (JS8.SI)</w:t>
      </w:r>
      <w:r w:rsidR="001B15B0" w:rsidRPr="0052696C">
        <w:t>,</w:t>
      </w:r>
      <w:r w:rsidRPr="0052696C">
        <w:t>” Yahoo!</w:t>
      </w:r>
      <w:r w:rsidR="00201464" w:rsidRPr="0052696C">
        <w:t xml:space="preserve"> </w:t>
      </w:r>
      <w:r w:rsidRPr="0052696C">
        <w:t>Finance</w:t>
      </w:r>
      <w:r w:rsidR="001B15B0" w:rsidRPr="0052696C">
        <w:t>,</w:t>
      </w:r>
      <w:r w:rsidRPr="0052696C">
        <w:t xml:space="preserve"> accessed January </w:t>
      </w:r>
      <w:r w:rsidR="001B15B0" w:rsidRPr="0052696C">
        <w:t xml:space="preserve">27, </w:t>
      </w:r>
      <w:r w:rsidRPr="0052696C">
        <w:t>2017</w:t>
      </w:r>
      <w:r w:rsidR="00DF7AD5" w:rsidRPr="0052696C">
        <w:t>.</w:t>
      </w:r>
    </w:p>
    <w:p w14:paraId="58AE1CB8" w14:textId="2A909BC2" w:rsidR="00245772" w:rsidRDefault="00245772">
      <w:pPr>
        <w:spacing w:after="200" w:line="276" w:lineRule="auto"/>
        <w:rPr>
          <w:rFonts w:ascii="Arial" w:hAnsi="Arial" w:cs="Arial"/>
          <w:sz w:val="17"/>
          <w:szCs w:val="17"/>
        </w:rPr>
      </w:pPr>
      <w:r>
        <w:br w:type="page"/>
      </w:r>
    </w:p>
    <w:p w14:paraId="31867C49" w14:textId="77777777" w:rsidR="00F923D1" w:rsidRPr="000A379B" w:rsidRDefault="0019515A" w:rsidP="0004533E">
      <w:pPr>
        <w:pStyle w:val="Casehead1"/>
        <w:outlineLvl w:val="0"/>
      </w:pPr>
      <w:r w:rsidRPr="000A379B">
        <w:t>Endnotes</w:t>
      </w:r>
    </w:p>
    <w:sectPr w:rsidR="00F923D1" w:rsidRPr="000A379B" w:rsidSect="006E53B5">
      <w:endnotePr>
        <w:numFmt w:val="decimal"/>
      </w:endnotePr>
      <w:pgSz w:w="12240" w:h="15840" w:code="1"/>
      <w:pgMar w:top="1440" w:right="1440" w:bottom="1080"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56B662" w16cid:durableId="207A0663"/>
  <w16cid:commentId w16cid:paraId="51015BC5" w16cid:durableId="207A0664"/>
  <w16cid:commentId w16cid:paraId="422F7FA4" w16cid:durableId="205AD393"/>
  <w16cid:commentId w16cid:paraId="7BAF26B7" w16cid:durableId="207A0914"/>
  <w16cid:commentId w16cid:paraId="57A7E84E" w16cid:durableId="205AD679"/>
  <w16cid:commentId w16cid:paraId="09DB56C6" w16cid:durableId="207A08E4"/>
  <w16cid:commentId w16cid:paraId="74867A2D" w16cid:durableId="205AD501"/>
  <w16cid:commentId w16cid:paraId="5848A8DF" w16cid:durableId="207A08ED"/>
  <w16cid:commentId w16cid:paraId="4D155EC9" w16cid:durableId="205ADF68"/>
  <w16cid:commentId w16cid:paraId="1E08F717" w16cid:durableId="207A0669"/>
  <w16cid:commentId w16cid:paraId="260A43D1" w16cid:durableId="205AE313"/>
  <w16cid:commentId w16cid:paraId="6A1FB43B" w16cid:durableId="207A066B"/>
  <w16cid:commentId w16cid:paraId="272FC700" w16cid:durableId="205AE0C9"/>
  <w16cid:commentId w16cid:paraId="5628BDD0" w16cid:durableId="207A0768"/>
  <w16cid:commentId w16cid:paraId="0D7F194A" w16cid:durableId="205AE0D2"/>
  <w16cid:commentId w16cid:paraId="24E03B91" w16cid:durableId="207A066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F742BC" w14:textId="77777777" w:rsidR="00466A4B" w:rsidRDefault="00466A4B" w:rsidP="00D75295">
      <w:r>
        <w:separator/>
      </w:r>
    </w:p>
  </w:endnote>
  <w:endnote w:type="continuationSeparator" w:id="0">
    <w:p w14:paraId="36C58FDF" w14:textId="77777777" w:rsidR="00466A4B" w:rsidRDefault="00466A4B" w:rsidP="00D75295">
      <w:r>
        <w:continuationSeparator/>
      </w:r>
    </w:p>
  </w:endnote>
  <w:endnote w:id="1">
    <w:p w14:paraId="7CED2E3B" w14:textId="75900AB6" w:rsidR="00C67C4B" w:rsidRPr="00C67C4B" w:rsidRDefault="00C67C4B" w:rsidP="00C67C4B">
      <w:pPr>
        <w:pStyle w:val="Footnote"/>
        <w:jc w:val="both"/>
      </w:pPr>
      <w:r>
        <w:rPr>
          <w:rStyle w:val="EndnoteReference"/>
        </w:rPr>
        <w:endnoteRef/>
      </w:r>
      <w:r>
        <w:t xml:space="preserve"> </w:t>
      </w:r>
      <w:r w:rsidRPr="00C74511">
        <w:t xml:space="preserve">This case has been written on the basis of published sources only. Consequently, the interpretation and perspectives presented in this case are not necessarily those of </w:t>
      </w:r>
      <w:r>
        <w:t>CapitaLand Limited</w:t>
      </w:r>
      <w:r>
        <w:t>,</w:t>
      </w:r>
      <w:r>
        <w:t xml:space="preserve"> </w:t>
      </w:r>
      <w:proofErr w:type="spellStart"/>
      <w:r>
        <w:t>CapitaMalls</w:t>
      </w:r>
      <w:proofErr w:type="spellEnd"/>
      <w:r>
        <w:t xml:space="preserve"> Asia Limited</w:t>
      </w:r>
      <w:r>
        <w:t>,</w:t>
      </w:r>
      <w:r w:rsidRPr="00C74511">
        <w:t xml:space="preserve"> or any of </w:t>
      </w:r>
      <w:r>
        <w:t>their</w:t>
      </w:r>
      <w:r w:rsidRPr="00C74511">
        <w:t xml:space="preserve"> employees.</w:t>
      </w:r>
    </w:p>
  </w:endnote>
  <w:endnote w:id="2">
    <w:p w14:paraId="542B946D" w14:textId="77777777" w:rsidR="00466A4B" w:rsidRPr="0014066C" w:rsidRDefault="00466A4B" w:rsidP="0052696C">
      <w:pPr>
        <w:pStyle w:val="Footnote"/>
        <w:jc w:val="both"/>
      </w:pPr>
      <w:r w:rsidRPr="00677CA2">
        <w:rPr>
          <w:rStyle w:val="EndnoteReference"/>
        </w:rPr>
        <w:endnoteRef/>
      </w:r>
      <w:r w:rsidRPr="0014066C">
        <w:t xml:space="preserve"> SG$ = Singapore dollars; all currency amounts are in SG$ unless otherwise specified; US$1 = SG$1.2534 on April 14, 2014.</w:t>
      </w:r>
    </w:p>
  </w:endnote>
  <w:endnote w:id="3">
    <w:p w14:paraId="26E9F5D6" w14:textId="67AC39F2" w:rsidR="00466A4B" w:rsidRPr="005F5000" w:rsidRDefault="00466A4B" w:rsidP="0052696C">
      <w:pPr>
        <w:pStyle w:val="Footnote"/>
        <w:jc w:val="both"/>
        <w:rPr>
          <w:spacing w:val="-4"/>
        </w:rPr>
      </w:pPr>
      <w:r w:rsidRPr="005F5000">
        <w:rPr>
          <w:rStyle w:val="EndnoteReference"/>
          <w:spacing w:val="-4"/>
        </w:rPr>
        <w:endnoteRef/>
      </w:r>
      <w:r w:rsidRPr="005F5000">
        <w:rPr>
          <w:spacing w:val="-4"/>
        </w:rPr>
        <w:t xml:space="preserve"> CapitaLand Limited, “CapitaLand Launches Voluntary Conditional Cash Offer with a View to Delist </w:t>
      </w:r>
      <w:proofErr w:type="spellStart"/>
      <w:r w:rsidRPr="005F5000">
        <w:rPr>
          <w:spacing w:val="-4"/>
        </w:rPr>
        <w:t>CapitaMalls</w:t>
      </w:r>
      <w:proofErr w:type="spellEnd"/>
      <w:r w:rsidRPr="005F5000">
        <w:rPr>
          <w:spacing w:val="-4"/>
        </w:rPr>
        <w:t xml:space="preserve"> Asia,” news release, April 14, 2014, accessed March 5, 2017, </w:t>
      </w:r>
      <w:r w:rsidRPr="005F5000">
        <w:rPr>
          <w:color w:val="000000" w:themeColor="text1"/>
          <w:spacing w:val="-4"/>
        </w:rPr>
        <w:t>http://media.corporate-ir.net/media_files/IROL/13/130462/PressRelease.140414.pdf</w:t>
      </w:r>
      <w:r w:rsidRPr="005F5000">
        <w:rPr>
          <w:spacing w:val="-4"/>
        </w:rPr>
        <w:t xml:space="preserve">. </w:t>
      </w:r>
    </w:p>
  </w:endnote>
  <w:endnote w:id="4">
    <w:p w14:paraId="7888DD38" w14:textId="5D883AA6" w:rsidR="00466A4B" w:rsidRPr="0014066C" w:rsidRDefault="00466A4B" w:rsidP="0052696C">
      <w:pPr>
        <w:pStyle w:val="Footnote"/>
        <w:jc w:val="both"/>
      </w:pPr>
      <w:r w:rsidRPr="00677CA2">
        <w:rPr>
          <w:rStyle w:val="EndnoteReference"/>
        </w:rPr>
        <w:endnoteRef/>
      </w:r>
      <w:r w:rsidRPr="0014066C">
        <w:t xml:space="preserve"> Jacky Lee, “</w:t>
      </w:r>
      <w:proofErr w:type="spellStart"/>
      <w:r w:rsidRPr="0014066C">
        <w:t>CapitaMalls</w:t>
      </w:r>
      <w:proofErr w:type="spellEnd"/>
      <w:r w:rsidRPr="0014066C">
        <w:t xml:space="preserve"> Asia Delisting: ‘Sucks, If You’ve Been Holding Stock since IPO</w:t>
      </w:r>
      <w:r>
        <w:t>,</w:t>
      </w:r>
      <w:r w:rsidRPr="0014066C">
        <w:t xml:space="preserve">’” </w:t>
      </w:r>
      <w:proofErr w:type="spellStart"/>
      <w:r w:rsidRPr="0014066C">
        <w:t>NextInsight</w:t>
      </w:r>
      <w:proofErr w:type="spellEnd"/>
      <w:r w:rsidRPr="0014066C">
        <w:t>, April 15, 2014, accessed August 16, 2018, https://nextinsight.net/story-archive-mainmenu-60/924-2014/8377-capitmalls-asia-delisting-qsucks-if-you-have-been-holding-stock-since-ipoq.</w:t>
      </w:r>
      <w:r>
        <w:t xml:space="preserve"> </w:t>
      </w:r>
    </w:p>
  </w:endnote>
  <w:endnote w:id="5">
    <w:p w14:paraId="359B9C50" w14:textId="3D6099D3" w:rsidR="00466A4B" w:rsidRPr="0014066C" w:rsidRDefault="00466A4B" w:rsidP="0052696C">
      <w:pPr>
        <w:pStyle w:val="Footnote"/>
        <w:jc w:val="both"/>
      </w:pPr>
      <w:r w:rsidRPr="00677CA2">
        <w:rPr>
          <w:rStyle w:val="EndnoteReference"/>
        </w:rPr>
        <w:endnoteRef/>
      </w:r>
      <w:r w:rsidRPr="0014066C">
        <w:t xml:space="preserve"> Ibid. </w:t>
      </w:r>
    </w:p>
  </w:endnote>
  <w:endnote w:id="6">
    <w:p w14:paraId="2DC8835A" w14:textId="5D077822" w:rsidR="00466A4B" w:rsidRPr="0014066C" w:rsidRDefault="00466A4B" w:rsidP="0052696C">
      <w:pPr>
        <w:pStyle w:val="Footnote"/>
        <w:jc w:val="both"/>
      </w:pPr>
      <w:r w:rsidRPr="00677CA2">
        <w:rPr>
          <w:rStyle w:val="EndnoteReference"/>
        </w:rPr>
        <w:endnoteRef/>
      </w:r>
      <w:r w:rsidRPr="0014066C">
        <w:t xml:space="preserve"> Maybank Kim Eng Research, “CapitaLand</w:t>
      </w:r>
      <w:r>
        <w:t>—</w:t>
      </w:r>
      <w:r w:rsidRPr="0014066C">
        <w:t xml:space="preserve">Privatisation Offer for CMA,” Investor.com, April 15, 2014, accessed August 16, 2018, http://sgx.i3investor.com/servlets/ptres/6050.jsp. </w:t>
      </w:r>
    </w:p>
  </w:endnote>
  <w:endnote w:id="7">
    <w:p w14:paraId="13E75A98" w14:textId="3DFA0DCB" w:rsidR="00466A4B" w:rsidRPr="0014066C" w:rsidRDefault="00466A4B" w:rsidP="0052696C">
      <w:pPr>
        <w:pStyle w:val="Footnote"/>
        <w:jc w:val="both"/>
      </w:pPr>
      <w:r w:rsidRPr="00677CA2">
        <w:rPr>
          <w:rStyle w:val="EndnoteReference"/>
        </w:rPr>
        <w:endnoteRef/>
      </w:r>
      <w:r w:rsidRPr="0014066C">
        <w:t xml:space="preserve"> Ibid. </w:t>
      </w:r>
    </w:p>
  </w:endnote>
  <w:endnote w:id="8">
    <w:p w14:paraId="2D8B2355" w14:textId="0298A10C" w:rsidR="00466A4B" w:rsidRPr="0014066C" w:rsidRDefault="00466A4B" w:rsidP="0052696C">
      <w:pPr>
        <w:pStyle w:val="Footnote"/>
        <w:jc w:val="both"/>
        <w:rPr>
          <w:spacing w:val="-4"/>
        </w:rPr>
      </w:pPr>
      <w:r w:rsidRPr="00677CA2">
        <w:rPr>
          <w:rStyle w:val="EndnoteReference"/>
        </w:rPr>
        <w:endnoteRef/>
      </w:r>
      <w:r w:rsidRPr="0014066C">
        <w:rPr>
          <w:spacing w:val="-4"/>
        </w:rPr>
        <w:t xml:space="preserve"> Pooja Thakur, “CapitaMalls Shares Jump on S$3.06 Billion Offer: Singapore Mover,” Bloomberg, April 15, 2014, accessed March 5, 2017, www.bloomberg.com/news/articles/2014-04-15/capitamalls-shares-jump-on-s-3-06-billion-offer-singapore-mover.</w:t>
      </w:r>
      <w:r>
        <w:rPr>
          <w:spacing w:val="-4"/>
        </w:rPr>
        <w:t xml:space="preserve"> </w:t>
      </w:r>
    </w:p>
  </w:endnote>
  <w:endnote w:id="9">
    <w:p w14:paraId="4DD738DE" w14:textId="34670407" w:rsidR="00466A4B" w:rsidRPr="0014066C" w:rsidRDefault="00466A4B" w:rsidP="0052696C">
      <w:pPr>
        <w:pStyle w:val="Footnote"/>
        <w:jc w:val="both"/>
        <w:rPr>
          <w:rStyle w:val="EndnoteReference"/>
        </w:rPr>
      </w:pPr>
      <w:r w:rsidRPr="00677CA2">
        <w:rPr>
          <w:rStyle w:val="EndnoteReference"/>
        </w:rPr>
        <w:endnoteRef/>
      </w:r>
      <w:r w:rsidRPr="0014066C">
        <w:rPr>
          <w:color w:val="000000" w:themeColor="text1"/>
        </w:rPr>
        <w:t xml:space="preserve"> CapitaLand Limited, </w:t>
      </w:r>
      <w:r w:rsidRPr="0014066C">
        <w:t xml:space="preserve">“CapitaLand Launches Voluntary Conditional Cash Offer,” </w:t>
      </w:r>
      <w:r w:rsidRPr="0014066C">
        <w:rPr>
          <w:color w:val="000000" w:themeColor="text1"/>
        </w:rPr>
        <w:t xml:space="preserve">op. cit. </w:t>
      </w:r>
    </w:p>
  </w:endnote>
  <w:endnote w:id="10">
    <w:p w14:paraId="54AD8985" w14:textId="081F8EBE" w:rsidR="00466A4B" w:rsidRPr="0014066C" w:rsidRDefault="00466A4B" w:rsidP="0052696C">
      <w:pPr>
        <w:pStyle w:val="Footnote"/>
        <w:jc w:val="both"/>
        <w:rPr>
          <w:color w:val="000000" w:themeColor="text1"/>
        </w:rPr>
      </w:pPr>
      <w:r w:rsidRPr="00677CA2">
        <w:rPr>
          <w:rStyle w:val="EndnoteReference"/>
        </w:rPr>
        <w:endnoteRef/>
      </w:r>
      <w:r w:rsidRPr="0014066C">
        <w:rPr>
          <w:color w:val="000000" w:themeColor="text1"/>
        </w:rPr>
        <w:t xml:space="preserve"> Melissa Tan, “CapitaMall Asia to be Delisted on July 22,” </w:t>
      </w:r>
      <w:r w:rsidRPr="0014066C">
        <w:rPr>
          <w:i/>
          <w:color w:val="000000" w:themeColor="text1"/>
        </w:rPr>
        <w:t>Straits Times</w:t>
      </w:r>
      <w:r w:rsidRPr="0014066C">
        <w:rPr>
          <w:color w:val="000000" w:themeColor="text1"/>
        </w:rPr>
        <w:t xml:space="preserve">, July 17, 2014, accessed March 5, 2017, </w:t>
      </w:r>
      <w:r w:rsidRPr="0014066C">
        <w:t>www.straitstimes.com/business/companies-markets/capitamalls-asia-to-be-delisted-on-july-22</w:t>
      </w:r>
      <w:r w:rsidRPr="0014066C">
        <w:rPr>
          <w:color w:val="000000" w:themeColor="text1"/>
        </w:rPr>
        <w:t>.</w:t>
      </w:r>
    </w:p>
  </w:endnote>
  <w:endnote w:id="11">
    <w:p w14:paraId="24A0EE40" w14:textId="3DB3C592" w:rsidR="00466A4B" w:rsidRPr="0014066C" w:rsidRDefault="00466A4B" w:rsidP="0052696C">
      <w:pPr>
        <w:pStyle w:val="Footnote"/>
        <w:jc w:val="both"/>
      </w:pPr>
      <w:r w:rsidRPr="00677CA2">
        <w:rPr>
          <w:rStyle w:val="EndnoteReference"/>
        </w:rPr>
        <w:endnoteRef/>
      </w:r>
      <w:r w:rsidRPr="0014066C">
        <w:t xml:space="preserve"> Masayuki Yuda, “CapitaLand to Focus on China and Singapore,” </w:t>
      </w:r>
      <w:r w:rsidRPr="0014066C">
        <w:rPr>
          <w:i/>
        </w:rPr>
        <w:t>Nikkei Asian Review</w:t>
      </w:r>
      <w:r w:rsidRPr="0014066C">
        <w:t>, April 22, 2014, accessed August 16, 2018, https://asia.nikkei.com/Business/CapitaLand-to-focus-on-China-and-Singapore.</w:t>
      </w:r>
    </w:p>
  </w:endnote>
  <w:endnote w:id="12">
    <w:p w14:paraId="4062D4F7" w14:textId="1D59F4AD" w:rsidR="00466A4B" w:rsidRPr="0014066C" w:rsidRDefault="00466A4B" w:rsidP="0052696C">
      <w:pPr>
        <w:pStyle w:val="Footnote"/>
        <w:jc w:val="both"/>
      </w:pPr>
      <w:r w:rsidRPr="00677CA2">
        <w:rPr>
          <w:rStyle w:val="EndnoteReference"/>
        </w:rPr>
        <w:endnoteRef/>
      </w:r>
      <w:r w:rsidRPr="0014066C">
        <w:t xml:space="preserve"> CapitaLand Limited, “Letter to Shareholders,” in </w:t>
      </w:r>
      <w:r w:rsidRPr="0014066C">
        <w:rPr>
          <w:i/>
        </w:rPr>
        <w:t>Clarity, Insight &amp; Foresight: Annual Report 2013</w:t>
      </w:r>
      <w:r w:rsidRPr="0014066C">
        <w:t>, 6, accessed March 5, 2017, http://investor.capitaland.com/misc/ar2013.pdf.</w:t>
      </w:r>
    </w:p>
  </w:endnote>
  <w:endnote w:id="13">
    <w:p w14:paraId="0BBCC1B1" w14:textId="7AA52FDE" w:rsidR="00466A4B" w:rsidRPr="0014066C" w:rsidRDefault="00466A4B" w:rsidP="0052696C">
      <w:pPr>
        <w:pStyle w:val="Footnote"/>
        <w:jc w:val="both"/>
      </w:pPr>
      <w:r w:rsidRPr="00677CA2">
        <w:rPr>
          <w:rStyle w:val="EndnoteReference"/>
        </w:rPr>
        <w:endnoteRef/>
      </w:r>
      <w:r w:rsidRPr="0014066C">
        <w:t xml:space="preserve"> Ibid.</w:t>
      </w:r>
    </w:p>
  </w:endnote>
  <w:endnote w:id="14">
    <w:p w14:paraId="596BDAAA" w14:textId="2E2A620B" w:rsidR="00466A4B" w:rsidRPr="0014066C" w:rsidRDefault="00466A4B" w:rsidP="0052696C">
      <w:pPr>
        <w:pStyle w:val="Footnote"/>
        <w:jc w:val="both"/>
      </w:pPr>
      <w:r w:rsidRPr="00677CA2">
        <w:rPr>
          <w:rStyle w:val="EndnoteReference"/>
        </w:rPr>
        <w:endnoteRef/>
      </w:r>
      <w:r w:rsidRPr="0014066C">
        <w:t xml:space="preserve"> Ibid. </w:t>
      </w:r>
    </w:p>
  </w:endnote>
  <w:endnote w:id="15">
    <w:p w14:paraId="19B09902" w14:textId="55D85FCA" w:rsidR="00466A4B" w:rsidRPr="0014066C" w:rsidRDefault="00466A4B" w:rsidP="0052696C">
      <w:pPr>
        <w:pStyle w:val="Footnote"/>
        <w:jc w:val="both"/>
      </w:pPr>
      <w:r w:rsidRPr="00677CA2">
        <w:rPr>
          <w:rStyle w:val="EndnoteReference"/>
        </w:rPr>
        <w:endnoteRef/>
      </w:r>
      <w:r w:rsidRPr="0014066C">
        <w:t xml:space="preserve"> CapitaLand Limited, “Group Businesses,” in </w:t>
      </w:r>
      <w:r w:rsidRPr="0014066C">
        <w:rPr>
          <w:i/>
        </w:rPr>
        <w:t>Clarity, Insight &amp; Foresight: Annual Report 2013</w:t>
      </w:r>
      <w:r w:rsidRPr="0014066C">
        <w:t>, 90, accessed March 5, 2017, http://investor.capitaland.com/misc/ar2013.pdf.</w:t>
      </w:r>
    </w:p>
  </w:endnote>
  <w:endnote w:id="16">
    <w:p w14:paraId="26EA8EC3" w14:textId="5C8FC760" w:rsidR="00466A4B" w:rsidRPr="0014066C" w:rsidRDefault="00466A4B" w:rsidP="0052696C">
      <w:pPr>
        <w:pStyle w:val="Footnote"/>
        <w:jc w:val="both"/>
      </w:pPr>
      <w:r w:rsidRPr="00677CA2">
        <w:rPr>
          <w:rStyle w:val="EndnoteReference"/>
        </w:rPr>
        <w:endnoteRef/>
      </w:r>
      <w:r w:rsidRPr="0052696C">
        <w:t xml:space="preserve"> </w:t>
      </w:r>
      <w:r w:rsidRPr="0014066C">
        <w:t xml:space="preserve">CapitaLand Limited, “Performance Review,” in </w:t>
      </w:r>
      <w:r w:rsidRPr="0014066C">
        <w:rPr>
          <w:i/>
        </w:rPr>
        <w:t>Clarity, Insight &amp; Foresight: Annual Report 2013</w:t>
      </w:r>
      <w:r w:rsidRPr="0014066C">
        <w:t>, 78, accessed March 5, 2017, http://investor.capitaland.com/misc/ar2013.pdf.</w:t>
      </w:r>
    </w:p>
  </w:endnote>
  <w:endnote w:id="17">
    <w:p w14:paraId="5E4F841A" w14:textId="6F126300" w:rsidR="00466A4B" w:rsidRPr="005F5000" w:rsidRDefault="00466A4B" w:rsidP="0052696C">
      <w:pPr>
        <w:pStyle w:val="Footnote"/>
        <w:jc w:val="both"/>
        <w:rPr>
          <w:spacing w:val="-10"/>
        </w:rPr>
      </w:pPr>
      <w:r w:rsidRPr="005F5000">
        <w:rPr>
          <w:rStyle w:val="EndnoteReference"/>
          <w:spacing w:val="-6"/>
        </w:rPr>
        <w:endnoteRef/>
      </w:r>
      <w:r w:rsidRPr="005F5000">
        <w:rPr>
          <w:spacing w:val="-6"/>
        </w:rPr>
        <w:t xml:space="preserve"> CapitaLand Limited, “</w:t>
      </w:r>
      <w:proofErr w:type="spellStart"/>
      <w:r w:rsidRPr="005F5000">
        <w:rPr>
          <w:spacing w:val="-6"/>
        </w:rPr>
        <w:t>CapitaMalls</w:t>
      </w:r>
      <w:proofErr w:type="spellEnd"/>
      <w:r w:rsidRPr="005F5000">
        <w:rPr>
          <w:spacing w:val="-6"/>
        </w:rPr>
        <w:t xml:space="preserve"> Asia’s IPO Generates Strong Demand from Investors,” news release, November 24, 2009, accessed</w:t>
      </w:r>
      <w:r w:rsidRPr="0014066C">
        <w:t xml:space="preserve"> </w:t>
      </w:r>
      <w:r w:rsidRPr="005F5000">
        <w:rPr>
          <w:spacing w:val="-10"/>
        </w:rPr>
        <w:t>March 5, 2017, https://capitaland.listedcompany.com/newsroom/20091124_202704_C31_B63D0BC079760431482576780034490B.2.pdf.</w:t>
      </w:r>
    </w:p>
  </w:endnote>
  <w:endnote w:id="18">
    <w:p w14:paraId="2B8BD42E" w14:textId="2F6CDB68" w:rsidR="00466A4B" w:rsidRPr="005F5000" w:rsidRDefault="00466A4B" w:rsidP="0052696C">
      <w:pPr>
        <w:pStyle w:val="Footnote"/>
        <w:jc w:val="both"/>
        <w:rPr>
          <w:spacing w:val="-6"/>
        </w:rPr>
      </w:pPr>
      <w:r w:rsidRPr="005F5000">
        <w:rPr>
          <w:rStyle w:val="EndnoteReference"/>
          <w:spacing w:val="-6"/>
        </w:rPr>
        <w:endnoteRef/>
      </w:r>
      <w:r w:rsidRPr="005F5000">
        <w:rPr>
          <w:spacing w:val="-6"/>
        </w:rPr>
        <w:t xml:space="preserve"> CapitaLand Limited, “CapitaLand Launches IPO of </w:t>
      </w:r>
      <w:proofErr w:type="spellStart"/>
      <w:r w:rsidRPr="005F5000">
        <w:rPr>
          <w:spacing w:val="-6"/>
        </w:rPr>
        <w:t>CapitaMalls</w:t>
      </w:r>
      <w:proofErr w:type="spellEnd"/>
      <w:r w:rsidRPr="005F5000">
        <w:rPr>
          <w:spacing w:val="-6"/>
        </w:rPr>
        <w:t xml:space="preserve"> Asia,” news release, November 17, 2009, accessed March 5, 2017, https://capitaland.listedcompany.com/newsroom/20091117_120916_C31_E21AC81E9B46FF4F482576710011F033.2.pdf.</w:t>
      </w:r>
    </w:p>
  </w:endnote>
  <w:endnote w:id="19">
    <w:p w14:paraId="2D014D0B" w14:textId="1E8FF565" w:rsidR="00466A4B" w:rsidRPr="0014066C" w:rsidRDefault="00466A4B" w:rsidP="0052696C">
      <w:pPr>
        <w:pStyle w:val="Footnote"/>
        <w:jc w:val="both"/>
      </w:pPr>
      <w:r w:rsidRPr="00677CA2">
        <w:rPr>
          <w:rStyle w:val="EndnoteReference"/>
        </w:rPr>
        <w:endnoteRef/>
      </w:r>
      <w:r w:rsidRPr="0014066C">
        <w:t xml:space="preserve"> </w:t>
      </w:r>
      <w:r>
        <w:t>“</w:t>
      </w:r>
      <w:r w:rsidRPr="0014066C">
        <w:t>About CapitaLand: Integrated Developments,” CapitaLand, accessed August 15, 2018, www.capitaland.com/international/en/about-capitaland/our-business/integrated-developments.html.</w:t>
      </w:r>
    </w:p>
  </w:endnote>
  <w:endnote w:id="20">
    <w:p w14:paraId="51582762" w14:textId="6BF87006" w:rsidR="00466A4B" w:rsidRPr="0014066C" w:rsidRDefault="00466A4B" w:rsidP="0052696C">
      <w:pPr>
        <w:pStyle w:val="Footnote"/>
        <w:jc w:val="both"/>
      </w:pPr>
      <w:r w:rsidRPr="00677CA2">
        <w:rPr>
          <w:rStyle w:val="EndnoteReference"/>
        </w:rPr>
        <w:endnoteRef/>
      </w:r>
      <w:r w:rsidRPr="0014066C">
        <w:t xml:space="preserve"> Thakur, op. cit. </w:t>
      </w:r>
    </w:p>
  </w:endnote>
  <w:endnote w:id="21">
    <w:p w14:paraId="2A9880A1" w14:textId="7E29E78A" w:rsidR="00466A4B" w:rsidRPr="0014066C" w:rsidRDefault="00466A4B" w:rsidP="0052696C">
      <w:pPr>
        <w:pStyle w:val="Footnote"/>
        <w:jc w:val="both"/>
      </w:pPr>
      <w:r w:rsidRPr="00677CA2">
        <w:rPr>
          <w:rStyle w:val="EndnoteReference"/>
        </w:rPr>
        <w:endnoteRef/>
      </w:r>
      <w:r w:rsidRPr="0014066C">
        <w:t xml:space="preserve"> CapitaLand Limited, “CapitaLand Launches Voluntary Conditional Cash Offer,” op. cit.</w:t>
      </w:r>
    </w:p>
  </w:endnote>
  <w:endnote w:id="22">
    <w:p w14:paraId="378B771B" w14:textId="17D1F032" w:rsidR="00466A4B" w:rsidRPr="0014066C" w:rsidRDefault="00466A4B" w:rsidP="0052696C">
      <w:pPr>
        <w:pStyle w:val="Footnote"/>
        <w:jc w:val="both"/>
      </w:pPr>
      <w:r w:rsidRPr="00677CA2">
        <w:rPr>
          <w:rStyle w:val="EndnoteReference"/>
        </w:rPr>
        <w:endnoteRef/>
      </w:r>
      <w:r w:rsidRPr="0014066C">
        <w:t xml:space="preserve"> Maybank Kim Eng Research, op. cit. </w:t>
      </w:r>
    </w:p>
  </w:endnote>
  <w:endnote w:id="23">
    <w:p w14:paraId="4E7FD387" w14:textId="771A6685" w:rsidR="00466A4B" w:rsidRPr="0014066C" w:rsidRDefault="00466A4B" w:rsidP="0052696C">
      <w:pPr>
        <w:pStyle w:val="Footnote"/>
        <w:jc w:val="both"/>
      </w:pPr>
      <w:r w:rsidRPr="00677CA2">
        <w:rPr>
          <w:rStyle w:val="EndnoteReference"/>
        </w:rPr>
        <w:endnoteRef/>
      </w:r>
      <w:r w:rsidRPr="0014066C">
        <w:t xml:space="preserve"> CapitaLand Limited, “CapitaLand Launches Voluntary Conditional Cash Offer,” op. cit.</w:t>
      </w:r>
    </w:p>
  </w:endnote>
  <w:endnote w:id="24">
    <w:p w14:paraId="4EEC8C26" w14:textId="1D051735" w:rsidR="00466A4B" w:rsidRPr="0014066C" w:rsidRDefault="00466A4B" w:rsidP="0052696C">
      <w:pPr>
        <w:pStyle w:val="Footnote"/>
        <w:jc w:val="both"/>
      </w:pPr>
      <w:r w:rsidRPr="00677CA2">
        <w:rPr>
          <w:rStyle w:val="EndnoteReference"/>
        </w:rPr>
        <w:endnoteRef/>
      </w:r>
      <w:r w:rsidRPr="0014066C">
        <w:t xml:space="preserve"> Thakur, op. cit. </w:t>
      </w:r>
    </w:p>
  </w:endnote>
  <w:endnote w:id="25">
    <w:p w14:paraId="63C97B93" w14:textId="675806D9" w:rsidR="00466A4B" w:rsidRPr="0014066C" w:rsidRDefault="00466A4B" w:rsidP="0052696C">
      <w:pPr>
        <w:pStyle w:val="Footnote"/>
        <w:jc w:val="both"/>
      </w:pPr>
      <w:r w:rsidRPr="00677CA2">
        <w:rPr>
          <w:rStyle w:val="EndnoteReference"/>
        </w:rPr>
        <w:endnoteRef/>
      </w:r>
      <w:r w:rsidRPr="0014066C">
        <w:t xml:space="preserve"> Ibid. </w:t>
      </w:r>
    </w:p>
  </w:endnote>
  <w:endnote w:id="26">
    <w:p w14:paraId="43969436" w14:textId="370B8E52" w:rsidR="00466A4B" w:rsidRPr="0014066C" w:rsidRDefault="00466A4B" w:rsidP="0052696C">
      <w:pPr>
        <w:pStyle w:val="Footnote"/>
        <w:jc w:val="both"/>
      </w:pPr>
      <w:r w:rsidRPr="00677CA2">
        <w:rPr>
          <w:rStyle w:val="EndnoteReference"/>
        </w:rPr>
        <w:endnoteRef/>
      </w:r>
      <w:r w:rsidRPr="0014066C">
        <w:t xml:space="preserve"> Ibid. </w:t>
      </w:r>
    </w:p>
  </w:endnote>
  <w:endnote w:id="27">
    <w:p w14:paraId="02C0C558" w14:textId="515FB14F" w:rsidR="00466A4B" w:rsidRPr="00C85DF7" w:rsidRDefault="00466A4B" w:rsidP="0052696C">
      <w:pPr>
        <w:pStyle w:val="Footnote"/>
        <w:jc w:val="both"/>
      </w:pPr>
      <w:r w:rsidRPr="00677CA2">
        <w:rPr>
          <w:rStyle w:val="EndnoteReference"/>
        </w:rPr>
        <w:endnoteRef/>
      </w:r>
      <w:r w:rsidRPr="0014066C">
        <w:t xml:space="preserve"> Ibid.</w:t>
      </w:r>
      <w:r w:rsidRPr="005D16BE">
        <w:t xml:space="preserve"> </w:t>
      </w:r>
    </w:p>
  </w:endnote>
  <w:endnote w:id="28">
    <w:p w14:paraId="6A78B63B" w14:textId="77777777" w:rsidR="00466A4B" w:rsidRPr="00C85DF7" w:rsidRDefault="00466A4B" w:rsidP="0052696C">
      <w:pPr>
        <w:pStyle w:val="Footnote"/>
        <w:jc w:val="both"/>
      </w:pPr>
      <w:r w:rsidRPr="00677CA2">
        <w:rPr>
          <w:rStyle w:val="EndnoteReference"/>
        </w:rPr>
        <w:endnoteRef/>
      </w:r>
      <w:r w:rsidRPr="00C85DF7">
        <w:t xml:space="preserve"> Stephen A. Ross, Randolph W. Westerfield, Jeffrey Jaffe, Joseph Lim, Ruth Tan, and Helen Wong, </w:t>
      </w:r>
      <w:r w:rsidRPr="00B10FC3">
        <w:rPr>
          <w:i/>
        </w:rPr>
        <w:t>Corporate Finance</w:t>
      </w:r>
      <w:r w:rsidRPr="00C85DF7">
        <w:t>, Asia Global ed. (Singapore: McGraw</w:t>
      </w:r>
      <w:r>
        <w:t>-</w:t>
      </w:r>
      <w:r w:rsidRPr="00C85DF7">
        <w:t>Hill, 2015), 296–297.</w:t>
      </w:r>
    </w:p>
  </w:endnote>
  <w:endnote w:id="29">
    <w:p w14:paraId="5D252E6C" w14:textId="77777777" w:rsidR="00466A4B" w:rsidRPr="00C85DF7" w:rsidRDefault="00466A4B" w:rsidP="0052696C">
      <w:pPr>
        <w:pStyle w:val="Footnote"/>
        <w:jc w:val="both"/>
      </w:pPr>
      <w:r w:rsidRPr="00677CA2">
        <w:rPr>
          <w:rStyle w:val="EndnoteReference"/>
        </w:rPr>
        <w:endnoteRef/>
      </w:r>
      <w:r w:rsidRPr="00C85DF7">
        <w:t xml:space="preserve"> </w:t>
      </w:r>
      <w:r>
        <w:t>Ibid.</w:t>
      </w:r>
    </w:p>
  </w:endnote>
  <w:endnote w:id="30">
    <w:p w14:paraId="64111460" w14:textId="6AC53E6F" w:rsidR="00466A4B" w:rsidRPr="00C85DF7" w:rsidRDefault="00466A4B" w:rsidP="0052696C">
      <w:pPr>
        <w:pStyle w:val="Footnote"/>
        <w:jc w:val="both"/>
      </w:pPr>
      <w:r w:rsidRPr="00677CA2">
        <w:rPr>
          <w:rStyle w:val="EndnoteReference"/>
        </w:rPr>
        <w:endnoteRef/>
      </w:r>
      <w:r w:rsidRPr="00C85DF7">
        <w:t xml:space="preserve"> </w:t>
      </w:r>
      <w:r>
        <w:t>Ibid.</w:t>
      </w:r>
    </w:p>
  </w:endnote>
  <w:endnote w:id="31">
    <w:p w14:paraId="2CAC42EC" w14:textId="5F221584" w:rsidR="00466A4B" w:rsidRPr="00C85DF7" w:rsidRDefault="00466A4B" w:rsidP="0052696C">
      <w:pPr>
        <w:pStyle w:val="Footnote"/>
        <w:jc w:val="both"/>
      </w:pPr>
      <w:r w:rsidRPr="00677CA2">
        <w:rPr>
          <w:rStyle w:val="EndnoteReference"/>
        </w:rPr>
        <w:endnoteRef/>
      </w:r>
      <w:r w:rsidRPr="00C85DF7">
        <w:t xml:space="preserve"> Thakur, </w:t>
      </w:r>
      <w:r>
        <w:t xml:space="preserve">op. cit.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FEBABB" w14:textId="77777777" w:rsidR="00466A4B" w:rsidRDefault="00466A4B" w:rsidP="00D75295">
      <w:r>
        <w:separator/>
      </w:r>
    </w:p>
  </w:footnote>
  <w:footnote w:type="continuationSeparator" w:id="0">
    <w:p w14:paraId="303BA16C" w14:textId="77777777" w:rsidR="00466A4B" w:rsidRDefault="00466A4B"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93AA4" w14:textId="56452CE0" w:rsidR="00466A4B" w:rsidRDefault="00466A4B" w:rsidP="00C17DAF">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D64D1">
      <w:rPr>
        <w:rFonts w:ascii="Arial" w:hAnsi="Arial"/>
        <w:b/>
        <w:noProof/>
      </w:rPr>
      <w:t>11</w:t>
    </w:r>
    <w:r>
      <w:rPr>
        <w:rFonts w:ascii="Arial" w:hAnsi="Arial"/>
        <w:b/>
      </w:rPr>
      <w:fldChar w:fldCharType="end"/>
    </w:r>
    <w:r>
      <w:rPr>
        <w:rFonts w:ascii="Arial" w:hAnsi="Arial"/>
        <w:b/>
      </w:rPr>
      <w:ptab w:relativeTo="margin" w:alignment="right" w:leader="none"/>
    </w:r>
    <w:r>
      <w:rPr>
        <w:rFonts w:ascii="Arial" w:hAnsi="Arial"/>
        <w:b/>
      </w:rPr>
      <w:t>9B19N012</w:t>
    </w:r>
  </w:p>
  <w:p w14:paraId="6ECB6EA1" w14:textId="77777777" w:rsidR="00466A4B" w:rsidRPr="00C92CC4" w:rsidRDefault="00466A4B" w:rsidP="00C17DAF">
    <w:pPr>
      <w:pStyle w:val="Header"/>
      <w:tabs>
        <w:tab w:val="clear" w:pos="4680"/>
        <w:tab w:val="clear" w:pos="9360"/>
        <w:tab w:val="right" w:pos="12960"/>
      </w:tabs>
      <w:rPr>
        <w:sz w:val="18"/>
        <w:szCs w:val="18"/>
      </w:rPr>
    </w:pPr>
  </w:p>
  <w:p w14:paraId="0D601A84" w14:textId="77777777" w:rsidR="00466A4B" w:rsidRPr="00C92CC4" w:rsidRDefault="00466A4B" w:rsidP="00C17DAF">
    <w:pPr>
      <w:pStyle w:val="Header"/>
      <w:tabs>
        <w:tab w:val="clear" w:pos="4680"/>
        <w:tab w:val="clear" w:pos="9360"/>
        <w:tab w:val="right" w:pos="1296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68AFF" w14:textId="0DDBCD86" w:rsidR="00466A4B" w:rsidRDefault="00466A4B" w:rsidP="00481DE5">
    <w:pPr>
      <w:pBdr>
        <w:bottom w:val="single" w:sz="18" w:space="1" w:color="auto"/>
      </w:pBdr>
      <w:tabs>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D64D1">
      <w:rPr>
        <w:rFonts w:ascii="Arial" w:hAnsi="Arial"/>
        <w:b/>
        <w:noProof/>
      </w:rPr>
      <w:t>15</w:t>
    </w:r>
    <w:r>
      <w:rPr>
        <w:rFonts w:ascii="Arial" w:hAnsi="Arial"/>
        <w:b/>
      </w:rPr>
      <w:fldChar w:fldCharType="end"/>
    </w:r>
    <w:r>
      <w:rPr>
        <w:rFonts w:ascii="Arial" w:hAnsi="Arial"/>
        <w:b/>
      </w:rPr>
      <w:ptab w:relativeTo="margin" w:alignment="right" w:leader="none"/>
    </w:r>
    <w:r>
      <w:rPr>
        <w:rFonts w:ascii="Arial" w:hAnsi="Arial"/>
        <w:b/>
      </w:rPr>
      <w:t>9B19N012</w:t>
    </w:r>
  </w:p>
  <w:p w14:paraId="5E1F407C" w14:textId="77777777" w:rsidR="00466A4B" w:rsidRPr="00C92CC4" w:rsidRDefault="00466A4B" w:rsidP="00481DE5">
    <w:pPr>
      <w:pStyle w:val="Header"/>
      <w:tabs>
        <w:tab w:val="clear" w:pos="4680"/>
      </w:tabs>
      <w:rPr>
        <w:sz w:val="18"/>
        <w:szCs w:val="18"/>
      </w:rPr>
    </w:pPr>
  </w:p>
  <w:p w14:paraId="6FF9CBCE" w14:textId="77777777" w:rsidR="00466A4B" w:rsidRPr="00C92CC4" w:rsidRDefault="00466A4B" w:rsidP="00481DE5">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3403A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325E0C"/>
    <w:multiLevelType w:val="hybridMultilevel"/>
    <w:tmpl w:val="10BAEFE0"/>
    <w:lvl w:ilvl="0" w:tplc="1E38ADA4">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601BF"/>
    <w:multiLevelType w:val="hybridMultilevel"/>
    <w:tmpl w:val="3B802A9E"/>
    <w:lvl w:ilvl="0" w:tplc="00760196">
      <w:numFmt w:val="bullet"/>
      <w:lvlText w:val="-"/>
      <w:lvlJc w:val="left"/>
      <w:pPr>
        <w:ind w:left="360" w:hanging="360"/>
      </w:pPr>
      <w:rPr>
        <w:rFonts w:ascii="Times" w:eastAsiaTheme="minorEastAsia" w:hAnsi="Times"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172265"/>
    <w:multiLevelType w:val="hybridMultilevel"/>
    <w:tmpl w:val="473E8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F4E4B05"/>
    <w:multiLevelType w:val="hybridMultilevel"/>
    <w:tmpl w:val="BEE6F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9"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F43BF"/>
    <w:multiLevelType w:val="hybridMultilevel"/>
    <w:tmpl w:val="8D28CC3A"/>
    <w:lvl w:ilvl="0" w:tplc="43CA13E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4F6B3F"/>
    <w:multiLevelType w:val="hybridMultilevel"/>
    <w:tmpl w:val="1292E2EE"/>
    <w:lvl w:ilvl="0" w:tplc="5846DD4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7752E7"/>
    <w:multiLevelType w:val="hybridMultilevel"/>
    <w:tmpl w:val="745EA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5DC56BE"/>
    <w:multiLevelType w:val="hybridMultilevel"/>
    <w:tmpl w:val="6C902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9"/>
  </w:num>
  <w:num w:numId="4">
    <w:abstractNumId w:val="3"/>
  </w:num>
  <w:num w:numId="5">
    <w:abstractNumId w:val="8"/>
  </w:num>
  <w:num w:numId="6">
    <w:abstractNumId w:val="1"/>
  </w:num>
  <w:num w:numId="7">
    <w:abstractNumId w:val="2"/>
  </w:num>
  <w:num w:numId="8">
    <w:abstractNumId w:val="5"/>
  </w:num>
  <w:num w:numId="9">
    <w:abstractNumId w:val="13"/>
  </w:num>
  <w:num w:numId="10">
    <w:abstractNumId w:val="4"/>
  </w:num>
  <w:num w:numId="11">
    <w:abstractNumId w:val="14"/>
  </w:num>
  <w:num w:numId="12">
    <w:abstractNumId w:val="6"/>
  </w:num>
  <w:num w:numId="13">
    <w:abstractNumId w:val="12"/>
  </w:num>
  <w:num w:numId="14">
    <w:abstractNumId w:val="0"/>
  </w:num>
  <w:num w:numId="1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8A4DC4"/>
    <w:rsid w:val="0000085A"/>
    <w:rsid w:val="00001B51"/>
    <w:rsid w:val="00001F35"/>
    <w:rsid w:val="000065C5"/>
    <w:rsid w:val="00011582"/>
    <w:rsid w:val="0001202B"/>
    <w:rsid w:val="00013360"/>
    <w:rsid w:val="00013920"/>
    <w:rsid w:val="00014053"/>
    <w:rsid w:val="00014E16"/>
    <w:rsid w:val="00016759"/>
    <w:rsid w:val="00016BCA"/>
    <w:rsid w:val="000216CE"/>
    <w:rsid w:val="00022506"/>
    <w:rsid w:val="000243EE"/>
    <w:rsid w:val="00025DC7"/>
    <w:rsid w:val="00036D13"/>
    <w:rsid w:val="00040746"/>
    <w:rsid w:val="00043A98"/>
    <w:rsid w:val="00043E5D"/>
    <w:rsid w:val="00044A62"/>
    <w:rsid w:val="00044ECC"/>
    <w:rsid w:val="0004533E"/>
    <w:rsid w:val="0004619F"/>
    <w:rsid w:val="000531D3"/>
    <w:rsid w:val="00053485"/>
    <w:rsid w:val="000545E8"/>
    <w:rsid w:val="00055EBB"/>
    <w:rsid w:val="0005646B"/>
    <w:rsid w:val="00056A4A"/>
    <w:rsid w:val="00057423"/>
    <w:rsid w:val="00060311"/>
    <w:rsid w:val="00060804"/>
    <w:rsid w:val="00061DEE"/>
    <w:rsid w:val="00064A02"/>
    <w:rsid w:val="000654D1"/>
    <w:rsid w:val="0006734C"/>
    <w:rsid w:val="00071154"/>
    <w:rsid w:val="00071899"/>
    <w:rsid w:val="0008102D"/>
    <w:rsid w:val="00083132"/>
    <w:rsid w:val="00083574"/>
    <w:rsid w:val="00083BB3"/>
    <w:rsid w:val="00094C0E"/>
    <w:rsid w:val="00096BA6"/>
    <w:rsid w:val="000A051F"/>
    <w:rsid w:val="000A1659"/>
    <w:rsid w:val="000A379B"/>
    <w:rsid w:val="000A4C59"/>
    <w:rsid w:val="000A57E6"/>
    <w:rsid w:val="000A6568"/>
    <w:rsid w:val="000B0DB6"/>
    <w:rsid w:val="000B1E10"/>
    <w:rsid w:val="000B46E6"/>
    <w:rsid w:val="000B4A16"/>
    <w:rsid w:val="000B5555"/>
    <w:rsid w:val="000B6794"/>
    <w:rsid w:val="000B7221"/>
    <w:rsid w:val="000B7DC9"/>
    <w:rsid w:val="000C4D88"/>
    <w:rsid w:val="000D1A1E"/>
    <w:rsid w:val="000D5142"/>
    <w:rsid w:val="000D7389"/>
    <w:rsid w:val="000E2A16"/>
    <w:rsid w:val="000E2F54"/>
    <w:rsid w:val="000E4475"/>
    <w:rsid w:val="000E67D0"/>
    <w:rsid w:val="000F0C22"/>
    <w:rsid w:val="000F2D7B"/>
    <w:rsid w:val="000F370A"/>
    <w:rsid w:val="000F5D1D"/>
    <w:rsid w:val="000F6B09"/>
    <w:rsid w:val="000F6FDC"/>
    <w:rsid w:val="000F7D27"/>
    <w:rsid w:val="00101E85"/>
    <w:rsid w:val="001028AB"/>
    <w:rsid w:val="001037CB"/>
    <w:rsid w:val="00104567"/>
    <w:rsid w:val="00104916"/>
    <w:rsid w:val="00104AA7"/>
    <w:rsid w:val="00104BC4"/>
    <w:rsid w:val="001068AA"/>
    <w:rsid w:val="00107836"/>
    <w:rsid w:val="00114B5C"/>
    <w:rsid w:val="00116285"/>
    <w:rsid w:val="00117E8A"/>
    <w:rsid w:val="001236BA"/>
    <w:rsid w:val="00124054"/>
    <w:rsid w:val="001253CC"/>
    <w:rsid w:val="0012732D"/>
    <w:rsid w:val="001342E6"/>
    <w:rsid w:val="00134796"/>
    <w:rsid w:val="0014066C"/>
    <w:rsid w:val="00141200"/>
    <w:rsid w:val="00143F25"/>
    <w:rsid w:val="00144469"/>
    <w:rsid w:val="001455F9"/>
    <w:rsid w:val="00147AC5"/>
    <w:rsid w:val="00150744"/>
    <w:rsid w:val="00150C04"/>
    <w:rsid w:val="00151898"/>
    <w:rsid w:val="00152682"/>
    <w:rsid w:val="00152995"/>
    <w:rsid w:val="00154FC9"/>
    <w:rsid w:val="0015516D"/>
    <w:rsid w:val="00156F2A"/>
    <w:rsid w:val="00163227"/>
    <w:rsid w:val="00164F16"/>
    <w:rsid w:val="00167E93"/>
    <w:rsid w:val="00175EC3"/>
    <w:rsid w:val="00175FDB"/>
    <w:rsid w:val="00183E97"/>
    <w:rsid w:val="0019241A"/>
    <w:rsid w:val="00193186"/>
    <w:rsid w:val="00193649"/>
    <w:rsid w:val="0019515A"/>
    <w:rsid w:val="001A1A66"/>
    <w:rsid w:val="001A649D"/>
    <w:rsid w:val="001A752D"/>
    <w:rsid w:val="001A757E"/>
    <w:rsid w:val="001B15B0"/>
    <w:rsid w:val="001B1AD4"/>
    <w:rsid w:val="001B4126"/>
    <w:rsid w:val="001B5032"/>
    <w:rsid w:val="001B5522"/>
    <w:rsid w:val="001C0108"/>
    <w:rsid w:val="001C1F24"/>
    <w:rsid w:val="001C2237"/>
    <w:rsid w:val="001C53A5"/>
    <w:rsid w:val="001C6EEE"/>
    <w:rsid w:val="001D2C3E"/>
    <w:rsid w:val="001D2CDE"/>
    <w:rsid w:val="001D51B2"/>
    <w:rsid w:val="001D5F5F"/>
    <w:rsid w:val="001E0341"/>
    <w:rsid w:val="001E2425"/>
    <w:rsid w:val="001E364F"/>
    <w:rsid w:val="001E4801"/>
    <w:rsid w:val="001E6250"/>
    <w:rsid w:val="001E64DE"/>
    <w:rsid w:val="001E74A3"/>
    <w:rsid w:val="001E7E49"/>
    <w:rsid w:val="001F3535"/>
    <w:rsid w:val="001F3DC1"/>
    <w:rsid w:val="001F5957"/>
    <w:rsid w:val="001F5C62"/>
    <w:rsid w:val="001F79AF"/>
    <w:rsid w:val="001F7B14"/>
    <w:rsid w:val="001F7CCC"/>
    <w:rsid w:val="00200EEA"/>
    <w:rsid w:val="002010EE"/>
    <w:rsid w:val="00201464"/>
    <w:rsid w:val="00202105"/>
    <w:rsid w:val="00203A3A"/>
    <w:rsid w:val="00203AA1"/>
    <w:rsid w:val="002040C6"/>
    <w:rsid w:val="002051AE"/>
    <w:rsid w:val="00205304"/>
    <w:rsid w:val="00207467"/>
    <w:rsid w:val="00207578"/>
    <w:rsid w:val="002078BB"/>
    <w:rsid w:val="002102D0"/>
    <w:rsid w:val="002107A8"/>
    <w:rsid w:val="00213E98"/>
    <w:rsid w:val="00217B0D"/>
    <w:rsid w:val="0022002B"/>
    <w:rsid w:val="0022170E"/>
    <w:rsid w:val="0022230E"/>
    <w:rsid w:val="002223A9"/>
    <w:rsid w:val="0022459D"/>
    <w:rsid w:val="00230CCE"/>
    <w:rsid w:val="0023338D"/>
    <w:rsid w:val="00233BDB"/>
    <w:rsid w:val="0023625F"/>
    <w:rsid w:val="0024442E"/>
    <w:rsid w:val="00245772"/>
    <w:rsid w:val="00245A8A"/>
    <w:rsid w:val="00247AD5"/>
    <w:rsid w:val="00250171"/>
    <w:rsid w:val="00255280"/>
    <w:rsid w:val="002561DB"/>
    <w:rsid w:val="002566B7"/>
    <w:rsid w:val="00262B27"/>
    <w:rsid w:val="00263B6A"/>
    <w:rsid w:val="00266634"/>
    <w:rsid w:val="002710E5"/>
    <w:rsid w:val="00271469"/>
    <w:rsid w:val="00271D57"/>
    <w:rsid w:val="002735C9"/>
    <w:rsid w:val="00275E3B"/>
    <w:rsid w:val="00277CB9"/>
    <w:rsid w:val="002802F4"/>
    <w:rsid w:val="00280890"/>
    <w:rsid w:val="00282271"/>
    <w:rsid w:val="00282378"/>
    <w:rsid w:val="00282FA1"/>
    <w:rsid w:val="00283CFA"/>
    <w:rsid w:val="00285EBF"/>
    <w:rsid w:val="00290012"/>
    <w:rsid w:val="002979EE"/>
    <w:rsid w:val="002A029A"/>
    <w:rsid w:val="002A264F"/>
    <w:rsid w:val="002A347F"/>
    <w:rsid w:val="002A5C31"/>
    <w:rsid w:val="002A5D15"/>
    <w:rsid w:val="002B1673"/>
    <w:rsid w:val="002B549D"/>
    <w:rsid w:val="002B71F1"/>
    <w:rsid w:val="002C05E6"/>
    <w:rsid w:val="002C10D6"/>
    <w:rsid w:val="002C11B6"/>
    <w:rsid w:val="002C2175"/>
    <w:rsid w:val="002C28E7"/>
    <w:rsid w:val="002C466C"/>
    <w:rsid w:val="002C738F"/>
    <w:rsid w:val="002C74DF"/>
    <w:rsid w:val="002D1332"/>
    <w:rsid w:val="002D1655"/>
    <w:rsid w:val="002D56D7"/>
    <w:rsid w:val="002E0422"/>
    <w:rsid w:val="002E255B"/>
    <w:rsid w:val="002E5FD1"/>
    <w:rsid w:val="002E7402"/>
    <w:rsid w:val="002F3EBF"/>
    <w:rsid w:val="002F4415"/>
    <w:rsid w:val="002F460C"/>
    <w:rsid w:val="002F48D6"/>
    <w:rsid w:val="00300AFC"/>
    <w:rsid w:val="00303338"/>
    <w:rsid w:val="00303FE6"/>
    <w:rsid w:val="00305839"/>
    <w:rsid w:val="00307B58"/>
    <w:rsid w:val="00310BD1"/>
    <w:rsid w:val="00312F0E"/>
    <w:rsid w:val="00315517"/>
    <w:rsid w:val="00317391"/>
    <w:rsid w:val="00321915"/>
    <w:rsid w:val="003244A6"/>
    <w:rsid w:val="00326216"/>
    <w:rsid w:val="00327D99"/>
    <w:rsid w:val="00330E42"/>
    <w:rsid w:val="003348F2"/>
    <w:rsid w:val="00334EA4"/>
    <w:rsid w:val="00336580"/>
    <w:rsid w:val="00343448"/>
    <w:rsid w:val="00343C85"/>
    <w:rsid w:val="0034490C"/>
    <w:rsid w:val="003508B7"/>
    <w:rsid w:val="00354899"/>
    <w:rsid w:val="003553FB"/>
    <w:rsid w:val="00355F5B"/>
    <w:rsid w:val="00355FD6"/>
    <w:rsid w:val="003565F9"/>
    <w:rsid w:val="00361519"/>
    <w:rsid w:val="00361FB0"/>
    <w:rsid w:val="00364A5C"/>
    <w:rsid w:val="00373FB1"/>
    <w:rsid w:val="003764E3"/>
    <w:rsid w:val="00381260"/>
    <w:rsid w:val="00381AF7"/>
    <w:rsid w:val="003837A5"/>
    <w:rsid w:val="00385E2B"/>
    <w:rsid w:val="00395BCD"/>
    <w:rsid w:val="00395BF0"/>
    <w:rsid w:val="00396C76"/>
    <w:rsid w:val="003A3AFE"/>
    <w:rsid w:val="003A3E8F"/>
    <w:rsid w:val="003B0124"/>
    <w:rsid w:val="003B1D58"/>
    <w:rsid w:val="003B30D8"/>
    <w:rsid w:val="003B3EE9"/>
    <w:rsid w:val="003B4354"/>
    <w:rsid w:val="003B7EF2"/>
    <w:rsid w:val="003C3D73"/>
    <w:rsid w:val="003C3FA4"/>
    <w:rsid w:val="003C6842"/>
    <w:rsid w:val="003C6D9A"/>
    <w:rsid w:val="003D0714"/>
    <w:rsid w:val="003D214B"/>
    <w:rsid w:val="003D5B19"/>
    <w:rsid w:val="003E2446"/>
    <w:rsid w:val="003F1338"/>
    <w:rsid w:val="003F2B0C"/>
    <w:rsid w:val="00400087"/>
    <w:rsid w:val="0040098B"/>
    <w:rsid w:val="00400FBA"/>
    <w:rsid w:val="00401137"/>
    <w:rsid w:val="0040381D"/>
    <w:rsid w:val="00410ED2"/>
    <w:rsid w:val="004134CA"/>
    <w:rsid w:val="00417F04"/>
    <w:rsid w:val="004221E4"/>
    <w:rsid w:val="004273F8"/>
    <w:rsid w:val="00427992"/>
    <w:rsid w:val="00432025"/>
    <w:rsid w:val="00432B9A"/>
    <w:rsid w:val="004355A3"/>
    <w:rsid w:val="004363E1"/>
    <w:rsid w:val="00437E06"/>
    <w:rsid w:val="00442BB6"/>
    <w:rsid w:val="00443F41"/>
    <w:rsid w:val="00444118"/>
    <w:rsid w:val="00446546"/>
    <w:rsid w:val="00447270"/>
    <w:rsid w:val="00452769"/>
    <w:rsid w:val="00452D45"/>
    <w:rsid w:val="0045444E"/>
    <w:rsid w:val="00456531"/>
    <w:rsid w:val="00456717"/>
    <w:rsid w:val="004600F4"/>
    <w:rsid w:val="00463689"/>
    <w:rsid w:val="00466A4B"/>
    <w:rsid w:val="004706F0"/>
    <w:rsid w:val="00477C3E"/>
    <w:rsid w:val="00481DE5"/>
    <w:rsid w:val="00482713"/>
    <w:rsid w:val="00482E86"/>
    <w:rsid w:val="0048598C"/>
    <w:rsid w:val="00495CF1"/>
    <w:rsid w:val="00496A90"/>
    <w:rsid w:val="00496C5F"/>
    <w:rsid w:val="00497B5A"/>
    <w:rsid w:val="004A3EF8"/>
    <w:rsid w:val="004B0064"/>
    <w:rsid w:val="004B1CCB"/>
    <w:rsid w:val="004B2AA3"/>
    <w:rsid w:val="004B2FDF"/>
    <w:rsid w:val="004B3127"/>
    <w:rsid w:val="004B565F"/>
    <w:rsid w:val="004B632F"/>
    <w:rsid w:val="004B6514"/>
    <w:rsid w:val="004C0A48"/>
    <w:rsid w:val="004C4CD2"/>
    <w:rsid w:val="004C51B7"/>
    <w:rsid w:val="004C6045"/>
    <w:rsid w:val="004C6D6A"/>
    <w:rsid w:val="004D0E70"/>
    <w:rsid w:val="004D3FB1"/>
    <w:rsid w:val="004D4FE9"/>
    <w:rsid w:val="004D5B5D"/>
    <w:rsid w:val="004D63FB"/>
    <w:rsid w:val="004D6F21"/>
    <w:rsid w:val="004D72A0"/>
    <w:rsid w:val="004D73A5"/>
    <w:rsid w:val="004E35E9"/>
    <w:rsid w:val="004E4CFC"/>
    <w:rsid w:val="004F4786"/>
    <w:rsid w:val="004F4C5A"/>
    <w:rsid w:val="004F5D94"/>
    <w:rsid w:val="004F6D9D"/>
    <w:rsid w:val="004F7D83"/>
    <w:rsid w:val="005008F6"/>
    <w:rsid w:val="00500E73"/>
    <w:rsid w:val="005015D3"/>
    <w:rsid w:val="0050272F"/>
    <w:rsid w:val="00505C55"/>
    <w:rsid w:val="0051309F"/>
    <w:rsid w:val="00513DA4"/>
    <w:rsid w:val="00513E70"/>
    <w:rsid w:val="005160F1"/>
    <w:rsid w:val="00522A93"/>
    <w:rsid w:val="00522E3E"/>
    <w:rsid w:val="00524F2F"/>
    <w:rsid w:val="0052560A"/>
    <w:rsid w:val="0052696C"/>
    <w:rsid w:val="005270E7"/>
    <w:rsid w:val="00527E5C"/>
    <w:rsid w:val="00530017"/>
    <w:rsid w:val="00530381"/>
    <w:rsid w:val="00532CF5"/>
    <w:rsid w:val="005344AA"/>
    <w:rsid w:val="00534545"/>
    <w:rsid w:val="00534BC9"/>
    <w:rsid w:val="00540C9A"/>
    <w:rsid w:val="00542C38"/>
    <w:rsid w:val="00544D55"/>
    <w:rsid w:val="005475ED"/>
    <w:rsid w:val="00550021"/>
    <w:rsid w:val="00550F08"/>
    <w:rsid w:val="005528CB"/>
    <w:rsid w:val="00553F9A"/>
    <w:rsid w:val="00556BC3"/>
    <w:rsid w:val="00561478"/>
    <w:rsid w:val="005616E4"/>
    <w:rsid w:val="0056268C"/>
    <w:rsid w:val="00563A40"/>
    <w:rsid w:val="00563D37"/>
    <w:rsid w:val="00563D4B"/>
    <w:rsid w:val="00564BD6"/>
    <w:rsid w:val="00566771"/>
    <w:rsid w:val="005673F7"/>
    <w:rsid w:val="0057079C"/>
    <w:rsid w:val="00575404"/>
    <w:rsid w:val="00581E2E"/>
    <w:rsid w:val="00584F15"/>
    <w:rsid w:val="0058576A"/>
    <w:rsid w:val="005931D0"/>
    <w:rsid w:val="0059514B"/>
    <w:rsid w:val="00595274"/>
    <w:rsid w:val="005A3FD6"/>
    <w:rsid w:val="005B3026"/>
    <w:rsid w:val="005B3F8F"/>
    <w:rsid w:val="005B5746"/>
    <w:rsid w:val="005C0DD0"/>
    <w:rsid w:val="005C0E26"/>
    <w:rsid w:val="005C1ED9"/>
    <w:rsid w:val="005C286C"/>
    <w:rsid w:val="005C33C5"/>
    <w:rsid w:val="005C355A"/>
    <w:rsid w:val="005C3C88"/>
    <w:rsid w:val="005D07CB"/>
    <w:rsid w:val="005D16BE"/>
    <w:rsid w:val="005D1A13"/>
    <w:rsid w:val="005D2569"/>
    <w:rsid w:val="005D5CF9"/>
    <w:rsid w:val="005D64D1"/>
    <w:rsid w:val="005E0A39"/>
    <w:rsid w:val="005E1F39"/>
    <w:rsid w:val="005E3227"/>
    <w:rsid w:val="005E7B54"/>
    <w:rsid w:val="005E7FB5"/>
    <w:rsid w:val="005F0626"/>
    <w:rsid w:val="005F0855"/>
    <w:rsid w:val="005F0F51"/>
    <w:rsid w:val="005F30D2"/>
    <w:rsid w:val="005F48FD"/>
    <w:rsid w:val="005F4B9C"/>
    <w:rsid w:val="005F5000"/>
    <w:rsid w:val="00600843"/>
    <w:rsid w:val="00602D0B"/>
    <w:rsid w:val="00604312"/>
    <w:rsid w:val="006056F2"/>
    <w:rsid w:val="00605748"/>
    <w:rsid w:val="00605A9C"/>
    <w:rsid w:val="00606C8C"/>
    <w:rsid w:val="0061181C"/>
    <w:rsid w:val="0061269E"/>
    <w:rsid w:val="00613EAC"/>
    <w:rsid w:val="006151D6"/>
    <w:rsid w:val="00615993"/>
    <w:rsid w:val="006163F7"/>
    <w:rsid w:val="006241C5"/>
    <w:rsid w:val="00625B3B"/>
    <w:rsid w:val="00625C5C"/>
    <w:rsid w:val="00627C63"/>
    <w:rsid w:val="00630E55"/>
    <w:rsid w:val="00631C98"/>
    <w:rsid w:val="00631D4D"/>
    <w:rsid w:val="00632C57"/>
    <w:rsid w:val="00636211"/>
    <w:rsid w:val="00637F93"/>
    <w:rsid w:val="00643048"/>
    <w:rsid w:val="00643703"/>
    <w:rsid w:val="0064458A"/>
    <w:rsid w:val="0064583F"/>
    <w:rsid w:val="0065103E"/>
    <w:rsid w:val="006513F3"/>
    <w:rsid w:val="00652606"/>
    <w:rsid w:val="00661673"/>
    <w:rsid w:val="0066343D"/>
    <w:rsid w:val="00665D97"/>
    <w:rsid w:val="00665E87"/>
    <w:rsid w:val="00665FED"/>
    <w:rsid w:val="0067085C"/>
    <w:rsid w:val="0067345D"/>
    <w:rsid w:val="00673FB3"/>
    <w:rsid w:val="006747F1"/>
    <w:rsid w:val="00677CA2"/>
    <w:rsid w:val="00680C2A"/>
    <w:rsid w:val="00681315"/>
    <w:rsid w:val="006818A0"/>
    <w:rsid w:val="00690E24"/>
    <w:rsid w:val="006926BE"/>
    <w:rsid w:val="006940A3"/>
    <w:rsid w:val="006946EE"/>
    <w:rsid w:val="00694839"/>
    <w:rsid w:val="00697401"/>
    <w:rsid w:val="006A0A3C"/>
    <w:rsid w:val="006A3328"/>
    <w:rsid w:val="006A3FCD"/>
    <w:rsid w:val="006A491B"/>
    <w:rsid w:val="006A58A9"/>
    <w:rsid w:val="006A58D0"/>
    <w:rsid w:val="006A606D"/>
    <w:rsid w:val="006B2F2D"/>
    <w:rsid w:val="006B41F5"/>
    <w:rsid w:val="006C0371"/>
    <w:rsid w:val="006C08B6"/>
    <w:rsid w:val="006C0B1A"/>
    <w:rsid w:val="006C0E54"/>
    <w:rsid w:val="006C2C6E"/>
    <w:rsid w:val="006C5B8F"/>
    <w:rsid w:val="006C6065"/>
    <w:rsid w:val="006C6CA2"/>
    <w:rsid w:val="006C6CA8"/>
    <w:rsid w:val="006C7700"/>
    <w:rsid w:val="006C7AC6"/>
    <w:rsid w:val="006C7F9F"/>
    <w:rsid w:val="006D1C60"/>
    <w:rsid w:val="006D6472"/>
    <w:rsid w:val="006E0416"/>
    <w:rsid w:val="006E0554"/>
    <w:rsid w:val="006E2F6D"/>
    <w:rsid w:val="006E41D7"/>
    <w:rsid w:val="006E4677"/>
    <w:rsid w:val="006E53B5"/>
    <w:rsid w:val="006E5489"/>
    <w:rsid w:val="006E58F6"/>
    <w:rsid w:val="006E6158"/>
    <w:rsid w:val="006E77E1"/>
    <w:rsid w:val="006F131D"/>
    <w:rsid w:val="006F36D1"/>
    <w:rsid w:val="006F4D17"/>
    <w:rsid w:val="0070131F"/>
    <w:rsid w:val="00704333"/>
    <w:rsid w:val="00707EB1"/>
    <w:rsid w:val="00711642"/>
    <w:rsid w:val="00711A40"/>
    <w:rsid w:val="00712CE8"/>
    <w:rsid w:val="0071313E"/>
    <w:rsid w:val="00714132"/>
    <w:rsid w:val="007157F3"/>
    <w:rsid w:val="0071733D"/>
    <w:rsid w:val="007174F9"/>
    <w:rsid w:val="00717E1B"/>
    <w:rsid w:val="00720CB0"/>
    <w:rsid w:val="007219D0"/>
    <w:rsid w:val="00722C64"/>
    <w:rsid w:val="0072390A"/>
    <w:rsid w:val="007245F2"/>
    <w:rsid w:val="00727180"/>
    <w:rsid w:val="00732052"/>
    <w:rsid w:val="00734084"/>
    <w:rsid w:val="007342F7"/>
    <w:rsid w:val="007372E0"/>
    <w:rsid w:val="00737622"/>
    <w:rsid w:val="00742D2B"/>
    <w:rsid w:val="00746BC6"/>
    <w:rsid w:val="0074746C"/>
    <w:rsid w:val="0074774E"/>
    <w:rsid w:val="00747DFB"/>
    <w:rsid w:val="007507C6"/>
    <w:rsid w:val="00751E0B"/>
    <w:rsid w:val="00752BCD"/>
    <w:rsid w:val="0075366F"/>
    <w:rsid w:val="00754372"/>
    <w:rsid w:val="00757B32"/>
    <w:rsid w:val="007660DA"/>
    <w:rsid w:val="00766DA1"/>
    <w:rsid w:val="00770A1F"/>
    <w:rsid w:val="00776A47"/>
    <w:rsid w:val="00777E7F"/>
    <w:rsid w:val="00780527"/>
    <w:rsid w:val="007805D9"/>
    <w:rsid w:val="00780C55"/>
    <w:rsid w:val="00782CEA"/>
    <w:rsid w:val="007846D4"/>
    <w:rsid w:val="0078584F"/>
    <w:rsid w:val="007866A6"/>
    <w:rsid w:val="00787BC9"/>
    <w:rsid w:val="00790EA2"/>
    <w:rsid w:val="00792814"/>
    <w:rsid w:val="00792A94"/>
    <w:rsid w:val="00793458"/>
    <w:rsid w:val="007A0FD3"/>
    <w:rsid w:val="007A130D"/>
    <w:rsid w:val="007A3C64"/>
    <w:rsid w:val="007A49F7"/>
    <w:rsid w:val="007A4ABC"/>
    <w:rsid w:val="007A6C86"/>
    <w:rsid w:val="007B1E9F"/>
    <w:rsid w:val="007B57FC"/>
    <w:rsid w:val="007B5E3C"/>
    <w:rsid w:val="007B7C90"/>
    <w:rsid w:val="007C1CA0"/>
    <w:rsid w:val="007C1EC1"/>
    <w:rsid w:val="007C26B5"/>
    <w:rsid w:val="007C3806"/>
    <w:rsid w:val="007C3CEC"/>
    <w:rsid w:val="007C50E4"/>
    <w:rsid w:val="007C6236"/>
    <w:rsid w:val="007D0244"/>
    <w:rsid w:val="007D04D6"/>
    <w:rsid w:val="007D1A2D"/>
    <w:rsid w:val="007D4102"/>
    <w:rsid w:val="007D581E"/>
    <w:rsid w:val="007D642D"/>
    <w:rsid w:val="007D6686"/>
    <w:rsid w:val="007E1D1C"/>
    <w:rsid w:val="007E6998"/>
    <w:rsid w:val="007F0E99"/>
    <w:rsid w:val="007F1280"/>
    <w:rsid w:val="007F2CCE"/>
    <w:rsid w:val="007F43B7"/>
    <w:rsid w:val="00800ED2"/>
    <w:rsid w:val="00802DBF"/>
    <w:rsid w:val="00803EE5"/>
    <w:rsid w:val="008058B2"/>
    <w:rsid w:val="008107E0"/>
    <w:rsid w:val="008117A4"/>
    <w:rsid w:val="00821FFC"/>
    <w:rsid w:val="0082332E"/>
    <w:rsid w:val="00823E9E"/>
    <w:rsid w:val="008261BF"/>
    <w:rsid w:val="00826FD6"/>
    <w:rsid w:val="00827021"/>
    <w:rsid w:val="008271CA"/>
    <w:rsid w:val="008277B9"/>
    <w:rsid w:val="0083113F"/>
    <w:rsid w:val="00831E4E"/>
    <w:rsid w:val="00832B42"/>
    <w:rsid w:val="00835631"/>
    <w:rsid w:val="00840516"/>
    <w:rsid w:val="00844395"/>
    <w:rsid w:val="008467D5"/>
    <w:rsid w:val="00847177"/>
    <w:rsid w:val="00847A32"/>
    <w:rsid w:val="00850557"/>
    <w:rsid w:val="00851293"/>
    <w:rsid w:val="00855EB8"/>
    <w:rsid w:val="00857913"/>
    <w:rsid w:val="00863D3B"/>
    <w:rsid w:val="008671C0"/>
    <w:rsid w:val="00874FAE"/>
    <w:rsid w:val="008752F7"/>
    <w:rsid w:val="00875B16"/>
    <w:rsid w:val="00877CB8"/>
    <w:rsid w:val="00882D1D"/>
    <w:rsid w:val="008831D5"/>
    <w:rsid w:val="008862FA"/>
    <w:rsid w:val="0088637C"/>
    <w:rsid w:val="00887961"/>
    <w:rsid w:val="00890251"/>
    <w:rsid w:val="008911EE"/>
    <w:rsid w:val="00896BB5"/>
    <w:rsid w:val="008A096D"/>
    <w:rsid w:val="008A0AA8"/>
    <w:rsid w:val="008A0E5A"/>
    <w:rsid w:val="008A4DC4"/>
    <w:rsid w:val="008A500E"/>
    <w:rsid w:val="008A50B9"/>
    <w:rsid w:val="008A7AA3"/>
    <w:rsid w:val="008B1AC0"/>
    <w:rsid w:val="008B2310"/>
    <w:rsid w:val="008B438C"/>
    <w:rsid w:val="008B56ED"/>
    <w:rsid w:val="008B61DB"/>
    <w:rsid w:val="008B758B"/>
    <w:rsid w:val="008C0847"/>
    <w:rsid w:val="008C0DAB"/>
    <w:rsid w:val="008C34BC"/>
    <w:rsid w:val="008C395F"/>
    <w:rsid w:val="008C3E08"/>
    <w:rsid w:val="008C4115"/>
    <w:rsid w:val="008C47D4"/>
    <w:rsid w:val="008C5384"/>
    <w:rsid w:val="008C5D0F"/>
    <w:rsid w:val="008C5F5A"/>
    <w:rsid w:val="008D2386"/>
    <w:rsid w:val="008D376E"/>
    <w:rsid w:val="008D3A46"/>
    <w:rsid w:val="008D7BEC"/>
    <w:rsid w:val="008E0CCD"/>
    <w:rsid w:val="008E2521"/>
    <w:rsid w:val="008E3234"/>
    <w:rsid w:val="008E765A"/>
    <w:rsid w:val="008E7AC0"/>
    <w:rsid w:val="008F046E"/>
    <w:rsid w:val="008F1974"/>
    <w:rsid w:val="008F4678"/>
    <w:rsid w:val="008F5FE0"/>
    <w:rsid w:val="008F6A4E"/>
    <w:rsid w:val="00900E23"/>
    <w:rsid w:val="0090664C"/>
    <w:rsid w:val="009067A4"/>
    <w:rsid w:val="00910E8E"/>
    <w:rsid w:val="0091251A"/>
    <w:rsid w:val="009128D0"/>
    <w:rsid w:val="00922C55"/>
    <w:rsid w:val="00923712"/>
    <w:rsid w:val="009252F5"/>
    <w:rsid w:val="009262A2"/>
    <w:rsid w:val="009266EE"/>
    <w:rsid w:val="00926705"/>
    <w:rsid w:val="00927E0D"/>
    <w:rsid w:val="009301CD"/>
    <w:rsid w:val="00930808"/>
    <w:rsid w:val="00933D68"/>
    <w:rsid w:val="009340DB"/>
    <w:rsid w:val="00934653"/>
    <w:rsid w:val="00934B9B"/>
    <w:rsid w:val="00936199"/>
    <w:rsid w:val="0093673A"/>
    <w:rsid w:val="00936B20"/>
    <w:rsid w:val="009375E5"/>
    <w:rsid w:val="0094451F"/>
    <w:rsid w:val="00945C1F"/>
    <w:rsid w:val="00945D16"/>
    <w:rsid w:val="00946001"/>
    <w:rsid w:val="0094618C"/>
    <w:rsid w:val="00946733"/>
    <w:rsid w:val="00946F40"/>
    <w:rsid w:val="00947EB3"/>
    <w:rsid w:val="00951987"/>
    <w:rsid w:val="00952EE8"/>
    <w:rsid w:val="00954AF6"/>
    <w:rsid w:val="0095684B"/>
    <w:rsid w:val="00957DD4"/>
    <w:rsid w:val="0096177C"/>
    <w:rsid w:val="00962EF2"/>
    <w:rsid w:val="009642F3"/>
    <w:rsid w:val="009710E0"/>
    <w:rsid w:val="0097121C"/>
    <w:rsid w:val="00972498"/>
    <w:rsid w:val="0097481F"/>
    <w:rsid w:val="00974CC6"/>
    <w:rsid w:val="00976AD4"/>
    <w:rsid w:val="0098037A"/>
    <w:rsid w:val="00982530"/>
    <w:rsid w:val="00994192"/>
    <w:rsid w:val="00995547"/>
    <w:rsid w:val="00997DBD"/>
    <w:rsid w:val="009A28D6"/>
    <w:rsid w:val="009A30FC"/>
    <w:rsid w:val="009A312F"/>
    <w:rsid w:val="009A4820"/>
    <w:rsid w:val="009A495C"/>
    <w:rsid w:val="009A5348"/>
    <w:rsid w:val="009A5B0C"/>
    <w:rsid w:val="009A744E"/>
    <w:rsid w:val="009B00B4"/>
    <w:rsid w:val="009B01E5"/>
    <w:rsid w:val="009B0AB7"/>
    <w:rsid w:val="009B1565"/>
    <w:rsid w:val="009B3469"/>
    <w:rsid w:val="009B42DB"/>
    <w:rsid w:val="009B450E"/>
    <w:rsid w:val="009B4851"/>
    <w:rsid w:val="009C76D5"/>
    <w:rsid w:val="009D05C2"/>
    <w:rsid w:val="009D224F"/>
    <w:rsid w:val="009D33A5"/>
    <w:rsid w:val="009D4A20"/>
    <w:rsid w:val="009D5404"/>
    <w:rsid w:val="009E0576"/>
    <w:rsid w:val="009E0B03"/>
    <w:rsid w:val="009E37F1"/>
    <w:rsid w:val="009E6C2D"/>
    <w:rsid w:val="009E7172"/>
    <w:rsid w:val="009F2705"/>
    <w:rsid w:val="009F39BD"/>
    <w:rsid w:val="009F5EA4"/>
    <w:rsid w:val="009F6B50"/>
    <w:rsid w:val="009F7AA4"/>
    <w:rsid w:val="00A017AB"/>
    <w:rsid w:val="00A04B37"/>
    <w:rsid w:val="00A07182"/>
    <w:rsid w:val="00A07A69"/>
    <w:rsid w:val="00A07F48"/>
    <w:rsid w:val="00A10AD7"/>
    <w:rsid w:val="00A12567"/>
    <w:rsid w:val="00A12736"/>
    <w:rsid w:val="00A13070"/>
    <w:rsid w:val="00A14E5E"/>
    <w:rsid w:val="00A22616"/>
    <w:rsid w:val="00A23BF8"/>
    <w:rsid w:val="00A31467"/>
    <w:rsid w:val="00A31E37"/>
    <w:rsid w:val="00A33553"/>
    <w:rsid w:val="00A33701"/>
    <w:rsid w:val="00A355E5"/>
    <w:rsid w:val="00A358D8"/>
    <w:rsid w:val="00A368A0"/>
    <w:rsid w:val="00A373BE"/>
    <w:rsid w:val="00A37F76"/>
    <w:rsid w:val="00A40D82"/>
    <w:rsid w:val="00A4110D"/>
    <w:rsid w:val="00A53049"/>
    <w:rsid w:val="00A544AB"/>
    <w:rsid w:val="00A559DB"/>
    <w:rsid w:val="00A601AA"/>
    <w:rsid w:val="00A647C7"/>
    <w:rsid w:val="00A6549A"/>
    <w:rsid w:val="00A65C12"/>
    <w:rsid w:val="00A70AD1"/>
    <w:rsid w:val="00A7101D"/>
    <w:rsid w:val="00A74C9B"/>
    <w:rsid w:val="00A74CD6"/>
    <w:rsid w:val="00A76483"/>
    <w:rsid w:val="00A816AD"/>
    <w:rsid w:val="00A81FD6"/>
    <w:rsid w:val="00A823EB"/>
    <w:rsid w:val="00A830D3"/>
    <w:rsid w:val="00A83981"/>
    <w:rsid w:val="00A848D4"/>
    <w:rsid w:val="00A91DBF"/>
    <w:rsid w:val="00A94A5E"/>
    <w:rsid w:val="00A969F3"/>
    <w:rsid w:val="00AA2ED5"/>
    <w:rsid w:val="00AB34D4"/>
    <w:rsid w:val="00AB42B2"/>
    <w:rsid w:val="00AB7A87"/>
    <w:rsid w:val="00AC2EE9"/>
    <w:rsid w:val="00AC577A"/>
    <w:rsid w:val="00AC611D"/>
    <w:rsid w:val="00AC6FDB"/>
    <w:rsid w:val="00AC72CF"/>
    <w:rsid w:val="00AD2EF1"/>
    <w:rsid w:val="00AD599E"/>
    <w:rsid w:val="00AD7129"/>
    <w:rsid w:val="00AD72CE"/>
    <w:rsid w:val="00AE067A"/>
    <w:rsid w:val="00AE24A1"/>
    <w:rsid w:val="00AE27D0"/>
    <w:rsid w:val="00AE2E75"/>
    <w:rsid w:val="00AE72BC"/>
    <w:rsid w:val="00AE7AC1"/>
    <w:rsid w:val="00AE7BA3"/>
    <w:rsid w:val="00AF10A8"/>
    <w:rsid w:val="00AF1BC4"/>
    <w:rsid w:val="00AF35FC"/>
    <w:rsid w:val="00AF521C"/>
    <w:rsid w:val="00AF5556"/>
    <w:rsid w:val="00B014E9"/>
    <w:rsid w:val="00B01CE7"/>
    <w:rsid w:val="00B03639"/>
    <w:rsid w:val="00B04149"/>
    <w:rsid w:val="00B05673"/>
    <w:rsid w:val="00B0652A"/>
    <w:rsid w:val="00B0711C"/>
    <w:rsid w:val="00B10FC3"/>
    <w:rsid w:val="00B12A61"/>
    <w:rsid w:val="00B13C3F"/>
    <w:rsid w:val="00B13FAE"/>
    <w:rsid w:val="00B15C97"/>
    <w:rsid w:val="00B170FF"/>
    <w:rsid w:val="00B17E4E"/>
    <w:rsid w:val="00B20721"/>
    <w:rsid w:val="00B214F7"/>
    <w:rsid w:val="00B2415B"/>
    <w:rsid w:val="00B24325"/>
    <w:rsid w:val="00B2789D"/>
    <w:rsid w:val="00B305CD"/>
    <w:rsid w:val="00B307E8"/>
    <w:rsid w:val="00B351D6"/>
    <w:rsid w:val="00B36DDF"/>
    <w:rsid w:val="00B40937"/>
    <w:rsid w:val="00B423EF"/>
    <w:rsid w:val="00B423FC"/>
    <w:rsid w:val="00B438AE"/>
    <w:rsid w:val="00B438B3"/>
    <w:rsid w:val="00B4423C"/>
    <w:rsid w:val="00B44D33"/>
    <w:rsid w:val="00B453DE"/>
    <w:rsid w:val="00B45FFD"/>
    <w:rsid w:val="00B46CE3"/>
    <w:rsid w:val="00B476B3"/>
    <w:rsid w:val="00B52377"/>
    <w:rsid w:val="00B53538"/>
    <w:rsid w:val="00B560FF"/>
    <w:rsid w:val="00B603AB"/>
    <w:rsid w:val="00B63FF5"/>
    <w:rsid w:val="00B65A7B"/>
    <w:rsid w:val="00B71010"/>
    <w:rsid w:val="00B72DCE"/>
    <w:rsid w:val="00B7485D"/>
    <w:rsid w:val="00B754A1"/>
    <w:rsid w:val="00B77293"/>
    <w:rsid w:val="00B801BE"/>
    <w:rsid w:val="00B81266"/>
    <w:rsid w:val="00B82B80"/>
    <w:rsid w:val="00B8314C"/>
    <w:rsid w:val="00B83833"/>
    <w:rsid w:val="00B8558B"/>
    <w:rsid w:val="00B86613"/>
    <w:rsid w:val="00B901F9"/>
    <w:rsid w:val="00B93C3F"/>
    <w:rsid w:val="00B93E4C"/>
    <w:rsid w:val="00B94111"/>
    <w:rsid w:val="00B959A2"/>
    <w:rsid w:val="00B960D5"/>
    <w:rsid w:val="00B964C8"/>
    <w:rsid w:val="00BA2030"/>
    <w:rsid w:val="00BA4536"/>
    <w:rsid w:val="00BA47A7"/>
    <w:rsid w:val="00BB1F0C"/>
    <w:rsid w:val="00BB20E2"/>
    <w:rsid w:val="00BB2BFB"/>
    <w:rsid w:val="00BB3685"/>
    <w:rsid w:val="00BB5751"/>
    <w:rsid w:val="00BB6529"/>
    <w:rsid w:val="00BB6E12"/>
    <w:rsid w:val="00BB7D02"/>
    <w:rsid w:val="00BC24F7"/>
    <w:rsid w:val="00BC357D"/>
    <w:rsid w:val="00BC4145"/>
    <w:rsid w:val="00BC6368"/>
    <w:rsid w:val="00BC76A8"/>
    <w:rsid w:val="00BD02BF"/>
    <w:rsid w:val="00BD2903"/>
    <w:rsid w:val="00BD344B"/>
    <w:rsid w:val="00BD431F"/>
    <w:rsid w:val="00BD4A75"/>
    <w:rsid w:val="00BD4BD5"/>
    <w:rsid w:val="00BD644A"/>
    <w:rsid w:val="00BD6EFB"/>
    <w:rsid w:val="00BE11C2"/>
    <w:rsid w:val="00BE2C44"/>
    <w:rsid w:val="00BF18A3"/>
    <w:rsid w:val="00BF1FB4"/>
    <w:rsid w:val="00BF2D9F"/>
    <w:rsid w:val="00C001D1"/>
    <w:rsid w:val="00C00C64"/>
    <w:rsid w:val="00C0215D"/>
    <w:rsid w:val="00C07A75"/>
    <w:rsid w:val="00C105E9"/>
    <w:rsid w:val="00C1248F"/>
    <w:rsid w:val="00C1584D"/>
    <w:rsid w:val="00C15BE2"/>
    <w:rsid w:val="00C16409"/>
    <w:rsid w:val="00C17DAF"/>
    <w:rsid w:val="00C225BF"/>
    <w:rsid w:val="00C233C7"/>
    <w:rsid w:val="00C24076"/>
    <w:rsid w:val="00C300A2"/>
    <w:rsid w:val="00C30C65"/>
    <w:rsid w:val="00C3447F"/>
    <w:rsid w:val="00C35516"/>
    <w:rsid w:val="00C35A58"/>
    <w:rsid w:val="00C35E59"/>
    <w:rsid w:val="00C3756E"/>
    <w:rsid w:val="00C4094D"/>
    <w:rsid w:val="00C413D4"/>
    <w:rsid w:val="00C47358"/>
    <w:rsid w:val="00C545BE"/>
    <w:rsid w:val="00C5713F"/>
    <w:rsid w:val="00C62539"/>
    <w:rsid w:val="00C63929"/>
    <w:rsid w:val="00C63D42"/>
    <w:rsid w:val="00C67494"/>
    <w:rsid w:val="00C67C4B"/>
    <w:rsid w:val="00C7589F"/>
    <w:rsid w:val="00C76BA1"/>
    <w:rsid w:val="00C81491"/>
    <w:rsid w:val="00C81676"/>
    <w:rsid w:val="00C83673"/>
    <w:rsid w:val="00C85795"/>
    <w:rsid w:val="00C85C5D"/>
    <w:rsid w:val="00C85DF7"/>
    <w:rsid w:val="00C87FA9"/>
    <w:rsid w:val="00C92B27"/>
    <w:rsid w:val="00C92CC4"/>
    <w:rsid w:val="00C954C1"/>
    <w:rsid w:val="00C95CAE"/>
    <w:rsid w:val="00C974F8"/>
    <w:rsid w:val="00CA0AFB"/>
    <w:rsid w:val="00CA235C"/>
    <w:rsid w:val="00CA2CE1"/>
    <w:rsid w:val="00CA3780"/>
    <w:rsid w:val="00CA3976"/>
    <w:rsid w:val="00CA4B19"/>
    <w:rsid w:val="00CA50E3"/>
    <w:rsid w:val="00CA53BF"/>
    <w:rsid w:val="00CA5CE3"/>
    <w:rsid w:val="00CA65B1"/>
    <w:rsid w:val="00CA757B"/>
    <w:rsid w:val="00CB6F66"/>
    <w:rsid w:val="00CB7F6B"/>
    <w:rsid w:val="00CC09A4"/>
    <w:rsid w:val="00CC1787"/>
    <w:rsid w:val="00CC182C"/>
    <w:rsid w:val="00CC3191"/>
    <w:rsid w:val="00CC42DE"/>
    <w:rsid w:val="00CC57EF"/>
    <w:rsid w:val="00CC5904"/>
    <w:rsid w:val="00CC7A49"/>
    <w:rsid w:val="00CC7BE3"/>
    <w:rsid w:val="00CD0824"/>
    <w:rsid w:val="00CD1522"/>
    <w:rsid w:val="00CD2908"/>
    <w:rsid w:val="00CD3125"/>
    <w:rsid w:val="00CD5197"/>
    <w:rsid w:val="00CE3B0C"/>
    <w:rsid w:val="00CE477A"/>
    <w:rsid w:val="00CF2DEC"/>
    <w:rsid w:val="00CF3108"/>
    <w:rsid w:val="00CF7E82"/>
    <w:rsid w:val="00D03A82"/>
    <w:rsid w:val="00D0774E"/>
    <w:rsid w:val="00D10B7D"/>
    <w:rsid w:val="00D13667"/>
    <w:rsid w:val="00D13A8F"/>
    <w:rsid w:val="00D15344"/>
    <w:rsid w:val="00D24E88"/>
    <w:rsid w:val="00D31BEC"/>
    <w:rsid w:val="00D33852"/>
    <w:rsid w:val="00D33C02"/>
    <w:rsid w:val="00D348DB"/>
    <w:rsid w:val="00D42C37"/>
    <w:rsid w:val="00D44161"/>
    <w:rsid w:val="00D44857"/>
    <w:rsid w:val="00D46635"/>
    <w:rsid w:val="00D506A2"/>
    <w:rsid w:val="00D529A2"/>
    <w:rsid w:val="00D532A6"/>
    <w:rsid w:val="00D535A2"/>
    <w:rsid w:val="00D5454A"/>
    <w:rsid w:val="00D547DD"/>
    <w:rsid w:val="00D54BC7"/>
    <w:rsid w:val="00D568F1"/>
    <w:rsid w:val="00D63150"/>
    <w:rsid w:val="00D631CA"/>
    <w:rsid w:val="00D63378"/>
    <w:rsid w:val="00D636BA"/>
    <w:rsid w:val="00D642AF"/>
    <w:rsid w:val="00D64A32"/>
    <w:rsid w:val="00D64EFC"/>
    <w:rsid w:val="00D66F3A"/>
    <w:rsid w:val="00D72ABC"/>
    <w:rsid w:val="00D7431B"/>
    <w:rsid w:val="00D744B8"/>
    <w:rsid w:val="00D74ED6"/>
    <w:rsid w:val="00D75129"/>
    <w:rsid w:val="00D75295"/>
    <w:rsid w:val="00D762F6"/>
    <w:rsid w:val="00D76CE9"/>
    <w:rsid w:val="00D85A84"/>
    <w:rsid w:val="00D90429"/>
    <w:rsid w:val="00D915C9"/>
    <w:rsid w:val="00D9163A"/>
    <w:rsid w:val="00D9274E"/>
    <w:rsid w:val="00D93211"/>
    <w:rsid w:val="00D933DC"/>
    <w:rsid w:val="00D96918"/>
    <w:rsid w:val="00D97F12"/>
    <w:rsid w:val="00DA2573"/>
    <w:rsid w:val="00DA453A"/>
    <w:rsid w:val="00DA5AE7"/>
    <w:rsid w:val="00DA6095"/>
    <w:rsid w:val="00DA6349"/>
    <w:rsid w:val="00DA6486"/>
    <w:rsid w:val="00DA7E83"/>
    <w:rsid w:val="00DB0249"/>
    <w:rsid w:val="00DB2F29"/>
    <w:rsid w:val="00DB42E7"/>
    <w:rsid w:val="00DB4DAD"/>
    <w:rsid w:val="00DB7C70"/>
    <w:rsid w:val="00DC16BA"/>
    <w:rsid w:val="00DC2538"/>
    <w:rsid w:val="00DC4B58"/>
    <w:rsid w:val="00DC6328"/>
    <w:rsid w:val="00DD03AB"/>
    <w:rsid w:val="00DD0813"/>
    <w:rsid w:val="00DD6A0D"/>
    <w:rsid w:val="00DD7260"/>
    <w:rsid w:val="00DE01A6"/>
    <w:rsid w:val="00DE07E2"/>
    <w:rsid w:val="00DE3F86"/>
    <w:rsid w:val="00DE43BB"/>
    <w:rsid w:val="00DE4A5D"/>
    <w:rsid w:val="00DE5948"/>
    <w:rsid w:val="00DE68B4"/>
    <w:rsid w:val="00DE7A98"/>
    <w:rsid w:val="00DF01CE"/>
    <w:rsid w:val="00DF1371"/>
    <w:rsid w:val="00DF17FE"/>
    <w:rsid w:val="00DF32C2"/>
    <w:rsid w:val="00DF5F5D"/>
    <w:rsid w:val="00DF675E"/>
    <w:rsid w:val="00DF7AD5"/>
    <w:rsid w:val="00E0261D"/>
    <w:rsid w:val="00E053C7"/>
    <w:rsid w:val="00E0551F"/>
    <w:rsid w:val="00E07344"/>
    <w:rsid w:val="00E165D3"/>
    <w:rsid w:val="00E20FE5"/>
    <w:rsid w:val="00E2305C"/>
    <w:rsid w:val="00E232E0"/>
    <w:rsid w:val="00E310A4"/>
    <w:rsid w:val="00E31B16"/>
    <w:rsid w:val="00E3352A"/>
    <w:rsid w:val="00E34E75"/>
    <w:rsid w:val="00E35031"/>
    <w:rsid w:val="00E372A7"/>
    <w:rsid w:val="00E43B42"/>
    <w:rsid w:val="00E44B11"/>
    <w:rsid w:val="00E461D7"/>
    <w:rsid w:val="00E471A7"/>
    <w:rsid w:val="00E51294"/>
    <w:rsid w:val="00E52582"/>
    <w:rsid w:val="00E53C4D"/>
    <w:rsid w:val="00E57B92"/>
    <w:rsid w:val="00E60760"/>
    <w:rsid w:val="00E60DAD"/>
    <w:rsid w:val="00E61FA6"/>
    <w:rsid w:val="00E63504"/>
    <w:rsid w:val="00E635CF"/>
    <w:rsid w:val="00E670FA"/>
    <w:rsid w:val="00E70151"/>
    <w:rsid w:val="00E7784F"/>
    <w:rsid w:val="00E92377"/>
    <w:rsid w:val="00E93600"/>
    <w:rsid w:val="00E95B7F"/>
    <w:rsid w:val="00E96749"/>
    <w:rsid w:val="00EA140D"/>
    <w:rsid w:val="00EA168D"/>
    <w:rsid w:val="00EA48C9"/>
    <w:rsid w:val="00EA71AE"/>
    <w:rsid w:val="00EB1B28"/>
    <w:rsid w:val="00EB50A8"/>
    <w:rsid w:val="00EB606C"/>
    <w:rsid w:val="00EB675A"/>
    <w:rsid w:val="00EC583F"/>
    <w:rsid w:val="00EC6E0A"/>
    <w:rsid w:val="00ED0252"/>
    <w:rsid w:val="00ED207D"/>
    <w:rsid w:val="00ED27C2"/>
    <w:rsid w:val="00ED3554"/>
    <w:rsid w:val="00ED4217"/>
    <w:rsid w:val="00ED4E18"/>
    <w:rsid w:val="00ED5060"/>
    <w:rsid w:val="00ED5B49"/>
    <w:rsid w:val="00EE024C"/>
    <w:rsid w:val="00EE0F9C"/>
    <w:rsid w:val="00EE1F37"/>
    <w:rsid w:val="00EE2233"/>
    <w:rsid w:val="00EE2552"/>
    <w:rsid w:val="00EE43A8"/>
    <w:rsid w:val="00EE54AD"/>
    <w:rsid w:val="00EE5D49"/>
    <w:rsid w:val="00EE642E"/>
    <w:rsid w:val="00EF3E71"/>
    <w:rsid w:val="00EF4597"/>
    <w:rsid w:val="00EF5BC1"/>
    <w:rsid w:val="00F00B3E"/>
    <w:rsid w:val="00F0159C"/>
    <w:rsid w:val="00F01A0E"/>
    <w:rsid w:val="00F035A0"/>
    <w:rsid w:val="00F047AE"/>
    <w:rsid w:val="00F105B7"/>
    <w:rsid w:val="00F13220"/>
    <w:rsid w:val="00F17A21"/>
    <w:rsid w:val="00F211DF"/>
    <w:rsid w:val="00F228F8"/>
    <w:rsid w:val="00F22E54"/>
    <w:rsid w:val="00F23308"/>
    <w:rsid w:val="00F25EA5"/>
    <w:rsid w:val="00F307B3"/>
    <w:rsid w:val="00F309F6"/>
    <w:rsid w:val="00F35576"/>
    <w:rsid w:val="00F35F90"/>
    <w:rsid w:val="00F36891"/>
    <w:rsid w:val="00F368CB"/>
    <w:rsid w:val="00F37B27"/>
    <w:rsid w:val="00F4030D"/>
    <w:rsid w:val="00F427A8"/>
    <w:rsid w:val="00F44E36"/>
    <w:rsid w:val="00F46556"/>
    <w:rsid w:val="00F47EB6"/>
    <w:rsid w:val="00F50E91"/>
    <w:rsid w:val="00F56FED"/>
    <w:rsid w:val="00F57D29"/>
    <w:rsid w:val="00F60243"/>
    <w:rsid w:val="00F63030"/>
    <w:rsid w:val="00F641E6"/>
    <w:rsid w:val="00F67066"/>
    <w:rsid w:val="00F70402"/>
    <w:rsid w:val="00F71DD1"/>
    <w:rsid w:val="00F757C0"/>
    <w:rsid w:val="00F75A40"/>
    <w:rsid w:val="00F81E04"/>
    <w:rsid w:val="00F84886"/>
    <w:rsid w:val="00F84A34"/>
    <w:rsid w:val="00F85E38"/>
    <w:rsid w:val="00F86AE8"/>
    <w:rsid w:val="00F86FC9"/>
    <w:rsid w:val="00F9180E"/>
    <w:rsid w:val="00F923D1"/>
    <w:rsid w:val="00F96201"/>
    <w:rsid w:val="00FB333A"/>
    <w:rsid w:val="00FB5B44"/>
    <w:rsid w:val="00FB63CD"/>
    <w:rsid w:val="00FC010B"/>
    <w:rsid w:val="00FC02A0"/>
    <w:rsid w:val="00FC2F03"/>
    <w:rsid w:val="00FC696E"/>
    <w:rsid w:val="00FD0B18"/>
    <w:rsid w:val="00FD2B43"/>
    <w:rsid w:val="00FD2FAD"/>
    <w:rsid w:val="00FD498D"/>
    <w:rsid w:val="00FD792C"/>
    <w:rsid w:val="00FD7AA1"/>
    <w:rsid w:val="00FE0FB3"/>
    <w:rsid w:val="00FE48D2"/>
    <w:rsid w:val="00FE714F"/>
    <w:rsid w:val="00FF1C7F"/>
    <w:rsid w:val="00FF20A6"/>
    <w:rsid w:val="00FF40B2"/>
    <w:rsid w:val="00FF4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7C007572"/>
  <w15:docId w15:val="{6C9E6BE5-68A6-466C-AB4B-0B1B0B1F6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iPriority="0"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77CA2"/>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qFormat/>
    <w:rsid w:val="00787BC9"/>
    <w:pPr>
      <w:keepNext/>
      <w:tabs>
        <w:tab w:val="num" w:pos="864"/>
      </w:tabs>
      <w:spacing w:before="240" w:after="60"/>
      <w:ind w:left="864" w:hanging="864"/>
      <w:jc w:val="both"/>
      <w:outlineLvl w:val="3"/>
    </w:pPr>
    <w:rPr>
      <w:rFonts w:ascii="Georgia" w:hAnsi="Georgia"/>
      <w:b/>
    </w:rPr>
  </w:style>
  <w:style w:type="paragraph" w:styleId="Heading5">
    <w:name w:val="heading 5"/>
    <w:basedOn w:val="Normal"/>
    <w:next w:val="Normal"/>
    <w:link w:val="Heading5Char"/>
    <w:qFormat/>
    <w:rsid w:val="00787BC9"/>
    <w:pPr>
      <w:tabs>
        <w:tab w:val="num" w:pos="1008"/>
      </w:tabs>
      <w:spacing w:before="240" w:after="60"/>
      <w:ind w:left="1008" w:hanging="1008"/>
      <w:jc w:val="both"/>
      <w:outlineLvl w:val="4"/>
    </w:pPr>
    <w:rPr>
      <w:rFonts w:ascii="Georgia" w:hAnsi="Georgia"/>
      <w:b/>
      <w:i/>
    </w:rPr>
  </w:style>
  <w:style w:type="paragraph" w:styleId="Heading6">
    <w:name w:val="heading 6"/>
    <w:basedOn w:val="Normal"/>
    <w:next w:val="Normal"/>
    <w:link w:val="Heading6Char"/>
    <w:qFormat/>
    <w:rsid w:val="00787BC9"/>
    <w:pPr>
      <w:tabs>
        <w:tab w:val="num" w:pos="1152"/>
      </w:tabs>
      <w:spacing w:before="240" w:after="60"/>
      <w:ind w:left="1152" w:hanging="1152"/>
      <w:jc w:val="both"/>
      <w:outlineLvl w:val="5"/>
    </w:pPr>
    <w:rPr>
      <w:rFonts w:ascii="Georgia" w:hAnsi="Georgia"/>
      <w:b/>
      <w:sz w:val="22"/>
    </w:rPr>
  </w:style>
  <w:style w:type="paragraph" w:styleId="Heading7">
    <w:name w:val="heading 7"/>
    <w:basedOn w:val="Normal"/>
    <w:next w:val="Normal"/>
    <w:link w:val="Heading7Char"/>
    <w:qFormat/>
    <w:rsid w:val="004273F8"/>
    <w:pPr>
      <w:keepNext/>
      <w:outlineLvl w:val="6"/>
    </w:pPr>
    <w:rPr>
      <w:b/>
      <w:bCs/>
      <w:sz w:val="24"/>
      <w:szCs w:val="24"/>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uiPriority w:val="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677CA2"/>
    <w:pPr>
      <w:keepNext/>
    </w:pPr>
    <w:rPr>
      <w:rFonts w:ascii="Arial" w:hAnsi="Arial" w:cs="Arial"/>
      <w:b/>
      <w:caps/>
      <w:sz w:val="20"/>
      <w:szCs w:val="20"/>
    </w:rPr>
  </w:style>
  <w:style w:type="character" w:customStyle="1" w:styleId="Casehead1Char">
    <w:name w:val="Casehead 1 Char"/>
    <w:basedOn w:val="BodyTextMainChar"/>
    <w:link w:val="Casehead1"/>
    <w:rsid w:val="00677CA2"/>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aliases w:val="Char"/>
    <w:basedOn w:val="Normal"/>
    <w:link w:val="FootnoteTextChar"/>
    <w:uiPriority w:val="99"/>
    <w:unhideWhenUsed/>
    <w:rsid w:val="006C0B1A"/>
  </w:style>
  <w:style w:type="character" w:customStyle="1" w:styleId="FootnoteTextChar">
    <w:name w:val="Footnote Text Char"/>
    <w:aliases w:val="Char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8261BF"/>
    <w:rPr>
      <w:rFonts w:ascii="Arial" w:hAnsi="Arial" w:cs="Arial"/>
      <w:sz w:val="17"/>
      <w:szCs w:val="17"/>
    </w:rPr>
  </w:style>
  <w:style w:type="character" w:customStyle="1" w:styleId="FootnoteChar">
    <w:name w:val="Footnote Char"/>
    <w:basedOn w:val="FootnoteTextChar"/>
    <w:link w:val="Footnote"/>
    <w:rsid w:val="008261BF"/>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677CA2"/>
    <w:pPr>
      <w:keepNext/>
      <w:jc w:val="center"/>
    </w:pPr>
    <w:rPr>
      <w:rFonts w:ascii="Arial" w:hAnsi="Arial" w:cs="Arial"/>
      <w:b/>
      <w:caps/>
      <w:sz w:val="20"/>
      <w:szCs w:val="20"/>
    </w:rPr>
  </w:style>
  <w:style w:type="character" w:customStyle="1" w:styleId="ExhibitHeadingChar">
    <w:name w:val="Exhibit Heading Char"/>
    <w:basedOn w:val="BodyTextMainChar"/>
    <w:link w:val="ExhibitHeading"/>
    <w:rsid w:val="00677CA2"/>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iPriority w:val="99"/>
    <w:unhideWhenUsed/>
    <w:rsid w:val="00CA3976"/>
    <w:pPr>
      <w:spacing w:after="120"/>
    </w:pPr>
  </w:style>
  <w:style w:type="character" w:customStyle="1" w:styleId="BodyTextChar">
    <w:name w:val="Body Text Char"/>
    <w:basedOn w:val="DefaultParagraphFont"/>
    <w:link w:val="BodyText"/>
    <w:uiPriority w:val="99"/>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rPr>
  </w:style>
  <w:style w:type="character" w:customStyle="1" w:styleId="EndnoteTextChar">
    <w:name w:val="Endnote Text Char"/>
    <w:basedOn w:val="DefaultParagraphFont"/>
    <w:link w:val="EndnoteText"/>
    <w:rsid w:val="004273F8"/>
    <w:rPr>
      <w:rFonts w:ascii="Calibri" w:eastAsia="Calibri" w:hAnsi="Calibri" w:cs="Times New Roman"/>
      <w:sz w:val="20"/>
      <w:szCs w:val="20"/>
    </w:rPr>
  </w:style>
  <w:style w:type="character" w:styleId="EndnoteReference">
    <w:name w:val="endnote reference"/>
    <w:uiPriority w:val="99"/>
    <w:unhideWhenUsed/>
    <w:rsid w:val="008261BF"/>
    <w:rPr>
      <w:b w:val="0"/>
      <w:color w:val="auto"/>
      <w:vertAlign w:val="superscript"/>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9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99"/>
    <w:qFormat/>
    <w:rsid w:val="00711642"/>
    <w:rPr>
      <w:i/>
      <w:iCs/>
    </w:rPr>
  </w:style>
  <w:style w:type="character" w:customStyle="1" w:styleId="Heading4Char">
    <w:name w:val="Heading 4 Char"/>
    <w:basedOn w:val="DefaultParagraphFont"/>
    <w:link w:val="Heading4"/>
    <w:rsid w:val="00787BC9"/>
    <w:rPr>
      <w:rFonts w:ascii="Georgia" w:eastAsia="Times New Roman" w:hAnsi="Georgia" w:cs="Times New Roman"/>
      <w:b/>
      <w:sz w:val="20"/>
      <w:szCs w:val="20"/>
    </w:rPr>
  </w:style>
  <w:style w:type="character" w:customStyle="1" w:styleId="Heading5Char">
    <w:name w:val="Heading 5 Char"/>
    <w:basedOn w:val="DefaultParagraphFont"/>
    <w:link w:val="Heading5"/>
    <w:rsid w:val="00787BC9"/>
    <w:rPr>
      <w:rFonts w:ascii="Georgia" w:eastAsia="Times New Roman" w:hAnsi="Georgia" w:cs="Times New Roman"/>
      <w:b/>
      <w:i/>
      <w:sz w:val="20"/>
      <w:szCs w:val="20"/>
    </w:rPr>
  </w:style>
  <w:style w:type="character" w:customStyle="1" w:styleId="Heading6Char">
    <w:name w:val="Heading 6 Char"/>
    <w:basedOn w:val="DefaultParagraphFont"/>
    <w:link w:val="Heading6"/>
    <w:rsid w:val="00787BC9"/>
    <w:rPr>
      <w:rFonts w:ascii="Georgia" w:eastAsia="Times New Roman" w:hAnsi="Georgia" w:cs="Times New Roman"/>
      <w:b/>
      <w:szCs w:val="20"/>
    </w:rPr>
  </w:style>
  <w:style w:type="numbering" w:customStyle="1" w:styleId="NoList1">
    <w:name w:val="No List1"/>
    <w:next w:val="NoList"/>
    <w:uiPriority w:val="99"/>
    <w:semiHidden/>
    <w:unhideWhenUsed/>
    <w:rsid w:val="00787BC9"/>
  </w:style>
  <w:style w:type="table" w:customStyle="1" w:styleId="TableGrid1">
    <w:name w:val="Table Grid1"/>
    <w:basedOn w:val="TableNormal"/>
    <w:next w:val="TableGrid"/>
    <w:uiPriority w:val="59"/>
    <w:rsid w:val="00787BC9"/>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787BC9"/>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787BC9"/>
    <w:rPr>
      <w:rFonts w:ascii="Consolas" w:eastAsiaTheme="minorEastAsia" w:hAnsi="Consolas" w:cs="Consolas"/>
      <w:sz w:val="21"/>
      <w:szCs w:val="21"/>
      <w:lang w:eastAsia="zh-CN"/>
    </w:rPr>
  </w:style>
  <w:style w:type="character" w:customStyle="1" w:styleId="Title1">
    <w:name w:val="Title1"/>
    <w:basedOn w:val="DefaultParagraphFont"/>
    <w:uiPriority w:val="99"/>
    <w:rsid w:val="00787BC9"/>
  </w:style>
  <w:style w:type="paragraph" w:styleId="Revision">
    <w:name w:val="Revision"/>
    <w:hidden/>
    <w:uiPriority w:val="99"/>
    <w:semiHidden/>
    <w:rsid w:val="00787BC9"/>
    <w:pPr>
      <w:spacing w:after="0" w:line="240" w:lineRule="auto"/>
    </w:pPr>
    <w:rPr>
      <w:rFonts w:ascii="Calibri" w:eastAsiaTheme="minorEastAsia" w:hAnsi="Calibri" w:cs="Calibri"/>
      <w:lang w:eastAsia="zh-CN"/>
    </w:rPr>
  </w:style>
  <w:style w:type="paragraph" w:customStyle="1" w:styleId="Body1">
    <w:name w:val="Body 1"/>
    <w:rsid w:val="00787BC9"/>
    <w:pPr>
      <w:spacing w:after="0" w:line="240" w:lineRule="auto"/>
      <w:outlineLvl w:val="0"/>
    </w:pPr>
    <w:rPr>
      <w:rFonts w:ascii="Times New Roman" w:eastAsia="Arial Unicode MS" w:hAnsi="Times New Roman" w:cs="Times New Roman"/>
      <w:color w:val="000000"/>
      <w:sz w:val="24"/>
      <w:szCs w:val="24"/>
      <w:u w:color="000000"/>
      <w:lang w:val="en-GB"/>
    </w:rPr>
  </w:style>
  <w:style w:type="paragraph" w:customStyle="1" w:styleId="Body">
    <w:name w:val="Body"/>
    <w:rsid w:val="00787BC9"/>
    <w:pPr>
      <w:spacing w:after="0" w:line="240" w:lineRule="auto"/>
    </w:pPr>
    <w:rPr>
      <w:rFonts w:ascii="Helvetica" w:eastAsia="ヒラギノ角ゴ Pro W3" w:hAnsi="Helvetica" w:cs="Times New Roman"/>
      <w:color w:val="000000"/>
      <w:sz w:val="24"/>
      <w:szCs w:val="20"/>
    </w:rPr>
  </w:style>
  <w:style w:type="character" w:customStyle="1" w:styleId="Hyperlink1">
    <w:name w:val="Hyperlink1"/>
    <w:rsid w:val="00787BC9"/>
    <w:rPr>
      <w:color w:val="0000FE"/>
      <w:sz w:val="20"/>
      <w:u w:val="single"/>
    </w:rPr>
  </w:style>
  <w:style w:type="character" w:customStyle="1" w:styleId="HTMLCite1">
    <w:name w:val="HTML Cite1"/>
    <w:rsid w:val="00787BC9"/>
    <w:rPr>
      <w:rFonts w:ascii="Lucida Grande" w:eastAsia="ヒラギノ角ゴ Pro W3" w:hAnsi="Lucida Grande"/>
      <w:b w:val="0"/>
      <w:i w:val="0"/>
      <w:color w:val="000000"/>
      <w:sz w:val="20"/>
    </w:rPr>
  </w:style>
  <w:style w:type="character" w:customStyle="1" w:styleId="submitted">
    <w:name w:val="submitted"/>
    <w:basedOn w:val="DefaultParagraphFont"/>
    <w:rsid w:val="00787BC9"/>
  </w:style>
  <w:style w:type="paragraph" w:styleId="BodyText2">
    <w:name w:val="Body Text 2"/>
    <w:basedOn w:val="Normal"/>
    <w:link w:val="BodyText2Char"/>
    <w:uiPriority w:val="99"/>
    <w:unhideWhenUsed/>
    <w:rsid w:val="00787BC9"/>
    <w:pPr>
      <w:spacing w:before="100" w:beforeAutospacing="1" w:after="100" w:afterAutospacing="1"/>
    </w:pPr>
    <w:rPr>
      <w:sz w:val="24"/>
      <w:szCs w:val="24"/>
    </w:rPr>
  </w:style>
  <w:style w:type="character" w:customStyle="1" w:styleId="BodyText2Char">
    <w:name w:val="Body Text 2 Char"/>
    <w:basedOn w:val="DefaultParagraphFont"/>
    <w:link w:val="BodyText2"/>
    <w:uiPriority w:val="99"/>
    <w:rsid w:val="00787BC9"/>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87BC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7BC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87BC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87BC9"/>
    <w:rPr>
      <w:rFonts w:ascii="Arial" w:eastAsia="Times New Roman" w:hAnsi="Arial" w:cs="Arial"/>
      <w:vanish/>
      <w:sz w:val="16"/>
      <w:szCs w:val="16"/>
    </w:rPr>
  </w:style>
  <w:style w:type="character" w:styleId="SubtleReference">
    <w:name w:val="Subtle Reference"/>
    <w:uiPriority w:val="31"/>
    <w:qFormat/>
    <w:rsid w:val="00787BC9"/>
    <w:rPr>
      <w:smallCaps/>
      <w:color w:val="5A5A5A"/>
    </w:rPr>
  </w:style>
  <w:style w:type="paragraph" w:customStyle="1" w:styleId="Default">
    <w:name w:val="Default"/>
    <w:rsid w:val="00787BC9"/>
    <w:pPr>
      <w:autoSpaceDE w:val="0"/>
      <w:autoSpaceDN w:val="0"/>
      <w:adjustRightInd w:val="0"/>
      <w:spacing w:after="0" w:line="240" w:lineRule="auto"/>
    </w:pPr>
    <w:rPr>
      <w:rFonts w:ascii="Tahoma" w:eastAsia="Calibri" w:hAnsi="Tahoma" w:cs="Tahoma"/>
      <w:color w:val="000000"/>
      <w:sz w:val="24"/>
      <w:szCs w:val="24"/>
    </w:rPr>
  </w:style>
  <w:style w:type="paragraph" w:customStyle="1" w:styleId="Bibliography1">
    <w:name w:val="Bibliography1"/>
    <w:basedOn w:val="Normal"/>
    <w:next w:val="Normal"/>
    <w:uiPriority w:val="37"/>
    <w:unhideWhenUsed/>
    <w:rsid w:val="00787BC9"/>
    <w:pPr>
      <w:spacing w:after="200" w:line="276" w:lineRule="auto"/>
    </w:pPr>
    <w:rPr>
      <w:rFonts w:ascii="Calibri" w:eastAsia="Calibri" w:hAnsi="Calibri"/>
      <w:sz w:val="22"/>
      <w:szCs w:val="22"/>
    </w:rPr>
  </w:style>
  <w:style w:type="paragraph" w:customStyle="1" w:styleId="Author">
    <w:name w:val="Author"/>
    <w:basedOn w:val="Normal"/>
    <w:next w:val="Affiliation"/>
    <w:rsid w:val="00787BC9"/>
    <w:pPr>
      <w:jc w:val="center"/>
    </w:pPr>
    <w:rPr>
      <w:rFonts w:ascii="Georgia" w:hAnsi="Georgia"/>
      <w:b/>
      <w:color w:val="000000"/>
      <w:sz w:val="26"/>
    </w:rPr>
  </w:style>
  <w:style w:type="paragraph" w:customStyle="1" w:styleId="Affiliation">
    <w:name w:val="Affiliation"/>
    <w:basedOn w:val="Normal"/>
    <w:next w:val="Email"/>
    <w:rsid w:val="00787BC9"/>
    <w:pPr>
      <w:jc w:val="center"/>
    </w:pPr>
    <w:rPr>
      <w:rFonts w:ascii="Georgia" w:hAnsi="Georgia"/>
      <w:sz w:val="26"/>
    </w:rPr>
  </w:style>
  <w:style w:type="paragraph" w:customStyle="1" w:styleId="Email">
    <w:name w:val="Email"/>
    <w:basedOn w:val="Affiliation"/>
    <w:rsid w:val="00787BC9"/>
  </w:style>
  <w:style w:type="paragraph" w:styleId="Caption">
    <w:name w:val="caption"/>
    <w:basedOn w:val="Normal"/>
    <w:next w:val="Normal"/>
    <w:qFormat/>
    <w:rsid w:val="00787BC9"/>
    <w:pPr>
      <w:keepNext/>
      <w:spacing w:before="120" w:after="120"/>
      <w:jc w:val="center"/>
    </w:pPr>
    <w:rPr>
      <w:rFonts w:ascii="Georgia" w:hAnsi="Georgia"/>
      <w:b/>
    </w:rPr>
  </w:style>
  <w:style w:type="paragraph" w:styleId="Date">
    <w:name w:val="Date"/>
    <w:basedOn w:val="Normal"/>
    <w:next w:val="Normal"/>
    <w:link w:val="DateChar"/>
    <w:rsid w:val="00787BC9"/>
    <w:pPr>
      <w:spacing w:after="120"/>
      <w:jc w:val="both"/>
    </w:pPr>
    <w:rPr>
      <w:rFonts w:ascii="Georgia" w:hAnsi="Georgia"/>
    </w:rPr>
  </w:style>
  <w:style w:type="character" w:customStyle="1" w:styleId="DateChar">
    <w:name w:val="Date Char"/>
    <w:basedOn w:val="DefaultParagraphFont"/>
    <w:link w:val="Date"/>
    <w:rsid w:val="00787BC9"/>
    <w:rPr>
      <w:rFonts w:ascii="Georgia" w:eastAsia="Times New Roman" w:hAnsi="Georgia" w:cs="Times New Roman"/>
      <w:sz w:val="20"/>
      <w:szCs w:val="20"/>
    </w:rPr>
  </w:style>
  <w:style w:type="paragraph" w:styleId="DocumentMap">
    <w:name w:val="Document Map"/>
    <w:basedOn w:val="Normal"/>
    <w:link w:val="DocumentMapChar"/>
    <w:semiHidden/>
    <w:rsid w:val="00787BC9"/>
    <w:pPr>
      <w:shd w:val="clear" w:color="auto" w:fill="000080"/>
      <w:spacing w:after="120"/>
      <w:jc w:val="both"/>
    </w:pPr>
    <w:rPr>
      <w:rFonts w:ascii="Tahoma" w:hAnsi="Tahoma"/>
    </w:rPr>
  </w:style>
  <w:style w:type="character" w:customStyle="1" w:styleId="DocumentMapChar">
    <w:name w:val="Document Map Char"/>
    <w:basedOn w:val="DefaultParagraphFont"/>
    <w:link w:val="DocumentMap"/>
    <w:semiHidden/>
    <w:rsid w:val="00787BC9"/>
    <w:rPr>
      <w:rFonts w:ascii="Tahoma" w:eastAsia="Times New Roman" w:hAnsi="Tahoma" w:cs="Times New Roman"/>
      <w:sz w:val="20"/>
      <w:szCs w:val="20"/>
      <w:shd w:val="clear" w:color="auto" w:fill="000080"/>
    </w:rPr>
  </w:style>
  <w:style w:type="paragraph" w:styleId="Index1">
    <w:name w:val="index 1"/>
    <w:basedOn w:val="Normal"/>
    <w:next w:val="Normal"/>
    <w:autoRedefine/>
    <w:semiHidden/>
    <w:rsid w:val="00787BC9"/>
    <w:pPr>
      <w:spacing w:after="120"/>
      <w:ind w:left="240" w:hanging="240"/>
      <w:jc w:val="both"/>
    </w:pPr>
    <w:rPr>
      <w:rFonts w:ascii="Georgia" w:hAnsi="Georgia"/>
    </w:rPr>
  </w:style>
  <w:style w:type="paragraph" w:styleId="Index2">
    <w:name w:val="index 2"/>
    <w:basedOn w:val="Normal"/>
    <w:next w:val="Normal"/>
    <w:autoRedefine/>
    <w:semiHidden/>
    <w:rsid w:val="00787BC9"/>
    <w:pPr>
      <w:spacing w:after="120"/>
      <w:ind w:left="480" w:hanging="240"/>
      <w:jc w:val="both"/>
    </w:pPr>
    <w:rPr>
      <w:rFonts w:ascii="Georgia" w:hAnsi="Georgia"/>
    </w:rPr>
  </w:style>
  <w:style w:type="paragraph" w:styleId="Index3">
    <w:name w:val="index 3"/>
    <w:basedOn w:val="Normal"/>
    <w:next w:val="Normal"/>
    <w:autoRedefine/>
    <w:semiHidden/>
    <w:rsid w:val="00787BC9"/>
    <w:pPr>
      <w:spacing w:after="120"/>
      <w:ind w:left="720" w:hanging="240"/>
      <w:jc w:val="both"/>
    </w:pPr>
    <w:rPr>
      <w:rFonts w:ascii="Georgia" w:hAnsi="Georgia"/>
    </w:rPr>
  </w:style>
  <w:style w:type="paragraph" w:styleId="Index4">
    <w:name w:val="index 4"/>
    <w:basedOn w:val="Normal"/>
    <w:next w:val="Normal"/>
    <w:autoRedefine/>
    <w:semiHidden/>
    <w:rsid w:val="00787BC9"/>
    <w:pPr>
      <w:spacing w:after="120"/>
      <w:ind w:left="960" w:hanging="240"/>
      <w:jc w:val="both"/>
    </w:pPr>
    <w:rPr>
      <w:rFonts w:ascii="Georgia" w:hAnsi="Georgia"/>
    </w:rPr>
  </w:style>
  <w:style w:type="paragraph" w:styleId="Index5">
    <w:name w:val="index 5"/>
    <w:basedOn w:val="Normal"/>
    <w:next w:val="Normal"/>
    <w:autoRedefine/>
    <w:semiHidden/>
    <w:rsid w:val="00787BC9"/>
    <w:pPr>
      <w:spacing w:after="120"/>
      <w:ind w:left="1200" w:hanging="240"/>
      <w:jc w:val="both"/>
    </w:pPr>
    <w:rPr>
      <w:rFonts w:ascii="Georgia" w:hAnsi="Georgia"/>
    </w:rPr>
  </w:style>
  <w:style w:type="paragraph" w:styleId="Index6">
    <w:name w:val="index 6"/>
    <w:basedOn w:val="Normal"/>
    <w:next w:val="Normal"/>
    <w:autoRedefine/>
    <w:semiHidden/>
    <w:rsid w:val="00787BC9"/>
    <w:pPr>
      <w:spacing w:after="120"/>
      <w:ind w:left="1440" w:hanging="240"/>
      <w:jc w:val="both"/>
    </w:pPr>
    <w:rPr>
      <w:rFonts w:ascii="Georgia" w:hAnsi="Georgia"/>
    </w:rPr>
  </w:style>
  <w:style w:type="paragraph" w:styleId="Index7">
    <w:name w:val="index 7"/>
    <w:basedOn w:val="Normal"/>
    <w:next w:val="Normal"/>
    <w:autoRedefine/>
    <w:semiHidden/>
    <w:rsid w:val="00787BC9"/>
    <w:pPr>
      <w:spacing w:after="120"/>
      <w:ind w:left="1680" w:hanging="240"/>
      <w:jc w:val="both"/>
    </w:pPr>
    <w:rPr>
      <w:rFonts w:ascii="Georgia" w:hAnsi="Georgia"/>
    </w:rPr>
  </w:style>
  <w:style w:type="paragraph" w:styleId="Index8">
    <w:name w:val="index 8"/>
    <w:basedOn w:val="Normal"/>
    <w:next w:val="Normal"/>
    <w:autoRedefine/>
    <w:semiHidden/>
    <w:rsid w:val="00787BC9"/>
    <w:pPr>
      <w:spacing w:after="120"/>
      <w:ind w:left="1920" w:hanging="240"/>
      <w:jc w:val="both"/>
    </w:pPr>
    <w:rPr>
      <w:rFonts w:ascii="Georgia" w:hAnsi="Georgia"/>
    </w:rPr>
  </w:style>
  <w:style w:type="paragraph" w:styleId="Index9">
    <w:name w:val="index 9"/>
    <w:basedOn w:val="Normal"/>
    <w:next w:val="Normal"/>
    <w:autoRedefine/>
    <w:semiHidden/>
    <w:rsid w:val="00787BC9"/>
    <w:pPr>
      <w:spacing w:after="120"/>
      <w:ind w:left="2160" w:hanging="240"/>
      <w:jc w:val="both"/>
    </w:pPr>
    <w:rPr>
      <w:rFonts w:ascii="Georgia" w:hAnsi="Georgia"/>
    </w:rPr>
  </w:style>
  <w:style w:type="paragraph" w:styleId="IndexHeading">
    <w:name w:val="index heading"/>
    <w:basedOn w:val="Normal"/>
    <w:next w:val="Index1"/>
    <w:semiHidden/>
    <w:rsid w:val="00787BC9"/>
    <w:pPr>
      <w:spacing w:after="120"/>
      <w:jc w:val="both"/>
    </w:pPr>
    <w:rPr>
      <w:rFonts w:ascii="Arial" w:hAnsi="Arial"/>
      <w:b/>
    </w:rPr>
  </w:style>
  <w:style w:type="paragraph" w:styleId="ListBullet">
    <w:name w:val="List Bullet"/>
    <w:basedOn w:val="Normal"/>
    <w:autoRedefine/>
    <w:rsid w:val="00787BC9"/>
    <w:pPr>
      <w:tabs>
        <w:tab w:val="num" w:pos="360"/>
      </w:tabs>
      <w:spacing w:after="120"/>
      <w:ind w:left="360" w:hanging="360"/>
      <w:jc w:val="both"/>
    </w:pPr>
    <w:rPr>
      <w:rFonts w:ascii="Georgia" w:hAnsi="Georgia"/>
    </w:rPr>
  </w:style>
  <w:style w:type="paragraph" w:styleId="ListBullet2">
    <w:name w:val="List Bullet 2"/>
    <w:basedOn w:val="Normal"/>
    <w:autoRedefine/>
    <w:rsid w:val="00787BC9"/>
    <w:pPr>
      <w:tabs>
        <w:tab w:val="num" w:pos="720"/>
      </w:tabs>
      <w:spacing w:after="120"/>
      <w:ind w:left="720" w:hanging="360"/>
      <w:jc w:val="both"/>
    </w:pPr>
    <w:rPr>
      <w:rFonts w:ascii="Georgia" w:hAnsi="Georgia"/>
    </w:rPr>
  </w:style>
  <w:style w:type="paragraph" w:styleId="ListBullet3">
    <w:name w:val="List Bullet 3"/>
    <w:basedOn w:val="Normal"/>
    <w:autoRedefine/>
    <w:rsid w:val="00787BC9"/>
    <w:pPr>
      <w:tabs>
        <w:tab w:val="num" w:pos="1080"/>
      </w:tabs>
      <w:spacing w:after="120"/>
      <w:ind w:left="1080" w:hanging="360"/>
      <w:jc w:val="both"/>
    </w:pPr>
    <w:rPr>
      <w:rFonts w:ascii="Georgia" w:hAnsi="Georgia"/>
    </w:rPr>
  </w:style>
  <w:style w:type="paragraph" w:styleId="ListBullet4">
    <w:name w:val="List Bullet 4"/>
    <w:basedOn w:val="Normal"/>
    <w:autoRedefine/>
    <w:rsid w:val="00787BC9"/>
    <w:pPr>
      <w:tabs>
        <w:tab w:val="num" w:pos="1440"/>
      </w:tabs>
      <w:spacing w:after="120"/>
      <w:ind w:left="1440" w:hanging="360"/>
      <w:jc w:val="both"/>
    </w:pPr>
    <w:rPr>
      <w:rFonts w:ascii="Georgia" w:hAnsi="Georgia"/>
    </w:rPr>
  </w:style>
  <w:style w:type="paragraph" w:styleId="ListBullet5">
    <w:name w:val="List Bullet 5"/>
    <w:basedOn w:val="Normal"/>
    <w:autoRedefine/>
    <w:rsid w:val="00787BC9"/>
    <w:pPr>
      <w:tabs>
        <w:tab w:val="num" w:pos="1800"/>
      </w:tabs>
      <w:spacing w:after="120"/>
      <w:ind w:left="1800" w:hanging="360"/>
      <w:jc w:val="both"/>
    </w:pPr>
    <w:rPr>
      <w:rFonts w:ascii="Georgia" w:hAnsi="Georgia"/>
    </w:rPr>
  </w:style>
  <w:style w:type="paragraph" w:styleId="ListNumber">
    <w:name w:val="List Number"/>
    <w:basedOn w:val="Normal"/>
    <w:rsid w:val="00787BC9"/>
    <w:pPr>
      <w:tabs>
        <w:tab w:val="num" w:pos="360"/>
      </w:tabs>
      <w:spacing w:after="120"/>
      <w:ind w:left="360" w:hanging="360"/>
      <w:jc w:val="both"/>
    </w:pPr>
    <w:rPr>
      <w:rFonts w:ascii="Georgia" w:hAnsi="Georgia"/>
    </w:rPr>
  </w:style>
  <w:style w:type="paragraph" w:styleId="ListNumber2">
    <w:name w:val="List Number 2"/>
    <w:basedOn w:val="Normal"/>
    <w:rsid w:val="00787BC9"/>
    <w:pPr>
      <w:tabs>
        <w:tab w:val="num" w:pos="720"/>
      </w:tabs>
      <w:spacing w:after="120"/>
      <w:ind w:left="720" w:hanging="360"/>
      <w:jc w:val="both"/>
    </w:pPr>
    <w:rPr>
      <w:rFonts w:ascii="Georgia" w:hAnsi="Georgia"/>
    </w:rPr>
  </w:style>
  <w:style w:type="paragraph" w:styleId="ListNumber3">
    <w:name w:val="List Number 3"/>
    <w:basedOn w:val="Normal"/>
    <w:rsid w:val="00787BC9"/>
    <w:pPr>
      <w:tabs>
        <w:tab w:val="num" w:pos="1080"/>
      </w:tabs>
      <w:spacing w:after="120"/>
      <w:ind w:left="1080" w:hanging="360"/>
      <w:jc w:val="both"/>
    </w:pPr>
    <w:rPr>
      <w:rFonts w:ascii="Georgia" w:hAnsi="Georgia"/>
    </w:rPr>
  </w:style>
  <w:style w:type="paragraph" w:styleId="ListNumber4">
    <w:name w:val="List Number 4"/>
    <w:basedOn w:val="Normal"/>
    <w:rsid w:val="00787BC9"/>
    <w:pPr>
      <w:tabs>
        <w:tab w:val="num" w:pos="1440"/>
      </w:tabs>
      <w:spacing w:after="120"/>
      <w:ind w:left="1440" w:hanging="360"/>
      <w:jc w:val="both"/>
    </w:pPr>
    <w:rPr>
      <w:rFonts w:ascii="Georgia" w:hAnsi="Georgia"/>
    </w:rPr>
  </w:style>
  <w:style w:type="paragraph" w:styleId="ListNumber5">
    <w:name w:val="List Number 5"/>
    <w:basedOn w:val="Normal"/>
    <w:rsid w:val="00787BC9"/>
    <w:pPr>
      <w:tabs>
        <w:tab w:val="num" w:pos="1800"/>
      </w:tabs>
      <w:spacing w:after="120"/>
      <w:ind w:left="1800" w:hanging="360"/>
      <w:jc w:val="both"/>
    </w:pPr>
    <w:rPr>
      <w:rFonts w:ascii="Georgia" w:hAnsi="Georgia"/>
    </w:rPr>
  </w:style>
  <w:style w:type="paragraph" w:styleId="MacroText">
    <w:name w:val="macro"/>
    <w:link w:val="MacroTextChar"/>
    <w:semiHidden/>
    <w:rsid w:val="00787BC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sz w:val="20"/>
      <w:szCs w:val="20"/>
    </w:rPr>
  </w:style>
  <w:style w:type="character" w:customStyle="1" w:styleId="MacroTextChar">
    <w:name w:val="Macro Text Char"/>
    <w:basedOn w:val="DefaultParagraphFont"/>
    <w:link w:val="MacroText"/>
    <w:semiHidden/>
    <w:rsid w:val="00787BC9"/>
    <w:rPr>
      <w:rFonts w:ascii="Courier New" w:eastAsia="Times New Roman" w:hAnsi="Courier New" w:cs="Times New Roman"/>
      <w:sz w:val="20"/>
      <w:szCs w:val="20"/>
    </w:rPr>
  </w:style>
  <w:style w:type="paragraph" w:styleId="NoteHeading">
    <w:name w:val="Note Heading"/>
    <w:basedOn w:val="Normal"/>
    <w:next w:val="Normal"/>
    <w:link w:val="NoteHeadingChar"/>
    <w:rsid w:val="00787BC9"/>
    <w:pPr>
      <w:spacing w:after="120"/>
      <w:jc w:val="both"/>
    </w:pPr>
    <w:rPr>
      <w:rFonts w:ascii="Georgia" w:hAnsi="Georgia"/>
    </w:rPr>
  </w:style>
  <w:style w:type="character" w:customStyle="1" w:styleId="NoteHeadingChar">
    <w:name w:val="Note Heading Char"/>
    <w:basedOn w:val="DefaultParagraphFont"/>
    <w:link w:val="NoteHeading"/>
    <w:rsid w:val="00787BC9"/>
    <w:rPr>
      <w:rFonts w:ascii="Georgia" w:eastAsia="Times New Roman" w:hAnsi="Georgia" w:cs="Times New Roman"/>
      <w:sz w:val="20"/>
      <w:szCs w:val="20"/>
    </w:rPr>
  </w:style>
  <w:style w:type="paragraph" w:styleId="TableofAuthorities">
    <w:name w:val="table of authorities"/>
    <w:basedOn w:val="Normal"/>
    <w:next w:val="Normal"/>
    <w:semiHidden/>
    <w:rsid w:val="00787BC9"/>
    <w:pPr>
      <w:spacing w:after="120"/>
      <w:ind w:left="240" w:hanging="240"/>
      <w:jc w:val="both"/>
    </w:pPr>
    <w:rPr>
      <w:rFonts w:ascii="Georgia" w:hAnsi="Georgia"/>
    </w:rPr>
  </w:style>
  <w:style w:type="paragraph" w:styleId="TableofFigures">
    <w:name w:val="table of figures"/>
    <w:basedOn w:val="Normal"/>
    <w:next w:val="Normal"/>
    <w:semiHidden/>
    <w:rsid w:val="00787BC9"/>
    <w:pPr>
      <w:spacing w:after="120"/>
      <w:ind w:left="480" w:hanging="480"/>
      <w:jc w:val="both"/>
    </w:pPr>
    <w:rPr>
      <w:rFonts w:ascii="Georgia" w:hAnsi="Georgia"/>
    </w:rPr>
  </w:style>
  <w:style w:type="paragraph" w:styleId="TOAHeading">
    <w:name w:val="toa heading"/>
    <w:basedOn w:val="Normal"/>
    <w:next w:val="Normal"/>
    <w:semiHidden/>
    <w:rsid w:val="00787BC9"/>
    <w:pPr>
      <w:spacing w:before="120" w:after="120"/>
      <w:jc w:val="both"/>
    </w:pPr>
    <w:rPr>
      <w:rFonts w:ascii="Arial" w:hAnsi="Arial"/>
      <w:b/>
    </w:rPr>
  </w:style>
  <w:style w:type="paragraph" w:styleId="TOC1">
    <w:name w:val="toc 1"/>
    <w:basedOn w:val="Normal"/>
    <w:next w:val="Normal"/>
    <w:autoRedefine/>
    <w:semiHidden/>
    <w:rsid w:val="00787BC9"/>
    <w:pPr>
      <w:spacing w:after="120"/>
      <w:jc w:val="both"/>
    </w:pPr>
    <w:rPr>
      <w:rFonts w:ascii="Georgia" w:hAnsi="Georgia"/>
    </w:rPr>
  </w:style>
  <w:style w:type="paragraph" w:styleId="TOC2">
    <w:name w:val="toc 2"/>
    <w:basedOn w:val="Normal"/>
    <w:next w:val="Normal"/>
    <w:autoRedefine/>
    <w:semiHidden/>
    <w:rsid w:val="00787BC9"/>
    <w:pPr>
      <w:spacing w:after="120"/>
      <w:ind w:left="240"/>
      <w:jc w:val="both"/>
    </w:pPr>
    <w:rPr>
      <w:rFonts w:ascii="Georgia" w:hAnsi="Georgia"/>
    </w:rPr>
  </w:style>
  <w:style w:type="paragraph" w:styleId="TOC3">
    <w:name w:val="toc 3"/>
    <w:basedOn w:val="Normal"/>
    <w:next w:val="Normal"/>
    <w:autoRedefine/>
    <w:semiHidden/>
    <w:rsid w:val="00787BC9"/>
    <w:pPr>
      <w:spacing w:after="120"/>
      <w:ind w:left="480"/>
      <w:jc w:val="both"/>
    </w:pPr>
    <w:rPr>
      <w:rFonts w:ascii="Georgia" w:hAnsi="Georgia"/>
    </w:rPr>
  </w:style>
  <w:style w:type="paragraph" w:styleId="TOC4">
    <w:name w:val="toc 4"/>
    <w:basedOn w:val="Normal"/>
    <w:next w:val="Normal"/>
    <w:autoRedefine/>
    <w:semiHidden/>
    <w:rsid w:val="00787BC9"/>
    <w:pPr>
      <w:spacing w:after="120"/>
      <w:ind w:left="720"/>
      <w:jc w:val="both"/>
    </w:pPr>
    <w:rPr>
      <w:rFonts w:ascii="Georgia" w:hAnsi="Georgia"/>
    </w:rPr>
  </w:style>
  <w:style w:type="paragraph" w:styleId="TOC5">
    <w:name w:val="toc 5"/>
    <w:basedOn w:val="Normal"/>
    <w:next w:val="Normal"/>
    <w:autoRedefine/>
    <w:semiHidden/>
    <w:rsid w:val="00787BC9"/>
    <w:pPr>
      <w:spacing w:after="120"/>
      <w:ind w:left="960"/>
      <w:jc w:val="both"/>
    </w:pPr>
    <w:rPr>
      <w:rFonts w:ascii="Georgia" w:hAnsi="Georgia"/>
    </w:rPr>
  </w:style>
  <w:style w:type="paragraph" w:styleId="TOC6">
    <w:name w:val="toc 6"/>
    <w:basedOn w:val="Normal"/>
    <w:next w:val="Normal"/>
    <w:autoRedefine/>
    <w:semiHidden/>
    <w:rsid w:val="00787BC9"/>
    <w:pPr>
      <w:spacing w:after="120"/>
      <w:ind w:left="1200"/>
      <w:jc w:val="both"/>
    </w:pPr>
    <w:rPr>
      <w:rFonts w:ascii="Georgia" w:hAnsi="Georgia"/>
    </w:rPr>
  </w:style>
  <w:style w:type="paragraph" w:styleId="TOC7">
    <w:name w:val="toc 7"/>
    <w:basedOn w:val="Normal"/>
    <w:next w:val="Normal"/>
    <w:autoRedefine/>
    <w:semiHidden/>
    <w:rsid w:val="00787BC9"/>
    <w:pPr>
      <w:spacing w:after="120"/>
      <w:ind w:left="1440"/>
      <w:jc w:val="both"/>
    </w:pPr>
    <w:rPr>
      <w:rFonts w:ascii="Georgia" w:hAnsi="Georgia"/>
    </w:rPr>
  </w:style>
  <w:style w:type="paragraph" w:styleId="TOC8">
    <w:name w:val="toc 8"/>
    <w:basedOn w:val="Normal"/>
    <w:next w:val="Normal"/>
    <w:autoRedefine/>
    <w:semiHidden/>
    <w:rsid w:val="00787BC9"/>
    <w:pPr>
      <w:spacing w:after="120"/>
      <w:ind w:left="1680"/>
      <w:jc w:val="both"/>
    </w:pPr>
    <w:rPr>
      <w:rFonts w:ascii="Georgia" w:hAnsi="Georgia"/>
    </w:rPr>
  </w:style>
  <w:style w:type="paragraph" w:styleId="TOC9">
    <w:name w:val="toc 9"/>
    <w:basedOn w:val="Normal"/>
    <w:next w:val="Normal"/>
    <w:autoRedefine/>
    <w:semiHidden/>
    <w:rsid w:val="00787BC9"/>
    <w:pPr>
      <w:spacing w:after="120"/>
      <w:ind w:left="1920"/>
      <w:jc w:val="both"/>
    </w:pPr>
    <w:rPr>
      <w:rFonts w:ascii="Georgia" w:hAnsi="Georgia"/>
    </w:rPr>
  </w:style>
  <w:style w:type="paragraph" w:customStyle="1" w:styleId="Bullet">
    <w:name w:val="Bullet"/>
    <w:basedOn w:val="Normal"/>
    <w:rsid w:val="00787BC9"/>
    <w:pPr>
      <w:numPr>
        <w:numId w:val="6"/>
      </w:numPr>
      <w:tabs>
        <w:tab w:val="clear" w:pos="720"/>
        <w:tab w:val="left" w:pos="180"/>
      </w:tabs>
      <w:overflowPunct w:val="0"/>
      <w:autoSpaceDE w:val="0"/>
      <w:autoSpaceDN w:val="0"/>
      <w:adjustRightInd w:val="0"/>
      <w:spacing w:after="80"/>
      <w:ind w:left="180" w:hanging="180"/>
      <w:jc w:val="both"/>
      <w:textAlignment w:val="baseline"/>
    </w:pPr>
    <w:rPr>
      <w:rFonts w:ascii="Georgia" w:hAnsi="Georgia"/>
    </w:rPr>
  </w:style>
  <w:style w:type="paragraph" w:customStyle="1" w:styleId="References">
    <w:name w:val="References"/>
    <w:basedOn w:val="Normal"/>
    <w:autoRedefine/>
    <w:rsid w:val="00787BC9"/>
    <w:pPr>
      <w:overflowPunct w:val="0"/>
      <w:autoSpaceDE w:val="0"/>
      <w:autoSpaceDN w:val="0"/>
      <w:adjustRightInd w:val="0"/>
      <w:ind w:left="360" w:hanging="360"/>
      <w:jc w:val="both"/>
      <w:textAlignment w:val="baseline"/>
    </w:pPr>
    <w:rPr>
      <w:rFonts w:ascii="Georgia" w:hAnsi="Georgia"/>
    </w:rPr>
  </w:style>
  <w:style w:type="paragraph" w:customStyle="1" w:styleId="AbstractHeader">
    <w:name w:val="AbstractHeader"/>
    <w:basedOn w:val="Normal"/>
    <w:next w:val="AbstractText"/>
    <w:rsid w:val="00787BC9"/>
    <w:pPr>
      <w:spacing w:before="200" w:after="200"/>
      <w:jc w:val="center"/>
    </w:pPr>
    <w:rPr>
      <w:rFonts w:ascii="Georgia" w:hAnsi="Georgia"/>
      <w:b/>
      <w:kern w:val="28"/>
      <w:sz w:val="26"/>
      <w:szCs w:val="26"/>
    </w:rPr>
  </w:style>
  <w:style w:type="paragraph" w:customStyle="1" w:styleId="AbstractText">
    <w:name w:val="AbstractText"/>
    <w:basedOn w:val="Normal"/>
    <w:next w:val="Keyword"/>
    <w:rsid w:val="00787BC9"/>
    <w:pPr>
      <w:spacing w:after="200"/>
      <w:ind w:left="720" w:right="720"/>
      <w:jc w:val="both"/>
    </w:pPr>
    <w:rPr>
      <w:rFonts w:ascii="Georgia" w:hAnsi="Georgia"/>
      <w:i/>
    </w:rPr>
  </w:style>
  <w:style w:type="paragraph" w:customStyle="1" w:styleId="Keyword">
    <w:name w:val="Keyword"/>
    <w:basedOn w:val="Normal"/>
    <w:next w:val="Heading1"/>
    <w:link w:val="KeywordChar"/>
    <w:rsid w:val="00787BC9"/>
    <w:pPr>
      <w:ind w:firstLine="720"/>
      <w:jc w:val="both"/>
    </w:pPr>
    <w:rPr>
      <w:rFonts w:ascii="Arial" w:eastAsia="SimSun" w:hAnsi="Arial"/>
    </w:rPr>
  </w:style>
  <w:style w:type="character" w:customStyle="1" w:styleId="KeywordChar">
    <w:name w:val="Keyword Char"/>
    <w:link w:val="Keyword"/>
    <w:rsid w:val="00787BC9"/>
    <w:rPr>
      <w:rFonts w:ascii="Arial" w:eastAsia="SimSun" w:hAnsi="Arial" w:cs="Times New Roman"/>
      <w:sz w:val="20"/>
      <w:szCs w:val="20"/>
    </w:rPr>
  </w:style>
  <w:style w:type="paragraph" w:customStyle="1" w:styleId="Figure">
    <w:name w:val="Figure"/>
    <w:basedOn w:val="Normal"/>
    <w:rsid w:val="00787BC9"/>
    <w:pPr>
      <w:jc w:val="both"/>
    </w:pPr>
    <w:rPr>
      <w:rFonts w:ascii="Georgia" w:hAnsi="Georgia"/>
    </w:rPr>
  </w:style>
  <w:style w:type="paragraph" w:customStyle="1" w:styleId="Copyright">
    <w:name w:val="Copyright"/>
    <w:basedOn w:val="Normal"/>
    <w:rsid w:val="00787BC9"/>
    <w:pPr>
      <w:framePr w:w="4680" w:h="1977" w:hRule="exact" w:hSpace="187" w:wrap="auto" w:vAnchor="page" w:hAnchor="page" w:x="1155" w:y="12605" w:anchorLock="1"/>
      <w:jc w:val="both"/>
    </w:pPr>
    <w:rPr>
      <w:rFonts w:ascii="Georgia" w:hAnsi="Georgia"/>
      <w:sz w:val="16"/>
    </w:rPr>
  </w:style>
  <w:style w:type="paragraph" w:customStyle="1" w:styleId="TableText">
    <w:name w:val="Table Text"/>
    <w:basedOn w:val="Normal"/>
    <w:rsid w:val="00787BC9"/>
    <w:pPr>
      <w:keepLines/>
      <w:spacing w:before="40" w:after="40"/>
    </w:pPr>
    <w:rPr>
      <w:rFonts w:ascii="Georgia" w:hAnsi="Georgia"/>
    </w:rPr>
  </w:style>
  <w:style w:type="paragraph" w:customStyle="1" w:styleId="SpecialStyle">
    <w:name w:val="SpecialStyle"/>
    <w:basedOn w:val="Normal"/>
    <w:link w:val="SpecialStyleChar"/>
    <w:rsid w:val="00787BC9"/>
    <w:pPr>
      <w:spacing w:after="120"/>
      <w:jc w:val="both"/>
    </w:pPr>
    <w:rPr>
      <w:rFonts w:ascii="Courier New" w:eastAsia="SimSun" w:hAnsi="Courier New"/>
    </w:rPr>
  </w:style>
  <w:style w:type="character" w:customStyle="1" w:styleId="SpecialStyleChar">
    <w:name w:val="SpecialStyle Char"/>
    <w:link w:val="SpecialStyle"/>
    <w:rsid w:val="00787BC9"/>
    <w:rPr>
      <w:rFonts w:ascii="Courier New" w:eastAsia="SimSun" w:hAnsi="Courier New" w:cs="Times New Roman"/>
      <w:sz w:val="20"/>
      <w:szCs w:val="20"/>
    </w:rPr>
  </w:style>
  <w:style w:type="paragraph" w:customStyle="1" w:styleId="FigureCaption">
    <w:name w:val="FigureCaption"/>
    <w:autoRedefine/>
    <w:rsid w:val="00787BC9"/>
    <w:pPr>
      <w:spacing w:before="120" w:after="120" w:line="240" w:lineRule="auto"/>
      <w:jc w:val="center"/>
    </w:pPr>
    <w:rPr>
      <w:rFonts w:ascii="Times New Roman" w:eastAsia="Times New Roman" w:hAnsi="Times New Roman" w:cs="Times New Roman"/>
      <w:b/>
      <w:sz w:val="20"/>
      <w:szCs w:val="20"/>
    </w:rPr>
  </w:style>
  <w:style w:type="paragraph" w:customStyle="1" w:styleId="TableCaption">
    <w:name w:val="TableCaption"/>
    <w:basedOn w:val="FigureCaption"/>
    <w:rsid w:val="00787BC9"/>
  </w:style>
  <w:style w:type="paragraph" w:customStyle="1" w:styleId="TrackName">
    <w:name w:val="TrackName"/>
    <w:basedOn w:val="Email"/>
    <w:rsid w:val="00787BC9"/>
    <w:pPr>
      <w:spacing w:after="120"/>
    </w:pPr>
    <w:rPr>
      <w:i/>
      <w:sz w:val="24"/>
    </w:rPr>
  </w:style>
  <w:style w:type="paragraph" w:customStyle="1" w:styleId="Basictext">
    <w:name w:val="Basic text"/>
    <w:uiPriority w:val="99"/>
    <w:rsid w:val="00787BC9"/>
    <w:pPr>
      <w:spacing w:before="120" w:after="0" w:line="240" w:lineRule="auto"/>
      <w:jc w:val="both"/>
    </w:pPr>
    <w:rPr>
      <w:rFonts w:ascii="Times New Roman" w:eastAsia="PMingLiU" w:hAnsi="Times New Roman" w:cs="Arial"/>
      <w:color w:val="000000"/>
      <w:szCs w:val="15"/>
      <w:lang w:val="en-GB"/>
    </w:rPr>
  </w:style>
  <w:style w:type="table" w:styleId="TableGrid7">
    <w:name w:val="Table Grid 7"/>
    <w:basedOn w:val="TableNormal"/>
    <w:rsid w:val="00787BC9"/>
    <w:pPr>
      <w:spacing w:after="120" w:line="240" w:lineRule="auto"/>
      <w:jc w:val="both"/>
    </w:pPr>
    <w:rPr>
      <w:rFonts w:ascii="Times" w:eastAsia="SimSun" w:hAnsi="Times"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Referencelist">
    <w:name w:val="Reference list"/>
    <w:basedOn w:val="Basictext"/>
    <w:rsid w:val="00787BC9"/>
    <w:pPr>
      <w:spacing w:before="0"/>
      <w:ind w:left="284" w:hanging="284"/>
      <w:jc w:val="left"/>
    </w:pPr>
  </w:style>
  <w:style w:type="table" w:customStyle="1" w:styleId="TableGrid2">
    <w:name w:val="Table Grid2"/>
    <w:basedOn w:val="TableNormal"/>
    <w:next w:val="TableGrid"/>
    <w:uiPriority w:val="59"/>
    <w:rsid w:val="000A6568"/>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C30C65"/>
  </w:style>
  <w:style w:type="table" w:customStyle="1" w:styleId="TableGrid11">
    <w:name w:val="Table Grid11"/>
    <w:basedOn w:val="TableNormal"/>
    <w:next w:val="TableGrid"/>
    <w:uiPriority w:val="59"/>
    <w:rsid w:val="00CC09A4"/>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3E2446"/>
    <w:pPr>
      <w:spacing w:after="0" w:line="240" w:lineRule="auto"/>
    </w:pPr>
    <w:rPr>
      <w:rFonts w:eastAsiaTheme="minorEastAsia"/>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ColorfulList1">
    <w:name w:val="Colorful List1"/>
    <w:basedOn w:val="TableNormal"/>
    <w:uiPriority w:val="72"/>
    <w:rsid w:val="00C225BF"/>
    <w:pPr>
      <w:spacing w:after="0" w:line="240" w:lineRule="auto"/>
    </w:pPr>
    <w:rPr>
      <w:rFonts w:eastAsiaTheme="minorEastAsia"/>
      <w:color w:val="000000" w:themeColor="text1"/>
      <w:sz w:val="24"/>
      <w:szCs w:val="24"/>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LightList-Accent111">
    <w:name w:val="Light List - Accent 111"/>
    <w:basedOn w:val="TableNormal"/>
    <w:uiPriority w:val="61"/>
    <w:rsid w:val="007245F2"/>
    <w:pPr>
      <w:spacing w:after="0" w:line="240" w:lineRule="auto"/>
    </w:pPr>
    <w:rPr>
      <w:rFonts w:eastAsia="MS Mincho"/>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Mention1">
    <w:name w:val="Mention1"/>
    <w:basedOn w:val="DefaultParagraphFont"/>
    <w:uiPriority w:val="99"/>
    <w:semiHidden/>
    <w:unhideWhenUsed/>
    <w:rsid w:val="009B3469"/>
    <w:rPr>
      <w:color w:val="2B579A"/>
      <w:shd w:val="clear" w:color="auto" w:fill="E6E6E6"/>
    </w:rPr>
  </w:style>
  <w:style w:type="character" w:customStyle="1" w:styleId="UnresolvedMention1">
    <w:name w:val="Unresolved Mention1"/>
    <w:basedOn w:val="DefaultParagraphFont"/>
    <w:uiPriority w:val="99"/>
    <w:semiHidden/>
    <w:unhideWhenUsed/>
    <w:rsid w:val="00DE68B4"/>
    <w:rPr>
      <w:color w:val="808080"/>
      <w:shd w:val="clear" w:color="auto" w:fill="E6E6E6"/>
    </w:rPr>
  </w:style>
  <w:style w:type="character" w:customStyle="1" w:styleId="UnresolvedMention2">
    <w:name w:val="Unresolved Mention2"/>
    <w:basedOn w:val="DefaultParagraphFont"/>
    <w:uiPriority w:val="99"/>
    <w:semiHidden/>
    <w:unhideWhenUsed/>
    <w:rsid w:val="004363E1"/>
    <w:rPr>
      <w:color w:val="605E5C"/>
      <w:shd w:val="clear" w:color="auto" w:fill="E1DFDD"/>
    </w:rPr>
  </w:style>
  <w:style w:type="table" w:customStyle="1" w:styleId="TableGrid3">
    <w:name w:val="Table Grid3"/>
    <w:basedOn w:val="TableNormal"/>
    <w:next w:val="TableGrid"/>
    <w:uiPriority w:val="59"/>
    <w:rsid w:val="00ED4217"/>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2175"/>
    <w:rPr>
      <w:color w:val="0000FF" w:themeColor="hyperlink"/>
      <w:u w:val="single"/>
    </w:rPr>
  </w:style>
  <w:style w:type="table" w:customStyle="1" w:styleId="TableGrid4">
    <w:name w:val="Table Grid4"/>
    <w:basedOn w:val="TableNormal"/>
    <w:next w:val="TableGrid"/>
    <w:uiPriority w:val="59"/>
    <w:rsid w:val="009A28D6"/>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19990">
      <w:bodyDiv w:val="1"/>
      <w:marLeft w:val="0"/>
      <w:marRight w:val="0"/>
      <w:marTop w:val="0"/>
      <w:marBottom w:val="0"/>
      <w:divBdr>
        <w:top w:val="none" w:sz="0" w:space="0" w:color="auto"/>
        <w:left w:val="none" w:sz="0" w:space="0" w:color="auto"/>
        <w:bottom w:val="none" w:sz="0" w:space="0" w:color="auto"/>
        <w:right w:val="none" w:sz="0" w:space="0" w:color="auto"/>
      </w:divBdr>
    </w:div>
    <w:div w:id="419719773">
      <w:bodyDiv w:val="1"/>
      <w:marLeft w:val="0"/>
      <w:marRight w:val="0"/>
      <w:marTop w:val="0"/>
      <w:marBottom w:val="0"/>
      <w:divBdr>
        <w:top w:val="none" w:sz="0" w:space="0" w:color="auto"/>
        <w:left w:val="none" w:sz="0" w:space="0" w:color="auto"/>
        <w:bottom w:val="none" w:sz="0" w:space="0" w:color="auto"/>
        <w:right w:val="none" w:sz="0" w:space="0" w:color="auto"/>
      </w:divBdr>
    </w:div>
    <w:div w:id="529799083">
      <w:bodyDiv w:val="1"/>
      <w:marLeft w:val="0"/>
      <w:marRight w:val="0"/>
      <w:marTop w:val="0"/>
      <w:marBottom w:val="0"/>
      <w:divBdr>
        <w:top w:val="none" w:sz="0" w:space="0" w:color="auto"/>
        <w:left w:val="none" w:sz="0" w:space="0" w:color="auto"/>
        <w:bottom w:val="none" w:sz="0" w:space="0" w:color="auto"/>
        <w:right w:val="none" w:sz="0" w:space="0" w:color="auto"/>
      </w:divBdr>
    </w:div>
    <w:div w:id="713427516">
      <w:bodyDiv w:val="1"/>
      <w:marLeft w:val="0"/>
      <w:marRight w:val="0"/>
      <w:marTop w:val="0"/>
      <w:marBottom w:val="0"/>
      <w:divBdr>
        <w:top w:val="none" w:sz="0" w:space="0" w:color="auto"/>
        <w:left w:val="none" w:sz="0" w:space="0" w:color="auto"/>
        <w:bottom w:val="none" w:sz="0" w:space="0" w:color="auto"/>
        <w:right w:val="none" w:sz="0" w:space="0" w:color="auto"/>
      </w:divBdr>
    </w:div>
    <w:div w:id="789713053">
      <w:bodyDiv w:val="1"/>
      <w:marLeft w:val="0"/>
      <w:marRight w:val="0"/>
      <w:marTop w:val="0"/>
      <w:marBottom w:val="0"/>
      <w:divBdr>
        <w:top w:val="none" w:sz="0" w:space="0" w:color="auto"/>
        <w:left w:val="none" w:sz="0" w:space="0" w:color="auto"/>
        <w:bottom w:val="none" w:sz="0" w:space="0" w:color="auto"/>
        <w:right w:val="none" w:sz="0" w:space="0" w:color="auto"/>
      </w:divBdr>
    </w:div>
    <w:div w:id="847255392">
      <w:bodyDiv w:val="1"/>
      <w:marLeft w:val="0"/>
      <w:marRight w:val="0"/>
      <w:marTop w:val="0"/>
      <w:marBottom w:val="0"/>
      <w:divBdr>
        <w:top w:val="none" w:sz="0" w:space="0" w:color="auto"/>
        <w:left w:val="none" w:sz="0" w:space="0" w:color="auto"/>
        <w:bottom w:val="none" w:sz="0" w:space="0" w:color="auto"/>
        <w:right w:val="none" w:sz="0" w:space="0" w:color="auto"/>
      </w:divBdr>
    </w:div>
    <w:div w:id="849301041">
      <w:bodyDiv w:val="1"/>
      <w:marLeft w:val="0"/>
      <w:marRight w:val="0"/>
      <w:marTop w:val="0"/>
      <w:marBottom w:val="0"/>
      <w:divBdr>
        <w:top w:val="none" w:sz="0" w:space="0" w:color="auto"/>
        <w:left w:val="none" w:sz="0" w:space="0" w:color="auto"/>
        <w:bottom w:val="none" w:sz="0" w:space="0" w:color="auto"/>
        <w:right w:val="none" w:sz="0" w:space="0" w:color="auto"/>
      </w:divBdr>
    </w:div>
    <w:div w:id="1210846418">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731153301">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109618520">
      <w:bodyDiv w:val="1"/>
      <w:marLeft w:val="0"/>
      <w:marRight w:val="0"/>
      <w:marTop w:val="0"/>
      <w:marBottom w:val="0"/>
      <w:divBdr>
        <w:top w:val="none" w:sz="0" w:space="0" w:color="auto"/>
        <w:left w:val="none" w:sz="0" w:space="0" w:color="auto"/>
        <w:bottom w:val="none" w:sz="0" w:space="0" w:color="auto"/>
        <w:right w:val="none" w:sz="0" w:space="0" w:color="auto"/>
      </w:divBdr>
    </w:div>
    <w:div w:id="211150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94244C4-2EBF-4530-9575-1833761C3DCD}">
  <we:reference id="wa104041485"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0112BF3-4580-4191-8C73-94E11E1950EF}">
  <we:reference id="wa104043061"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A475D-0094-4F45-B791-6E8353350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16</Pages>
  <Words>6085</Words>
  <Characters>34690</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40694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4</cp:revision>
  <cp:lastPrinted>2019-05-30T16:10:00Z</cp:lastPrinted>
  <dcterms:created xsi:type="dcterms:W3CDTF">2019-05-30T16:10:00Z</dcterms:created>
  <dcterms:modified xsi:type="dcterms:W3CDTF">2019-06-17T19:14:00Z</dcterms:modified>
</cp:coreProperties>
</file>