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B0AC6" w14:textId="0CBBEA80" w:rsidR="00713A18" w:rsidRPr="005C2A0F" w:rsidRDefault="00B6052C"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201FEBEC" wp14:editId="03AA71CA">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BCAA15C" w:rsidR="00C02410" w:rsidRPr="005C2A0F" w:rsidRDefault="00B5233D" w:rsidP="00C02410">
      <w:pPr>
        <w:pStyle w:val="ProductNumber"/>
        <w:rPr>
          <w:lang w:val="en-GB"/>
        </w:rPr>
      </w:pPr>
      <w:r>
        <w:rPr>
          <w:lang w:val="en-GB"/>
        </w:rPr>
        <w:t>9B19N015</w:t>
      </w:r>
    </w:p>
    <w:p w14:paraId="4E057522" w14:textId="7A113CB1" w:rsidR="00D75295" w:rsidRPr="005C2A0F" w:rsidRDefault="00D75295" w:rsidP="00D75295">
      <w:pPr>
        <w:jc w:val="right"/>
        <w:rPr>
          <w:rFonts w:ascii="Arial" w:hAnsi="Arial"/>
          <w:b/>
          <w:lang w:val="en-GB"/>
        </w:rPr>
      </w:pPr>
    </w:p>
    <w:p w14:paraId="02524312" w14:textId="77777777" w:rsidR="001901C0" w:rsidRPr="005C2A0F" w:rsidRDefault="001901C0" w:rsidP="00D75295">
      <w:pPr>
        <w:jc w:val="right"/>
        <w:rPr>
          <w:rFonts w:ascii="Arial" w:hAnsi="Arial"/>
          <w:b/>
          <w:lang w:val="en-GB"/>
        </w:rPr>
      </w:pPr>
    </w:p>
    <w:p w14:paraId="2F03D26A" w14:textId="11723CBB" w:rsidR="00013360" w:rsidRPr="005C2A0F" w:rsidRDefault="00395979" w:rsidP="00013360">
      <w:pPr>
        <w:pStyle w:val="CaseTitle"/>
        <w:spacing w:after="0" w:line="240" w:lineRule="auto"/>
        <w:rPr>
          <w:sz w:val="20"/>
          <w:szCs w:val="20"/>
          <w:lang w:val="en-GB"/>
        </w:rPr>
      </w:pPr>
      <w:r w:rsidRPr="005C2A0F">
        <w:rPr>
          <w:lang w:val="en-GB"/>
        </w:rPr>
        <w:t>Feehan Investment Management: Hedge fund or mutual fund?</w:t>
      </w:r>
    </w:p>
    <w:p w14:paraId="40ABF6FD" w14:textId="77777777" w:rsidR="00CA3976" w:rsidRPr="005C2A0F" w:rsidRDefault="00CA3976" w:rsidP="00013360">
      <w:pPr>
        <w:pStyle w:val="CaseTitle"/>
        <w:spacing w:after="0" w:line="240" w:lineRule="auto"/>
        <w:rPr>
          <w:sz w:val="20"/>
          <w:szCs w:val="20"/>
          <w:lang w:val="en-GB"/>
        </w:rPr>
      </w:pPr>
    </w:p>
    <w:p w14:paraId="202F1085" w14:textId="77777777" w:rsidR="00013360" w:rsidRPr="005C2A0F" w:rsidRDefault="00013360" w:rsidP="00013360">
      <w:pPr>
        <w:pStyle w:val="CaseTitle"/>
        <w:spacing w:after="0" w:line="240" w:lineRule="auto"/>
        <w:rPr>
          <w:sz w:val="20"/>
          <w:szCs w:val="20"/>
          <w:lang w:val="en-GB"/>
        </w:rPr>
      </w:pPr>
    </w:p>
    <w:p w14:paraId="58B0C73F" w14:textId="529FDA53" w:rsidR="00086B26" w:rsidRPr="005C2A0F" w:rsidRDefault="00395979" w:rsidP="00086B26">
      <w:pPr>
        <w:pStyle w:val="StyleCopyrightStatementAfter0ptBottomSinglesolidline1"/>
        <w:rPr>
          <w:lang w:val="en-GB"/>
        </w:rPr>
      </w:pPr>
      <w:r w:rsidRPr="005C2A0F">
        <w:rPr>
          <w:lang w:val="en-GB"/>
        </w:rPr>
        <w:t>Robert Pozen and Matt</w:t>
      </w:r>
      <w:r w:rsidR="00F053F7" w:rsidRPr="005C2A0F">
        <w:rPr>
          <w:lang w:val="en-GB"/>
        </w:rPr>
        <w:t>hew</w:t>
      </w:r>
      <w:r w:rsidRPr="005C2A0F">
        <w:rPr>
          <w:lang w:val="en-GB"/>
        </w:rPr>
        <w:t xml:space="preserve"> Doherty</w:t>
      </w:r>
      <w:r w:rsidR="00ED7922" w:rsidRPr="005C2A0F">
        <w:rPr>
          <w:rFonts w:cs="Arial"/>
          <w:szCs w:val="16"/>
          <w:lang w:val="en-GB"/>
        </w:rPr>
        <w:t xml:space="preserve"> </w:t>
      </w:r>
      <w:r w:rsidR="00086B26" w:rsidRPr="005C2A0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93354AD" w:rsidR="00086B26" w:rsidRPr="005C2A0F" w:rsidRDefault="00086B26" w:rsidP="00086B26">
      <w:pPr>
        <w:pStyle w:val="StyleCopyrightStatementAfter0ptBottomSinglesolidline1"/>
        <w:rPr>
          <w:lang w:val="en-GB"/>
        </w:rPr>
      </w:pPr>
    </w:p>
    <w:p w14:paraId="6479687C" w14:textId="13427EE0" w:rsidR="00713A18" w:rsidRDefault="00B6052C" w:rsidP="00086B26">
      <w:pPr>
        <w:pStyle w:val="StyleCopyrightStatementAfter0ptBottomSinglesolidline1"/>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B6052C">
        <w:rPr>
          <w:rFonts w:cs="Arial"/>
          <w:szCs w:val="16"/>
        </w:rPr>
        <w:t>publishcases@ivey.ca</w:t>
      </w:r>
    </w:p>
    <w:p w14:paraId="1D3F1302" w14:textId="77777777" w:rsidR="00B6052C" w:rsidRPr="005C2A0F" w:rsidRDefault="00B6052C" w:rsidP="00086B26">
      <w:pPr>
        <w:pStyle w:val="StyleCopyrightStatementAfter0ptBottomSinglesolidline1"/>
        <w:rPr>
          <w:lang w:val="en-GB"/>
        </w:rPr>
      </w:pPr>
    </w:p>
    <w:p w14:paraId="3922E14F" w14:textId="4173DE16" w:rsidR="00751E0B" w:rsidRPr="005C2A0F" w:rsidRDefault="00B6052C" w:rsidP="00A323B0">
      <w:pPr>
        <w:pStyle w:val="StyleStyleCopyrightStatementAfter0ptBottomSinglesolid"/>
        <w:rPr>
          <w:rFonts w:cs="Arial"/>
          <w:szCs w:val="16"/>
          <w:lang w:val="en-GB"/>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5C2A0F">
        <w:rPr>
          <w:rFonts w:cs="Arial"/>
          <w:iCs w:val="0"/>
          <w:color w:val="auto"/>
          <w:szCs w:val="16"/>
          <w:lang w:val="en-GB"/>
        </w:rPr>
        <w:tab/>
        <w:t xml:space="preserve">Version: </w:t>
      </w:r>
      <w:r w:rsidR="00395979" w:rsidRPr="005C2A0F">
        <w:rPr>
          <w:rFonts w:cs="Arial"/>
          <w:iCs w:val="0"/>
          <w:color w:val="auto"/>
          <w:szCs w:val="16"/>
          <w:lang w:val="en-GB"/>
        </w:rPr>
        <w:t>2019-</w:t>
      </w:r>
      <w:r w:rsidR="00AA35F9">
        <w:rPr>
          <w:rFonts w:cs="Arial"/>
          <w:iCs w:val="0"/>
          <w:color w:val="auto"/>
          <w:szCs w:val="16"/>
          <w:lang w:val="en-GB"/>
        </w:rPr>
        <w:t>08-</w:t>
      </w:r>
      <w:r w:rsidR="00F90BFB">
        <w:rPr>
          <w:rFonts w:cs="Arial"/>
          <w:iCs w:val="0"/>
          <w:color w:val="auto"/>
          <w:szCs w:val="16"/>
          <w:lang w:val="en-GB"/>
        </w:rPr>
        <w:t>12</w:t>
      </w:r>
    </w:p>
    <w:p w14:paraId="0A2A54E4" w14:textId="77777777" w:rsidR="00751E0B" w:rsidRPr="005C2A0F" w:rsidRDefault="00751E0B" w:rsidP="00751E0B">
      <w:pPr>
        <w:pStyle w:val="StyleCopyrightStatementAfter0ptBottomSinglesolidline1"/>
        <w:rPr>
          <w:rFonts w:ascii="Times New Roman" w:hAnsi="Times New Roman"/>
          <w:sz w:val="20"/>
          <w:lang w:val="en-GB"/>
        </w:rPr>
      </w:pPr>
    </w:p>
    <w:p w14:paraId="2C183161" w14:textId="512A0AFB" w:rsidR="00B87DC0" w:rsidRPr="005C2A0F" w:rsidRDefault="00B87DC0" w:rsidP="00CD65E0">
      <w:pPr>
        <w:pStyle w:val="BodyTextMain"/>
        <w:rPr>
          <w:i/>
          <w:sz w:val="20"/>
          <w:lang w:val="en-GB"/>
        </w:rPr>
      </w:pPr>
    </w:p>
    <w:p w14:paraId="62828EDE" w14:textId="56E9D7D6" w:rsidR="002D615C" w:rsidRPr="005C2A0F" w:rsidRDefault="002D615C" w:rsidP="002D615C">
      <w:pPr>
        <w:pStyle w:val="BodyTextMain"/>
        <w:rPr>
          <w:lang w:val="en-GB"/>
        </w:rPr>
      </w:pPr>
      <w:proofErr w:type="spellStart"/>
      <w:r w:rsidRPr="005C2A0F">
        <w:rPr>
          <w:lang w:val="en-GB"/>
        </w:rPr>
        <w:t>Feehan</w:t>
      </w:r>
      <w:proofErr w:type="spellEnd"/>
      <w:r w:rsidRPr="005C2A0F">
        <w:rPr>
          <w:lang w:val="en-GB"/>
        </w:rPr>
        <w:t xml:space="preserve"> Investment Management (FIM) was a registered investment </w:t>
      </w:r>
      <w:r w:rsidR="00847FAF">
        <w:rPr>
          <w:lang w:val="en-GB"/>
        </w:rPr>
        <w:t>adviser</w:t>
      </w:r>
      <w:r w:rsidRPr="005C2A0F">
        <w:rPr>
          <w:lang w:val="en-GB"/>
        </w:rPr>
        <w:t xml:space="preserve"> to U</w:t>
      </w:r>
      <w:r w:rsidR="007E2333">
        <w:rPr>
          <w:lang w:val="en-GB"/>
        </w:rPr>
        <w:t>.</w:t>
      </w:r>
      <w:r w:rsidRPr="005C2A0F">
        <w:rPr>
          <w:lang w:val="en-GB"/>
        </w:rPr>
        <w:t>S</w:t>
      </w:r>
      <w:r w:rsidR="007E2333">
        <w:rPr>
          <w:lang w:val="en-GB"/>
        </w:rPr>
        <w:t>.</w:t>
      </w:r>
      <w:r w:rsidRPr="005C2A0F">
        <w:rPr>
          <w:lang w:val="en-GB"/>
        </w:rPr>
        <w:t xml:space="preserve"> equity mutual funds, with $10</w:t>
      </w:r>
      <w:r w:rsidR="00B66623">
        <w:rPr>
          <w:lang w:val="en-GB"/>
        </w:rPr>
        <w:t xml:space="preserve"> billion</w:t>
      </w:r>
      <w:r w:rsidR="005506A3">
        <w:rPr>
          <w:rStyle w:val="FootnoteReference"/>
          <w:lang w:val="en-GB"/>
        </w:rPr>
        <w:footnoteReference w:id="1"/>
      </w:r>
      <w:r w:rsidRPr="005C2A0F">
        <w:rPr>
          <w:lang w:val="en-GB"/>
        </w:rPr>
        <w:t xml:space="preserve"> </w:t>
      </w:r>
      <w:r w:rsidR="00B66623">
        <w:rPr>
          <w:lang w:val="en-GB"/>
        </w:rPr>
        <w:t xml:space="preserve">in assets </w:t>
      </w:r>
      <w:r w:rsidRPr="005C2A0F">
        <w:rPr>
          <w:lang w:val="en-GB"/>
        </w:rPr>
        <w:t xml:space="preserve">under management </w:t>
      </w:r>
      <w:r w:rsidR="00B66623">
        <w:rPr>
          <w:lang w:val="en-GB"/>
        </w:rPr>
        <w:t xml:space="preserve">(AUM) </w:t>
      </w:r>
      <w:r w:rsidRPr="005C2A0F">
        <w:rPr>
          <w:lang w:val="en-GB"/>
        </w:rPr>
        <w:t>at the end of 2018. FIM advised two long-only equity mutual fund products, U</w:t>
      </w:r>
      <w:r w:rsidR="00B7333A">
        <w:rPr>
          <w:lang w:val="en-GB"/>
        </w:rPr>
        <w:t>.</w:t>
      </w:r>
      <w:r w:rsidRPr="005C2A0F">
        <w:rPr>
          <w:lang w:val="en-GB"/>
        </w:rPr>
        <w:t>S</w:t>
      </w:r>
      <w:r w:rsidR="00B7333A">
        <w:rPr>
          <w:lang w:val="en-GB"/>
        </w:rPr>
        <w:t>.</w:t>
      </w:r>
      <w:r w:rsidRPr="005C2A0F">
        <w:rPr>
          <w:lang w:val="en-GB"/>
        </w:rPr>
        <w:t xml:space="preserve"> Large</w:t>
      </w:r>
      <w:r w:rsidR="00477FD7">
        <w:rPr>
          <w:lang w:val="en-GB"/>
        </w:rPr>
        <w:t>-</w:t>
      </w:r>
      <w:r w:rsidRPr="005C2A0F">
        <w:rPr>
          <w:lang w:val="en-GB"/>
        </w:rPr>
        <w:t>Cap Value Fund and U</w:t>
      </w:r>
      <w:r w:rsidR="00B7333A">
        <w:rPr>
          <w:lang w:val="en-GB"/>
        </w:rPr>
        <w:t>.</w:t>
      </w:r>
      <w:r w:rsidRPr="005C2A0F">
        <w:rPr>
          <w:lang w:val="en-GB"/>
        </w:rPr>
        <w:t>S</w:t>
      </w:r>
      <w:r w:rsidR="00B7333A">
        <w:rPr>
          <w:lang w:val="en-GB"/>
        </w:rPr>
        <w:t>.</w:t>
      </w:r>
      <w:r w:rsidRPr="005C2A0F">
        <w:rPr>
          <w:lang w:val="en-GB"/>
        </w:rPr>
        <w:t xml:space="preserve"> Mid</w:t>
      </w:r>
      <w:r w:rsidR="00477FD7">
        <w:rPr>
          <w:lang w:val="en-GB"/>
        </w:rPr>
        <w:t>-</w:t>
      </w:r>
      <w:r w:rsidRPr="005C2A0F">
        <w:rPr>
          <w:lang w:val="en-GB"/>
        </w:rPr>
        <w:t>Cap Growth Fund.</w:t>
      </w:r>
    </w:p>
    <w:p w14:paraId="45AFBD7B" w14:textId="77777777" w:rsidR="002D615C" w:rsidRPr="005C2A0F" w:rsidRDefault="002D615C" w:rsidP="002D615C">
      <w:pPr>
        <w:pStyle w:val="BodyTextMain"/>
        <w:rPr>
          <w:lang w:val="en-GB"/>
        </w:rPr>
      </w:pPr>
    </w:p>
    <w:p w14:paraId="0204E191" w14:textId="616A90E6" w:rsidR="002D615C" w:rsidRPr="005C2A0F" w:rsidRDefault="002D615C" w:rsidP="002D615C">
      <w:pPr>
        <w:pStyle w:val="BodyTextMain"/>
        <w:rPr>
          <w:lang w:val="en-GB"/>
        </w:rPr>
      </w:pPr>
      <w:r w:rsidRPr="005C2A0F">
        <w:rPr>
          <w:lang w:val="en-GB"/>
        </w:rPr>
        <w:t xml:space="preserve">In 2014, FIM had established a </w:t>
      </w:r>
      <w:r w:rsidR="00D6546E">
        <w:rPr>
          <w:lang w:val="en-GB"/>
        </w:rPr>
        <w:t xml:space="preserve">quantitative research group, or </w:t>
      </w:r>
      <w:r w:rsidRPr="005C2A0F">
        <w:rPr>
          <w:lang w:val="en-GB"/>
        </w:rPr>
        <w:t>“quant group</w:t>
      </w:r>
      <w:r w:rsidR="00D6546E">
        <w:rPr>
          <w:lang w:val="en-GB"/>
        </w:rPr>
        <w:t>,</w:t>
      </w:r>
      <w:r w:rsidRPr="005C2A0F">
        <w:rPr>
          <w:lang w:val="en-GB"/>
        </w:rPr>
        <w:t>”</w:t>
      </w:r>
      <w:r w:rsidR="00782216" w:rsidRPr="005C2A0F">
        <w:rPr>
          <w:rStyle w:val="FootnoteReference"/>
          <w:lang w:val="en-GB"/>
        </w:rPr>
        <w:footnoteReference w:id="2"/>
      </w:r>
      <w:r w:rsidR="00782216" w:rsidRPr="005C2A0F">
        <w:rPr>
          <w:lang w:val="en-GB"/>
        </w:rPr>
        <w:t xml:space="preserve"> </w:t>
      </w:r>
      <w:r w:rsidR="00D6546E">
        <w:rPr>
          <w:lang w:val="en-GB"/>
        </w:rPr>
        <w:t>to</w:t>
      </w:r>
      <w:r w:rsidR="00D6546E" w:rsidRPr="005C2A0F">
        <w:rPr>
          <w:lang w:val="en-GB"/>
        </w:rPr>
        <w:t xml:space="preserve"> </w:t>
      </w:r>
      <w:r w:rsidRPr="005C2A0F">
        <w:rPr>
          <w:lang w:val="en-GB"/>
        </w:rPr>
        <w:t>incubate a long/short equity strategy</w:t>
      </w:r>
      <w:r w:rsidR="00782216" w:rsidRPr="005C2A0F">
        <w:rPr>
          <w:lang w:val="en-GB"/>
        </w:rPr>
        <w:t xml:space="preserve"> (</w:t>
      </w:r>
      <w:r w:rsidR="00B66623">
        <w:rPr>
          <w:lang w:val="en-GB"/>
        </w:rPr>
        <w:t xml:space="preserve">i.e., </w:t>
      </w:r>
      <w:r w:rsidR="00782216" w:rsidRPr="005C2A0F">
        <w:rPr>
          <w:lang w:val="en-GB"/>
        </w:rPr>
        <w:t>a strategy that involve</w:t>
      </w:r>
      <w:r w:rsidR="00B66623">
        <w:rPr>
          <w:lang w:val="en-GB"/>
        </w:rPr>
        <w:t>d</w:t>
      </w:r>
      <w:r w:rsidR="00782216" w:rsidRPr="005C2A0F">
        <w:rPr>
          <w:lang w:val="en-GB"/>
        </w:rPr>
        <w:t xml:space="preserve"> buying equities that </w:t>
      </w:r>
      <w:r w:rsidR="00B66623">
        <w:rPr>
          <w:lang w:val="en-GB"/>
        </w:rPr>
        <w:t>we</w:t>
      </w:r>
      <w:r w:rsidR="00B66623" w:rsidRPr="005C2A0F">
        <w:rPr>
          <w:lang w:val="en-GB"/>
        </w:rPr>
        <w:t xml:space="preserve">re </w:t>
      </w:r>
      <w:r w:rsidR="00782216" w:rsidRPr="005C2A0F">
        <w:rPr>
          <w:lang w:val="en-GB"/>
        </w:rPr>
        <w:t>expected to increase in value and short</w:t>
      </w:r>
      <w:r w:rsidR="00B66623">
        <w:rPr>
          <w:lang w:val="en-GB"/>
        </w:rPr>
        <w:t>-</w:t>
      </w:r>
      <w:r w:rsidR="00782216" w:rsidRPr="005C2A0F">
        <w:rPr>
          <w:lang w:val="en-GB"/>
        </w:rPr>
        <w:t xml:space="preserve">selling equities that </w:t>
      </w:r>
      <w:r w:rsidR="00B66623">
        <w:rPr>
          <w:lang w:val="en-GB"/>
        </w:rPr>
        <w:t>we</w:t>
      </w:r>
      <w:r w:rsidR="00B66623" w:rsidRPr="005C2A0F">
        <w:rPr>
          <w:lang w:val="en-GB"/>
        </w:rPr>
        <w:t xml:space="preserve">re </w:t>
      </w:r>
      <w:r w:rsidR="00782216" w:rsidRPr="005C2A0F">
        <w:rPr>
          <w:lang w:val="en-GB"/>
        </w:rPr>
        <w:t>expected to decrease in value)</w:t>
      </w:r>
      <w:r w:rsidR="00A01AD2">
        <w:rPr>
          <w:lang w:val="en-GB"/>
        </w:rPr>
        <w:t>.</w:t>
      </w:r>
      <w:r w:rsidRPr="005C2A0F">
        <w:rPr>
          <w:lang w:val="en-GB"/>
        </w:rPr>
        <w:t xml:space="preserve"> </w:t>
      </w:r>
      <w:r w:rsidR="00A01AD2">
        <w:rPr>
          <w:lang w:val="en-GB"/>
        </w:rPr>
        <w:t xml:space="preserve">This investment strategy </w:t>
      </w:r>
      <w:r w:rsidRPr="005C2A0F">
        <w:rPr>
          <w:lang w:val="en-GB"/>
        </w:rPr>
        <w:t>employed machine learning and web scraping</w:t>
      </w:r>
      <w:r w:rsidR="00782216" w:rsidRPr="005C2A0F">
        <w:rPr>
          <w:rStyle w:val="FootnoteReference"/>
          <w:lang w:val="en-GB"/>
        </w:rPr>
        <w:footnoteReference w:id="3"/>
      </w:r>
      <w:r w:rsidR="00782216" w:rsidRPr="005C2A0F">
        <w:rPr>
          <w:lang w:val="en-GB"/>
        </w:rPr>
        <w:t xml:space="preserve"> </w:t>
      </w:r>
      <w:r w:rsidRPr="005C2A0F">
        <w:rPr>
          <w:lang w:val="en-GB"/>
        </w:rPr>
        <w:t>to detect consumer sentiment and brand awareness</w:t>
      </w:r>
      <w:r w:rsidR="00A01AD2">
        <w:rPr>
          <w:lang w:val="en-GB"/>
        </w:rPr>
        <w:t xml:space="preserve">, and </w:t>
      </w:r>
      <w:r w:rsidRPr="005C2A0F">
        <w:rPr>
          <w:lang w:val="en-GB"/>
        </w:rPr>
        <w:t xml:space="preserve">used these alternative data sources to glean </w:t>
      </w:r>
      <w:r w:rsidR="005506A3">
        <w:rPr>
          <w:lang w:val="en-GB"/>
        </w:rPr>
        <w:t>relevant qualitative</w:t>
      </w:r>
      <w:r w:rsidR="005506A3" w:rsidRPr="005C2A0F">
        <w:rPr>
          <w:lang w:val="en-GB"/>
        </w:rPr>
        <w:t xml:space="preserve"> </w:t>
      </w:r>
      <w:r w:rsidRPr="005C2A0F">
        <w:rPr>
          <w:lang w:val="en-GB"/>
        </w:rPr>
        <w:t xml:space="preserve">information, such as the success of a new product launch or </w:t>
      </w:r>
      <w:r w:rsidR="00B66623">
        <w:rPr>
          <w:lang w:val="en-GB"/>
        </w:rPr>
        <w:t>an increase in</w:t>
      </w:r>
      <w:r w:rsidR="00B66623" w:rsidRPr="005C2A0F">
        <w:rPr>
          <w:lang w:val="en-GB"/>
        </w:rPr>
        <w:t xml:space="preserve"> </w:t>
      </w:r>
      <w:r w:rsidRPr="005C2A0F">
        <w:rPr>
          <w:lang w:val="en-GB"/>
        </w:rPr>
        <w:t xml:space="preserve">brand awareness. </w:t>
      </w:r>
      <w:r w:rsidR="00B66623">
        <w:rPr>
          <w:lang w:val="en-GB"/>
        </w:rPr>
        <w:t>FIM then</w:t>
      </w:r>
      <w:r w:rsidRPr="005C2A0F">
        <w:rPr>
          <w:lang w:val="en-GB"/>
        </w:rPr>
        <w:t xml:space="preserve"> combined this information with other more traditional quantitative methods, such as technical analysis</w:t>
      </w:r>
      <w:r w:rsidR="00782216" w:rsidRPr="005C2A0F">
        <w:rPr>
          <w:lang w:val="en-GB"/>
        </w:rPr>
        <w:t xml:space="preserve"> (</w:t>
      </w:r>
      <w:r w:rsidR="00B66623">
        <w:rPr>
          <w:lang w:val="en-GB"/>
        </w:rPr>
        <w:t xml:space="preserve">i.e., using </w:t>
      </w:r>
      <w:r w:rsidR="00782216" w:rsidRPr="005C2A0F">
        <w:rPr>
          <w:lang w:val="en-GB"/>
        </w:rPr>
        <w:t>patterns in market data and charts to identify trends)</w:t>
      </w:r>
      <w:r w:rsidR="00B66623">
        <w:rPr>
          <w:lang w:val="en-GB"/>
        </w:rPr>
        <w:t>,</w:t>
      </w:r>
      <w:r w:rsidRPr="005C2A0F">
        <w:rPr>
          <w:lang w:val="en-GB"/>
        </w:rPr>
        <w:t xml:space="preserve"> </w:t>
      </w:r>
      <w:r w:rsidR="00DC7B27">
        <w:rPr>
          <w:lang w:val="en-GB"/>
        </w:rPr>
        <w:t>to determine whether to</w:t>
      </w:r>
      <w:r w:rsidRPr="005C2A0F">
        <w:rPr>
          <w:lang w:val="en-GB"/>
        </w:rPr>
        <w:t xml:space="preserve"> buy or sell short the stocks</w:t>
      </w:r>
      <w:r w:rsidR="00DC7B27">
        <w:rPr>
          <w:lang w:val="en-GB"/>
        </w:rPr>
        <w:t>,</w:t>
      </w:r>
      <w:r w:rsidRPr="005C2A0F">
        <w:rPr>
          <w:lang w:val="en-GB"/>
        </w:rPr>
        <w:t xml:space="preserve"> in anticipation that their detected patterns </w:t>
      </w:r>
      <w:r w:rsidR="00DC7B27" w:rsidRPr="005C2A0F">
        <w:rPr>
          <w:lang w:val="en-GB"/>
        </w:rPr>
        <w:t>w</w:t>
      </w:r>
      <w:r w:rsidR="00DC7B27">
        <w:rPr>
          <w:lang w:val="en-GB"/>
        </w:rPr>
        <w:t>ould</w:t>
      </w:r>
      <w:r w:rsidR="00DC7B27" w:rsidRPr="005C2A0F">
        <w:rPr>
          <w:lang w:val="en-GB"/>
        </w:rPr>
        <w:t xml:space="preserve"> </w:t>
      </w:r>
      <w:r w:rsidRPr="005C2A0F">
        <w:rPr>
          <w:lang w:val="en-GB"/>
        </w:rPr>
        <w:t xml:space="preserve">be reflected in future stock prices. </w:t>
      </w:r>
    </w:p>
    <w:p w14:paraId="104E2EE7" w14:textId="77777777" w:rsidR="002D615C" w:rsidRPr="005C2A0F" w:rsidRDefault="002D615C" w:rsidP="002D615C">
      <w:pPr>
        <w:pStyle w:val="BodyTextMain"/>
        <w:rPr>
          <w:lang w:val="en-GB"/>
        </w:rPr>
      </w:pPr>
    </w:p>
    <w:p w14:paraId="226A0261" w14:textId="7B408741" w:rsidR="002D615C" w:rsidRPr="005C2A0F" w:rsidRDefault="002D615C" w:rsidP="002D615C">
      <w:pPr>
        <w:pStyle w:val="BodyTextMain"/>
        <w:rPr>
          <w:lang w:val="en-GB"/>
        </w:rPr>
      </w:pPr>
      <w:r w:rsidRPr="005C2A0F">
        <w:rPr>
          <w:lang w:val="en-GB"/>
        </w:rPr>
        <w:t xml:space="preserve">By January 2019, the quant group had finished its third year of a pilot program with </w:t>
      </w:r>
      <w:r w:rsidR="00DC7B27">
        <w:rPr>
          <w:lang w:val="en-GB"/>
        </w:rPr>
        <w:t>its</w:t>
      </w:r>
      <w:r w:rsidR="00DC7B27" w:rsidRPr="005C2A0F">
        <w:rPr>
          <w:lang w:val="en-GB"/>
        </w:rPr>
        <w:t xml:space="preserve"> </w:t>
      </w:r>
      <w:r w:rsidRPr="005C2A0F">
        <w:rPr>
          <w:lang w:val="en-GB"/>
        </w:rPr>
        <w:t xml:space="preserve">long/short equity strategy. </w:t>
      </w:r>
      <w:r w:rsidR="00133326">
        <w:rPr>
          <w:lang w:val="en-GB"/>
        </w:rPr>
        <w:t>Over</w:t>
      </w:r>
      <w:r w:rsidR="00133326" w:rsidRPr="005C2A0F">
        <w:rPr>
          <w:lang w:val="en-GB"/>
        </w:rPr>
        <w:t xml:space="preserve"> </w:t>
      </w:r>
      <w:r w:rsidRPr="005C2A0F">
        <w:rPr>
          <w:lang w:val="en-GB"/>
        </w:rPr>
        <w:t xml:space="preserve">the </w:t>
      </w:r>
      <w:r w:rsidR="00DC7B27">
        <w:rPr>
          <w:lang w:val="en-GB"/>
        </w:rPr>
        <w:t>three</w:t>
      </w:r>
      <w:r w:rsidR="00DC7B27" w:rsidRPr="005C2A0F">
        <w:rPr>
          <w:lang w:val="en-GB"/>
        </w:rPr>
        <w:t xml:space="preserve"> </w:t>
      </w:r>
      <w:r w:rsidRPr="005C2A0F">
        <w:rPr>
          <w:lang w:val="en-GB"/>
        </w:rPr>
        <w:t xml:space="preserve">years, FIM’s long/short strategy </w:t>
      </w:r>
      <w:r w:rsidR="0058327C">
        <w:rPr>
          <w:lang w:val="en-GB"/>
        </w:rPr>
        <w:t>achieved</w:t>
      </w:r>
      <w:r w:rsidR="00DC7B27">
        <w:rPr>
          <w:lang w:val="en-GB"/>
        </w:rPr>
        <w:t xml:space="preserve"> </w:t>
      </w:r>
      <w:r w:rsidRPr="005C2A0F">
        <w:rPr>
          <w:lang w:val="en-GB"/>
        </w:rPr>
        <w:t>an annualized return of 6.5</w:t>
      </w:r>
      <w:r w:rsidR="00DC7B27">
        <w:rPr>
          <w:lang w:val="en-GB"/>
        </w:rPr>
        <w:t xml:space="preserve"> per cent—</w:t>
      </w:r>
      <w:r w:rsidR="005506A3">
        <w:rPr>
          <w:lang w:val="en-GB"/>
        </w:rPr>
        <w:t>de</w:t>
      </w:r>
      <w:r w:rsidRPr="005C2A0F">
        <w:rPr>
          <w:lang w:val="en-GB"/>
        </w:rPr>
        <w:t xml:space="preserve">spite </w:t>
      </w:r>
      <w:r w:rsidR="005506A3">
        <w:rPr>
          <w:lang w:val="en-GB"/>
        </w:rPr>
        <w:t>FIM’s</w:t>
      </w:r>
      <w:r w:rsidR="005506A3" w:rsidRPr="005C2A0F">
        <w:rPr>
          <w:lang w:val="en-GB"/>
        </w:rPr>
        <w:t xml:space="preserve"> </w:t>
      </w:r>
      <w:r w:rsidRPr="005C2A0F">
        <w:rPr>
          <w:lang w:val="en-GB"/>
        </w:rPr>
        <w:t>heavy reliance on shorting stocks (50</w:t>
      </w:r>
      <w:r w:rsidR="00DC7B27">
        <w:rPr>
          <w:lang w:val="en-GB"/>
        </w:rPr>
        <w:t>–</w:t>
      </w:r>
      <w:r w:rsidRPr="005C2A0F">
        <w:rPr>
          <w:lang w:val="en-GB"/>
        </w:rPr>
        <w:t>60</w:t>
      </w:r>
      <w:r w:rsidR="00DC7B27">
        <w:rPr>
          <w:lang w:val="en-GB"/>
        </w:rPr>
        <w:t xml:space="preserve"> per cent</w:t>
      </w:r>
      <w:r w:rsidRPr="005C2A0F">
        <w:rPr>
          <w:lang w:val="en-GB"/>
        </w:rPr>
        <w:t xml:space="preserve"> of </w:t>
      </w:r>
      <w:r w:rsidR="00DC7B27">
        <w:rPr>
          <w:lang w:val="en-GB"/>
        </w:rPr>
        <w:t>FIM’s</w:t>
      </w:r>
      <w:r w:rsidR="00DC7B27" w:rsidRPr="005C2A0F">
        <w:rPr>
          <w:lang w:val="en-GB"/>
        </w:rPr>
        <w:t xml:space="preserve"> </w:t>
      </w:r>
      <w:r w:rsidRPr="005C2A0F">
        <w:rPr>
          <w:lang w:val="en-GB"/>
        </w:rPr>
        <w:t xml:space="preserve">portfolio </w:t>
      </w:r>
      <w:r w:rsidR="00DC7B27">
        <w:rPr>
          <w:lang w:val="en-GB"/>
        </w:rPr>
        <w:t>represented</w:t>
      </w:r>
      <w:r w:rsidR="00DC7B27" w:rsidRPr="005C2A0F">
        <w:rPr>
          <w:lang w:val="en-GB"/>
        </w:rPr>
        <w:t xml:space="preserve"> </w:t>
      </w:r>
      <w:r w:rsidRPr="005C2A0F">
        <w:rPr>
          <w:lang w:val="en-GB"/>
        </w:rPr>
        <w:t xml:space="preserve">short positions). </w:t>
      </w:r>
      <w:r w:rsidR="00133326">
        <w:rPr>
          <w:lang w:val="en-GB"/>
        </w:rPr>
        <w:t xml:space="preserve">While </w:t>
      </w:r>
      <w:r w:rsidRPr="005C2A0F">
        <w:rPr>
          <w:lang w:val="en-GB"/>
        </w:rPr>
        <w:t xml:space="preserve">the new strategy </w:t>
      </w:r>
      <w:r w:rsidR="00133326">
        <w:rPr>
          <w:lang w:val="en-GB"/>
        </w:rPr>
        <w:t xml:space="preserve">had </w:t>
      </w:r>
      <w:r w:rsidRPr="005C2A0F">
        <w:rPr>
          <w:lang w:val="en-GB"/>
        </w:rPr>
        <w:t xml:space="preserve">only slightly underperformed the </w:t>
      </w:r>
      <w:r w:rsidR="000B40CF">
        <w:rPr>
          <w:lang w:val="en-GB"/>
        </w:rPr>
        <w:t>small</w:t>
      </w:r>
      <w:r w:rsidRPr="005C2A0F">
        <w:rPr>
          <w:lang w:val="en-GB"/>
        </w:rPr>
        <w:t>-cap index, the Russell 2000, which had an annualized return of 7.3</w:t>
      </w:r>
      <w:r w:rsidR="00DC7B27">
        <w:rPr>
          <w:lang w:val="en-GB"/>
        </w:rPr>
        <w:t xml:space="preserve"> per cent</w:t>
      </w:r>
      <w:r w:rsidRPr="005C2A0F">
        <w:rPr>
          <w:lang w:val="en-GB"/>
        </w:rPr>
        <w:t xml:space="preserve">, </w:t>
      </w:r>
      <w:r w:rsidR="00133326">
        <w:rPr>
          <w:lang w:val="en-GB"/>
        </w:rPr>
        <w:t xml:space="preserve">it had </w:t>
      </w:r>
      <w:r w:rsidRPr="005C2A0F">
        <w:rPr>
          <w:lang w:val="en-GB"/>
        </w:rPr>
        <w:t xml:space="preserve">significantly outperformed the average </w:t>
      </w:r>
      <w:r w:rsidR="00133326">
        <w:rPr>
          <w:lang w:val="en-GB"/>
        </w:rPr>
        <w:t>h</w:t>
      </w:r>
      <w:r w:rsidRPr="005C2A0F">
        <w:rPr>
          <w:lang w:val="en-GB"/>
        </w:rPr>
        <w:t xml:space="preserve">edge </w:t>
      </w:r>
      <w:r w:rsidR="00133326">
        <w:rPr>
          <w:lang w:val="en-GB"/>
        </w:rPr>
        <w:t>f</w:t>
      </w:r>
      <w:r w:rsidRPr="005C2A0F">
        <w:rPr>
          <w:lang w:val="en-GB"/>
        </w:rPr>
        <w:t xml:space="preserve">und </w:t>
      </w:r>
      <w:r w:rsidR="00133326">
        <w:rPr>
          <w:lang w:val="en-GB"/>
        </w:rPr>
        <w:t>i</w:t>
      </w:r>
      <w:r w:rsidRPr="005C2A0F">
        <w:rPr>
          <w:lang w:val="en-GB"/>
        </w:rPr>
        <w:t>ndex</w:t>
      </w:r>
      <w:r w:rsidR="00DC7B27">
        <w:rPr>
          <w:lang w:val="en-GB"/>
        </w:rPr>
        <w:t>,</w:t>
      </w:r>
      <w:r w:rsidRPr="005C2A0F">
        <w:rPr>
          <w:rStyle w:val="FootnoteReference"/>
          <w:lang w:val="en-GB"/>
        </w:rPr>
        <w:footnoteReference w:id="4"/>
      </w:r>
      <w:r w:rsidRPr="005C2A0F">
        <w:rPr>
          <w:lang w:val="en-GB"/>
        </w:rPr>
        <w:t xml:space="preserve"> which had an annualized return of 3.55</w:t>
      </w:r>
      <w:r w:rsidR="00DC7B27">
        <w:rPr>
          <w:lang w:val="en-GB"/>
        </w:rPr>
        <w:t xml:space="preserve"> per cent</w:t>
      </w:r>
      <w:r w:rsidRPr="005C2A0F">
        <w:rPr>
          <w:lang w:val="en-GB"/>
        </w:rPr>
        <w:t xml:space="preserve"> (</w:t>
      </w:r>
      <w:r w:rsidR="00DC7B27">
        <w:rPr>
          <w:lang w:val="en-GB"/>
        </w:rPr>
        <w:t xml:space="preserve">see </w:t>
      </w:r>
      <w:r w:rsidRPr="005C2A0F">
        <w:rPr>
          <w:lang w:val="en-GB"/>
        </w:rPr>
        <w:t>Exhibit 1)</w:t>
      </w:r>
      <w:r w:rsidR="00DC7B27">
        <w:rPr>
          <w:lang w:val="en-GB"/>
        </w:rPr>
        <w:t>.</w:t>
      </w:r>
    </w:p>
    <w:p w14:paraId="57E9FF08" w14:textId="77777777" w:rsidR="002D615C" w:rsidRPr="005C2A0F" w:rsidRDefault="002D615C" w:rsidP="002D615C">
      <w:pPr>
        <w:pStyle w:val="BodyTextMain"/>
        <w:rPr>
          <w:lang w:val="en-GB"/>
        </w:rPr>
      </w:pPr>
    </w:p>
    <w:p w14:paraId="46E9ADCC" w14:textId="1934FFBD" w:rsidR="002D615C" w:rsidRDefault="002D615C" w:rsidP="002D615C">
      <w:pPr>
        <w:pStyle w:val="BodyTextMain"/>
        <w:rPr>
          <w:lang w:val="en-GB"/>
        </w:rPr>
      </w:pPr>
      <w:r w:rsidRPr="005C2A0F">
        <w:rPr>
          <w:lang w:val="en-GB"/>
        </w:rPr>
        <w:t xml:space="preserve">Based on the </w:t>
      </w:r>
      <w:r w:rsidR="00DC7B27">
        <w:rPr>
          <w:lang w:val="en-GB"/>
        </w:rPr>
        <w:t>three</w:t>
      </w:r>
      <w:r w:rsidRPr="005C2A0F">
        <w:rPr>
          <w:lang w:val="en-GB"/>
        </w:rPr>
        <w:t xml:space="preserve">-year track record, </w:t>
      </w:r>
      <w:r w:rsidR="00DC7B27">
        <w:rPr>
          <w:lang w:val="en-GB"/>
        </w:rPr>
        <w:t>c</w:t>
      </w:r>
      <w:r w:rsidR="00FC6B37" w:rsidRPr="005C2A0F">
        <w:rPr>
          <w:lang w:val="en-GB"/>
        </w:rPr>
        <w:t xml:space="preserve">hief </w:t>
      </w:r>
      <w:r w:rsidR="00DC7B27">
        <w:rPr>
          <w:lang w:val="en-GB"/>
        </w:rPr>
        <w:t>e</w:t>
      </w:r>
      <w:r w:rsidR="00FC6B37" w:rsidRPr="005C2A0F">
        <w:rPr>
          <w:lang w:val="en-GB"/>
        </w:rPr>
        <w:t xml:space="preserve">xecutive </w:t>
      </w:r>
      <w:r w:rsidR="00DC7B27">
        <w:rPr>
          <w:lang w:val="en-GB"/>
        </w:rPr>
        <w:t>o</w:t>
      </w:r>
      <w:r w:rsidR="00FC6B37" w:rsidRPr="005C2A0F">
        <w:rPr>
          <w:lang w:val="en-GB"/>
        </w:rPr>
        <w:t xml:space="preserve">fficer </w:t>
      </w:r>
      <w:r w:rsidR="00DC7B27">
        <w:rPr>
          <w:lang w:val="en-GB"/>
        </w:rPr>
        <w:t xml:space="preserve">(CEO) </w:t>
      </w:r>
      <w:r w:rsidR="00FC6B37" w:rsidRPr="005C2A0F">
        <w:rPr>
          <w:lang w:val="en-GB"/>
        </w:rPr>
        <w:t xml:space="preserve">Megan </w:t>
      </w:r>
      <w:proofErr w:type="spellStart"/>
      <w:r w:rsidR="00FC6B37" w:rsidRPr="005C2A0F">
        <w:rPr>
          <w:lang w:val="en-GB"/>
        </w:rPr>
        <w:t>DeAndrade</w:t>
      </w:r>
      <w:proofErr w:type="spellEnd"/>
      <w:r w:rsidRPr="005C2A0F">
        <w:rPr>
          <w:lang w:val="en-GB"/>
        </w:rPr>
        <w:t xml:space="preserve"> decided to open this strategy to outside investment. However, </w:t>
      </w:r>
      <w:r w:rsidR="00B7333A">
        <w:rPr>
          <w:lang w:val="en-GB"/>
        </w:rPr>
        <w:t>she</w:t>
      </w:r>
      <w:r w:rsidR="00CA707C" w:rsidRPr="005C2A0F">
        <w:rPr>
          <w:lang w:val="en-GB"/>
        </w:rPr>
        <w:t xml:space="preserve"> </w:t>
      </w:r>
      <w:r w:rsidRPr="005C2A0F">
        <w:rPr>
          <w:lang w:val="en-GB"/>
        </w:rPr>
        <w:t>had a</w:t>
      </w:r>
      <w:r w:rsidR="00CA707C">
        <w:rPr>
          <w:lang w:val="en-GB"/>
        </w:rPr>
        <w:t>nother</w:t>
      </w:r>
      <w:r w:rsidRPr="005C2A0F">
        <w:rPr>
          <w:lang w:val="en-GB"/>
        </w:rPr>
        <w:t xml:space="preserve"> decision to make: the appropriate fund structure for this strategy. </w:t>
      </w:r>
    </w:p>
    <w:p w14:paraId="3169CBAF" w14:textId="77777777" w:rsidR="002D615C" w:rsidRPr="005C2A0F" w:rsidRDefault="002D615C" w:rsidP="00DF3EE7">
      <w:pPr>
        <w:pStyle w:val="Casehead1"/>
        <w:keepNext/>
        <w:rPr>
          <w:lang w:val="en-GB"/>
        </w:rPr>
      </w:pPr>
      <w:r w:rsidRPr="005C2A0F">
        <w:rPr>
          <w:lang w:val="en-GB"/>
        </w:rPr>
        <w:lastRenderedPageBreak/>
        <w:t>Feehan Investment Management</w:t>
      </w:r>
    </w:p>
    <w:p w14:paraId="42B7BD0F" w14:textId="77777777" w:rsidR="002D615C" w:rsidRPr="005C2A0F" w:rsidRDefault="002D615C" w:rsidP="00DF3EE7">
      <w:pPr>
        <w:pStyle w:val="BodyTextMain"/>
        <w:keepNext/>
        <w:rPr>
          <w:lang w:val="en-GB"/>
        </w:rPr>
      </w:pPr>
    </w:p>
    <w:p w14:paraId="1DDCC30A" w14:textId="2E1FFCE6" w:rsidR="002D615C" w:rsidRPr="005C2A0F" w:rsidRDefault="002D615C" w:rsidP="00DF3EE7">
      <w:pPr>
        <w:pStyle w:val="BodyTextMain"/>
        <w:keepNext/>
        <w:rPr>
          <w:lang w:val="en-GB"/>
        </w:rPr>
      </w:pPr>
      <w:r w:rsidRPr="005C2A0F">
        <w:rPr>
          <w:lang w:val="en-GB"/>
        </w:rPr>
        <w:t xml:space="preserve">FIM was founded in 1965 by Ricardo </w:t>
      </w:r>
      <w:proofErr w:type="spellStart"/>
      <w:r w:rsidRPr="005C2A0F">
        <w:rPr>
          <w:lang w:val="en-GB"/>
        </w:rPr>
        <w:t>DeAndrade</w:t>
      </w:r>
      <w:proofErr w:type="spellEnd"/>
      <w:r w:rsidR="00CA707C">
        <w:rPr>
          <w:lang w:val="en-GB"/>
        </w:rPr>
        <w:t>,</w:t>
      </w:r>
      <w:r w:rsidRPr="005C2A0F">
        <w:rPr>
          <w:lang w:val="en-GB"/>
        </w:rPr>
        <w:t xml:space="preserve"> in response to a growing trend of active </w:t>
      </w:r>
      <w:r w:rsidR="00E43651">
        <w:rPr>
          <w:lang w:val="en-GB"/>
        </w:rPr>
        <w:t xml:space="preserve">investment </w:t>
      </w:r>
      <w:r w:rsidRPr="005C2A0F">
        <w:rPr>
          <w:lang w:val="en-GB"/>
        </w:rPr>
        <w:t xml:space="preserve">management during </w:t>
      </w:r>
      <w:r w:rsidR="00FC6B37" w:rsidRPr="005C2A0F">
        <w:rPr>
          <w:lang w:val="en-GB"/>
        </w:rPr>
        <w:t>the 1960s</w:t>
      </w:r>
      <w:r w:rsidRPr="005C2A0F">
        <w:rPr>
          <w:lang w:val="en-GB"/>
        </w:rPr>
        <w:t>. Ricardo started FIM from a small office in Cumberland, Rhode Island</w:t>
      </w:r>
      <w:r w:rsidR="00CA707C">
        <w:rPr>
          <w:lang w:val="en-GB"/>
        </w:rPr>
        <w:t>,</w:t>
      </w:r>
      <w:r w:rsidRPr="005C2A0F">
        <w:rPr>
          <w:lang w:val="en-GB"/>
        </w:rPr>
        <w:t xml:space="preserve"> a town just outside Providence</w:t>
      </w:r>
      <w:r w:rsidR="00CA707C">
        <w:rPr>
          <w:lang w:val="en-GB"/>
        </w:rPr>
        <w:t>,</w:t>
      </w:r>
      <w:r w:rsidRPr="005C2A0F">
        <w:rPr>
          <w:lang w:val="en-GB"/>
        </w:rPr>
        <w:t xml:space="preserve"> and he would later relocate its offices to Boston’s Back Bay</w:t>
      </w:r>
      <w:r w:rsidR="00CA707C">
        <w:rPr>
          <w:lang w:val="en-GB"/>
        </w:rPr>
        <w:t xml:space="preserve"> neighbourhood</w:t>
      </w:r>
      <w:r w:rsidRPr="005C2A0F">
        <w:rPr>
          <w:lang w:val="en-GB"/>
        </w:rPr>
        <w:t>. Ricardo started FIM by managing and marketing its sole mutual fund, the U</w:t>
      </w:r>
      <w:r w:rsidR="00355781">
        <w:rPr>
          <w:lang w:val="en-GB"/>
        </w:rPr>
        <w:t>.</w:t>
      </w:r>
      <w:r w:rsidRPr="005C2A0F">
        <w:rPr>
          <w:lang w:val="en-GB"/>
        </w:rPr>
        <w:t>S</w:t>
      </w:r>
      <w:r w:rsidR="00355781">
        <w:rPr>
          <w:lang w:val="en-GB"/>
        </w:rPr>
        <w:t>.</w:t>
      </w:r>
      <w:r w:rsidRPr="005C2A0F">
        <w:rPr>
          <w:lang w:val="en-GB"/>
        </w:rPr>
        <w:t xml:space="preserve"> Large</w:t>
      </w:r>
      <w:r w:rsidR="00E43651">
        <w:rPr>
          <w:lang w:val="en-GB"/>
        </w:rPr>
        <w:t>-</w:t>
      </w:r>
      <w:r w:rsidRPr="005C2A0F">
        <w:rPr>
          <w:lang w:val="en-GB"/>
        </w:rPr>
        <w:t>Cap Value Fund, to Rhode Island’s public and private pensions.</w:t>
      </w:r>
    </w:p>
    <w:p w14:paraId="39332143" w14:textId="77777777" w:rsidR="002D615C" w:rsidRPr="005C2A0F" w:rsidRDefault="002D615C" w:rsidP="002D615C">
      <w:pPr>
        <w:pStyle w:val="BodyTextMain"/>
        <w:rPr>
          <w:lang w:val="en-GB"/>
        </w:rPr>
      </w:pPr>
    </w:p>
    <w:p w14:paraId="798FDDE1" w14:textId="3BAE564B" w:rsidR="002D615C" w:rsidRPr="005C2A0F" w:rsidRDefault="002D615C" w:rsidP="002D615C">
      <w:pPr>
        <w:pStyle w:val="BodyTextMain"/>
        <w:rPr>
          <w:lang w:val="en-GB"/>
        </w:rPr>
      </w:pPr>
      <w:r w:rsidRPr="005C2A0F">
        <w:rPr>
          <w:lang w:val="en-GB"/>
        </w:rPr>
        <w:t>Throughout the 1970s and 1980s, FIM had achieved success in both performance and asset growth. FIM expanded its investor base beyond that of pension assets and started to garner interest from defined contribution plans in the corporate sector. Simultaneously, the bull market in the 1980s created increased excitement in the mutual fund industry, so in 1992</w:t>
      </w:r>
      <w:r w:rsidR="003C782C">
        <w:rPr>
          <w:lang w:val="en-GB"/>
        </w:rPr>
        <w:t>,</w:t>
      </w:r>
      <w:r w:rsidRPr="005C2A0F">
        <w:rPr>
          <w:lang w:val="en-GB"/>
        </w:rPr>
        <w:t xml:space="preserve"> FIM launched its second mutual fund, the U</w:t>
      </w:r>
      <w:r w:rsidR="00355781">
        <w:rPr>
          <w:lang w:val="en-GB"/>
        </w:rPr>
        <w:t>.</w:t>
      </w:r>
      <w:r w:rsidRPr="005C2A0F">
        <w:rPr>
          <w:lang w:val="en-GB"/>
        </w:rPr>
        <w:t>S</w:t>
      </w:r>
      <w:r w:rsidR="00355781">
        <w:rPr>
          <w:lang w:val="en-GB"/>
        </w:rPr>
        <w:t>.</w:t>
      </w:r>
      <w:r w:rsidRPr="005C2A0F">
        <w:rPr>
          <w:lang w:val="en-GB"/>
        </w:rPr>
        <w:t xml:space="preserve"> Mid</w:t>
      </w:r>
      <w:r w:rsidR="00E43651">
        <w:rPr>
          <w:lang w:val="en-GB"/>
        </w:rPr>
        <w:t>-</w:t>
      </w:r>
      <w:r w:rsidRPr="005C2A0F">
        <w:rPr>
          <w:lang w:val="en-GB"/>
        </w:rPr>
        <w:t xml:space="preserve">Cap Growth Fund. </w:t>
      </w:r>
    </w:p>
    <w:p w14:paraId="1F3FF913" w14:textId="77777777" w:rsidR="002D615C" w:rsidRPr="005C2A0F" w:rsidRDefault="002D615C" w:rsidP="002D615C">
      <w:pPr>
        <w:pStyle w:val="BodyTextMain"/>
        <w:rPr>
          <w:lang w:val="en-GB"/>
        </w:rPr>
      </w:pPr>
    </w:p>
    <w:p w14:paraId="74431CF3" w14:textId="3E0FF193" w:rsidR="002D615C" w:rsidRPr="005C2A0F" w:rsidRDefault="002D615C" w:rsidP="002D615C">
      <w:pPr>
        <w:pStyle w:val="BodyTextMain"/>
        <w:rPr>
          <w:lang w:val="en-GB"/>
        </w:rPr>
      </w:pPr>
      <w:r w:rsidRPr="005C2A0F">
        <w:rPr>
          <w:lang w:val="en-GB"/>
        </w:rPr>
        <w:t xml:space="preserve">FIM had seen its </w:t>
      </w:r>
      <w:r w:rsidR="00CA707C">
        <w:rPr>
          <w:lang w:val="en-GB"/>
        </w:rPr>
        <w:t>AUM</w:t>
      </w:r>
      <w:r w:rsidRPr="005C2A0F">
        <w:rPr>
          <w:lang w:val="en-GB"/>
        </w:rPr>
        <w:t xml:space="preserve"> skyrocket from $20 million in 1965 to $10 billion at the end of </w:t>
      </w:r>
      <w:r w:rsidR="00FC6B37" w:rsidRPr="005C2A0F">
        <w:rPr>
          <w:lang w:val="en-GB"/>
        </w:rPr>
        <w:t>2018.</w:t>
      </w:r>
      <w:r w:rsidRPr="005C2A0F">
        <w:rPr>
          <w:lang w:val="en-GB"/>
        </w:rPr>
        <w:t xml:space="preserve"> Roughly 80</w:t>
      </w:r>
      <w:r w:rsidR="00CA707C">
        <w:rPr>
          <w:lang w:val="en-GB"/>
        </w:rPr>
        <w:t xml:space="preserve"> per cent</w:t>
      </w:r>
      <w:r w:rsidRPr="005C2A0F">
        <w:rPr>
          <w:lang w:val="en-GB"/>
        </w:rPr>
        <w:t xml:space="preserve"> of FIM’s assets were held by retail clients, with an average fund account balance of $155,000. The remaining 20</w:t>
      </w:r>
      <w:r w:rsidR="00CA707C">
        <w:rPr>
          <w:lang w:val="en-GB"/>
        </w:rPr>
        <w:t xml:space="preserve"> per cent</w:t>
      </w:r>
      <w:r w:rsidRPr="005C2A0F">
        <w:rPr>
          <w:lang w:val="en-GB"/>
        </w:rPr>
        <w:t xml:space="preserve"> </w:t>
      </w:r>
      <w:r w:rsidR="00E43651">
        <w:rPr>
          <w:lang w:val="en-GB"/>
        </w:rPr>
        <w:t>comprised</w:t>
      </w:r>
      <w:r w:rsidRPr="005C2A0F">
        <w:rPr>
          <w:lang w:val="en-GB"/>
        </w:rPr>
        <w:t xml:space="preserve"> high</w:t>
      </w:r>
      <w:r w:rsidR="00CA707C">
        <w:rPr>
          <w:lang w:val="en-GB"/>
        </w:rPr>
        <w:t>-</w:t>
      </w:r>
      <w:r w:rsidRPr="005C2A0F">
        <w:rPr>
          <w:lang w:val="en-GB"/>
        </w:rPr>
        <w:t>net</w:t>
      </w:r>
      <w:r w:rsidR="00CA707C">
        <w:rPr>
          <w:lang w:val="en-GB"/>
        </w:rPr>
        <w:t>-</w:t>
      </w:r>
      <w:r w:rsidRPr="005C2A0F">
        <w:rPr>
          <w:lang w:val="en-GB"/>
        </w:rPr>
        <w:t xml:space="preserve">worth accounts and a handful of institutional investors. Distribution of FIM’s mutual funds was done primarily through banks and financial </w:t>
      </w:r>
      <w:r w:rsidR="00847FAF" w:rsidRPr="005C2A0F">
        <w:rPr>
          <w:lang w:val="en-GB"/>
        </w:rPr>
        <w:t>advis</w:t>
      </w:r>
      <w:r w:rsidR="00847FAF">
        <w:rPr>
          <w:lang w:val="en-GB"/>
        </w:rPr>
        <w:t>e</w:t>
      </w:r>
      <w:r w:rsidR="00847FAF" w:rsidRPr="005C2A0F">
        <w:rPr>
          <w:lang w:val="en-GB"/>
        </w:rPr>
        <w:t xml:space="preserve">rs </w:t>
      </w:r>
      <w:r w:rsidRPr="005C2A0F">
        <w:rPr>
          <w:lang w:val="en-GB"/>
        </w:rPr>
        <w:t xml:space="preserve">that could sell </w:t>
      </w:r>
      <w:r w:rsidR="00CA707C">
        <w:rPr>
          <w:lang w:val="en-GB"/>
        </w:rPr>
        <w:t>FIM’s</w:t>
      </w:r>
      <w:r w:rsidR="00CA707C" w:rsidRPr="005C2A0F">
        <w:rPr>
          <w:lang w:val="en-GB"/>
        </w:rPr>
        <w:t xml:space="preserve"> </w:t>
      </w:r>
      <w:r w:rsidRPr="005C2A0F">
        <w:rPr>
          <w:lang w:val="en-GB"/>
        </w:rPr>
        <w:t>two mutual funds through online platforms such as Vanguard or Charles Schwab.</w:t>
      </w:r>
    </w:p>
    <w:p w14:paraId="4DBA8851" w14:textId="77777777" w:rsidR="002D615C" w:rsidRPr="005C2A0F" w:rsidRDefault="002D615C" w:rsidP="002D615C">
      <w:pPr>
        <w:pStyle w:val="BodyTextMain"/>
        <w:rPr>
          <w:lang w:val="en-GB"/>
        </w:rPr>
      </w:pPr>
    </w:p>
    <w:p w14:paraId="080C76F4" w14:textId="5775D4A4" w:rsidR="002D615C" w:rsidRPr="005C2A0F" w:rsidRDefault="002D615C" w:rsidP="002D615C">
      <w:pPr>
        <w:pStyle w:val="BodyTextMain"/>
        <w:rPr>
          <w:lang w:val="en-GB"/>
        </w:rPr>
      </w:pPr>
      <w:r w:rsidRPr="005C2A0F">
        <w:rPr>
          <w:lang w:val="en-GB"/>
        </w:rPr>
        <w:t xml:space="preserve">In spite of his legendary value investor status, Ricardo was not the only reason for </w:t>
      </w:r>
      <w:r w:rsidR="00CA707C">
        <w:rPr>
          <w:lang w:val="en-GB"/>
        </w:rPr>
        <w:t>FIM’s</w:t>
      </w:r>
      <w:r w:rsidR="00CA707C" w:rsidRPr="005C2A0F">
        <w:rPr>
          <w:lang w:val="en-GB"/>
        </w:rPr>
        <w:t xml:space="preserve"> </w:t>
      </w:r>
      <w:r w:rsidRPr="005C2A0F">
        <w:rPr>
          <w:lang w:val="en-GB"/>
        </w:rPr>
        <w:t xml:space="preserve">success. While Ricardo was the face of the firm, he had made many important strategic team additions that were instrumental to the success of FIM. One important addition was his daughter and </w:t>
      </w:r>
      <w:r w:rsidR="00CA707C">
        <w:rPr>
          <w:lang w:val="en-GB"/>
        </w:rPr>
        <w:t xml:space="preserve">FIM’s </w:t>
      </w:r>
      <w:r w:rsidRPr="005C2A0F">
        <w:rPr>
          <w:lang w:val="en-GB"/>
        </w:rPr>
        <w:t xml:space="preserve">future CEO, Megan, who </w:t>
      </w:r>
      <w:r w:rsidR="00CA707C">
        <w:rPr>
          <w:lang w:val="en-GB"/>
        </w:rPr>
        <w:t xml:space="preserve">had </w:t>
      </w:r>
      <w:r w:rsidRPr="005C2A0F">
        <w:rPr>
          <w:lang w:val="en-GB"/>
        </w:rPr>
        <w:t>managed the U</w:t>
      </w:r>
      <w:r w:rsidR="00355781">
        <w:rPr>
          <w:lang w:val="en-GB"/>
        </w:rPr>
        <w:t>.</w:t>
      </w:r>
      <w:r w:rsidRPr="005C2A0F">
        <w:rPr>
          <w:lang w:val="en-GB"/>
        </w:rPr>
        <w:t>S</w:t>
      </w:r>
      <w:r w:rsidR="00355781">
        <w:rPr>
          <w:lang w:val="en-GB"/>
        </w:rPr>
        <w:t>.</w:t>
      </w:r>
      <w:r w:rsidRPr="005C2A0F">
        <w:rPr>
          <w:lang w:val="en-GB"/>
        </w:rPr>
        <w:t xml:space="preserve"> Mid</w:t>
      </w:r>
      <w:r w:rsidR="00E43651">
        <w:rPr>
          <w:lang w:val="en-GB"/>
        </w:rPr>
        <w:t>-</w:t>
      </w:r>
      <w:r w:rsidRPr="005C2A0F">
        <w:rPr>
          <w:lang w:val="en-GB"/>
        </w:rPr>
        <w:t>Cap Growth Fund from its inception in 1992.</w:t>
      </w:r>
    </w:p>
    <w:p w14:paraId="613C14DA" w14:textId="2609BC80" w:rsidR="002D615C" w:rsidRPr="005C2A0F" w:rsidRDefault="002D615C" w:rsidP="002D615C">
      <w:pPr>
        <w:pStyle w:val="BodyTextMain"/>
        <w:rPr>
          <w:lang w:val="en-GB"/>
        </w:rPr>
      </w:pPr>
    </w:p>
    <w:p w14:paraId="5E913E3C" w14:textId="052F7DCD" w:rsidR="002D615C" w:rsidRPr="005C2A0F" w:rsidRDefault="002D615C" w:rsidP="002D615C">
      <w:pPr>
        <w:pStyle w:val="BodyTextMain"/>
        <w:rPr>
          <w:lang w:val="en-GB"/>
        </w:rPr>
      </w:pPr>
    </w:p>
    <w:p w14:paraId="58F8E176" w14:textId="77777777" w:rsidR="002D615C" w:rsidRPr="005C2A0F" w:rsidRDefault="002D615C" w:rsidP="002D615C">
      <w:pPr>
        <w:pStyle w:val="Casehead1"/>
        <w:rPr>
          <w:lang w:val="en-GB"/>
        </w:rPr>
      </w:pPr>
      <w:r w:rsidRPr="005C2A0F">
        <w:rPr>
          <w:lang w:val="en-GB"/>
        </w:rPr>
        <w:t>Megan DeAndrade’s Rise</w:t>
      </w:r>
    </w:p>
    <w:p w14:paraId="5EEE45C8" w14:textId="77777777" w:rsidR="002D615C" w:rsidRPr="005C2A0F" w:rsidRDefault="002D615C" w:rsidP="002D615C">
      <w:pPr>
        <w:pStyle w:val="BodyTextMain"/>
        <w:rPr>
          <w:lang w:val="en-GB"/>
        </w:rPr>
      </w:pPr>
    </w:p>
    <w:p w14:paraId="75F7E24B" w14:textId="418F0C59" w:rsidR="002D615C" w:rsidRPr="005C2A0F" w:rsidRDefault="002D615C" w:rsidP="002D615C">
      <w:pPr>
        <w:pStyle w:val="BodyTextMain"/>
        <w:rPr>
          <w:lang w:val="en-GB"/>
        </w:rPr>
      </w:pPr>
      <w:r w:rsidRPr="005C2A0F">
        <w:rPr>
          <w:lang w:val="en-GB"/>
        </w:rPr>
        <w:t xml:space="preserve">Megan always wanted to follow in the footsteps of her father. She had attended Johns Hopkins University for her undergraduate degree and </w:t>
      </w:r>
      <w:r w:rsidR="008E7360" w:rsidRPr="005C2A0F">
        <w:rPr>
          <w:lang w:val="en-GB"/>
        </w:rPr>
        <w:t>received her MBA</w:t>
      </w:r>
      <w:r w:rsidR="008E7360">
        <w:rPr>
          <w:lang w:val="en-GB"/>
        </w:rPr>
        <w:t xml:space="preserve"> </w:t>
      </w:r>
      <w:r w:rsidRPr="005C2A0F">
        <w:rPr>
          <w:lang w:val="en-GB"/>
        </w:rPr>
        <w:t xml:space="preserve">from MIT Sloan School of Management in 1989. </w:t>
      </w:r>
      <w:r w:rsidR="00355781">
        <w:rPr>
          <w:lang w:val="en-GB"/>
        </w:rPr>
        <w:t>Megan</w:t>
      </w:r>
      <w:r w:rsidR="00CA707C" w:rsidRPr="005C2A0F">
        <w:rPr>
          <w:lang w:val="en-GB"/>
        </w:rPr>
        <w:t xml:space="preserve"> </w:t>
      </w:r>
      <w:r w:rsidRPr="005C2A0F">
        <w:rPr>
          <w:lang w:val="en-GB"/>
        </w:rPr>
        <w:t xml:space="preserve">had been interning at FIM throughout college and </w:t>
      </w:r>
      <w:r w:rsidR="00CA707C">
        <w:rPr>
          <w:lang w:val="en-GB"/>
        </w:rPr>
        <w:t xml:space="preserve">during her </w:t>
      </w:r>
      <w:r w:rsidRPr="005C2A0F">
        <w:rPr>
          <w:lang w:val="en-GB"/>
        </w:rPr>
        <w:t xml:space="preserve">MBA years, so </w:t>
      </w:r>
      <w:r w:rsidR="00CA707C">
        <w:rPr>
          <w:lang w:val="en-GB"/>
        </w:rPr>
        <w:t xml:space="preserve">after completing her studies, </w:t>
      </w:r>
      <w:r w:rsidRPr="005C2A0F">
        <w:rPr>
          <w:lang w:val="en-GB"/>
        </w:rPr>
        <w:t xml:space="preserve">she was ready to </w:t>
      </w:r>
      <w:r w:rsidR="00F3021E">
        <w:rPr>
          <w:lang w:val="en-GB"/>
        </w:rPr>
        <w:t>“</w:t>
      </w:r>
      <w:r w:rsidRPr="005C2A0F">
        <w:rPr>
          <w:lang w:val="en-GB"/>
        </w:rPr>
        <w:t>hit the ground running</w:t>
      </w:r>
      <w:r w:rsidR="00F3021E">
        <w:rPr>
          <w:lang w:val="en-GB"/>
        </w:rPr>
        <w:t>” (i.e., assume her responsibilities)</w:t>
      </w:r>
      <w:r w:rsidRPr="005C2A0F">
        <w:rPr>
          <w:lang w:val="en-GB"/>
        </w:rPr>
        <w:t xml:space="preserve">. As the bull market continued through the early 1990s, Ricardo decided that it would be </w:t>
      </w:r>
      <w:r w:rsidR="00CA707C">
        <w:rPr>
          <w:lang w:val="en-GB"/>
        </w:rPr>
        <w:t xml:space="preserve">a </w:t>
      </w:r>
      <w:r w:rsidRPr="005C2A0F">
        <w:rPr>
          <w:lang w:val="en-GB"/>
        </w:rPr>
        <w:t xml:space="preserve">good </w:t>
      </w:r>
      <w:r w:rsidR="00CA707C" w:rsidRPr="005C2A0F">
        <w:rPr>
          <w:lang w:val="en-GB"/>
        </w:rPr>
        <w:t>tim</w:t>
      </w:r>
      <w:r w:rsidR="00CA707C">
        <w:rPr>
          <w:lang w:val="en-GB"/>
        </w:rPr>
        <w:t>e</w:t>
      </w:r>
      <w:r w:rsidR="00CA707C" w:rsidRPr="005C2A0F">
        <w:rPr>
          <w:lang w:val="en-GB"/>
        </w:rPr>
        <w:t xml:space="preserve"> </w:t>
      </w:r>
      <w:r w:rsidRPr="005C2A0F">
        <w:rPr>
          <w:lang w:val="en-GB"/>
        </w:rPr>
        <w:t xml:space="preserve">to launch a growth fund and that it would be a great experience for Megan to manage the new fund. </w:t>
      </w:r>
    </w:p>
    <w:p w14:paraId="41B152E1" w14:textId="77777777" w:rsidR="002D615C" w:rsidRPr="005C2A0F" w:rsidRDefault="002D615C" w:rsidP="002D615C">
      <w:pPr>
        <w:pStyle w:val="BodyTextMain"/>
        <w:rPr>
          <w:lang w:val="en-GB"/>
        </w:rPr>
      </w:pPr>
    </w:p>
    <w:p w14:paraId="4AC5507D" w14:textId="5747BADF" w:rsidR="002D615C" w:rsidRPr="005C2A0F" w:rsidRDefault="002D615C" w:rsidP="002D615C">
      <w:pPr>
        <w:pStyle w:val="BodyTextMain"/>
        <w:rPr>
          <w:lang w:val="en-GB"/>
        </w:rPr>
      </w:pPr>
      <w:r w:rsidRPr="005C2A0F">
        <w:rPr>
          <w:lang w:val="en-GB"/>
        </w:rPr>
        <w:t xml:space="preserve">At the time, Ricardo </w:t>
      </w:r>
      <w:r w:rsidR="00CA707C">
        <w:rPr>
          <w:lang w:val="en-GB"/>
        </w:rPr>
        <w:t xml:space="preserve">had </w:t>
      </w:r>
      <w:r w:rsidRPr="005C2A0F">
        <w:rPr>
          <w:lang w:val="en-GB"/>
        </w:rPr>
        <w:t xml:space="preserve">underestimated the investor appetite for a growth strategy in </w:t>
      </w:r>
      <w:r w:rsidR="000C740C">
        <w:rPr>
          <w:lang w:val="en-GB"/>
        </w:rPr>
        <w:t>FIM’s</w:t>
      </w:r>
      <w:r w:rsidR="000C740C" w:rsidRPr="005C2A0F">
        <w:rPr>
          <w:lang w:val="en-GB"/>
        </w:rPr>
        <w:t xml:space="preserve"> </w:t>
      </w:r>
      <w:r w:rsidRPr="005C2A0F">
        <w:rPr>
          <w:lang w:val="en-GB"/>
        </w:rPr>
        <w:t xml:space="preserve">fund and he also </w:t>
      </w:r>
      <w:r w:rsidR="000C740C">
        <w:rPr>
          <w:lang w:val="en-GB"/>
        </w:rPr>
        <w:t>ha</w:t>
      </w:r>
      <w:r w:rsidR="000C740C" w:rsidRPr="005C2A0F">
        <w:rPr>
          <w:lang w:val="en-GB"/>
        </w:rPr>
        <w:t xml:space="preserve">dn’t </w:t>
      </w:r>
      <w:r w:rsidR="000C740C">
        <w:rPr>
          <w:lang w:val="en-GB"/>
        </w:rPr>
        <w:t>anticipated</w:t>
      </w:r>
      <w:r w:rsidR="000C740C" w:rsidRPr="005C2A0F">
        <w:rPr>
          <w:lang w:val="en-GB"/>
        </w:rPr>
        <w:t xml:space="preserve"> </w:t>
      </w:r>
      <w:r w:rsidRPr="005C2A0F">
        <w:rPr>
          <w:lang w:val="en-GB"/>
        </w:rPr>
        <w:t>the success that Megan would have at the helm. FIM’s U</w:t>
      </w:r>
      <w:r w:rsidR="00F3021E">
        <w:rPr>
          <w:lang w:val="en-GB"/>
        </w:rPr>
        <w:t>.</w:t>
      </w:r>
      <w:r w:rsidRPr="005C2A0F">
        <w:rPr>
          <w:lang w:val="en-GB"/>
        </w:rPr>
        <w:t>S</w:t>
      </w:r>
      <w:r w:rsidR="00F3021E">
        <w:rPr>
          <w:lang w:val="en-GB"/>
        </w:rPr>
        <w:t>.</w:t>
      </w:r>
      <w:r w:rsidRPr="005C2A0F">
        <w:rPr>
          <w:lang w:val="en-GB"/>
        </w:rPr>
        <w:t xml:space="preserve"> Mid</w:t>
      </w:r>
      <w:r w:rsidR="008E7360">
        <w:rPr>
          <w:lang w:val="en-GB"/>
        </w:rPr>
        <w:t>-</w:t>
      </w:r>
      <w:r w:rsidRPr="005C2A0F">
        <w:rPr>
          <w:lang w:val="en-GB"/>
        </w:rPr>
        <w:t xml:space="preserve">Cap Growth Fund grew from $500 million </w:t>
      </w:r>
      <w:r w:rsidR="000C740C">
        <w:rPr>
          <w:lang w:val="en-GB"/>
        </w:rPr>
        <w:t>AUM</w:t>
      </w:r>
      <w:r w:rsidRPr="005C2A0F">
        <w:rPr>
          <w:lang w:val="en-GB"/>
        </w:rPr>
        <w:t xml:space="preserve"> in 1992 to </w:t>
      </w:r>
      <w:r w:rsidR="000C740C">
        <w:rPr>
          <w:lang w:val="en-GB"/>
        </w:rPr>
        <w:t>more than</w:t>
      </w:r>
      <w:r w:rsidR="000C740C" w:rsidRPr="005C2A0F">
        <w:rPr>
          <w:lang w:val="en-GB"/>
        </w:rPr>
        <w:t xml:space="preserve"> </w:t>
      </w:r>
      <w:r w:rsidRPr="005C2A0F">
        <w:rPr>
          <w:lang w:val="en-GB"/>
        </w:rPr>
        <w:t xml:space="preserve">$6 billion </w:t>
      </w:r>
      <w:r w:rsidR="000C740C">
        <w:rPr>
          <w:lang w:val="en-GB"/>
        </w:rPr>
        <w:t xml:space="preserve">AUM </w:t>
      </w:r>
      <w:r w:rsidRPr="005C2A0F">
        <w:rPr>
          <w:lang w:val="en-GB"/>
        </w:rPr>
        <w:t xml:space="preserve">at the end of 2018. Many people attributed </w:t>
      </w:r>
      <w:r w:rsidR="000C740C">
        <w:rPr>
          <w:lang w:val="en-GB"/>
        </w:rPr>
        <w:t xml:space="preserve">Megan’s </w:t>
      </w:r>
      <w:r w:rsidRPr="005C2A0F">
        <w:rPr>
          <w:lang w:val="en-GB"/>
        </w:rPr>
        <w:t xml:space="preserve">success </w:t>
      </w:r>
      <w:r w:rsidR="000C740C">
        <w:rPr>
          <w:lang w:val="en-GB"/>
        </w:rPr>
        <w:t xml:space="preserve">in </w:t>
      </w:r>
      <w:r w:rsidRPr="005C2A0F">
        <w:rPr>
          <w:lang w:val="en-GB"/>
        </w:rPr>
        <w:t xml:space="preserve">managing the growth fund to her analytical approach and </w:t>
      </w:r>
      <w:r w:rsidR="000C740C">
        <w:rPr>
          <w:lang w:val="en-GB"/>
        </w:rPr>
        <w:t xml:space="preserve">her </w:t>
      </w:r>
      <w:r w:rsidRPr="005C2A0F">
        <w:rPr>
          <w:lang w:val="en-GB"/>
        </w:rPr>
        <w:t xml:space="preserve">ability to predict the </w:t>
      </w:r>
      <w:r w:rsidR="000C740C">
        <w:rPr>
          <w:lang w:val="en-GB"/>
        </w:rPr>
        <w:t>rapid</w:t>
      </w:r>
      <w:r w:rsidRPr="005C2A0F">
        <w:rPr>
          <w:lang w:val="en-GB"/>
        </w:rPr>
        <w:t xml:space="preserve"> adoption rates of emerging technologies, such as cloud computing and online advertising.</w:t>
      </w:r>
    </w:p>
    <w:p w14:paraId="0EADA195" w14:textId="77777777" w:rsidR="002D615C" w:rsidRPr="005C2A0F" w:rsidRDefault="002D615C" w:rsidP="002D615C">
      <w:pPr>
        <w:pStyle w:val="BodyTextMain"/>
        <w:rPr>
          <w:lang w:val="en-GB"/>
        </w:rPr>
      </w:pPr>
    </w:p>
    <w:p w14:paraId="361C8042" w14:textId="27D99B50" w:rsidR="002D615C" w:rsidRPr="005C2A0F" w:rsidRDefault="002D615C" w:rsidP="002D615C">
      <w:pPr>
        <w:pStyle w:val="BodyTextMain"/>
        <w:rPr>
          <w:lang w:val="en-GB"/>
        </w:rPr>
      </w:pPr>
      <w:r w:rsidRPr="005C2A0F">
        <w:rPr>
          <w:lang w:val="en-GB"/>
        </w:rPr>
        <w:t>In 2012, Ricardo turned 72 years old</w:t>
      </w:r>
      <w:r w:rsidR="000C740C">
        <w:rPr>
          <w:lang w:val="en-GB"/>
        </w:rPr>
        <w:t>,</w:t>
      </w:r>
      <w:r w:rsidRPr="005C2A0F">
        <w:rPr>
          <w:lang w:val="en-GB"/>
        </w:rPr>
        <w:t xml:space="preserve"> and FIM’s board had become </w:t>
      </w:r>
      <w:r w:rsidR="00375B77">
        <w:rPr>
          <w:lang w:val="en-GB"/>
        </w:rPr>
        <w:t>aware that</w:t>
      </w:r>
      <w:r w:rsidR="00375B77" w:rsidRPr="005C2A0F">
        <w:rPr>
          <w:lang w:val="en-GB"/>
        </w:rPr>
        <w:t xml:space="preserve"> </w:t>
      </w:r>
      <w:r w:rsidRPr="005C2A0F">
        <w:rPr>
          <w:lang w:val="en-GB"/>
        </w:rPr>
        <w:t xml:space="preserve">his outside interests were taking up more of his time than in prior years. Ricardo had handed off the daily portfolio management of the value fund to Kate </w:t>
      </w:r>
      <w:proofErr w:type="spellStart"/>
      <w:r w:rsidRPr="005C2A0F">
        <w:rPr>
          <w:lang w:val="en-GB"/>
        </w:rPr>
        <w:t>Messinger</w:t>
      </w:r>
      <w:proofErr w:type="spellEnd"/>
      <w:r w:rsidRPr="005C2A0F">
        <w:rPr>
          <w:lang w:val="en-GB"/>
        </w:rPr>
        <w:t xml:space="preserve">, an analyst </w:t>
      </w:r>
      <w:r w:rsidR="00375B77">
        <w:rPr>
          <w:lang w:val="en-GB"/>
        </w:rPr>
        <w:t>who</w:t>
      </w:r>
      <w:r w:rsidR="00375B77" w:rsidRPr="005C2A0F">
        <w:rPr>
          <w:lang w:val="en-GB"/>
        </w:rPr>
        <w:t xml:space="preserve"> </w:t>
      </w:r>
      <w:r w:rsidRPr="005C2A0F">
        <w:rPr>
          <w:lang w:val="en-GB"/>
        </w:rPr>
        <w:t xml:space="preserve">had worked with him for years. Ricardo had also become a part-owner of </w:t>
      </w:r>
      <w:r w:rsidR="00CC4CC6">
        <w:rPr>
          <w:lang w:val="en-GB"/>
        </w:rPr>
        <w:t>a professional basketball team</w:t>
      </w:r>
      <w:r w:rsidRPr="005C2A0F">
        <w:rPr>
          <w:lang w:val="en-GB"/>
        </w:rPr>
        <w:t xml:space="preserve"> in 2010</w:t>
      </w:r>
      <w:r w:rsidR="00375B77">
        <w:rPr>
          <w:lang w:val="en-GB"/>
        </w:rPr>
        <w:t>,</w:t>
      </w:r>
      <w:r w:rsidRPr="005C2A0F">
        <w:rPr>
          <w:lang w:val="en-GB"/>
        </w:rPr>
        <w:t xml:space="preserve"> and some FIM’s board members thought he spen</w:t>
      </w:r>
      <w:r w:rsidR="008E7360">
        <w:rPr>
          <w:lang w:val="en-GB"/>
        </w:rPr>
        <w:t>t</w:t>
      </w:r>
      <w:r w:rsidRPr="005C2A0F">
        <w:rPr>
          <w:lang w:val="en-GB"/>
        </w:rPr>
        <w:t xml:space="preserve"> more time at </w:t>
      </w:r>
      <w:r w:rsidR="00CC4CC6">
        <w:rPr>
          <w:lang w:val="en-GB"/>
        </w:rPr>
        <w:t>the arena</w:t>
      </w:r>
      <w:r w:rsidRPr="005C2A0F">
        <w:rPr>
          <w:lang w:val="en-GB"/>
        </w:rPr>
        <w:t xml:space="preserve"> than at FIM’s headquarters.</w:t>
      </w:r>
      <w:r w:rsidR="005C2A0F" w:rsidRPr="005C2A0F">
        <w:rPr>
          <w:lang w:val="en-GB"/>
        </w:rPr>
        <w:t xml:space="preserve"> </w:t>
      </w:r>
      <w:r w:rsidRPr="005C2A0F">
        <w:rPr>
          <w:lang w:val="en-GB"/>
        </w:rPr>
        <w:t xml:space="preserve">FIM’s board of directors had suggested that Ricardo step down as CEO of FIM and named Megan CEO in 2012. </w:t>
      </w:r>
    </w:p>
    <w:p w14:paraId="7E71477A" w14:textId="77777777" w:rsidR="002D615C" w:rsidRPr="005C2A0F" w:rsidRDefault="002D615C" w:rsidP="002D615C">
      <w:pPr>
        <w:pStyle w:val="BodyTextMain"/>
        <w:rPr>
          <w:lang w:val="en-GB"/>
        </w:rPr>
      </w:pPr>
    </w:p>
    <w:p w14:paraId="5AD01BEA" w14:textId="62280289" w:rsidR="002D615C" w:rsidRPr="005C2A0F" w:rsidRDefault="002D615C" w:rsidP="002D615C">
      <w:pPr>
        <w:pStyle w:val="BodyTextMain"/>
        <w:rPr>
          <w:lang w:val="en-GB"/>
        </w:rPr>
      </w:pPr>
      <w:r w:rsidRPr="005C2A0F">
        <w:rPr>
          <w:lang w:val="en-GB"/>
        </w:rPr>
        <w:t xml:space="preserve">While this changing of the guard seemed </w:t>
      </w:r>
      <w:r w:rsidR="00375B77">
        <w:rPr>
          <w:lang w:val="en-GB"/>
        </w:rPr>
        <w:t>to be</w:t>
      </w:r>
      <w:r w:rsidR="00375B77" w:rsidRPr="005C2A0F">
        <w:rPr>
          <w:lang w:val="en-GB"/>
        </w:rPr>
        <w:t xml:space="preserve"> </w:t>
      </w:r>
      <w:r w:rsidRPr="005C2A0F">
        <w:rPr>
          <w:lang w:val="en-GB"/>
        </w:rPr>
        <w:t xml:space="preserve">a natural progression, this move had reputational implications. Ricardo had become known as one of the grandfathers of value investing. He </w:t>
      </w:r>
      <w:r w:rsidR="00375B77">
        <w:rPr>
          <w:lang w:val="en-GB"/>
        </w:rPr>
        <w:t xml:space="preserve">had </w:t>
      </w:r>
      <w:r w:rsidR="00375B77" w:rsidRPr="005C2A0F">
        <w:rPr>
          <w:lang w:val="en-GB"/>
        </w:rPr>
        <w:t>bec</w:t>
      </w:r>
      <w:r w:rsidR="00375B77">
        <w:rPr>
          <w:lang w:val="en-GB"/>
        </w:rPr>
        <w:t>o</w:t>
      </w:r>
      <w:r w:rsidR="00375B77" w:rsidRPr="005C2A0F">
        <w:rPr>
          <w:lang w:val="en-GB"/>
        </w:rPr>
        <w:t xml:space="preserve">me </w:t>
      </w:r>
      <w:r w:rsidRPr="005C2A0F">
        <w:rPr>
          <w:lang w:val="en-GB"/>
        </w:rPr>
        <w:lastRenderedPageBreak/>
        <w:t>famous for quotes such</w:t>
      </w:r>
      <w:r w:rsidR="00FC6B37" w:rsidRPr="005C2A0F">
        <w:rPr>
          <w:lang w:val="en-GB"/>
        </w:rPr>
        <w:t xml:space="preserve"> as “price is what you pay, value is what you get” and “it</w:t>
      </w:r>
      <w:r w:rsidR="00375B77">
        <w:rPr>
          <w:lang w:val="en-GB"/>
        </w:rPr>
        <w:t>’</w:t>
      </w:r>
      <w:r w:rsidR="00FC6B37" w:rsidRPr="005C2A0F">
        <w:rPr>
          <w:lang w:val="en-GB"/>
        </w:rPr>
        <w:t>s time, not timing, that makes money in the market</w:t>
      </w:r>
      <w:r w:rsidR="00375B77">
        <w:rPr>
          <w:lang w:val="en-GB"/>
        </w:rPr>
        <w:t>.</w:t>
      </w:r>
      <w:r w:rsidR="00FC6B37" w:rsidRPr="005C2A0F">
        <w:rPr>
          <w:lang w:val="en-GB"/>
        </w:rPr>
        <w:t>”</w:t>
      </w:r>
      <w:r w:rsidRPr="005C2A0F">
        <w:rPr>
          <w:lang w:val="en-GB"/>
        </w:rPr>
        <w:t xml:space="preserve"> FIM’s board was aware that losing Ricardo’s oversight might lead to substantial redemptions in </w:t>
      </w:r>
      <w:r w:rsidR="00375B77">
        <w:rPr>
          <w:lang w:val="en-GB"/>
        </w:rPr>
        <w:t>FIM’s</w:t>
      </w:r>
      <w:r w:rsidR="00375B77" w:rsidRPr="005C2A0F">
        <w:rPr>
          <w:lang w:val="en-GB"/>
        </w:rPr>
        <w:t xml:space="preserve"> </w:t>
      </w:r>
      <w:r w:rsidRPr="005C2A0F">
        <w:rPr>
          <w:lang w:val="en-GB"/>
        </w:rPr>
        <w:t>Large</w:t>
      </w:r>
      <w:r w:rsidR="008E7360">
        <w:rPr>
          <w:lang w:val="en-GB"/>
        </w:rPr>
        <w:t>-</w:t>
      </w:r>
      <w:r w:rsidRPr="005C2A0F">
        <w:rPr>
          <w:lang w:val="en-GB"/>
        </w:rPr>
        <w:t>Cap Value Fund. Nevertheless, FIM’s board was excited to see the direction that Megan would take their firm, especially given how much the investment management business was ch</w:t>
      </w:r>
      <w:r w:rsidR="00782216" w:rsidRPr="005C2A0F">
        <w:rPr>
          <w:lang w:val="en-GB"/>
        </w:rPr>
        <w:t>anging</w:t>
      </w:r>
      <w:r w:rsidR="00375B77">
        <w:rPr>
          <w:lang w:val="en-GB"/>
        </w:rPr>
        <w:t>—as evidence</w:t>
      </w:r>
      <w:r w:rsidR="008E7360">
        <w:rPr>
          <w:lang w:val="en-GB"/>
        </w:rPr>
        <w:t>d</w:t>
      </w:r>
      <w:r w:rsidR="00375B77">
        <w:rPr>
          <w:lang w:val="en-GB"/>
        </w:rPr>
        <w:t xml:space="preserve"> by</w:t>
      </w:r>
      <w:r w:rsidR="00375B77" w:rsidRPr="005C2A0F">
        <w:rPr>
          <w:lang w:val="en-GB"/>
        </w:rPr>
        <w:t xml:space="preserve"> </w:t>
      </w:r>
      <w:r w:rsidR="00375B77">
        <w:rPr>
          <w:lang w:val="en-GB"/>
        </w:rPr>
        <w:t xml:space="preserve">more and more assets starting to be garnered through </w:t>
      </w:r>
      <w:r w:rsidR="008E7360">
        <w:rPr>
          <w:lang w:val="en-GB"/>
        </w:rPr>
        <w:t xml:space="preserve">such </w:t>
      </w:r>
      <w:r w:rsidR="00782216" w:rsidRPr="005C2A0F">
        <w:rPr>
          <w:lang w:val="en-GB"/>
        </w:rPr>
        <w:t xml:space="preserve">strategies </w:t>
      </w:r>
      <w:r w:rsidR="008E7360">
        <w:rPr>
          <w:lang w:val="en-GB"/>
        </w:rPr>
        <w:t>as</w:t>
      </w:r>
      <w:r w:rsidR="00375B77">
        <w:rPr>
          <w:lang w:val="en-GB"/>
        </w:rPr>
        <w:t xml:space="preserve"> </w:t>
      </w:r>
      <w:r w:rsidRPr="005C2A0F">
        <w:rPr>
          <w:lang w:val="en-GB"/>
        </w:rPr>
        <w:t>passive</w:t>
      </w:r>
      <w:r w:rsidR="004E54D6" w:rsidRPr="005C2A0F">
        <w:rPr>
          <w:lang w:val="en-GB"/>
        </w:rPr>
        <w:t xml:space="preserve"> index</w:t>
      </w:r>
      <w:r w:rsidRPr="005C2A0F">
        <w:rPr>
          <w:lang w:val="en-GB"/>
        </w:rPr>
        <w:t xml:space="preserve"> funds</w:t>
      </w:r>
      <w:r w:rsidR="00782216" w:rsidRPr="005C2A0F">
        <w:rPr>
          <w:rStyle w:val="FootnoteReference"/>
          <w:lang w:val="en-GB"/>
        </w:rPr>
        <w:footnoteReference w:id="5"/>
      </w:r>
      <w:r w:rsidRPr="005C2A0F">
        <w:rPr>
          <w:lang w:val="en-GB"/>
        </w:rPr>
        <w:t xml:space="preserve"> (</w:t>
      </w:r>
      <w:r w:rsidR="00375B77">
        <w:rPr>
          <w:lang w:val="en-GB"/>
        </w:rPr>
        <w:t xml:space="preserve">see </w:t>
      </w:r>
      <w:r w:rsidRPr="005C2A0F">
        <w:rPr>
          <w:lang w:val="en-GB"/>
        </w:rPr>
        <w:t>Exhibit 2).</w:t>
      </w:r>
    </w:p>
    <w:p w14:paraId="7CCBBEF0" w14:textId="77E11D66" w:rsidR="002D615C" w:rsidRPr="00AF5944" w:rsidRDefault="002D615C" w:rsidP="002D615C">
      <w:pPr>
        <w:pStyle w:val="BodyTextMain"/>
        <w:rPr>
          <w:sz w:val="18"/>
          <w:lang w:val="en-GB"/>
        </w:rPr>
      </w:pPr>
    </w:p>
    <w:p w14:paraId="1231BF61" w14:textId="77777777" w:rsidR="002D615C" w:rsidRPr="00AF5944" w:rsidRDefault="002D615C" w:rsidP="002D615C">
      <w:pPr>
        <w:pStyle w:val="BodyTextMain"/>
        <w:rPr>
          <w:sz w:val="18"/>
          <w:lang w:val="en-GB"/>
        </w:rPr>
      </w:pPr>
    </w:p>
    <w:p w14:paraId="2F6902B6" w14:textId="06145823" w:rsidR="002D615C" w:rsidRPr="005C2A0F" w:rsidRDefault="002D615C" w:rsidP="002D615C">
      <w:pPr>
        <w:pStyle w:val="Casehead1"/>
        <w:rPr>
          <w:lang w:val="en-GB"/>
        </w:rPr>
      </w:pPr>
      <w:r w:rsidRPr="005C2A0F">
        <w:rPr>
          <w:lang w:val="en-GB"/>
        </w:rPr>
        <w:t xml:space="preserve">Meeting between Megan </w:t>
      </w:r>
      <w:r w:rsidR="00CA707C">
        <w:rPr>
          <w:lang w:val="en-GB"/>
        </w:rPr>
        <w:t>DeAndrade</w:t>
      </w:r>
      <w:r w:rsidR="00CA707C" w:rsidRPr="005C2A0F">
        <w:rPr>
          <w:lang w:val="en-GB"/>
        </w:rPr>
        <w:t xml:space="preserve"> </w:t>
      </w:r>
      <w:r w:rsidRPr="005C2A0F">
        <w:rPr>
          <w:lang w:val="en-GB"/>
        </w:rPr>
        <w:t>and Jake Danforth</w:t>
      </w:r>
    </w:p>
    <w:p w14:paraId="6A99CDF7" w14:textId="77777777" w:rsidR="002D615C" w:rsidRPr="00AF5944" w:rsidRDefault="002D615C" w:rsidP="002D615C">
      <w:pPr>
        <w:pStyle w:val="BodyTextMain"/>
        <w:rPr>
          <w:sz w:val="18"/>
          <w:lang w:val="en-GB"/>
        </w:rPr>
      </w:pPr>
    </w:p>
    <w:p w14:paraId="297F725F" w14:textId="444CD220" w:rsidR="002D615C" w:rsidRPr="005C2A0F" w:rsidRDefault="002D615C" w:rsidP="002D615C">
      <w:pPr>
        <w:pStyle w:val="BodyTextMain"/>
        <w:rPr>
          <w:lang w:val="en-GB"/>
        </w:rPr>
      </w:pPr>
      <w:r w:rsidRPr="005C2A0F">
        <w:rPr>
          <w:lang w:val="en-GB"/>
        </w:rPr>
        <w:t xml:space="preserve">Megan </w:t>
      </w:r>
      <w:r w:rsidR="00F3021E">
        <w:rPr>
          <w:lang w:val="en-GB"/>
        </w:rPr>
        <w:t>assumed her role of</w:t>
      </w:r>
      <w:r w:rsidRPr="005C2A0F">
        <w:rPr>
          <w:lang w:val="en-GB"/>
        </w:rPr>
        <w:t xml:space="preserve"> CEO, making much</w:t>
      </w:r>
      <w:r w:rsidR="00F3021E">
        <w:rPr>
          <w:lang w:val="en-GB"/>
        </w:rPr>
        <w:t>-</w:t>
      </w:r>
      <w:r w:rsidRPr="005C2A0F">
        <w:rPr>
          <w:lang w:val="en-GB"/>
        </w:rPr>
        <w:t>needed cultural and organizational changes to FIM based on her learnings from business school. Examples of these changes included more consistent and quantifiable peer review systems, a centralized research platform where idea generation was discussed collaboratively, and i</w:t>
      </w:r>
      <w:r w:rsidR="00A03590">
        <w:rPr>
          <w:lang w:val="en-GB"/>
        </w:rPr>
        <w:t>mproving the matching program</w:t>
      </w:r>
      <w:r w:rsidRPr="005C2A0F">
        <w:rPr>
          <w:lang w:val="en-GB"/>
        </w:rPr>
        <w:t xml:space="preserve"> benefits in FIM’s </w:t>
      </w:r>
      <w:r w:rsidR="004E54D6" w:rsidRPr="005C2A0F">
        <w:rPr>
          <w:lang w:val="en-GB"/>
        </w:rPr>
        <w:t>retirement</w:t>
      </w:r>
      <w:r w:rsidRPr="005C2A0F">
        <w:rPr>
          <w:lang w:val="en-GB"/>
        </w:rPr>
        <w:t xml:space="preserve"> plan. </w:t>
      </w:r>
      <w:r w:rsidR="00F3021E">
        <w:rPr>
          <w:lang w:val="en-GB"/>
        </w:rPr>
        <w:t>Megan</w:t>
      </w:r>
      <w:r w:rsidR="00F3021E" w:rsidRPr="005C2A0F">
        <w:rPr>
          <w:lang w:val="en-GB"/>
        </w:rPr>
        <w:t xml:space="preserve"> </w:t>
      </w:r>
      <w:r w:rsidRPr="005C2A0F">
        <w:rPr>
          <w:lang w:val="en-GB"/>
        </w:rPr>
        <w:t xml:space="preserve">made </w:t>
      </w:r>
      <w:r w:rsidR="005712B1">
        <w:rPr>
          <w:lang w:val="en-GB"/>
        </w:rPr>
        <w:t xml:space="preserve">another major change </w:t>
      </w:r>
      <w:r w:rsidRPr="005C2A0F">
        <w:rPr>
          <w:lang w:val="en-GB"/>
        </w:rPr>
        <w:t>in 2014</w:t>
      </w:r>
      <w:r w:rsidR="00CA5906">
        <w:rPr>
          <w:lang w:val="en-GB"/>
        </w:rPr>
        <w:t>,</w:t>
      </w:r>
      <w:r w:rsidRPr="005C2A0F">
        <w:rPr>
          <w:lang w:val="en-GB"/>
        </w:rPr>
        <w:t xml:space="preserve"> </w:t>
      </w:r>
      <w:r w:rsidR="005712B1">
        <w:rPr>
          <w:lang w:val="en-GB"/>
        </w:rPr>
        <w:t>when she</w:t>
      </w:r>
      <w:r w:rsidRPr="005C2A0F">
        <w:rPr>
          <w:lang w:val="en-GB"/>
        </w:rPr>
        <w:t xml:space="preserve"> </w:t>
      </w:r>
      <w:r w:rsidR="005712B1" w:rsidRPr="005C2A0F">
        <w:rPr>
          <w:lang w:val="en-GB"/>
        </w:rPr>
        <w:t>establish</w:t>
      </w:r>
      <w:r w:rsidR="005712B1">
        <w:rPr>
          <w:lang w:val="en-GB"/>
        </w:rPr>
        <w:t>ed</w:t>
      </w:r>
      <w:r w:rsidR="005712B1" w:rsidRPr="005C2A0F">
        <w:rPr>
          <w:lang w:val="en-GB"/>
        </w:rPr>
        <w:t xml:space="preserve"> </w:t>
      </w:r>
      <w:r w:rsidRPr="005C2A0F">
        <w:rPr>
          <w:lang w:val="en-GB"/>
        </w:rPr>
        <w:t xml:space="preserve">a quantitative strategies group within FIM, a move that was met with some resentment from </w:t>
      </w:r>
      <w:r w:rsidR="005712B1">
        <w:rPr>
          <w:lang w:val="en-GB"/>
        </w:rPr>
        <w:t>FIM’s</w:t>
      </w:r>
      <w:r w:rsidR="005712B1" w:rsidRPr="005C2A0F">
        <w:rPr>
          <w:lang w:val="en-GB"/>
        </w:rPr>
        <w:t xml:space="preserve"> </w:t>
      </w:r>
      <w:r w:rsidRPr="005C2A0F">
        <w:rPr>
          <w:lang w:val="en-GB"/>
        </w:rPr>
        <w:t>“old</w:t>
      </w:r>
      <w:r w:rsidR="005712B1">
        <w:rPr>
          <w:lang w:val="en-GB"/>
        </w:rPr>
        <w:t xml:space="preserve"> </w:t>
      </w:r>
      <w:r w:rsidRPr="005C2A0F">
        <w:rPr>
          <w:lang w:val="en-GB"/>
        </w:rPr>
        <w:t>guard</w:t>
      </w:r>
      <w:r w:rsidR="005712B1">
        <w:rPr>
          <w:lang w:val="en-GB"/>
        </w:rPr>
        <w:t>.</w:t>
      </w:r>
      <w:r w:rsidRPr="005C2A0F">
        <w:rPr>
          <w:lang w:val="en-GB"/>
        </w:rPr>
        <w:t>” The genesis of this “quant group” was the increased media attention and investor appetite for such products, combined with</w:t>
      </w:r>
      <w:r w:rsidR="00CA707C" w:rsidRPr="00CA707C">
        <w:rPr>
          <w:lang w:val="en-GB"/>
        </w:rPr>
        <w:t xml:space="preserve"> </w:t>
      </w:r>
      <w:r w:rsidR="00F3021E">
        <w:rPr>
          <w:lang w:val="en-GB"/>
        </w:rPr>
        <w:t>Megan</w:t>
      </w:r>
      <w:r w:rsidRPr="005C2A0F">
        <w:rPr>
          <w:lang w:val="en-GB"/>
        </w:rPr>
        <w:t xml:space="preserve">’s newly formed relationship with a fellow alumnus of MIT Sloan, Jake </w:t>
      </w:r>
      <w:proofErr w:type="spellStart"/>
      <w:r w:rsidRPr="005C2A0F">
        <w:rPr>
          <w:lang w:val="en-GB"/>
        </w:rPr>
        <w:t>Danforth</w:t>
      </w:r>
      <w:proofErr w:type="spellEnd"/>
      <w:r w:rsidRPr="005C2A0F">
        <w:rPr>
          <w:lang w:val="en-GB"/>
        </w:rPr>
        <w:t xml:space="preserve">. </w:t>
      </w:r>
    </w:p>
    <w:p w14:paraId="195360BC" w14:textId="77777777" w:rsidR="002D615C" w:rsidRPr="00AF5944" w:rsidRDefault="002D615C" w:rsidP="002D615C">
      <w:pPr>
        <w:pStyle w:val="BodyTextMain"/>
        <w:rPr>
          <w:sz w:val="18"/>
          <w:lang w:val="en-GB"/>
        </w:rPr>
      </w:pPr>
    </w:p>
    <w:p w14:paraId="2EB2C4F2" w14:textId="5225FE13" w:rsidR="002D615C" w:rsidRPr="005C2A0F" w:rsidRDefault="002D615C" w:rsidP="002D615C">
      <w:pPr>
        <w:pStyle w:val="BodyTextMain"/>
        <w:rPr>
          <w:lang w:val="en-GB"/>
        </w:rPr>
      </w:pPr>
      <w:proofErr w:type="spellStart"/>
      <w:r w:rsidRPr="005C2A0F">
        <w:rPr>
          <w:lang w:val="en-GB"/>
        </w:rPr>
        <w:t>Danforth</w:t>
      </w:r>
      <w:proofErr w:type="spellEnd"/>
      <w:r w:rsidRPr="005C2A0F">
        <w:rPr>
          <w:lang w:val="en-GB"/>
        </w:rPr>
        <w:t xml:space="preserve"> had an undergraduate degree from Tufts University in computer science and </w:t>
      </w:r>
      <w:r w:rsidR="008E7360">
        <w:rPr>
          <w:lang w:val="en-GB"/>
        </w:rPr>
        <w:t xml:space="preserve">had </w:t>
      </w:r>
      <w:r w:rsidRPr="005C2A0F">
        <w:rPr>
          <w:lang w:val="en-GB"/>
        </w:rPr>
        <w:t>graduated from MIT Sloan in 2010. Throughout business school</w:t>
      </w:r>
      <w:r w:rsidR="005712B1">
        <w:rPr>
          <w:lang w:val="en-GB"/>
        </w:rPr>
        <w:t>,</w:t>
      </w:r>
      <w:r w:rsidRPr="005C2A0F">
        <w:rPr>
          <w:lang w:val="en-GB"/>
        </w:rPr>
        <w:t xml:space="preserve"> </w:t>
      </w:r>
      <w:proofErr w:type="spellStart"/>
      <w:r w:rsidR="005712B1">
        <w:rPr>
          <w:lang w:val="en-GB"/>
        </w:rPr>
        <w:t>Danforth</w:t>
      </w:r>
      <w:proofErr w:type="spellEnd"/>
      <w:r w:rsidR="005712B1" w:rsidRPr="005C2A0F">
        <w:rPr>
          <w:lang w:val="en-GB"/>
        </w:rPr>
        <w:t xml:space="preserve"> </w:t>
      </w:r>
      <w:r w:rsidRPr="005C2A0F">
        <w:rPr>
          <w:lang w:val="en-GB"/>
        </w:rPr>
        <w:t xml:space="preserve">was focused on </w:t>
      </w:r>
      <w:r w:rsidR="005712B1">
        <w:rPr>
          <w:lang w:val="en-GB"/>
        </w:rPr>
        <w:t>two</w:t>
      </w:r>
      <w:r w:rsidR="005712B1" w:rsidRPr="005C2A0F">
        <w:rPr>
          <w:lang w:val="en-GB"/>
        </w:rPr>
        <w:t xml:space="preserve"> </w:t>
      </w:r>
      <w:r w:rsidRPr="005C2A0F">
        <w:rPr>
          <w:lang w:val="en-GB"/>
        </w:rPr>
        <w:t>things</w:t>
      </w:r>
      <w:r w:rsidR="005712B1">
        <w:rPr>
          <w:lang w:val="en-GB"/>
        </w:rPr>
        <w:t>:</w:t>
      </w:r>
      <w:r w:rsidRPr="005C2A0F">
        <w:rPr>
          <w:lang w:val="en-GB"/>
        </w:rPr>
        <w:t xml:space="preserve"> machine learning and ocean surfing. </w:t>
      </w:r>
      <w:proofErr w:type="spellStart"/>
      <w:r w:rsidR="005712B1">
        <w:rPr>
          <w:lang w:val="en-GB"/>
        </w:rPr>
        <w:t>Danforth</w:t>
      </w:r>
      <w:proofErr w:type="spellEnd"/>
      <w:r w:rsidRPr="005C2A0F">
        <w:rPr>
          <w:lang w:val="en-GB"/>
        </w:rPr>
        <w:t xml:space="preserve"> was tall with blond hair and a weak beard; he was an avid surfer, often travel</w:t>
      </w:r>
      <w:r w:rsidR="005712B1">
        <w:rPr>
          <w:lang w:val="en-GB"/>
        </w:rPr>
        <w:t>l</w:t>
      </w:r>
      <w:r w:rsidRPr="005C2A0F">
        <w:rPr>
          <w:lang w:val="en-GB"/>
        </w:rPr>
        <w:t>ing to Narragansett, Rhode Island</w:t>
      </w:r>
      <w:r w:rsidR="005712B1">
        <w:rPr>
          <w:lang w:val="en-GB"/>
        </w:rPr>
        <w:t>,</w:t>
      </w:r>
      <w:r w:rsidRPr="005C2A0F">
        <w:rPr>
          <w:lang w:val="en-GB"/>
        </w:rPr>
        <w:t xml:space="preserve"> to “catch </w:t>
      </w:r>
      <w:r w:rsidR="00CA5906">
        <w:rPr>
          <w:lang w:val="en-GB"/>
        </w:rPr>
        <w:t xml:space="preserve">the </w:t>
      </w:r>
      <w:r w:rsidRPr="005C2A0F">
        <w:rPr>
          <w:lang w:val="en-GB"/>
        </w:rPr>
        <w:t>waves” at 4</w:t>
      </w:r>
      <w:r w:rsidR="005712B1">
        <w:rPr>
          <w:lang w:val="en-GB"/>
        </w:rPr>
        <w:t xml:space="preserve"> a.m.</w:t>
      </w:r>
      <w:r w:rsidR="005712B1" w:rsidRPr="005C2A0F">
        <w:rPr>
          <w:lang w:val="en-GB"/>
        </w:rPr>
        <w:t xml:space="preserve"> </w:t>
      </w:r>
      <w:r w:rsidRPr="005C2A0F">
        <w:rPr>
          <w:lang w:val="en-GB"/>
        </w:rPr>
        <w:t>before classes start</w:t>
      </w:r>
      <w:r w:rsidR="005712B1">
        <w:rPr>
          <w:lang w:val="en-GB"/>
        </w:rPr>
        <w:t>ed</w:t>
      </w:r>
      <w:r w:rsidRPr="005C2A0F">
        <w:rPr>
          <w:lang w:val="en-GB"/>
        </w:rPr>
        <w:t xml:space="preserve">. After graduation from MIT Sloan, </w:t>
      </w:r>
      <w:proofErr w:type="spellStart"/>
      <w:r w:rsidR="005712B1">
        <w:rPr>
          <w:lang w:val="en-GB"/>
        </w:rPr>
        <w:t>Danforth</w:t>
      </w:r>
      <w:proofErr w:type="spellEnd"/>
      <w:r w:rsidRPr="005C2A0F">
        <w:rPr>
          <w:lang w:val="en-GB"/>
        </w:rPr>
        <w:t xml:space="preserve"> took a job at National Aeronautics and Space Administration (NASA) to work in </w:t>
      </w:r>
      <w:r w:rsidR="005712B1">
        <w:rPr>
          <w:lang w:val="en-GB"/>
        </w:rPr>
        <w:t>its</w:t>
      </w:r>
      <w:r w:rsidR="005712B1" w:rsidRPr="005C2A0F">
        <w:rPr>
          <w:lang w:val="en-GB"/>
        </w:rPr>
        <w:t xml:space="preserve"> </w:t>
      </w:r>
      <w:r w:rsidRPr="005C2A0F">
        <w:rPr>
          <w:lang w:val="en-GB"/>
        </w:rPr>
        <w:t xml:space="preserve">machine learning group. Shortly thereafter, however, he realized he could earn a lot more money in the world of equity investing, especially given </w:t>
      </w:r>
      <w:r w:rsidR="005712B1">
        <w:rPr>
          <w:lang w:val="en-GB"/>
        </w:rPr>
        <w:t>this field’s need</w:t>
      </w:r>
      <w:r w:rsidRPr="005C2A0F">
        <w:rPr>
          <w:lang w:val="en-GB"/>
        </w:rPr>
        <w:t xml:space="preserve"> for his skill</w:t>
      </w:r>
      <w:r w:rsidR="005712B1">
        <w:rPr>
          <w:lang w:val="en-GB"/>
        </w:rPr>
        <w:t xml:space="preserve"> </w:t>
      </w:r>
      <w:r w:rsidRPr="005C2A0F">
        <w:rPr>
          <w:lang w:val="en-GB"/>
        </w:rPr>
        <w:t xml:space="preserve">set. </w:t>
      </w:r>
    </w:p>
    <w:p w14:paraId="1B3A37AE" w14:textId="77777777" w:rsidR="002D615C" w:rsidRPr="00AF5944" w:rsidRDefault="002D615C" w:rsidP="002D615C">
      <w:pPr>
        <w:pStyle w:val="BodyTextMain"/>
        <w:rPr>
          <w:sz w:val="18"/>
          <w:lang w:val="en-GB"/>
        </w:rPr>
      </w:pPr>
    </w:p>
    <w:p w14:paraId="2376D7CB" w14:textId="5389BCCE" w:rsidR="002D615C" w:rsidRPr="005C2A0F" w:rsidRDefault="002D615C" w:rsidP="002D615C">
      <w:pPr>
        <w:pStyle w:val="BodyTextMain"/>
        <w:rPr>
          <w:lang w:val="en-GB"/>
        </w:rPr>
      </w:pPr>
      <w:r w:rsidRPr="005C2A0F">
        <w:rPr>
          <w:lang w:val="en-GB"/>
        </w:rPr>
        <w:t xml:space="preserve">In 2013, after being introduced by a professor at MIT Sloan, </w:t>
      </w:r>
      <w:r w:rsidR="00F3021E">
        <w:rPr>
          <w:lang w:val="en-GB"/>
        </w:rPr>
        <w:t>Megan</w:t>
      </w:r>
      <w:r w:rsidR="00F3021E" w:rsidRPr="005C2A0F">
        <w:rPr>
          <w:lang w:val="en-GB"/>
        </w:rPr>
        <w:t xml:space="preserve"> </w:t>
      </w:r>
      <w:r w:rsidRPr="005C2A0F">
        <w:rPr>
          <w:lang w:val="en-GB"/>
        </w:rPr>
        <w:t xml:space="preserve">and </w:t>
      </w:r>
      <w:proofErr w:type="spellStart"/>
      <w:r w:rsidR="005712B1">
        <w:rPr>
          <w:lang w:val="en-GB"/>
        </w:rPr>
        <w:t>Danforth</w:t>
      </w:r>
      <w:proofErr w:type="spellEnd"/>
      <w:r w:rsidRPr="005C2A0F">
        <w:rPr>
          <w:lang w:val="en-GB"/>
        </w:rPr>
        <w:t xml:space="preserve"> met for lunch at </w:t>
      </w:r>
      <w:proofErr w:type="spellStart"/>
      <w:r w:rsidRPr="005C2A0F">
        <w:rPr>
          <w:lang w:val="en-GB"/>
        </w:rPr>
        <w:t>Lavo</w:t>
      </w:r>
      <w:proofErr w:type="spellEnd"/>
      <w:r w:rsidRPr="005C2A0F">
        <w:rPr>
          <w:lang w:val="en-GB"/>
        </w:rPr>
        <w:t xml:space="preserve"> in New York City. Although </w:t>
      </w:r>
      <w:proofErr w:type="spellStart"/>
      <w:r w:rsidR="005712B1">
        <w:rPr>
          <w:lang w:val="en-GB"/>
        </w:rPr>
        <w:t>Danforth</w:t>
      </w:r>
      <w:proofErr w:type="spellEnd"/>
      <w:r w:rsidRPr="005C2A0F">
        <w:rPr>
          <w:lang w:val="en-GB"/>
        </w:rPr>
        <w:t xml:space="preserve"> was still at NASA, he was interested in making a move to equity investing</w:t>
      </w:r>
      <w:r w:rsidR="005712B1">
        <w:rPr>
          <w:lang w:val="en-GB"/>
        </w:rPr>
        <w:t>,</w:t>
      </w:r>
      <w:r w:rsidRPr="005C2A0F">
        <w:rPr>
          <w:lang w:val="en-GB"/>
        </w:rPr>
        <w:t xml:space="preserve"> where he could use his technical skills </w:t>
      </w:r>
      <w:r w:rsidR="008E7360">
        <w:rPr>
          <w:lang w:val="en-GB"/>
        </w:rPr>
        <w:t>to</w:t>
      </w:r>
      <w:r w:rsidR="008E7360" w:rsidRPr="005C2A0F">
        <w:rPr>
          <w:lang w:val="en-GB"/>
        </w:rPr>
        <w:t xml:space="preserve"> </w:t>
      </w:r>
      <w:r w:rsidRPr="005C2A0F">
        <w:rPr>
          <w:lang w:val="en-GB"/>
        </w:rPr>
        <w:t xml:space="preserve">predict patterns in stock prices. </w:t>
      </w:r>
      <w:r w:rsidR="00F3021E">
        <w:rPr>
          <w:lang w:val="en-GB"/>
        </w:rPr>
        <w:t>Megan</w:t>
      </w:r>
      <w:r w:rsidR="00F3021E" w:rsidRPr="005C2A0F">
        <w:rPr>
          <w:lang w:val="en-GB"/>
        </w:rPr>
        <w:t xml:space="preserve"> </w:t>
      </w:r>
      <w:r w:rsidRPr="005C2A0F">
        <w:rPr>
          <w:lang w:val="en-GB"/>
        </w:rPr>
        <w:t xml:space="preserve">explained to </w:t>
      </w:r>
      <w:proofErr w:type="spellStart"/>
      <w:r w:rsidR="005712B1">
        <w:rPr>
          <w:lang w:val="en-GB"/>
        </w:rPr>
        <w:t>Danforth</w:t>
      </w:r>
      <w:proofErr w:type="spellEnd"/>
      <w:r w:rsidRPr="005C2A0F">
        <w:rPr>
          <w:lang w:val="en-GB"/>
        </w:rPr>
        <w:t xml:space="preserve"> her ambition to start a quantitative equity investing group at FIM. She also wanted to know </w:t>
      </w:r>
      <w:r w:rsidR="005712B1">
        <w:rPr>
          <w:lang w:val="en-GB"/>
        </w:rPr>
        <w:t>whether</w:t>
      </w:r>
      <w:r w:rsidR="005712B1" w:rsidRPr="005C2A0F">
        <w:rPr>
          <w:lang w:val="en-GB"/>
        </w:rPr>
        <w:t xml:space="preserve"> </w:t>
      </w:r>
      <w:r w:rsidRPr="005C2A0F">
        <w:rPr>
          <w:lang w:val="en-GB"/>
        </w:rPr>
        <w:t xml:space="preserve">he </w:t>
      </w:r>
      <w:r w:rsidR="008E7360">
        <w:rPr>
          <w:lang w:val="en-GB"/>
        </w:rPr>
        <w:t>could recommend</w:t>
      </w:r>
      <w:r w:rsidR="008E7360" w:rsidRPr="005C2A0F">
        <w:rPr>
          <w:lang w:val="en-GB"/>
        </w:rPr>
        <w:t xml:space="preserve"> </w:t>
      </w:r>
      <w:r w:rsidRPr="005C2A0F">
        <w:rPr>
          <w:lang w:val="en-GB"/>
        </w:rPr>
        <w:t xml:space="preserve">any </w:t>
      </w:r>
      <w:r w:rsidR="008E7360">
        <w:rPr>
          <w:lang w:val="en-GB"/>
        </w:rPr>
        <w:t xml:space="preserve">former </w:t>
      </w:r>
      <w:r w:rsidRPr="005C2A0F">
        <w:rPr>
          <w:lang w:val="en-GB"/>
        </w:rPr>
        <w:t xml:space="preserve">classmates to help spearhead the group. </w:t>
      </w:r>
      <w:proofErr w:type="spellStart"/>
      <w:r w:rsidR="005712B1">
        <w:rPr>
          <w:lang w:val="en-GB"/>
        </w:rPr>
        <w:t>Danforth</w:t>
      </w:r>
      <w:proofErr w:type="spellEnd"/>
      <w:r w:rsidRPr="005C2A0F">
        <w:rPr>
          <w:lang w:val="en-GB"/>
        </w:rPr>
        <w:t xml:space="preserve"> responded:</w:t>
      </w:r>
    </w:p>
    <w:p w14:paraId="21414876" w14:textId="77777777" w:rsidR="002D615C" w:rsidRPr="00AF5944" w:rsidRDefault="002D615C" w:rsidP="002D615C">
      <w:pPr>
        <w:pStyle w:val="BodyTextMain"/>
        <w:rPr>
          <w:sz w:val="18"/>
          <w:lang w:val="en-GB"/>
        </w:rPr>
      </w:pPr>
    </w:p>
    <w:p w14:paraId="608595CE" w14:textId="1F00A9C7" w:rsidR="002D615C" w:rsidRPr="005C2A0F" w:rsidRDefault="002D615C" w:rsidP="006B00B4">
      <w:pPr>
        <w:pStyle w:val="BodyTextMain"/>
        <w:ind w:left="720"/>
        <w:rPr>
          <w:lang w:val="en-GB"/>
        </w:rPr>
      </w:pPr>
      <w:r w:rsidRPr="005C2A0F">
        <w:rPr>
          <w:lang w:val="en-GB"/>
        </w:rPr>
        <w:t>I think that’s a great idea, especially given the rise of attention in quant investing. I am hoping to leave NASA soon to join a fund where I can focus on machine learning as it relates to equity investing. I actually have an idea for a very specific small-cap ($500</w:t>
      </w:r>
      <w:r w:rsidR="005712B1">
        <w:rPr>
          <w:lang w:val="en-GB"/>
        </w:rPr>
        <w:t xml:space="preserve"> </w:t>
      </w:r>
      <w:r w:rsidRPr="005C2A0F">
        <w:rPr>
          <w:lang w:val="en-GB"/>
        </w:rPr>
        <w:t>m</w:t>
      </w:r>
      <w:r w:rsidR="005712B1">
        <w:rPr>
          <w:lang w:val="en-GB"/>
        </w:rPr>
        <w:t>illion–</w:t>
      </w:r>
      <w:r w:rsidRPr="005C2A0F">
        <w:rPr>
          <w:lang w:val="en-GB"/>
        </w:rPr>
        <w:t>$2</w:t>
      </w:r>
      <w:r w:rsidR="005712B1">
        <w:rPr>
          <w:lang w:val="en-GB"/>
        </w:rPr>
        <w:t xml:space="preserve"> </w:t>
      </w:r>
      <w:r w:rsidRPr="005C2A0F">
        <w:rPr>
          <w:lang w:val="en-GB"/>
        </w:rPr>
        <w:t>b</w:t>
      </w:r>
      <w:r w:rsidR="005712B1">
        <w:rPr>
          <w:lang w:val="en-GB"/>
        </w:rPr>
        <w:t>illion</w:t>
      </w:r>
      <w:r w:rsidRPr="005C2A0F">
        <w:rPr>
          <w:lang w:val="en-GB"/>
        </w:rPr>
        <w:t xml:space="preserve"> market cap</w:t>
      </w:r>
      <w:r w:rsidR="005712B1">
        <w:rPr>
          <w:lang w:val="en-GB"/>
        </w:rPr>
        <w:t>italization</w:t>
      </w:r>
      <w:r w:rsidRPr="005C2A0F">
        <w:rPr>
          <w:lang w:val="en-GB"/>
        </w:rPr>
        <w:t>) strategy that I think will be profitable and scalable given the proliferation of non-traditional data sources in the equity markets. I’d love to tell you more about it and maybe this could be a good fit for both of us.</w:t>
      </w:r>
    </w:p>
    <w:p w14:paraId="7FD0EFDA" w14:textId="77777777" w:rsidR="002D615C" w:rsidRPr="00AF5944" w:rsidRDefault="002D615C" w:rsidP="002D615C">
      <w:pPr>
        <w:pStyle w:val="BodyTextMain"/>
        <w:rPr>
          <w:sz w:val="18"/>
          <w:lang w:val="en-GB"/>
        </w:rPr>
      </w:pPr>
    </w:p>
    <w:p w14:paraId="0D8E6D3E" w14:textId="661D00ED" w:rsidR="002D615C" w:rsidRPr="005C2A0F" w:rsidRDefault="005712B1" w:rsidP="002D615C">
      <w:pPr>
        <w:pStyle w:val="BodyTextMain"/>
        <w:rPr>
          <w:lang w:val="en-GB"/>
        </w:rPr>
      </w:pPr>
      <w:proofErr w:type="spellStart"/>
      <w:r>
        <w:rPr>
          <w:lang w:val="en-GB"/>
        </w:rPr>
        <w:t>Danforth</w:t>
      </w:r>
      <w:proofErr w:type="spellEnd"/>
      <w:r w:rsidR="002D615C" w:rsidRPr="005C2A0F">
        <w:rPr>
          <w:lang w:val="en-GB"/>
        </w:rPr>
        <w:t xml:space="preserve"> continued to explain his idea for this strategy. By the time </w:t>
      </w:r>
      <w:proofErr w:type="spellStart"/>
      <w:r w:rsidR="002D615C" w:rsidRPr="005C2A0F">
        <w:rPr>
          <w:lang w:val="en-GB"/>
        </w:rPr>
        <w:t>Lavo’s</w:t>
      </w:r>
      <w:proofErr w:type="spellEnd"/>
      <w:r w:rsidR="002D615C" w:rsidRPr="005C2A0F">
        <w:rPr>
          <w:lang w:val="en-GB"/>
        </w:rPr>
        <w:t xml:space="preserve"> famous fried Oreos </w:t>
      </w:r>
      <w:r>
        <w:rPr>
          <w:lang w:val="en-GB"/>
        </w:rPr>
        <w:t>arrived at</w:t>
      </w:r>
      <w:r w:rsidR="002D615C" w:rsidRPr="005C2A0F">
        <w:rPr>
          <w:lang w:val="en-GB"/>
        </w:rPr>
        <w:t xml:space="preserve"> their table for des</w:t>
      </w:r>
      <w:r>
        <w:rPr>
          <w:lang w:val="en-GB"/>
        </w:rPr>
        <w:t>s</w:t>
      </w:r>
      <w:r w:rsidR="002D615C" w:rsidRPr="005C2A0F">
        <w:rPr>
          <w:lang w:val="en-GB"/>
        </w:rPr>
        <w:t xml:space="preserve">ert, </w:t>
      </w:r>
      <w:r w:rsidR="00F3021E">
        <w:rPr>
          <w:lang w:val="en-GB"/>
        </w:rPr>
        <w:t>Megan</w:t>
      </w:r>
      <w:r w:rsidR="002D615C" w:rsidRPr="005C2A0F">
        <w:rPr>
          <w:lang w:val="en-GB"/>
        </w:rPr>
        <w:t xml:space="preserve"> and </w:t>
      </w:r>
      <w:proofErr w:type="spellStart"/>
      <w:r>
        <w:rPr>
          <w:lang w:val="en-GB"/>
        </w:rPr>
        <w:t>Danforth</w:t>
      </w:r>
      <w:proofErr w:type="spellEnd"/>
      <w:r w:rsidR="002D615C" w:rsidRPr="005C2A0F">
        <w:rPr>
          <w:lang w:val="en-GB"/>
        </w:rPr>
        <w:t xml:space="preserve"> had shaken hands</w:t>
      </w:r>
      <w:r>
        <w:rPr>
          <w:lang w:val="en-GB"/>
        </w:rPr>
        <w:t>,</w:t>
      </w:r>
      <w:r w:rsidR="002D615C" w:rsidRPr="005C2A0F">
        <w:rPr>
          <w:lang w:val="en-GB"/>
        </w:rPr>
        <w:t xml:space="preserve"> and FIM’s quantitative strategies group was born. </w:t>
      </w:r>
      <w:proofErr w:type="spellStart"/>
      <w:r>
        <w:rPr>
          <w:lang w:val="en-GB"/>
        </w:rPr>
        <w:t>Danforth</w:t>
      </w:r>
      <w:proofErr w:type="spellEnd"/>
      <w:r w:rsidR="002D615C" w:rsidRPr="005C2A0F">
        <w:rPr>
          <w:lang w:val="en-GB"/>
        </w:rPr>
        <w:t xml:space="preserve"> officially joined FIM in the summer of 2014 and began incubating the strategy.</w:t>
      </w:r>
    </w:p>
    <w:p w14:paraId="2C019E7E" w14:textId="20BD2677" w:rsidR="002D615C" w:rsidRPr="00AF5944" w:rsidRDefault="002D615C" w:rsidP="002D615C">
      <w:pPr>
        <w:pStyle w:val="BodyTextMain"/>
        <w:rPr>
          <w:sz w:val="16"/>
          <w:lang w:val="en-GB"/>
        </w:rPr>
      </w:pPr>
    </w:p>
    <w:p w14:paraId="13795642" w14:textId="77777777" w:rsidR="002D615C" w:rsidRPr="00AF5944" w:rsidRDefault="002D615C" w:rsidP="002D615C">
      <w:pPr>
        <w:pStyle w:val="BodyTextMain"/>
        <w:rPr>
          <w:sz w:val="16"/>
          <w:lang w:val="en-GB"/>
        </w:rPr>
      </w:pPr>
    </w:p>
    <w:p w14:paraId="552A1FBD" w14:textId="77777777" w:rsidR="002D615C" w:rsidRPr="005C2A0F" w:rsidRDefault="002D615C" w:rsidP="00971CFD">
      <w:pPr>
        <w:pStyle w:val="Casehead1"/>
        <w:keepNext/>
        <w:rPr>
          <w:lang w:val="en-GB"/>
        </w:rPr>
      </w:pPr>
      <w:r w:rsidRPr="005C2A0F">
        <w:rPr>
          <w:lang w:val="en-GB"/>
        </w:rPr>
        <w:t>FIM’s New Long/Short Strategy</w:t>
      </w:r>
    </w:p>
    <w:p w14:paraId="4C1078F1" w14:textId="77777777" w:rsidR="002D615C" w:rsidRPr="00AF5944" w:rsidRDefault="002D615C" w:rsidP="00971CFD">
      <w:pPr>
        <w:pStyle w:val="BodyTextMain"/>
        <w:keepNext/>
        <w:rPr>
          <w:sz w:val="18"/>
          <w:lang w:val="en-GB"/>
        </w:rPr>
      </w:pPr>
    </w:p>
    <w:p w14:paraId="2EFC82E1" w14:textId="1D0BB0CF" w:rsidR="002D615C" w:rsidRPr="005C2A0F" w:rsidRDefault="005712B1" w:rsidP="00971CFD">
      <w:pPr>
        <w:pStyle w:val="BodyTextMain"/>
        <w:keepNext/>
        <w:rPr>
          <w:lang w:val="en-GB"/>
        </w:rPr>
      </w:pPr>
      <w:proofErr w:type="spellStart"/>
      <w:r>
        <w:rPr>
          <w:lang w:val="en-GB"/>
        </w:rPr>
        <w:t>Danforth</w:t>
      </w:r>
      <w:r w:rsidR="002D615C" w:rsidRPr="005C2A0F">
        <w:rPr>
          <w:lang w:val="en-GB"/>
        </w:rPr>
        <w:t>’s</w:t>
      </w:r>
      <w:proofErr w:type="spellEnd"/>
      <w:r w:rsidR="002D615C" w:rsidRPr="005C2A0F">
        <w:rPr>
          <w:lang w:val="en-GB"/>
        </w:rPr>
        <w:t xml:space="preserve"> strategy was based on web scraping, which essentially meant using “big data” to derive patterns and trends. The strategy would scrape the web, including investing blogs, television transcripts</w:t>
      </w:r>
      <w:r>
        <w:rPr>
          <w:lang w:val="en-GB"/>
        </w:rPr>
        <w:t>,</w:t>
      </w:r>
      <w:r w:rsidR="002D615C" w:rsidRPr="005C2A0F">
        <w:rPr>
          <w:lang w:val="en-GB"/>
        </w:rPr>
        <w:t xml:space="preserve"> and social media (</w:t>
      </w:r>
      <w:r>
        <w:rPr>
          <w:lang w:val="en-GB"/>
        </w:rPr>
        <w:t xml:space="preserve">e.g., </w:t>
      </w:r>
      <w:r w:rsidR="002D615C" w:rsidRPr="005C2A0F">
        <w:rPr>
          <w:lang w:val="en-GB"/>
        </w:rPr>
        <w:t xml:space="preserve">Twitter, Instagram, </w:t>
      </w:r>
      <w:r>
        <w:rPr>
          <w:lang w:val="en-GB"/>
        </w:rPr>
        <w:t xml:space="preserve">and </w:t>
      </w:r>
      <w:proofErr w:type="spellStart"/>
      <w:r w:rsidR="002D615C" w:rsidRPr="005C2A0F">
        <w:rPr>
          <w:lang w:val="en-GB"/>
        </w:rPr>
        <w:t>Reddit</w:t>
      </w:r>
      <w:proofErr w:type="spellEnd"/>
      <w:r w:rsidR="002D615C" w:rsidRPr="005C2A0F">
        <w:rPr>
          <w:lang w:val="en-GB"/>
        </w:rPr>
        <w:t xml:space="preserve">) to </w:t>
      </w:r>
      <w:proofErr w:type="spellStart"/>
      <w:r w:rsidR="002D615C" w:rsidRPr="005C2A0F">
        <w:rPr>
          <w:lang w:val="en-GB"/>
        </w:rPr>
        <w:t>analyze</w:t>
      </w:r>
      <w:proofErr w:type="spellEnd"/>
      <w:r w:rsidR="002D615C" w:rsidRPr="005C2A0F">
        <w:rPr>
          <w:lang w:val="en-GB"/>
        </w:rPr>
        <w:t xml:space="preserve"> consumer trends and glean information that would </w:t>
      </w:r>
      <w:r w:rsidR="002D615C" w:rsidRPr="005C2A0F">
        <w:rPr>
          <w:lang w:val="en-GB"/>
        </w:rPr>
        <w:lastRenderedPageBreak/>
        <w:t xml:space="preserve">guide the strategy to execute trading decisions. Through the use of this non-traditional data source, </w:t>
      </w:r>
      <w:proofErr w:type="spellStart"/>
      <w:r>
        <w:rPr>
          <w:lang w:val="en-GB"/>
        </w:rPr>
        <w:t>Danforth</w:t>
      </w:r>
      <w:r w:rsidR="002D615C" w:rsidRPr="005C2A0F">
        <w:rPr>
          <w:lang w:val="en-GB"/>
        </w:rPr>
        <w:t>’s</w:t>
      </w:r>
      <w:proofErr w:type="spellEnd"/>
      <w:r w:rsidR="002D615C" w:rsidRPr="005C2A0F">
        <w:rPr>
          <w:lang w:val="en-GB"/>
        </w:rPr>
        <w:t xml:space="preserve"> strategy could detect brand deterioration or appreciation, new product excitement</w:t>
      </w:r>
      <w:r>
        <w:rPr>
          <w:lang w:val="en-GB"/>
        </w:rPr>
        <w:t xml:space="preserve"> and </w:t>
      </w:r>
      <w:r w:rsidR="002D615C" w:rsidRPr="005C2A0F">
        <w:rPr>
          <w:lang w:val="en-GB"/>
        </w:rPr>
        <w:t>adoption</w:t>
      </w:r>
      <w:r>
        <w:rPr>
          <w:lang w:val="en-GB"/>
        </w:rPr>
        <w:t>,</w:t>
      </w:r>
      <w:r w:rsidR="002D615C" w:rsidRPr="005C2A0F">
        <w:rPr>
          <w:lang w:val="en-GB"/>
        </w:rPr>
        <w:t xml:space="preserve"> and consumer</w:t>
      </w:r>
      <w:r>
        <w:rPr>
          <w:lang w:val="en-GB"/>
        </w:rPr>
        <w:t>s’</w:t>
      </w:r>
      <w:r w:rsidR="002D615C" w:rsidRPr="005C2A0F">
        <w:rPr>
          <w:lang w:val="en-GB"/>
        </w:rPr>
        <w:t xml:space="preserve"> sentiment</w:t>
      </w:r>
      <w:r>
        <w:rPr>
          <w:lang w:val="en-GB"/>
        </w:rPr>
        <w:t>s</w:t>
      </w:r>
      <w:r w:rsidR="002D615C" w:rsidRPr="005C2A0F">
        <w:rPr>
          <w:lang w:val="en-GB"/>
        </w:rPr>
        <w:t xml:space="preserve"> toward specific companies. Using this information, along with other more traditional quantitative investing techniques, </w:t>
      </w:r>
      <w:proofErr w:type="spellStart"/>
      <w:r>
        <w:rPr>
          <w:lang w:val="en-GB"/>
        </w:rPr>
        <w:t>Danforth</w:t>
      </w:r>
      <w:r w:rsidR="002D615C" w:rsidRPr="005C2A0F">
        <w:rPr>
          <w:lang w:val="en-GB"/>
        </w:rPr>
        <w:t>’s</w:t>
      </w:r>
      <w:proofErr w:type="spellEnd"/>
      <w:r w:rsidR="002D615C" w:rsidRPr="005C2A0F">
        <w:rPr>
          <w:lang w:val="en-GB"/>
        </w:rPr>
        <w:t xml:space="preserve"> strategy would buy or short</w:t>
      </w:r>
      <w:r>
        <w:rPr>
          <w:lang w:val="en-GB"/>
        </w:rPr>
        <w:t>-</w:t>
      </w:r>
      <w:r w:rsidR="002D615C" w:rsidRPr="005C2A0F">
        <w:rPr>
          <w:lang w:val="en-GB"/>
        </w:rPr>
        <w:t xml:space="preserve">sell the stocks in the market in </w:t>
      </w:r>
      <w:r w:rsidR="00EB7EB8">
        <w:rPr>
          <w:lang w:val="en-GB"/>
        </w:rPr>
        <w:t>expect</w:t>
      </w:r>
      <w:r w:rsidR="00EB7EB8" w:rsidRPr="005C2A0F">
        <w:rPr>
          <w:lang w:val="en-GB"/>
        </w:rPr>
        <w:t xml:space="preserve">ation </w:t>
      </w:r>
      <w:r w:rsidR="002D615C" w:rsidRPr="005C2A0F">
        <w:rPr>
          <w:lang w:val="en-GB"/>
        </w:rPr>
        <w:t>of better</w:t>
      </w:r>
      <w:r w:rsidR="00EB7EB8">
        <w:rPr>
          <w:lang w:val="en-GB"/>
        </w:rPr>
        <w:t>-</w:t>
      </w:r>
      <w:r w:rsidR="002D615C" w:rsidRPr="005C2A0F">
        <w:rPr>
          <w:lang w:val="en-GB"/>
        </w:rPr>
        <w:t>than</w:t>
      </w:r>
      <w:r w:rsidR="00EB7EB8">
        <w:rPr>
          <w:lang w:val="en-GB"/>
        </w:rPr>
        <w:t>-</w:t>
      </w:r>
      <w:r w:rsidR="002D615C" w:rsidRPr="005C2A0F">
        <w:rPr>
          <w:lang w:val="en-GB"/>
        </w:rPr>
        <w:t xml:space="preserve">anticipated earnings announcements or revisions in company guidance. Furthermore, his strategy employed machine learning to </w:t>
      </w:r>
      <w:r w:rsidR="00EB7EB8">
        <w:rPr>
          <w:lang w:val="en-GB"/>
        </w:rPr>
        <w:t>apply</w:t>
      </w:r>
      <w:r w:rsidR="00EB7EB8" w:rsidRPr="005C2A0F">
        <w:rPr>
          <w:lang w:val="en-GB"/>
        </w:rPr>
        <w:t xml:space="preserve"> </w:t>
      </w:r>
      <w:r w:rsidR="002D615C" w:rsidRPr="005C2A0F">
        <w:rPr>
          <w:lang w:val="en-GB"/>
        </w:rPr>
        <w:t>different weightings on the various sources of data based on their reputation and reliability of content.</w:t>
      </w:r>
    </w:p>
    <w:p w14:paraId="2835B699" w14:textId="6271BC14" w:rsidR="002D615C" w:rsidRPr="002A45A5" w:rsidRDefault="002D615C" w:rsidP="002D615C">
      <w:pPr>
        <w:pStyle w:val="BodyTextMain"/>
        <w:rPr>
          <w:sz w:val="18"/>
          <w:lang w:val="en-GB"/>
        </w:rPr>
      </w:pPr>
    </w:p>
    <w:p w14:paraId="2FAAE2A6" w14:textId="01B978FD" w:rsidR="002D615C" w:rsidRPr="005C2A0F" w:rsidRDefault="002D615C" w:rsidP="002D615C">
      <w:pPr>
        <w:pStyle w:val="BodyTextMain"/>
        <w:rPr>
          <w:lang w:val="en-GB"/>
        </w:rPr>
      </w:pPr>
      <w:r w:rsidRPr="005C2A0F">
        <w:rPr>
          <w:lang w:val="en-GB"/>
        </w:rPr>
        <w:t xml:space="preserve">For example, the strategy might scrape a </w:t>
      </w:r>
      <w:proofErr w:type="spellStart"/>
      <w:r w:rsidRPr="005C2A0F">
        <w:rPr>
          <w:lang w:val="en-GB"/>
        </w:rPr>
        <w:t>Reddit</w:t>
      </w:r>
      <w:proofErr w:type="spellEnd"/>
      <w:r w:rsidRPr="005C2A0F">
        <w:rPr>
          <w:lang w:val="en-GB"/>
        </w:rPr>
        <w:t xml:space="preserve"> video</w:t>
      </w:r>
      <w:r w:rsidR="00CA5906">
        <w:rPr>
          <w:lang w:val="en-GB"/>
        </w:rPr>
        <w:t>-</w:t>
      </w:r>
      <w:r w:rsidRPr="005C2A0F">
        <w:rPr>
          <w:lang w:val="en-GB"/>
        </w:rPr>
        <w:t>gaming blog looking for sentiment</w:t>
      </w:r>
      <w:r w:rsidR="00EB7EB8">
        <w:rPr>
          <w:lang w:val="en-GB"/>
        </w:rPr>
        <w:t>s</w:t>
      </w:r>
      <w:r w:rsidRPr="005C2A0F">
        <w:rPr>
          <w:lang w:val="en-GB"/>
        </w:rPr>
        <w:t xml:space="preserve"> regarding Take</w:t>
      </w:r>
      <w:r w:rsidR="00EB7EB8">
        <w:rPr>
          <w:lang w:val="en-GB"/>
        </w:rPr>
        <w:t>-</w:t>
      </w:r>
      <w:r w:rsidRPr="005C2A0F">
        <w:rPr>
          <w:lang w:val="en-GB"/>
        </w:rPr>
        <w:t>Two</w:t>
      </w:r>
      <w:r w:rsidR="00EB7EB8">
        <w:rPr>
          <w:lang w:val="en-GB"/>
        </w:rPr>
        <w:t xml:space="preserve"> Interactive Software, Inc.</w:t>
      </w:r>
      <w:r w:rsidRPr="005C2A0F">
        <w:rPr>
          <w:lang w:val="en-GB"/>
        </w:rPr>
        <w:t>’s (</w:t>
      </w:r>
      <w:r w:rsidR="00B9536E">
        <w:rPr>
          <w:lang w:val="en-GB"/>
        </w:rPr>
        <w:t>t</w:t>
      </w:r>
      <w:r w:rsidRPr="005C2A0F">
        <w:rPr>
          <w:lang w:val="en-GB"/>
        </w:rPr>
        <w:t>icker</w:t>
      </w:r>
      <w:r w:rsidR="00603C86">
        <w:rPr>
          <w:lang w:val="en-GB"/>
        </w:rPr>
        <w:t xml:space="preserve"> </w:t>
      </w:r>
      <w:r w:rsidR="00B9536E">
        <w:rPr>
          <w:lang w:val="en-GB"/>
        </w:rPr>
        <w:t>symbol</w:t>
      </w:r>
      <w:r w:rsidRPr="005C2A0F">
        <w:rPr>
          <w:lang w:val="en-GB"/>
        </w:rPr>
        <w:t xml:space="preserve">: TTWO) new video game release, NBA 2K19. If the model picked up highly weighted contributors </w:t>
      </w:r>
      <w:r w:rsidR="00EB7EB8">
        <w:rPr>
          <w:lang w:val="en-GB"/>
        </w:rPr>
        <w:t xml:space="preserve">expressing </w:t>
      </w:r>
      <w:r w:rsidR="00EB7EB8" w:rsidRPr="005C2A0F">
        <w:rPr>
          <w:lang w:val="en-GB"/>
        </w:rPr>
        <w:t>better</w:t>
      </w:r>
      <w:r w:rsidR="00EB7EB8">
        <w:rPr>
          <w:lang w:val="en-GB"/>
        </w:rPr>
        <w:t>-</w:t>
      </w:r>
      <w:r w:rsidR="00EB7EB8" w:rsidRPr="005C2A0F">
        <w:rPr>
          <w:lang w:val="en-GB"/>
        </w:rPr>
        <w:t>than</w:t>
      </w:r>
      <w:r w:rsidR="00EB7EB8">
        <w:rPr>
          <w:lang w:val="en-GB"/>
        </w:rPr>
        <w:t>-</w:t>
      </w:r>
      <w:r w:rsidR="00EB7EB8" w:rsidRPr="005C2A0F">
        <w:rPr>
          <w:lang w:val="en-GB"/>
        </w:rPr>
        <w:t>anticipated sentiment</w:t>
      </w:r>
      <w:r w:rsidR="00CA5906">
        <w:rPr>
          <w:lang w:val="en-GB"/>
        </w:rPr>
        <w:t>s</w:t>
      </w:r>
      <w:r w:rsidR="00EB7EB8" w:rsidRPr="005C2A0F">
        <w:rPr>
          <w:lang w:val="en-GB"/>
        </w:rPr>
        <w:t xml:space="preserve"> (using pr</w:t>
      </w:r>
      <w:r w:rsidR="00CA5906">
        <w:rPr>
          <w:lang w:val="en-GB"/>
        </w:rPr>
        <w:t>evious</w:t>
      </w:r>
      <w:r w:rsidR="00EB7EB8" w:rsidRPr="005C2A0F">
        <w:rPr>
          <w:lang w:val="en-GB"/>
        </w:rPr>
        <w:t xml:space="preserve"> version releases as a proxy) </w:t>
      </w:r>
      <w:r w:rsidR="00EB7EB8">
        <w:rPr>
          <w:lang w:val="en-GB"/>
        </w:rPr>
        <w:t xml:space="preserve">regarding </w:t>
      </w:r>
      <w:r w:rsidRPr="005C2A0F">
        <w:rPr>
          <w:lang w:val="en-GB"/>
        </w:rPr>
        <w:t>the adoption</w:t>
      </w:r>
      <w:r w:rsidR="00EB7EB8">
        <w:rPr>
          <w:lang w:val="en-GB"/>
        </w:rPr>
        <w:t xml:space="preserve"> and </w:t>
      </w:r>
      <w:r w:rsidRPr="005C2A0F">
        <w:rPr>
          <w:lang w:val="en-GB"/>
        </w:rPr>
        <w:t xml:space="preserve">excitement of the new game, and other technical factors </w:t>
      </w:r>
      <w:r w:rsidR="00EB7EB8">
        <w:rPr>
          <w:lang w:val="en-GB"/>
        </w:rPr>
        <w:t>also supported the</w:t>
      </w:r>
      <w:r w:rsidRPr="005C2A0F">
        <w:rPr>
          <w:lang w:val="en-GB"/>
        </w:rPr>
        <w:t xml:space="preserve"> attractive</w:t>
      </w:r>
      <w:r w:rsidR="00EB7EB8">
        <w:rPr>
          <w:lang w:val="en-GB"/>
        </w:rPr>
        <w:t>ness of the stock</w:t>
      </w:r>
      <w:r w:rsidRPr="005C2A0F">
        <w:rPr>
          <w:lang w:val="en-GB"/>
        </w:rPr>
        <w:t xml:space="preserve">, the strategy would buy TTWO’s stock. </w:t>
      </w:r>
    </w:p>
    <w:p w14:paraId="49C5D6B1" w14:textId="77777777" w:rsidR="002D615C" w:rsidRPr="002A45A5" w:rsidRDefault="002D615C" w:rsidP="002D615C">
      <w:pPr>
        <w:pStyle w:val="BodyTextMain"/>
        <w:rPr>
          <w:sz w:val="18"/>
          <w:lang w:val="en-GB"/>
        </w:rPr>
      </w:pPr>
    </w:p>
    <w:p w14:paraId="45CA1CB7" w14:textId="7092BA26" w:rsidR="002D615C" w:rsidRPr="005C2A0F" w:rsidRDefault="002D615C" w:rsidP="002D615C">
      <w:pPr>
        <w:pStyle w:val="BodyTextMain"/>
        <w:rPr>
          <w:lang w:val="en-GB"/>
        </w:rPr>
      </w:pPr>
      <w:r w:rsidRPr="005C2A0F">
        <w:rPr>
          <w:lang w:val="en-GB"/>
        </w:rPr>
        <w:t>Throughout the incubation period, the quant group realized that the strategy experienced the most success investing in small</w:t>
      </w:r>
      <w:r w:rsidR="00CA5906">
        <w:rPr>
          <w:lang w:val="en-GB"/>
        </w:rPr>
        <w:t>-cap</w:t>
      </w:r>
      <w:r w:rsidRPr="005C2A0F">
        <w:rPr>
          <w:lang w:val="en-GB"/>
        </w:rPr>
        <w:t xml:space="preserve"> (</w:t>
      </w:r>
      <w:r w:rsidR="00EB7EB8">
        <w:rPr>
          <w:lang w:val="en-GB"/>
        </w:rPr>
        <w:t>$</w:t>
      </w:r>
      <w:r w:rsidRPr="005C2A0F">
        <w:rPr>
          <w:lang w:val="en-GB"/>
        </w:rPr>
        <w:t>500</w:t>
      </w:r>
      <w:r w:rsidR="00EB7EB8">
        <w:rPr>
          <w:lang w:val="en-GB"/>
        </w:rPr>
        <w:t xml:space="preserve"> </w:t>
      </w:r>
      <w:r w:rsidRPr="005C2A0F">
        <w:rPr>
          <w:lang w:val="en-GB"/>
        </w:rPr>
        <w:t>m</w:t>
      </w:r>
      <w:r w:rsidR="00EB7EB8">
        <w:rPr>
          <w:lang w:val="en-GB"/>
        </w:rPr>
        <w:t>illion–</w:t>
      </w:r>
      <w:r w:rsidRPr="005C2A0F">
        <w:rPr>
          <w:lang w:val="en-GB"/>
        </w:rPr>
        <w:t>$2</w:t>
      </w:r>
      <w:r w:rsidR="00EB7EB8">
        <w:rPr>
          <w:lang w:val="en-GB"/>
        </w:rPr>
        <w:t xml:space="preserve"> </w:t>
      </w:r>
      <w:r w:rsidRPr="005C2A0F">
        <w:rPr>
          <w:lang w:val="en-GB"/>
        </w:rPr>
        <w:t>b</w:t>
      </w:r>
      <w:r w:rsidR="00EB7EB8">
        <w:rPr>
          <w:lang w:val="en-GB"/>
        </w:rPr>
        <w:t>illion</w:t>
      </w:r>
      <w:r w:rsidRPr="005C2A0F">
        <w:rPr>
          <w:lang w:val="en-GB"/>
        </w:rPr>
        <w:t xml:space="preserve"> market cap</w:t>
      </w:r>
      <w:r w:rsidR="00CA5906">
        <w:rPr>
          <w:lang w:val="en-GB"/>
        </w:rPr>
        <w:t>italization</w:t>
      </w:r>
      <w:r w:rsidRPr="005C2A0F">
        <w:rPr>
          <w:lang w:val="en-GB"/>
        </w:rPr>
        <w:t>) and mid-cap ($2</w:t>
      </w:r>
      <w:r w:rsidR="00EB7EB8">
        <w:rPr>
          <w:lang w:val="en-GB"/>
        </w:rPr>
        <w:t xml:space="preserve"> billion–</w:t>
      </w:r>
      <w:r w:rsidRPr="005C2A0F">
        <w:rPr>
          <w:lang w:val="en-GB"/>
        </w:rPr>
        <w:t>$10</w:t>
      </w:r>
      <w:r w:rsidR="00EB7EB8">
        <w:rPr>
          <w:lang w:val="en-GB"/>
        </w:rPr>
        <w:t xml:space="preserve"> billion</w:t>
      </w:r>
      <w:r w:rsidRPr="005C2A0F">
        <w:rPr>
          <w:lang w:val="en-GB"/>
        </w:rPr>
        <w:t xml:space="preserve"> market cap</w:t>
      </w:r>
      <w:r w:rsidR="00CA5906">
        <w:rPr>
          <w:lang w:val="en-GB"/>
        </w:rPr>
        <w:t>italization</w:t>
      </w:r>
      <w:r w:rsidRPr="005C2A0F">
        <w:rPr>
          <w:lang w:val="en-GB"/>
        </w:rPr>
        <w:t>) stocks, due to the dearth of sell-side analyst</w:t>
      </w:r>
      <w:r w:rsidR="004E54D6" w:rsidRPr="005C2A0F">
        <w:rPr>
          <w:rStyle w:val="FootnoteReference"/>
          <w:lang w:val="en-GB"/>
        </w:rPr>
        <w:footnoteReference w:id="6"/>
      </w:r>
      <w:r w:rsidRPr="005C2A0F">
        <w:rPr>
          <w:lang w:val="en-GB"/>
        </w:rPr>
        <w:t xml:space="preserve"> coverage and media attention. Alternative data sources had proven to be most relevant for investing in these types of companies where information pertaining to their product adoption was sparse. While this strategy </w:t>
      </w:r>
      <w:r w:rsidR="00EB7EB8">
        <w:rPr>
          <w:lang w:val="en-GB"/>
        </w:rPr>
        <w:t>focused on</w:t>
      </w:r>
      <w:r w:rsidR="00EB7EB8" w:rsidRPr="005C2A0F">
        <w:rPr>
          <w:lang w:val="en-GB"/>
        </w:rPr>
        <w:t xml:space="preserve"> </w:t>
      </w:r>
      <w:r w:rsidRPr="005C2A0F">
        <w:rPr>
          <w:lang w:val="en-GB"/>
        </w:rPr>
        <w:t>consumer sentiment, it was not limited to investing only in consumer discretionary stocks. The strategy was also applicable to telecom and technology stocks. The strategy’s portfolio consisted of three core components</w:t>
      </w:r>
      <w:r w:rsidR="00EB7EB8">
        <w:rPr>
          <w:lang w:val="en-GB"/>
        </w:rPr>
        <w:t>:</w:t>
      </w:r>
      <w:r w:rsidRPr="005C2A0F">
        <w:rPr>
          <w:lang w:val="en-GB"/>
        </w:rPr>
        <w:t xml:space="preserve"> directional long positions (30</w:t>
      </w:r>
      <w:r w:rsidR="00EB7EB8">
        <w:rPr>
          <w:lang w:val="en-GB"/>
        </w:rPr>
        <w:t>–</w:t>
      </w:r>
      <w:r w:rsidRPr="005C2A0F">
        <w:rPr>
          <w:lang w:val="en-GB"/>
        </w:rPr>
        <w:t>40 positions) and directional short positions (20</w:t>
      </w:r>
      <w:r w:rsidR="00EB7EB8">
        <w:rPr>
          <w:lang w:val="en-GB"/>
        </w:rPr>
        <w:t>–</w:t>
      </w:r>
      <w:r w:rsidRPr="005C2A0F">
        <w:rPr>
          <w:lang w:val="en-GB"/>
        </w:rPr>
        <w:t>30 positions), together with an opportunistic option overlay</w:t>
      </w:r>
      <w:r w:rsidRPr="005C2A0F">
        <w:rPr>
          <w:rStyle w:val="FootnoteReference"/>
          <w:lang w:val="en-GB"/>
        </w:rPr>
        <w:footnoteReference w:id="7"/>
      </w:r>
      <w:r w:rsidRPr="005C2A0F">
        <w:rPr>
          <w:lang w:val="en-GB"/>
        </w:rPr>
        <w:t xml:space="preserve"> to hedge against market-wide tail risks. </w:t>
      </w:r>
    </w:p>
    <w:p w14:paraId="75BC7F34" w14:textId="77777777" w:rsidR="002D615C" w:rsidRPr="002A45A5" w:rsidRDefault="002D615C" w:rsidP="002D615C">
      <w:pPr>
        <w:pStyle w:val="BodyTextMain"/>
        <w:rPr>
          <w:sz w:val="18"/>
          <w:lang w:val="en-GB"/>
        </w:rPr>
      </w:pPr>
    </w:p>
    <w:p w14:paraId="5B68EF37" w14:textId="5214D0D8" w:rsidR="002D615C" w:rsidRPr="005C2A0F" w:rsidRDefault="002D615C" w:rsidP="002D615C">
      <w:pPr>
        <w:pStyle w:val="BodyTextMain"/>
        <w:rPr>
          <w:lang w:val="en-GB"/>
        </w:rPr>
      </w:pPr>
      <w:r w:rsidRPr="005C2A0F">
        <w:rPr>
          <w:lang w:val="en-GB"/>
        </w:rPr>
        <w:t xml:space="preserve">In December 2015, FIM’s long/short strategy went live with a pilot program containing $10 million </w:t>
      </w:r>
      <w:r w:rsidR="00423BB1">
        <w:rPr>
          <w:lang w:val="en-GB"/>
        </w:rPr>
        <w:t>in</w:t>
      </w:r>
      <w:r w:rsidR="00423BB1" w:rsidRPr="005C2A0F">
        <w:rPr>
          <w:lang w:val="en-GB"/>
        </w:rPr>
        <w:t xml:space="preserve"> </w:t>
      </w:r>
      <w:r w:rsidRPr="005C2A0F">
        <w:rPr>
          <w:lang w:val="en-GB"/>
        </w:rPr>
        <w:t xml:space="preserve">internal funding. By the end of 2018, the strategy had accomplished significant success when compared </w:t>
      </w:r>
      <w:r w:rsidR="00EB7EB8">
        <w:rPr>
          <w:lang w:val="en-GB"/>
        </w:rPr>
        <w:t>with</w:t>
      </w:r>
      <w:r w:rsidR="00EB7EB8" w:rsidRPr="005C2A0F">
        <w:rPr>
          <w:lang w:val="en-GB"/>
        </w:rPr>
        <w:t xml:space="preserve"> </w:t>
      </w:r>
      <w:r w:rsidRPr="005C2A0F">
        <w:rPr>
          <w:lang w:val="en-GB"/>
        </w:rPr>
        <w:t xml:space="preserve">the average hedge fund returns over these three years. </w:t>
      </w:r>
      <w:r w:rsidR="00A90150">
        <w:rPr>
          <w:lang w:val="en-GB"/>
        </w:rPr>
        <w:t>Megan</w:t>
      </w:r>
      <w:r w:rsidR="00A90150" w:rsidRPr="005C2A0F">
        <w:rPr>
          <w:lang w:val="en-GB"/>
        </w:rPr>
        <w:t xml:space="preserve"> </w:t>
      </w:r>
      <w:r w:rsidRPr="005C2A0F">
        <w:rPr>
          <w:lang w:val="en-GB"/>
        </w:rPr>
        <w:t xml:space="preserve">was excited for the future of this strategy and had faith in </w:t>
      </w:r>
      <w:proofErr w:type="spellStart"/>
      <w:r w:rsidR="005712B1">
        <w:rPr>
          <w:lang w:val="en-GB"/>
        </w:rPr>
        <w:t>Danforth</w:t>
      </w:r>
      <w:r w:rsidRPr="005C2A0F">
        <w:rPr>
          <w:lang w:val="en-GB"/>
        </w:rPr>
        <w:t>’s</w:t>
      </w:r>
      <w:proofErr w:type="spellEnd"/>
      <w:r w:rsidRPr="005C2A0F">
        <w:rPr>
          <w:lang w:val="en-GB"/>
        </w:rPr>
        <w:t xml:space="preserve"> ability to scale the strategy if and when the assets grew.</w:t>
      </w:r>
      <w:r w:rsidR="005C2A0F" w:rsidRPr="005C2A0F">
        <w:rPr>
          <w:lang w:val="en-GB"/>
        </w:rPr>
        <w:t xml:space="preserve"> </w:t>
      </w:r>
      <w:r w:rsidRPr="005C2A0F">
        <w:rPr>
          <w:lang w:val="en-GB"/>
        </w:rPr>
        <w:t xml:space="preserve">But she had one key question left to resolve: </w:t>
      </w:r>
      <w:r w:rsidR="00423BB1">
        <w:rPr>
          <w:lang w:val="en-GB"/>
        </w:rPr>
        <w:t>Which</w:t>
      </w:r>
      <w:r w:rsidRPr="005C2A0F">
        <w:rPr>
          <w:lang w:val="en-GB"/>
        </w:rPr>
        <w:t xml:space="preserve"> fund structure should FIM </w:t>
      </w:r>
      <w:r w:rsidR="00A66E43">
        <w:rPr>
          <w:lang w:val="en-GB"/>
        </w:rPr>
        <w:t xml:space="preserve">use to </w:t>
      </w:r>
      <w:r w:rsidRPr="005C2A0F">
        <w:rPr>
          <w:lang w:val="en-GB"/>
        </w:rPr>
        <w:t>implement this strategy</w:t>
      </w:r>
      <w:r w:rsidR="00A66E43">
        <w:rPr>
          <w:lang w:val="en-GB"/>
        </w:rPr>
        <w:t>—</w:t>
      </w:r>
      <w:r w:rsidRPr="005C2A0F">
        <w:rPr>
          <w:lang w:val="en-GB"/>
        </w:rPr>
        <w:t xml:space="preserve">a hedge fund or an alternative mutual fund (also known as a </w:t>
      </w:r>
      <w:r w:rsidR="00A66E43">
        <w:rPr>
          <w:lang w:val="en-GB"/>
        </w:rPr>
        <w:t>l</w:t>
      </w:r>
      <w:r w:rsidRPr="005C2A0F">
        <w:rPr>
          <w:lang w:val="en-GB"/>
        </w:rPr>
        <w:t xml:space="preserve">iquid </w:t>
      </w:r>
      <w:r w:rsidR="00A66E43">
        <w:rPr>
          <w:lang w:val="en-GB"/>
        </w:rPr>
        <w:t>a</w:t>
      </w:r>
      <w:r w:rsidRPr="005C2A0F">
        <w:rPr>
          <w:lang w:val="en-GB"/>
        </w:rPr>
        <w:t xml:space="preserve">lternative fund)? </w:t>
      </w:r>
    </w:p>
    <w:p w14:paraId="63ADFE99" w14:textId="1D8A5C18" w:rsidR="002D615C" w:rsidRPr="002A45A5" w:rsidRDefault="002D615C" w:rsidP="002D615C">
      <w:pPr>
        <w:pStyle w:val="BodyTextMain"/>
        <w:rPr>
          <w:sz w:val="18"/>
          <w:lang w:val="en-GB"/>
        </w:rPr>
      </w:pPr>
    </w:p>
    <w:p w14:paraId="5FFBCAC6" w14:textId="77777777" w:rsidR="002D615C" w:rsidRPr="002A45A5" w:rsidRDefault="002D615C" w:rsidP="002D615C">
      <w:pPr>
        <w:pStyle w:val="BodyTextMain"/>
        <w:rPr>
          <w:sz w:val="18"/>
          <w:lang w:val="en-GB"/>
        </w:rPr>
      </w:pPr>
    </w:p>
    <w:p w14:paraId="250D29D2" w14:textId="77777777" w:rsidR="002D615C" w:rsidRPr="005C2A0F" w:rsidRDefault="002D615C" w:rsidP="002D615C">
      <w:pPr>
        <w:pStyle w:val="Casehead1"/>
        <w:rPr>
          <w:lang w:val="en-GB"/>
        </w:rPr>
      </w:pPr>
      <w:r w:rsidRPr="005C2A0F">
        <w:rPr>
          <w:lang w:val="en-GB"/>
        </w:rPr>
        <w:t>Regulatory Considerations</w:t>
      </w:r>
    </w:p>
    <w:p w14:paraId="050A28E5" w14:textId="77777777" w:rsidR="002D615C" w:rsidRPr="002A45A5" w:rsidRDefault="002D615C" w:rsidP="002D615C">
      <w:pPr>
        <w:pStyle w:val="BodyTextMain"/>
        <w:rPr>
          <w:sz w:val="18"/>
          <w:lang w:val="en-GB"/>
        </w:rPr>
      </w:pPr>
    </w:p>
    <w:p w14:paraId="71CF973B" w14:textId="1C063B1D" w:rsidR="002D615C" w:rsidRPr="005C2A0F" w:rsidRDefault="002D615C" w:rsidP="002D615C">
      <w:pPr>
        <w:pStyle w:val="BodyTextMain"/>
        <w:rPr>
          <w:lang w:val="en-GB"/>
        </w:rPr>
      </w:pPr>
      <w:r w:rsidRPr="005C2A0F">
        <w:rPr>
          <w:lang w:val="en-GB"/>
        </w:rPr>
        <w:t>To help inform h</w:t>
      </w:r>
      <w:r w:rsidR="004E54D6" w:rsidRPr="005C2A0F">
        <w:rPr>
          <w:lang w:val="en-GB"/>
        </w:rPr>
        <w:t xml:space="preserve">er decision, </w:t>
      </w:r>
      <w:r w:rsidR="00A90150">
        <w:rPr>
          <w:lang w:val="en-GB"/>
        </w:rPr>
        <w:t>Megan</w:t>
      </w:r>
      <w:r w:rsidR="004E54D6" w:rsidRPr="005C2A0F">
        <w:rPr>
          <w:lang w:val="en-GB"/>
        </w:rPr>
        <w:t xml:space="preserve"> asked </w:t>
      </w:r>
      <w:r w:rsidR="00423BB1">
        <w:rPr>
          <w:lang w:val="en-GB"/>
        </w:rPr>
        <w:t>FIM’s</w:t>
      </w:r>
      <w:r w:rsidR="00423BB1" w:rsidRPr="005C2A0F">
        <w:rPr>
          <w:lang w:val="en-GB"/>
        </w:rPr>
        <w:t xml:space="preserve"> </w:t>
      </w:r>
      <w:r w:rsidR="00A66E43">
        <w:rPr>
          <w:lang w:val="en-GB"/>
        </w:rPr>
        <w:t>c</w:t>
      </w:r>
      <w:r w:rsidR="004E54D6" w:rsidRPr="005C2A0F">
        <w:rPr>
          <w:lang w:val="en-GB"/>
        </w:rPr>
        <w:t xml:space="preserve">hief </w:t>
      </w:r>
      <w:r w:rsidR="00A66E43">
        <w:rPr>
          <w:lang w:val="en-GB"/>
        </w:rPr>
        <w:t>o</w:t>
      </w:r>
      <w:r w:rsidR="004E54D6" w:rsidRPr="005C2A0F">
        <w:rPr>
          <w:lang w:val="en-GB"/>
        </w:rPr>
        <w:t xml:space="preserve">perating </w:t>
      </w:r>
      <w:r w:rsidR="00A66E43">
        <w:rPr>
          <w:lang w:val="en-GB"/>
        </w:rPr>
        <w:t>o</w:t>
      </w:r>
      <w:r w:rsidR="004E54D6" w:rsidRPr="005C2A0F">
        <w:rPr>
          <w:lang w:val="en-GB"/>
        </w:rPr>
        <w:t>fficer</w:t>
      </w:r>
      <w:r w:rsidR="00C86AE6">
        <w:rPr>
          <w:lang w:val="en-GB"/>
        </w:rPr>
        <w:t xml:space="preserve"> (COO)</w:t>
      </w:r>
      <w:r w:rsidRPr="005C2A0F">
        <w:rPr>
          <w:lang w:val="en-GB"/>
        </w:rPr>
        <w:t xml:space="preserve">, Ross Caple, to draft a memo comparing the two fund types. </w:t>
      </w:r>
      <w:r w:rsidR="00A66E43">
        <w:rPr>
          <w:lang w:val="en-GB"/>
        </w:rPr>
        <w:t>Caple</w:t>
      </w:r>
      <w:r w:rsidR="00A66E43" w:rsidRPr="005C2A0F">
        <w:rPr>
          <w:lang w:val="en-GB"/>
        </w:rPr>
        <w:t xml:space="preserve"> </w:t>
      </w:r>
      <w:r w:rsidRPr="005C2A0F">
        <w:rPr>
          <w:lang w:val="en-GB"/>
        </w:rPr>
        <w:t xml:space="preserve">outlined this comparison </w:t>
      </w:r>
      <w:r w:rsidR="0058327C">
        <w:rPr>
          <w:lang w:val="en-GB"/>
        </w:rPr>
        <w:t>in a brief overview of the regulatory regimes for mutual funds (including liquid alternative funds) versus hedge funds.</w:t>
      </w:r>
    </w:p>
    <w:p w14:paraId="48E61AD5" w14:textId="77777777" w:rsidR="00A90150" w:rsidRDefault="00A90150" w:rsidP="002D615C">
      <w:pPr>
        <w:pStyle w:val="BodyTextMain"/>
        <w:rPr>
          <w:lang w:val="en-GB"/>
        </w:rPr>
      </w:pPr>
    </w:p>
    <w:p w14:paraId="740190CB" w14:textId="661F119D" w:rsidR="002D615C" w:rsidRPr="005C2A0F" w:rsidRDefault="002D615C" w:rsidP="002D615C">
      <w:pPr>
        <w:pStyle w:val="BodyTextMain"/>
        <w:rPr>
          <w:lang w:val="en-GB"/>
        </w:rPr>
      </w:pPr>
      <w:r w:rsidRPr="005C2A0F">
        <w:rPr>
          <w:lang w:val="en-GB"/>
        </w:rPr>
        <w:t xml:space="preserve">As </w:t>
      </w:r>
      <w:r w:rsidR="00A66E43">
        <w:rPr>
          <w:lang w:val="en-GB"/>
        </w:rPr>
        <w:t>Caple</w:t>
      </w:r>
      <w:r w:rsidR="00A66E43" w:rsidRPr="005C2A0F">
        <w:rPr>
          <w:lang w:val="en-GB"/>
        </w:rPr>
        <w:t xml:space="preserve"> </w:t>
      </w:r>
      <w:r w:rsidRPr="005C2A0F">
        <w:rPr>
          <w:lang w:val="en-GB"/>
        </w:rPr>
        <w:t xml:space="preserve">explained, from </w:t>
      </w:r>
      <w:r w:rsidR="00A66E43">
        <w:rPr>
          <w:lang w:val="en-GB"/>
        </w:rPr>
        <w:t xml:space="preserve">a </w:t>
      </w:r>
      <w:r w:rsidRPr="005C2A0F">
        <w:rPr>
          <w:lang w:val="en-GB"/>
        </w:rPr>
        <w:t xml:space="preserve">regulatory perspective, traditional (also referred to as long-only) mutual funds and liquid alternative funds </w:t>
      </w:r>
      <w:r w:rsidR="00A66E43">
        <w:rPr>
          <w:lang w:val="en-GB"/>
        </w:rPr>
        <w:t>we</w:t>
      </w:r>
      <w:r w:rsidR="00A66E43" w:rsidRPr="005C2A0F">
        <w:rPr>
          <w:lang w:val="en-GB"/>
        </w:rPr>
        <w:t xml:space="preserve">re </w:t>
      </w:r>
      <w:r w:rsidRPr="005C2A0F">
        <w:rPr>
          <w:lang w:val="en-GB"/>
        </w:rPr>
        <w:t xml:space="preserve">subject to the same set of legal requirements: both </w:t>
      </w:r>
      <w:r w:rsidR="00A66E43">
        <w:rPr>
          <w:lang w:val="en-GB"/>
        </w:rPr>
        <w:t>we</w:t>
      </w:r>
      <w:r w:rsidR="00A66E43" w:rsidRPr="005C2A0F">
        <w:rPr>
          <w:lang w:val="en-GB"/>
        </w:rPr>
        <w:t xml:space="preserve">re </w:t>
      </w:r>
      <w:r w:rsidRPr="005C2A0F">
        <w:rPr>
          <w:lang w:val="en-GB"/>
        </w:rPr>
        <w:t xml:space="preserve">mutual funds registered with the </w:t>
      </w:r>
      <w:r w:rsidR="004E54D6" w:rsidRPr="005C2A0F">
        <w:rPr>
          <w:lang w:val="en-GB"/>
        </w:rPr>
        <w:t>U</w:t>
      </w:r>
      <w:r w:rsidR="00CD19AD">
        <w:rPr>
          <w:lang w:val="en-GB"/>
        </w:rPr>
        <w:t>.</w:t>
      </w:r>
      <w:r w:rsidR="004E54D6" w:rsidRPr="005C2A0F">
        <w:rPr>
          <w:lang w:val="en-GB"/>
        </w:rPr>
        <w:t>S</w:t>
      </w:r>
      <w:r w:rsidR="00CD19AD">
        <w:rPr>
          <w:lang w:val="en-GB"/>
        </w:rPr>
        <w:t>.</w:t>
      </w:r>
      <w:r w:rsidR="004E54D6" w:rsidRPr="005C2A0F">
        <w:rPr>
          <w:lang w:val="en-GB"/>
        </w:rPr>
        <w:t xml:space="preserve"> Securities and Exchange Commission (SEC)</w:t>
      </w:r>
      <w:r w:rsidRPr="005C2A0F">
        <w:rPr>
          <w:lang w:val="en-GB"/>
        </w:rPr>
        <w:t>. However, liquid alternative funds employ</w:t>
      </w:r>
      <w:r w:rsidR="00A66E43">
        <w:rPr>
          <w:lang w:val="en-GB"/>
        </w:rPr>
        <w:t>ed</w:t>
      </w:r>
      <w:r w:rsidRPr="005C2A0F">
        <w:rPr>
          <w:lang w:val="en-GB"/>
        </w:rPr>
        <w:t xml:space="preserve"> more strategies </w:t>
      </w:r>
      <w:r w:rsidR="00A66E43">
        <w:rPr>
          <w:lang w:val="en-GB"/>
        </w:rPr>
        <w:t xml:space="preserve">that were </w:t>
      </w:r>
      <w:r w:rsidRPr="005C2A0F">
        <w:rPr>
          <w:lang w:val="en-GB"/>
        </w:rPr>
        <w:t xml:space="preserve">typical of hedge funds, such as short selling and using leverage. </w:t>
      </w:r>
    </w:p>
    <w:p w14:paraId="7B1C9F66" w14:textId="5C335BF0" w:rsidR="002D615C" w:rsidRPr="005C2A0F" w:rsidRDefault="002D615C" w:rsidP="002D615C">
      <w:pPr>
        <w:pStyle w:val="BodyTextMain"/>
        <w:rPr>
          <w:lang w:val="en-GB"/>
        </w:rPr>
      </w:pPr>
    </w:p>
    <w:p w14:paraId="395AF7B4" w14:textId="77777777" w:rsidR="002D615C" w:rsidRPr="005C2A0F" w:rsidRDefault="002D615C" w:rsidP="002D615C">
      <w:pPr>
        <w:pStyle w:val="BodyTextMain"/>
        <w:rPr>
          <w:lang w:val="en-GB"/>
        </w:rPr>
      </w:pPr>
    </w:p>
    <w:p w14:paraId="141BFC60" w14:textId="77777777" w:rsidR="002D615C" w:rsidRPr="005C2A0F" w:rsidRDefault="002D615C" w:rsidP="002D615C">
      <w:pPr>
        <w:pStyle w:val="Casehead3"/>
        <w:keepNext/>
        <w:rPr>
          <w:lang w:val="en-GB"/>
        </w:rPr>
      </w:pPr>
      <w:r w:rsidRPr="005C2A0F">
        <w:rPr>
          <w:lang w:val="en-GB"/>
        </w:rPr>
        <w:lastRenderedPageBreak/>
        <w:t>Use of Financial Products</w:t>
      </w:r>
    </w:p>
    <w:p w14:paraId="10ADAD25" w14:textId="77777777" w:rsidR="002D615C" w:rsidRPr="005C2A0F" w:rsidRDefault="002D615C" w:rsidP="002D615C">
      <w:pPr>
        <w:pStyle w:val="BodyTextMain"/>
        <w:keepNext/>
        <w:rPr>
          <w:i/>
          <w:lang w:val="en-GB"/>
        </w:rPr>
      </w:pPr>
    </w:p>
    <w:p w14:paraId="71D815BE" w14:textId="374D7049" w:rsidR="002D615C" w:rsidRPr="005C2A0F" w:rsidRDefault="002D615C" w:rsidP="002D615C">
      <w:pPr>
        <w:pStyle w:val="BodyTextMain"/>
        <w:keepNext/>
        <w:rPr>
          <w:lang w:val="en-GB"/>
        </w:rPr>
      </w:pPr>
      <w:r w:rsidRPr="005C2A0F">
        <w:rPr>
          <w:lang w:val="en-GB"/>
        </w:rPr>
        <w:t xml:space="preserve">Based on </w:t>
      </w:r>
      <w:r w:rsidR="00A90150">
        <w:rPr>
          <w:lang w:val="en-GB"/>
        </w:rPr>
        <w:t>Megan</w:t>
      </w:r>
      <w:r w:rsidRPr="005C2A0F">
        <w:rPr>
          <w:lang w:val="en-GB"/>
        </w:rPr>
        <w:t xml:space="preserve">’s experience managing a long-only mutual fund </w:t>
      </w:r>
      <w:r w:rsidR="00847FAF">
        <w:rPr>
          <w:lang w:val="en-GB"/>
        </w:rPr>
        <w:t>adviser</w:t>
      </w:r>
      <w:r w:rsidRPr="005C2A0F">
        <w:rPr>
          <w:lang w:val="en-GB"/>
        </w:rPr>
        <w:t xml:space="preserve">, she was aware of the regulatory differences between hedge funds and mutual funds (including liquid alternative funds). The </w:t>
      </w:r>
      <w:r w:rsidR="00A66E43" w:rsidRPr="006B00B4">
        <w:rPr>
          <w:i/>
          <w:lang w:val="en-GB"/>
        </w:rPr>
        <w:t>In</w:t>
      </w:r>
      <w:r w:rsidR="00F00232" w:rsidRPr="006B00B4">
        <w:rPr>
          <w:i/>
          <w:lang w:val="en-GB"/>
        </w:rPr>
        <w:t>vestment Company Act of 1940</w:t>
      </w:r>
      <w:r w:rsidR="00F00232">
        <w:rPr>
          <w:lang w:val="en-GB"/>
        </w:rPr>
        <w:t xml:space="preserve"> (the </w:t>
      </w:r>
      <w:r w:rsidRPr="006B00B4">
        <w:rPr>
          <w:i/>
          <w:lang w:val="en-GB"/>
        </w:rPr>
        <w:t>1940 Act</w:t>
      </w:r>
      <w:r w:rsidR="00F00232">
        <w:rPr>
          <w:lang w:val="en-GB"/>
        </w:rPr>
        <w:t>)</w:t>
      </w:r>
      <w:r w:rsidRPr="005C2A0F">
        <w:rPr>
          <w:lang w:val="en-GB"/>
        </w:rPr>
        <w:t xml:space="preserve"> </w:t>
      </w:r>
      <w:r w:rsidR="00F00232" w:rsidRPr="005C2A0F">
        <w:rPr>
          <w:lang w:val="en-GB"/>
        </w:rPr>
        <w:t>restrict</w:t>
      </w:r>
      <w:r w:rsidR="00F00232">
        <w:rPr>
          <w:lang w:val="en-GB"/>
        </w:rPr>
        <w:t>ed</w:t>
      </w:r>
      <w:r w:rsidR="00F00232" w:rsidRPr="005C2A0F">
        <w:rPr>
          <w:lang w:val="en-GB"/>
        </w:rPr>
        <w:t xml:space="preserve"> </w:t>
      </w:r>
      <w:r w:rsidRPr="005C2A0F">
        <w:rPr>
          <w:lang w:val="en-GB"/>
        </w:rPr>
        <w:t>mutual funds with respect to leverage and short selling</w:t>
      </w:r>
      <w:r w:rsidR="00F00232">
        <w:rPr>
          <w:lang w:val="en-GB"/>
        </w:rPr>
        <w:t xml:space="preserve">—but </w:t>
      </w:r>
      <w:r w:rsidRPr="005C2A0F">
        <w:rPr>
          <w:lang w:val="en-GB"/>
        </w:rPr>
        <w:t>without prohibiting either tactic</w:t>
      </w:r>
      <w:r w:rsidR="00AC62AA">
        <w:rPr>
          <w:lang w:val="en-GB"/>
        </w:rPr>
        <w:t xml:space="preserve"> (see Exhibit 3 for an overview of The </w:t>
      </w:r>
      <w:r w:rsidR="00AC62AA" w:rsidRPr="00AC62AA">
        <w:rPr>
          <w:i/>
          <w:lang w:val="en-GB"/>
        </w:rPr>
        <w:t>1940 Act</w:t>
      </w:r>
      <w:r w:rsidR="00AC62AA">
        <w:rPr>
          <w:lang w:val="en-GB"/>
        </w:rPr>
        <w:t xml:space="preserve"> along with other relevant Federal Securities Acts)</w:t>
      </w:r>
      <w:r w:rsidRPr="005C2A0F">
        <w:rPr>
          <w:lang w:val="en-GB"/>
        </w:rPr>
        <w:t xml:space="preserve">. While uncovered short selling </w:t>
      </w:r>
      <w:r w:rsidR="00F00232">
        <w:rPr>
          <w:lang w:val="en-GB"/>
        </w:rPr>
        <w:t>wa</w:t>
      </w:r>
      <w:r w:rsidR="00F00232" w:rsidRPr="005C2A0F">
        <w:rPr>
          <w:lang w:val="en-GB"/>
        </w:rPr>
        <w:t xml:space="preserve">s </w:t>
      </w:r>
      <w:r w:rsidRPr="005C2A0F">
        <w:rPr>
          <w:lang w:val="en-GB"/>
        </w:rPr>
        <w:t xml:space="preserve">a common investment technique used by hedge funds, mutual funds </w:t>
      </w:r>
      <w:r w:rsidR="00F00232">
        <w:rPr>
          <w:lang w:val="en-GB"/>
        </w:rPr>
        <w:t>we</w:t>
      </w:r>
      <w:r w:rsidR="00F00232" w:rsidRPr="005C2A0F">
        <w:rPr>
          <w:lang w:val="en-GB"/>
        </w:rPr>
        <w:t xml:space="preserve">re </w:t>
      </w:r>
      <w:r w:rsidRPr="005C2A0F">
        <w:rPr>
          <w:lang w:val="en-GB"/>
        </w:rPr>
        <w:t xml:space="preserve">allowed to sell short only </w:t>
      </w:r>
      <w:r w:rsidR="00F00232">
        <w:rPr>
          <w:lang w:val="en-GB"/>
        </w:rPr>
        <w:t>when</w:t>
      </w:r>
      <w:r w:rsidR="00F00232" w:rsidRPr="005C2A0F">
        <w:rPr>
          <w:lang w:val="en-GB"/>
        </w:rPr>
        <w:t xml:space="preserve"> </w:t>
      </w:r>
      <w:r w:rsidR="00F00232">
        <w:rPr>
          <w:lang w:val="en-GB"/>
        </w:rPr>
        <w:t>the short s</w:t>
      </w:r>
      <w:r w:rsidR="00423BB1">
        <w:rPr>
          <w:lang w:val="en-GB"/>
        </w:rPr>
        <w:t>ale</w:t>
      </w:r>
      <w:r w:rsidR="00F00232">
        <w:rPr>
          <w:lang w:val="en-GB"/>
        </w:rPr>
        <w:t xml:space="preserve"> was</w:t>
      </w:r>
      <w:r w:rsidRPr="005C2A0F">
        <w:rPr>
          <w:lang w:val="en-GB"/>
        </w:rPr>
        <w:t xml:space="preserve"> covered by a liquid long position or a segregated cash account. </w:t>
      </w:r>
      <w:r w:rsidR="00F00232">
        <w:rPr>
          <w:lang w:val="en-GB"/>
        </w:rPr>
        <w:t>According to</w:t>
      </w:r>
      <w:r w:rsidR="00F00232" w:rsidRPr="005C2A0F">
        <w:rPr>
          <w:lang w:val="en-GB"/>
        </w:rPr>
        <w:t xml:space="preserve"> </w:t>
      </w:r>
      <w:r w:rsidRPr="005C2A0F">
        <w:rPr>
          <w:lang w:val="en-GB"/>
        </w:rPr>
        <w:t xml:space="preserve">the </w:t>
      </w:r>
      <w:r w:rsidRPr="006B00B4">
        <w:rPr>
          <w:i/>
          <w:lang w:val="en-GB"/>
        </w:rPr>
        <w:t>1940 Act</w:t>
      </w:r>
      <w:r w:rsidRPr="005C2A0F">
        <w:rPr>
          <w:lang w:val="en-GB"/>
        </w:rPr>
        <w:t xml:space="preserve">, mutual funds </w:t>
      </w:r>
      <w:r w:rsidR="00F00232">
        <w:rPr>
          <w:lang w:val="en-GB"/>
        </w:rPr>
        <w:t>we</w:t>
      </w:r>
      <w:r w:rsidR="00F00232" w:rsidRPr="005C2A0F">
        <w:rPr>
          <w:lang w:val="en-GB"/>
        </w:rPr>
        <w:t xml:space="preserve">re </w:t>
      </w:r>
      <w:r w:rsidRPr="005C2A0F">
        <w:rPr>
          <w:lang w:val="en-GB"/>
        </w:rPr>
        <w:t xml:space="preserve">restricted in the amount of leverage they </w:t>
      </w:r>
      <w:r w:rsidR="00F00232" w:rsidRPr="005C2A0F">
        <w:rPr>
          <w:lang w:val="en-GB"/>
        </w:rPr>
        <w:t>c</w:t>
      </w:r>
      <w:r w:rsidR="00F00232">
        <w:rPr>
          <w:lang w:val="en-GB"/>
        </w:rPr>
        <w:t>ould</w:t>
      </w:r>
      <w:r w:rsidR="00F00232" w:rsidRPr="005C2A0F">
        <w:rPr>
          <w:lang w:val="en-GB"/>
        </w:rPr>
        <w:t xml:space="preserve"> </w:t>
      </w:r>
      <w:r w:rsidRPr="005C2A0F">
        <w:rPr>
          <w:lang w:val="en-GB"/>
        </w:rPr>
        <w:t xml:space="preserve">take on, whereas hedge funds </w:t>
      </w:r>
      <w:r w:rsidR="00F00232" w:rsidRPr="005C2A0F">
        <w:rPr>
          <w:lang w:val="en-GB"/>
        </w:rPr>
        <w:t>ha</w:t>
      </w:r>
      <w:r w:rsidR="00F00232">
        <w:rPr>
          <w:lang w:val="en-GB"/>
        </w:rPr>
        <w:t>d</w:t>
      </w:r>
      <w:r w:rsidR="00F00232" w:rsidRPr="005C2A0F">
        <w:rPr>
          <w:lang w:val="en-GB"/>
        </w:rPr>
        <w:t xml:space="preserve"> </w:t>
      </w:r>
      <w:r w:rsidRPr="005C2A0F">
        <w:rPr>
          <w:lang w:val="en-GB"/>
        </w:rPr>
        <w:t xml:space="preserve">no restriction on the amount of leverage they </w:t>
      </w:r>
      <w:r w:rsidR="00F00232">
        <w:rPr>
          <w:lang w:val="en-GB"/>
        </w:rPr>
        <w:t>could</w:t>
      </w:r>
      <w:r w:rsidR="00F00232" w:rsidRPr="005C2A0F">
        <w:rPr>
          <w:lang w:val="en-GB"/>
        </w:rPr>
        <w:t xml:space="preserve"> </w:t>
      </w:r>
      <w:r w:rsidRPr="005C2A0F">
        <w:rPr>
          <w:lang w:val="en-GB"/>
        </w:rPr>
        <w:t>use. Th</w:t>
      </w:r>
      <w:r w:rsidR="00A90150">
        <w:rPr>
          <w:lang w:val="en-GB"/>
        </w:rPr>
        <w:t>erefore</w:t>
      </w:r>
      <w:r w:rsidRPr="005C2A0F">
        <w:rPr>
          <w:lang w:val="en-GB"/>
        </w:rPr>
        <w:t xml:space="preserve">, if FIM wanted to structure this strategy as a hedge fund, </w:t>
      </w:r>
      <w:r w:rsidR="00F00232">
        <w:rPr>
          <w:lang w:val="en-GB"/>
        </w:rPr>
        <w:t>it</w:t>
      </w:r>
      <w:r w:rsidR="00F00232" w:rsidRPr="005C2A0F">
        <w:rPr>
          <w:lang w:val="en-GB"/>
        </w:rPr>
        <w:t xml:space="preserve"> </w:t>
      </w:r>
      <w:r w:rsidRPr="005C2A0F">
        <w:rPr>
          <w:lang w:val="en-GB"/>
        </w:rPr>
        <w:t xml:space="preserve">would </w:t>
      </w:r>
      <w:r w:rsidR="00F00232">
        <w:rPr>
          <w:lang w:val="en-GB"/>
        </w:rPr>
        <w:t>need</w:t>
      </w:r>
      <w:r w:rsidR="00F00232" w:rsidRPr="005C2A0F">
        <w:rPr>
          <w:lang w:val="en-GB"/>
        </w:rPr>
        <w:t xml:space="preserve"> </w:t>
      </w:r>
      <w:r w:rsidRPr="005C2A0F">
        <w:rPr>
          <w:lang w:val="en-GB"/>
        </w:rPr>
        <w:t xml:space="preserve">to be eligible for an exemption from the </w:t>
      </w:r>
      <w:r w:rsidRPr="006B00B4">
        <w:rPr>
          <w:i/>
          <w:lang w:val="en-GB"/>
        </w:rPr>
        <w:t>1940 Act</w:t>
      </w:r>
      <w:r w:rsidRPr="005C2A0F">
        <w:rPr>
          <w:lang w:val="en-GB"/>
        </w:rPr>
        <w:t xml:space="preserve">, under either section 3(c)(1) or 3(c)(7). </w:t>
      </w:r>
    </w:p>
    <w:p w14:paraId="09C707CC" w14:textId="5AADB16F" w:rsidR="002D615C" w:rsidRPr="005C2A0F" w:rsidRDefault="002D615C" w:rsidP="002D615C">
      <w:pPr>
        <w:pStyle w:val="BodyTextMain"/>
        <w:rPr>
          <w:lang w:val="en-GB"/>
        </w:rPr>
      </w:pPr>
    </w:p>
    <w:p w14:paraId="547CD7D9" w14:textId="77777777" w:rsidR="002D615C" w:rsidRPr="005C2A0F" w:rsidRDefault="002D615C" w:rsidP="002D615C">
      <w:pPr>
        <w:pStyle w:val="BodyTextMain"/>
        <w:rPr>
          <w:lang w:val="en-GB"/>
        </w:rPr>
      </w:pPr>
    </w:p>
    <w:p w14:paraId="3382D4A2" w14:textId="33EA5BD8" w:rsidR="002D615C" w:rsidRPr="005C2A0F" w:rsidRDefault="00423BB1" w:rsidP="002D615C">
      <w:pPr>
        <w:pStyle w:val="Casehead3"/>
        <w:rPr>
          <w:lang w:val="en-GB"/>
        </w:rPr>
      </w:pPr>
      <w:r>
        <w:rPr>
          <w:lang w:val="en-GB"/>
        </w:rPr>
        <w:t xml:space="preserve">The </w:t>
      </w:r>
      <w:r w:rsidR="002D615C" w:rsidRPr="005C2A0F">
        <w:rPr>
          <w:lang w:val="en-GB"/>
        </w:rPr>
        <w:t>Number</w:t>
      </w:r>
      <w:r>
        <w:rPr>
          <w:lang w:val="en-GB"/>
        </w:rPr>
        <w:t xml:space="preserve"> and </w:t>
      </w:r>
      <w:r w:rsidR="002D615C" w:rsidRPr="005C2A0F">
        <w:rPr>
          <w:lang w:val="en-GB"/>
        </w:rPr>
        <w:t>Type of Investors</w:t>
      </w:r>
    </w:p>
    <w:p w14:paraId="3D24152E" w14:textId="77777777" w:rsidR="002D615C" w:rsidRPr="005C2A0F" w:rsidRDefault="002D615C" w:rsidP="002D615C">
      <w:pPr>
        <w:pStyle w:val="BodyTextMain"/>
        <w:rPr>
          <w:lang w:val="en-GB"/>
        </w:rPr>
      </w:pPr>
    </w:p>
    <w:p w14:paraId="402B54D2" w14:textId="3303F60A" w:rsidR="002D615C" w:rsidRPr="005C2A0F" w:rsidRDefault="002D615C" w:rsidP="002D615C">
      <w:pPr>
        <w:pStyle w:val="BodyTextMain"/>
        <w:rPr>
          <w:lang w:val="en-GB"/>
        </w:rPr>
      </w:pPr>
      <w:r w:rsidRPr="005C2A0F">
        <w:rPr>
          <w:lang w:val="en-GB"/>
        </w:rPr>
        <w:t xml:space="preserve">These two </w:t>
      </w:r>
      <w:r w:rsidRPr="006B00B4">
        <w:rPr>
          <w:i/>
          <w:lang w:val="en-GB"/>
        </w:rPr>
        <w:t>1940 Act</w:t>
      </w:r>
      <w:r w:rsidRPr="005C2A0F">
        <w:rPr>
          <w:lang w:val="en-GB"/>
        </w:rPr>
        <w:t xml:space="preserve"> exemptions depend</w:t>
      </w:r>
      <w:r w:rsidR="00F00232">
        <w:rPr>
          <w:lang w:val="en-GB"/>
        </w:rPr>
        <w:t>ed</w:t>
      </w:r>
      <w:r w:rsidRPr="005C2A0F">
        <w:rPr>
          <w:lang w:val="en-GB"/>
        </w:rPr>
        <w:t xml:space="preserve"> largely on the type and number of investors in the fund. To qualify for exemption from the </w:t>
      </w:r>
      <w:r w:rsidRPr="006B00B4">
        <w:rPr>
          <w:i/>
          <w:lang w:val="en-GB"/>
        </w:rPr>
        <w:t>1940 Act</w:t>
      </w:r>
      <w:r w:rsidRPr="005C2A0F">
        <w:rPr>
          <w:lang w:val="en-GB"/>
        </w:rPr>
        <w:t xml:space="preserve">, the fund </w:t>
      </w:r>
      <w:r w:rsidR="00F00232">
        <w:rPr>
          <w:lang w:val="en-GB"/>
        </w:rPr>
        <w:t>needed to</w:t>
      </w:r>
      <w:r w:rsidR="00F00232" w:rsidRPr="005C2A0F">
        <w:rPr>
          <w:lang w:val="en-GB"/>
        </w:rPr>
        <w:t xml:space="preserve"> </w:t>
      </w:r>
      <w:r w:rsidRPr="005C2A0F">
        <w:rPr>
          <w:lang w:val="en-GB"/>
        </w:rPr>
        <w:t xml:space="preserve">have </w:t>
      </w:r>
      <w:r w:rsidR="00F00232">
        <w:rPr>
          <w:lang w:val="en-GB"/>
        </w:rPr>
        <w:t>either fewer</w:t>
      </w:r>
      <w:r w:rsidR="00F00232" w:rsidRPr="005C2A0F">
        <w:rPr>
          <w:lang w:val="en-GB"/>
        </w:rPr>
        <w:t xml:space="preserve"> </w:t>
      </w:r>
      <w:r w:rsidRPr="005C2A0F">
        <w:rPr>
          <w:lang w:val="en-GB"/>
        </w:rPr>
        <w:t>than 100 accredited investors</w:t>
      </w:r>
      <w:r w:rsidR="00A90150">
        <w:rPr>
          <w:lang w:val="en-GB"/>
        </w:rPr>
        <w:t>,</w:t>
      </w:r>
      <w:r w:rsidRPr="005C2A0F">
        <w:rPr>
          <w:rStyle w:val="FootnoteReference"/>
          <w:lang w:val="en-GB"/>
        </w:rPr>
        <w:footnoteReference w:id="8"/>
      </w:r>
      <w:r w:rsidRPr="005C2A0F">
        <w:rPr>
          <w:lang w:val="en-GB"/>
        </w:rPr>
        <w:t xml:space="preserve"> </w:t>
      </w:r>
      <w:r w:rsidR="00B33823">
        <w:rPr>
          <w:lang w:val="en-GB"/>
        </w:rPr>
        <w:t>u</w:t>
      </w:r>
      <w:r w:rsidRPr="005C2A0F">
        <w:rPr>
          <w:lang w:val="en-GB"/>
        </w:rPr>
        <w:t xml:space="preserve">nder </w:t>
      </w:r>
      <w:r w:rsidR="00F00232">
        <w:rPr>
          <w:lang w:val="en-GB"/>
        </w:rPr>
        <w:t xml:space="preserve">section </w:t>
      </w:r>
      <w:r w:rsidRPr="005C2A0F">
        <w:rPr>
          <w:lang w:val="en-GB"/>
        </w:rPr>
        <w:t>3(c)(1), or unlimited investors</w:t>
      </w:r>
      <w:r w:rsidR="00CD19AD">
        <w:rPr>
          <w:lang w:val="en-GB"/>
        </w:rPr>
        <w:t>,</w:t>
      </w:r>
      <w:r w:rsidRPr="005C2A0F">
        <w:rPr>
          <w:lang w:val="en-GB"/>
        </w:rPr>
        <w:t xml:space="preserve"> as long as they </w:t>
      </w:r>
      <w:r w:rsidR="00423BB1">
        <w:rPr>
          <w:lang w:val="en-GB"/>
        </w:rPr>
        <w:t>we</w:t>
      </w:r>
      <w:r w:rsidR="00423BB1" w:rsidRPr="005C2A0F">
        <w:rPr>
          <w:lang w:val="en-GB"/>
        </w:rPr>
        <w:t xml:space="preserve">re </w:t>
      </w:r>
      <w:r w:rsidRPr="005C2A0F">
        <w:rPr>
          <w:lang w:val="en-GB"/>
        </w:rPr>
        <w:t>all qualified purchasers</w:t>
      </w:r>
      <w:r w:rsidR="00CD19AD">
        <w:rPr>
          <w:lang w:val="en-GB"/>
        </w:rPr>
        <w:t>,</w:t>
      </w:r>
      <w:r w:rsidRPr="005C2A0F">
        <w:rPr>
          <w:rStyle w:val="FootnoteReference"/>
          <w:lang w:val="en-GB"/>
        </w:rPr>
        <w:footnoteReference w:id="9"/>
      </w:r>
      <w:r w:rsidRPr="005C2A0F">
        <w:rPr>
          <w:lang w:val="en-GB"/>
        </w:rPr>
        <w:t xml:space="preserve"> under </w:t>
      </w:r>
      <w:r w:rsidR="00F00232">
        <w:rPr>
          <w:lang w:val="en-GB"/>
        </w:rPr>
        <w:t xml:space="preserve">section </w:t>
      </w:r>
      <w:r w:rsidRPr="005C2A0F">
        <w:rPr>
          <w:lang w:val="en-GB"/>
        </w:rPr>
        <w:t xml:space="preserve">3(c)(7). However, even if all investors </w:t>
      </w:r>
      <w:r w:rsidR="00B33823">
        <w:rPr>
          <w:lang w:val="en-GB"/>
        </w:rPr>
        <w:t>we</w:t>
      </w:r>
      <w:r w:rsidR="00B33823" w:rsidRPr="005C2A0F">
        <w:rPr>
          <w:lang w:val="en-GB"/>
        </w:rPr>
        <w:t xml:space="preserve">re </w:t>
      </w:r>
      <w:r w:rsidRPr="005C2A0F">
        <w:rPr>
          <w:lang w:val="en-GB"/>
        </w:rPr>
        <w:t xml:space="preserve">qualified purchasers, hedge funds </w:t>
      </w:r>
      <w:r w:rsidR="00B33823">
        <w:rPr>
          <w:lang w:val="en-GB"/>
        </w:rPr>
        <w:t>could</w:t>
      </w:r>
      <w:r w:rsidR="00B33823" w:rsidRPr="005C2A0F">
        <w:rPr>
          <w:lang w:val="en-GB"/>
        </w:rPr>
        <w:t xml:space="preserve"> </w:t>
      </w:r>
      <w:r w:rsidRPr="005C2A0F">
        <w:rPr>
          <w:lang w:val="en-GB"/>
        </w:rPr>
        <w:t xml:space="preserve">not have an unlimited number of shareholders. </w:t>
      </w:r>
      <w:r w:rsidR="00B33823">
        <w:rPr>
          <w:lang w:val="en-GB"/>
        </w:rPr>
        <w:t>For a hedge fund t</w:t>
      </w:r>
      <w:r w:rsidRPr="005C2A0F">
        <w:rPr>
          <w:lang w:val="en-GB"/>
        </w:rPr>
        <w:t xml:space="preserve">o maintain </w:t>
      </w:r>
      <w:r w:rsidR="00B33823">
        <w:rPr>
          <w:lang w:val="en-GB"/>
        </w:rPr>
        <w:t>its</w:t>
      </w:r>
      <w:r w:rsidR="00B33823" w:rsidRPr="005C2A0F">
        <w:rPr>
          <w:lang w:val="en-GB"/>
        </w:rPr>
        <w:t xml:space="preserve"> </w:t>
      </w:r>
      <w:r w:rsidRPr="005C2A0F">
        <w:rPr>
          <w:lang w:val="en-GB"/>
        </w:rPr>
        <w:t xml:space="preserve">exemption from becoming a public reporting company under the </w:t>
      </w:r>
      <w:r w:rsidR="00B33823" w:rsidRPr="006B00B4">
        <w:rPr>
          <w:i/>
          <w:lang w:val="en-GB"/>
        </w:rPr>
        <w:t>Securities Exchange Act of 1934</w:t>
      </w:r>
      <w:r w:rsidR="00B33823">
        <w:rPr>
          <w:lang w:val="en-GB"/>
        </w:rPr>
        <w:t xml:space="preserve"> (the </w:t>
      </w:r>
      <w:r w:rsidRPr="006B00B4">
        <w:rPr>
          <w:i/>
          <w:lang w:val="en-GB"/>
        </w:rPr>
        <w:t>1934 Act</w:t>
      </w:r>
      <w:r w:rsidR="00B33823">
        <w:rPr>
          <w:lang w:val="en-GB"/>
        </w:rPr>
        <w:t>)</w:t>
      </w:r>
      <w:r w:rsidRPr="005C2A0F">
        <w:rPr>
          <w:lang w:val="en-GB"/>
        </w:rPr>
        <w:t xml:space="preserve">, </w:t>
      </w:r>
      <w:r w:rsidR="00B33823">
        <w:rPr>
          <w:lang w:val="en-GB"/>
        </w:rPr>
        <w:t xml:space="preserve">it </w:t>
      </w:r>
      <w:r w:rsidR="00423BB1">
        <w:rPr>
          <w:lang w:val="en-GB"/>
        </w:rPr>
        <w:t>needed to</w:t>
      </w:r>
      <w:r w:rsidR="00423BB1" w:rsidRPr="005C2A0F">
        <w:rPr>
          <w:lang w:val="en-GB"/>
        </w:rPr>
        <w:t xml:space="preserve"> </w:t>
      </w:r>
      <w:r w:rsidRPr="005C2A0F">
        <w:rPr>
          <w:lang w:val="en-GB"/>
        </w:rPr>
        <w:t>have a total of fewer than 2,000 total shareholders.</w:t>
      </w:r>
    </w:p>
    <w:p w14:paraId="5961CF3C" w14:textId="77777777" w:rsidR="002D615C" w:rsidRPr="005C2A0F" w:rsidRDefault="002D615C" w:rsidP="002D615C">
      <w:pPr>
        <w:pStyle w:val="BodyTextMain"/>
        <w:rPr>
          <w:lang w:val="en-GB"/>
        </w:rPr>
      </w:pPr>
    </w:p>
    <w:p w14:paraId="18580D90" w14:textId="278A84E3" w:rsidR="002D615C" w:rsidRPr="005C2A0F" w:rsidRDefault="002D615C" w:rsidP="002D615C">
      <w:pPr>
        <w:pStyle w:val="BodyTextMain"/>
        <w:rPr>
          <w:lang w:val="en-GB"/>
        </w:rPr>
      </w:pPr>
      <w:r w:rsidRPr="005C2A0F">
        <w:rPr>
          <w:lang w:val="en-GB"/>
        </w:rPr>
        <w:t xml:space="preserve">In conclusion, if FIM wanted to structure this strategy as a hedge fund and qualify for exemptions from both the </w:t>
      </w:r>
      <w:r w:rsidRPr="006B00B4">
        <w:rPr>
          <w:i/>
          <w:lang w:val="en-GB"/>
        </w:rPr>
        <w:t xml:space="preserve">1934 </w:t>
      </w:r>
      <w:r w:rsidR="00B33823" w:rsidRPr="006B00B4">
        <w:rPr>
          <w:i/>
          <w:lang w:val="en-GB"/>
        </w:rPr>
        <w:t>Act</w:t>
      </w:r>
      <w:r w:rsidR="00B33823">
        <w:rPr>
          <w:lang w:val="en-GB"/>
        </w:rPr>
        <w:t xml:space="preserve"> </w:t>
      </w:r>
      <w:r w:rsidRPr="005C2A0F">
        <w:rPr>
          <w:lang w:val="en-GB"/>
        </w:rPr>
        <w:t xml:space="preserve">and </w:t>
      </w:r>
      <w:r w:rsidR="00B33823">
        <w:rPr>
          <w:lang w:val="en-GB"/>
        </w:rPr>
        <w:t xml:space="preserve">the </w:t>
      </w:r>
      <w:r w:rsidRPr="006B00B4">
        <w:rPr>
          <w:i/>
          <w:lang w:val="en-GB"/>
        </w:rPr>
        <w:t>1940 Act</w:t>
      </w:r>
      <w:r w:rsidRPr="005C2A0F">
        <w:rPr>
          <w:lang w:val="en-GB"/>
        </w:rPr>
        <w:t xml:space="preserve">, it </w:t>
      </w:r>
      <w:r w:rsidR="00B33823">
        <w:rPr>
          <w:lang w:val="en-GB"/>
        </w:rPr>
        <w:t>needed to</w:t>
      </w:r>
      <w:r w:rsidR="00B33823" w:rsidRPr="005C2A0F">
        <w:rPr>
          <w:lang w:val="en-GB"/>
        </w:rPr>
        <w:t xml:space="preserve"> </w:t>
      </w:r>
      <w:r w:rsidRPr="005C2A0F">
        <w:rPr>
          <w:lang w:val="en-GB"/>
        </w:rPr>
        <w:t xml:space="preserve">either keep </w:t>
      </w:r>
      <w:r w:rsidR="00B33823">
        <w:rPr>
          <w:lang w:val="en-GB"/>
        </w:rPr>
        <w:t>its</w:t>
      </w:r>
      <w:r w:rsidR="00B33823" w:rsidRPr="005C2A0F">
        <w:rPr>
          <w:lang w:val="en-GB"/>
        </w:rPr>
        <w:t xml:space="preserve"> </w:t>
      </w:r>
      <w:r w:rsidR="00CD19AD">
        <w:rPr>
          <w:lang w:val="en-GB"/>
        </w:rPr>
        <w:t xml:space="preserve">number of </w:t>
      </w:r>
      <w:r w:rsidRPr="005C2A0F">
        <w:rPr>
          <w:lang w:val="en-GB"/>
        </w:rPr>
        <w:t>investor below 100</w:t>
      </w:r>
      <w:r w:rsidR="00CD19AD">
        <w:rPr>
          <w:lang w:val="en-GB"/>
        </w:rPr>
        <w:t>,</w:t>
      </w:r>
      <w:r w:rsidRPr="005C2A0F">
        <w:rPr>
          <w:lang w:val="en-GB"/>
        </w:rPr>
        <w:t xml:space="preserve"> if they </w:t>
      </w:r>
      <w:r w:rsidR="00B33823">
        <w:rPr>
          <w:lang w:val="en-GB"/>
        </w:rPr>
        <w:t>we</w:t>
      </w:r>
      <w:r w:rsidR="00B33823" w:rsidRPr="005C2A0F">
        <w:rPr>
          <w:lang w:val="en-GB"/>
        </w:rPr>
        <w:t xml:space="preserve">re </w:t>
      </w:r>
      <w:r w:rsidRPr="005C2A0F">
        <w:rPr>
          <w:lang w:val="en-GB"/>
        </w:rPr>
        <w:t xml:space="preserve">all accredited investors, or </w:t>
      </w:r>
      <w:r w:rsidR="00B33823">
        <w:rPr>
          <w:lang w:val="en-GB"/>
        </w:rPr>
        <w:t>below</w:t>
      </w:r>
      <w:r w:rsidR="00B33823" w:rsidRPr="005C2A0F">
        <w:rPr>
          <w:lang w:val="en-GB"/>
        </w:rPr>
        <w:t xml:space="preserve"> </w:t>
      </w:r>
      <w:r w:rsidRPr="005C2A0F">
        <w:rPr>
          <w:lang w:val="en-GB"/>
        </w:rPr>
        <w:t>2,000</w:t>
      </w:r>
      <w:r w:rsidR="00CD19AD">
        <w:rPr>
          <w:lang w:val="en-GB"/>
        </w:rPr>
        <w:t>,</w:t>
      </w:r>
      <w:r w:rsidRPr="005C2A0F">
        <w:rPr>
          <w:lang w:val="en-GB"/>
        </w:rPr>
        <w:t xml:space="preserve"> </w:t>
      </w:r>
      <w:r w:rsidR="00B33823">
        <w:rPr>
          <w:lang w:val="en-GB"/>
        </w:rPr>
        <w:t xml:space="preserve">if </w:t>
      </w:r>
      <w:r w:rsidRPr="005C2A0F">
        <w:rPr>
          <w:lang w:val="en-GB"/>
        </w:rPr>
        <w:t xml:space="preserve">they </w:t>
      </w:r>
      <w:r w:rsidR="00B33823">
        <w:rPr>
          <w:lang w:val="en-GB"/>
        </w:rPr>
        <w:t>we</w:t>
      </w:r>
      <w:r w:rsidR="00B33823" w:rsidRPr="005C2A0F">
        <w:rPr>
          <w:lang w:val="en-GB"/>
        </w:rPr>
        <w:t xml:space="preserve">re </w:t>
      </w:r>
      <w:r w:rsidRPr="005C2A0F">
        <w:rPr>
          <w:lang w:val="en-GB"/>
        </w:rPr>
        <w:t xml:space="preserve">all qualified purchasers. </w:t>
      </w:r>
    </w:p>
    <w:p w14:paraId="050CFBD9" w14:textId="5DE4C4EA" w:rsidR="002D615C" w:rsidRPr="005C2A0F" w:rsidRDefault="002D615C" w:rsidP="002D615C">
      <w:pPr>
        <w:pStyle w:val="BodyTextMain"/>
        <w:rPr>
          <w:lang w:val="en-GB"/>
        </w:rPr>
      </w:pPr>
    </w:p>
    <w:p w14:paraId="2C632C7C" w14:textId="77777777" w:rsidR="002D615C" w:rsidRPr="005C2A0F" w:rsidRDefault="002D615C" w:rsidP="002D615C">
      <w:pPr>
        <w:pStyle w:val="BodyTextMain"/>
        <w:rPr>
          <w:lang w:val="en-GB"/>
        </w:rPr>
      </w:pPr>
    </w:p>
    <w:p w14:paraId="5E265F97" w14:textId="46552DC4" w:rsidR="002D615C" w:rsidRPr="005C2A0F" w:rsidRDefault="002D615C" w:rsidP="002A45A5">
      <w:pPr>
        <w:pStyle w:val="Casehead3"/>
        <w:keepNext/>
        <w:rPr>
          <w:lang w:val="en-GB"/>
        </w:rPr>
      </w:pPr>
      <w:r w:rsidRPr="005C2A0F">
        <w:rPr>
          <w:lang w:val="en-GB"/>
        </w:rPr>
        <w:t xml:space="preserve">Redemptions, Liquidity, </w:t>
      </w:r>
      <w:r w:rsidR="00A54207">
        <w:rPr>
          <w:lang w:val="en-GB"/>
        </w:rPr>
        <w:t xml:space="preserve">and </w:t>
      </w:r>
      <w:r w:rsidRPr="005C2A0F">
        <w:rPr>
          <w:lang w:val="en-GB"/>
        </w:rPr>
        <w:t>Reporting</w:t>
      </w:r>
    </w:p>
    <w:p w14:paraId="012E00B2" w14:textId="77777777" w:rsidR="002D615C" w:rsidRPr="005C2A0F" w:rsidRDefault="002D615C" w:rsidP="002A45A5">
      <w:pPr>
        <w:pStyle w:val="BodyTextMain"/>
        <w:keepNext/>
        <w:rPr>
          <w:i/>
          <w:lang w:val="en-GB"/>
        </w:rPr>
      </w:pPr>
    </w:p>
    <w:p w14:paraId="5CDD6229" w14:textId="22BBCCAF" w:rsidR="002D615C" w:rsidRPr="005C2A0F" w:rsidRDefault="002D615C" w:rsidP="002A45A5">
      <w:pPr>
        <w:pStyle w:val="BodyTextMain"/>
        <w:keepNext/>
        <w:rPr>
          <w:lang w:val="en-GB"/>
        </w:rPr>
      </w:pPr>
      <w:r w:rsidRPr="005C2A0F">
        <w:rPr>
          <w:lang w:val="en-GB"/>
        </w:rPr>
        <w:t xml:space="preserve">Under the </w:t>
      </w:r>
      <w:r w:rsidRPr="006B00B4">
        <w:rPr>
          <w:i/>
          <w:lang w:val="en-GB"/>
        </w:rPr>
        <w:t>1940 Act</w:t>
      </w:r>
      <w:r w:rsidRPr="005C2A0F">
        <w:rPr>
          <w:lang w:val="en-GB"/>
        </w:rPr>
        <w:t xml:space="preserve">, mutual funds </w:t>
      </w:r>
      <w:r w:rsidR="00B33823">
        <w:rPr>
          <w:lang w:val="en-GB"/>
        </w:rPr>
        <w:t>needed to</w:t>
      </w:r>
      <w:r w:rsidR="00B33823" w:rsidRPr="005C2A0F">
        <w:rPr>
          <w:lang w:val="en-GB"/>
        </w:rPr>
        <w:t xml:space="preserve"> </w:t>
      </w:r>
      <w:r w:rsidRPr="005C2A0F">
        <w:rPr>
          <w:lang w:val="en-GB"/>
        </w:rPr>
        <w:t xml:space="preserve">offer daily liquidity to their investors who must be able to redeem at the fund’s </w:t>
      </w:r>
      <w:r w:rsidR="00B33823">
        <w:rPr>
          <w:lang w:val="en-GB"/>
        </w:rPr>
        <w:t>n</w:t>
      </w:r>
      <w:r w:rsidRPr="005C2A0F">
        <w:rPr>
          <w:lang w:val="en-GB"/>
        </w:rPr>
        <w:t xml:space="preserve">et </w:t>
      </w:r>
      <w:r w:rsidR="00B33823">
        <w:rPr>
          <w:lang w:val="en-GB"/>
        </w:rPr>
        <w:t>a</w:t>
      </w:r>
      <w:r w:rsidRPr="005C2A0F">
        <w:rPr>
          <w:lang w:val="en-GB"/>
        </w:rPr>
        <w:t xml:space="preserve">sset </w:t>
      </w:r>
      <w:r w:rsidR="00B33823">
        <w:rPr>
          <w:lang w:val="en-GB"/>
        </w:rPr>
        <w:t>v</w:t>
      </w:r>
      <w:r w:rsidRPr="005C2A0F">
        <w:rPr>
          <w:lang w:val="en-GB"/>
        </w:rPr>
        <w:t>alue (NAV). Due to these requirements, 85</w:t>
      </w:r>
      <w:r w:rsidR="00B33823">
        <w:rPr>
          <w:lang w:val="en-GB"/>
        </w:rPr>
        <w:t xml:space="preserve"> per cent</w:t>
      </w:r>
      <w:r w:rsidRPr="005C2A0F">
        <w:rPr>
          <w:lang w:val="en-GB"/>
        </w:rPr>
        <w:t xml:space="preserve"> of an equity mutual fund’s assets </w:t>
      </w:r>
      <w:r w:rsidR="00A54207">
        <w:rPr>
          <w:lang w:val="en-GB"/>
        </w:rPr>
        <w:t>needed to</w:t>
      </w:r>
      <w:r w:rsidR="00A54207" w:rsidRPr="005C2A0F">
        <w:rPr>
          <w:lang w:val="en-GB"/>
        </w:rPr>
        <w:t xml:space="preserve"> </w:t>
      </w:r>
      <w:r w:rsidRPr="005C2A0F">
        <w:rPr>
          <w:lang w:val="en-GB"/>
        </w:rPr>
        <w:t xml:space="preserve">be liquid at all times. By contrast, hedge funds </w:t>
      </w:r>
      <w:r w:rsidR="0026152E">
        <w:rPr>
          <w:lang w:val="en-GB"/>
        </w:rPr>
        <w:t xml:space="preserve">were </w:t>
      </w:r>
      <w:r w:rsidRPr="005C2A0F">
        <w:rPr>
          <w:lang w:val="en-GB"/>
        </w:rPr>
        <w:t xml:space="preserve">exempt from the </w:t>
      </w:r>
      <w:r w:rsidRPr="006B00B4">
        <w:rPr>
          <w:i/>
          <w:lang w:val="en-GB"/>
        </w:rPr>
        <w:t>1940 Act</w:t>
      </w:r>
      <w:r w:rsidRPr="005C2A0F">
        <w:rPr>
          <w:lang w:val="en-GB"/>
        </w:rPr>
        <w:t xml:space="preserve"> </w:t>
      </w:r>
      <w:r w:rsidR="0026152E">
        <w:rPr>
          <w:lang w:val="en-GB"/>
        </w:rPr>
        <w:t xml:space="preserve">and </w:t>
      </w:r>
      <w:r w:rsidR="00CD19AD">
        <w:rPr>
          <w:lang w:val="en-GB"/>
        </w:rPr>
        <w:t xml:space="preserve">were </w:t>
      </w:r>
      <w:r w:rsidR="0026152E">
        <w:rPr>
          <w:lang w:val="en-GB"/>
        </w:rPr>
        <w:t>therefore</w:t>
      </w:r>
      <w:r w:rsidR="00B33823" w:rsidRPr="005C2A0F">
        <w:rPr>
          <w:lang w:val="en-GB"/>
        </w:rPr>
        <w:t xml:space="preserve"> </w:t>
      </w:r>
      <w:r w:rsidRPr="005C2A0F">
        <w:rPr>
          <w:lang w:val="en-GB"/>
        </w:rPr>
        <w:t xml:space="preserve">not subject to these requirements; </w:t>
      </w:r>
      <w:r w:rsidR="00B33823">
        <w:rPr>
          <w:lang w:val="en-GB"/>
        </w:rPr>
        <w:t xml:space="preserve">however, </w:t>
      </w:r>
      <w:r w:rsidRPr="005C2A0F">
        <w:rPr>
          <w:lang w:val="en-GB"/>
        </w:rPr>
        <w:t xml:space="preserve">they often </w:t>
      </w:r>
      <w:r w:rsidR="00B33823" w:rsidRPr="005C2A0F">
        <w:rPr>
          <w:lang w:val="en-GB"/>
        </w:rPr>
        <w:t>ha</w:t>
      </w:r>
      <w:r w:rsidR="00B33823">
        <w:rPr>
          <w:lang w:val="en-GB"/>
        </w:rPr>
        <w:t>d</w:t>
      </w:r>
      <w:r w:rsidR="00B33823" w:rsidRPr="005C2A0F">
        <w:rPr>
          <w:lang w:val="en-GB"/>
        </w:rPr>
        <w:t xml:space="preserve"> </w:t>
      </w:r>
      <w:r w:rsidRPr="005C2A0F">
        <w:rPr>
          <w:lang w:val="en-GB"/>
        </w:rPr>
        <w:t>lock-up periods</w:t>
      </w:r>
      <w:r w:rsidR="0078652B" w:rsidRPr="005C2A0F">
        <w:rPr>
          <w:rStyle w:val="FootnoteReference"/>
          <w:lang w:val="en-GB"/>
        </w:rPr>
        <w:footnoteReference w:id="10"/>
      </w:r>
      <w:r w:rsidRPr="005C2A0F">
        <w:rPr>
          <w:lang w:val="en-GB"/>
        </w:rPr>
        <w:t xml:space="preserve"> of </w:t>
      </w:r>
      <w:r w:rsidR="00B33823">
        <w:rPr>
          <w:lang w:val="en-GB"/>
        </w:rPr>
        <w:t>one</w:t>
      </w:r>
      <w:r w:rsidR="00B33823" w:rsidRPr="005C2A0F">
        <w:rPr>
          <w:lang w:val="en-GB"/>
        </w:rPr>
        <w:t xml:space="preserve"> </w:t>
      </w:r>
      <w:r w:rsidRPr="005C2A0F">
        <w:rPr>
          <w:lang w:val="en-GB"/>
        </w:rPr>
        <w:t xml:space="preserve">year or more. Hedge funds </w:t>
      </w:r>
      <w:r w:rsidR="00B33823">
        <w:rPr>
          <w:lang w:val="en-GB"/>
        </w:rPr>
        <w:t>could</w:t>
      </w:r>
      <w:r w:rsidR="00B33823" w:rsidRPr="005C2A0F">
        <w:rPr>
          <w:lang w:val="en-GB"/>
        </w:rPr>
        <w:t xml:space="preserve"> </w:t>
      </w:r>
      <w:r w:rsidRPr="005C2A0F">
        <w:rPr>
          <w:lang w:val="en-GB"/>
        </w:rPr>
        <w:t xml:space="preserve">also choose to invest in more illiquid securities since they </w:t>
      </w:r>
      <w:r w:rsidR="00B33823">
        <w:rPr>
          <w:lang w:val="en-GB"/>
        </w:rPr>
        <w:t>we</w:t>
      </w:r>
      <w:r w:rsidR="00B33823" w:rsidRPr="005C2A0F">
        <w:rPr>
          <w:lang w:val="en-GB"/>
        </w:rPr>
        <w:t xml:space="preserve">re </w:t>
      </w:r>
      <w:r w:rsidRPr="005C2A0F">
        <w:rPr>
          <w:lang w:val="en-GB"/>
        </w:rPr>
        <w:t xml:space="preserve">not subject to daily redemptions. </w:t>
      </w:r>
    </w:p>
    <w:p w14:paraId="340BB343" w14:textId="77777777" w:rsidR="002D615C" w:rsidRPr="005C2A0F" w:rsidRDefault="002D615C" w:rsidP="002D615C">
      <w:pPr>
        <w:pStyle w:val="BodyTextMain"/>
        <w:rPr>
          <w:lang w:val="en-GB"/>
        </w:rPr>
      </w:pPr>
    </w:p>
    <w:p w14:paraId="3FE8D3A7" w14:textId="19A80BE6" w:rsidR="002D615C" w:rsidRPr="005C2A0F" w:rsidRDefault="002D615C" w:rsidP="002D615C">
      <w:pPr>
        <w:pStyle w:val="BodyTextMain"/>
        <w:rPr>
          <w:lang w:val="en-GB"/>
        </w:rPr>
      </w:pPr>
      <w:r w:rsidRPr="005C2A0F">
        <w:rPr>
          <w:lang w:val="en-GB"/>
        </w:rPr>
        <w:t xml:space="preserve">Under the </w:t>
      </w:r>
      <w:r w:rsidRPr="006B00B4">
        <w:rPr>
          <w:i/>
          <w:lang w:val="en-GB"/>
        </w:rPr>
        <w:t>Securities Act of 1933</w:t>
      </w:r>
      <w:r w:rsidR="00B33823">
        <w:rPr>
          <w:i/>
          <w:lang w:val="en-GB"/>
        </w:rPr>
        <w:t xml:space="preserve"> </w:t>
      </w:r>
      <w:r w:rsidR="00B33823">
        <w:rPr>
          <w:lang w:val="en-GB"/>
        </w:rPr>
        <w:t xml:space="preserve">(the </w:t>
      </w:r>
      <w:r w:rsidR="00B33823" w:rsidRPr="006B00B4">
        <w:rPr>
          <w:i/>
          <w:lang w:val="en-GB"/>
        </w:rPr>
        <w:t>1933 Act</w:t>
      </w:r>
      <w:r w:rsidR="00B33823">
        <w:rPr>
          <w:lang w:val="en-GB"/>
        </w:rPr>
        <w:t>)</w:t>
      </w:r>
      <w:r w:rsidRPr="005C2A0F">
        <w:rPr>
          <w:lang w:val="en-GB"/>
        </w:rPr>
        <w:t xml:space="preserve">, mutual funds </w:t>
      </w:r>
      <w:r w:rsidR="00B33823">
        <w:rPr>
          <w:lang w:val="en-GB"/>
        </w:rPr>
        <w:t>we</w:t>
      </w:r>
      <w:r w:rsidR="00B33823" w:rsidRPr="005C2A0F">
        <w:rPr>
          <w:lang w:val="en-GB"/>
        </w:rPr>
        <w:t xml:space="preserve">re </w:t>
      </w:r>
      <w:r w:rsidRPr="005C2A0F">
        <w:rPr>
          <w:lang w:val="en-GB"/>
        </w:rPr>
        <w:t xml:space="preserve">required to use a standardized methodology for reporting their performance on a monthly basis. If they </w:t>
      </w:r>
      <w:r w:rsidR="00B33823" w:rsidRPr="005C2A0F">
        <w:rPr>
          <w:lang w:val="en-GB"/>
        </w:rPr>
        <w:t>ma</w:t>
      </w:r>
      <w:r w:rsidR="00B33823">
        <w:rPr>
          <w:lang w:val="en-GB"/>
        </w:rPr>
        <w:t>d</w:t>
      </w:r>
      <w:r w:rsidR="00B33823" w:rsidRPr="005C2A0F">
        <w:rPr>
          <w:lang w:val="en-GB"/>
        </w:rPr>
        <w:t xml:space="preserve">e </w:t>
      </w:r>
      <w:r w:rsidRPr="005C2A0F">
        <w:rPr>
          <w:lang w:val="en-GB"/>
        </w:rPr>
        <w:t xml:space="preserve">only private offerings, hedge </w:t>
      </w:r>
      <w:r w:rsidRPr="005C2A0F">
        <w:rPr>
          <w:lang w:val="en-GB"/>
        </w:rPr>
        <w:lastRenderedPageBreak/>
        <w:t xml:space="preserve">funds </w:t>
      </w:r>
      <w:r w:rsidR="00B33823">
        <w:rPr>
          <w:lang w:val="en-GB"/>
        </w:rPr>
        <w:t>we</w:t>
      </w:r>
      <w:r w:rsidR="00B33823" w:rsidRPr="005C2A0F">
        <w:rPr>
          <w:lang w:val="en-GB"/>
        </w:rPr>
        <w:t xml:space="preserve">re </w:t>
      </w:r>
      <w:r w:rsidRPr="005C2A0F">
        <w:rPr>
          <w:lang w:val="en-GB"/>
        </w:rPr>
        <w:t xml:space="preserve">exempt from the </w:t>
      </w:r>
      <w:r w:rsidRPr="006B00B4">
        <w:rPr>
          <w:i/>
          <w:lang w:val="en-GB"/>
        </w:rPr>
        <w:t>1933 Act</w:t>
      </w:r>
      <w:r w:rsidR="00CD19AD">
        <w:rPr>
          <w:i/>
          <w:lang w:val="en-GB"/>
        </w:rPr>
        <w:t>.</w:t>
      </w:r>
      <w:r w:rsidRPr="005C2A0F">
        <w:rPr>
          <w:lang w:val="en-GB"/>
        </w:rPr>
        <w:t xml:space="preserve"> </w:t>
      </w:r>
      <w:r w:rsidR="00CD19AD">
        <w:rPr>
          <w:lang w:val="en-GB"/>
        </w:rPr>
        <w:t>T</w:t>
      </w:r>
      <w:r w:rsidRPr="005C2A0F">
        <w:rPr>
          <w:lang w:val="en-GB"/>
        </w:rPr>
        <w:t>herefore</w:t>
      </w:r>
      <w:r w:rsidR="00CD19AD">
        <w:rPr>
          <w:lang w:val="en-GB"/>
        </w:rPr>
        <w:t>, they</w:t>
      </w:r>
      <w:r w:rsidRPr="005C2A0F">
        <w:rPr>
          <w:lang w:val="en-GB"/>
        </w:rPr>
        <w:t xml:space="preserve"> </w:t>
      </w:r>
      <w:r w:rsidR="00B33823" w:rsidRPr="005C2A0F">
        <w:rPr>
          <w:lang w:val="en-GB"/>
        </w:rPr>
        <w:t>c</w:t>
      </w:r>
      <w:r w:rsidR="00B33823">
        <w:rPr>
          <w:lang w:val="en-GB"/>
        </w:rPr>
        <w:t>ould</w:t>
      </w:r>
      <w:r w:rsidR="00B33823" w:rsidRPr="005C2A0F">
        <w:rPr>
          <w:lang w:val="en-GB"/>
        </w:rPr>
        <w:t xml:space="preserve"> </w:t>
      </w:r>
      <w:r w:rsidRPr="005C2A0F">
        <w:rPr>
          <w:lang w:val="en-GB"/>
        </w:rPr>
        <w:t xml:space="preserve">choose when to report their performance and </w:t>
      </w:r>
      <w:r w:rsidR="00B33823" w:rsidRPr="005C2A0F">
        <w:rPr>
          <w:lang w:val="en-GB"/>
        </w:rPr>
        <w:t>c</w:t>
      </w:r>
      <w:r w:rsidR="00B33823">
        <w:rPr>
          <w:lang w:val="en-GB"/>
        </w:rPr>
        <w:t>ould</w:t>
      </w:r>
      <w:r w:rsidR="00B33823" w:rsidRPr="005C2A0F">
        <w:rPr>
          <w:lang w:val="en-GB"/>
        </w:rPr>
        <w:t xml:space="preserve"> </w:t>
      </w:r>
      <w:r w:rsidRPr="005C2A0F">
        <w:rPr>
          <w:lang w:val="en-GB"/>
        </w:rPr>
        <w:t xml:space="preserve">include whatever information they chose. Furthermore, all registered investment companies </w:t>
      </w:r>
      <w:r w:rsidR="00B33823">
        <w:rPr>
          <w:lang w:val="en-GB"/>
        </w:rPr>
        <w:t>we</w:t>
      </w:r>
      <w:r w:rsidR="00B33823" w:rsidRPr="005C2A0F">
        <w:rPr>
          <w:lang w:val="en-GB"/>
        </w:rPr>
        <w:t xml:space="preserve">re </w:t>
      </w:r>
      <w:r w:rsidRPr="005C2A0F">
        <w:rPr>
          <w:lang w:val="en-GB"/>
        </w:rPr>
        <w:t xml:space="preserve">required to report their portfolio holdings to the SEC each month. Every registered fund </w:t>
      </w:r>
      <w:r w:rsidR="00B33823">
        <w:rPr>
          <w:lang w:val="en-GB"/>
        </w:rPr>
        <w:t>needed to</w:t>
      </w:r>
      <w:r w:rsidR="00B33823" w:rsidRPr="005C2A0F">
        <w:rPr>
          <w:lang w:val="en-GB"/>
        </w:rPr>
        <w:t xml:space="preserve"> </w:t>
      </w:r>
      <w:r w:rsidRPr="005C2A0F">
        <w:rPr>
          <w:lang w:val="en-GB"/>
        </w:rPr>
        <w:t>file a</w:t>
      </w:r>
      <w:r w:rsidR="00B33823">
        <w:rPr>
          <w:lang w:val="en-GB"/>
        </w:rPr>
        <w:t>n</w:t>
      </w:r>
      <w:r w:rsidRPr="005C2A0F">
        <w:rPr>
          <w:lang w:val="en-GB"/>
        </w:rPr>
        <w:t xml:space="preserve"> “N-PORT” </w:t>
      </w:r>
      <w:r w:rsidR="00B33823">
        <w:rPr>
          <w:lang w:val="en-GB"/>
        </w:rPr>
        <w:t xml:space="preserve">form </w:t>
      </w:r>
      <w:r w:rsidRPr="005C2A0F">
        <w:rPr>
          <w:lang w:val="en-GB"/>
        </w:rPr>
        <w:t>with the SEC no later than 30 days after the end of each month</w:t>
      </w:r>
      <w:r w:rsidR="00B33823">
        <w:rPr>
          <w:lang w:val="en-GB"/>
        </w:rPr>
        <w:t>,</w:t>
      </w:r>
      <w:r w:rsidRPr="005C2A0F">
        <w:rPr>
          <w:lang w:val="en-GB"/>
        </w:rPr>
        <w:t xml:space="preserve"> and </w:t>
      </w:r>
      <w:r w:rsidR="00B33823">
        <w:rPr>
          <w:lang w:val="en-GB"/>
        </w:rPr>
        <w:t xml:space="preserve">the SEC released </w:t>
      </w:r>
      <w:r w:rsidRPr="005C2A0F">
        <w:rPr>
          <w:lang w:val="en-GB"/>
        </w:rPr>
        <w:t>these filings to the public 60 days after the fund’s most recent fiscal quarter</w:t>
      </w:r>
      <w:r w:rsidR="00B33823">
        <w:rPr>
          <w:lang w:val="en-GB"/>
        </w:rPr>
        <w:t>.</w:t>
      </w:r>
      <w:r w:rsidRPr="005C2A0F">
        <w:rPr>
          <w:rStyle w:val="FootnoteReference"/>
          <w:lang w:val="en-GB"/>
        </w:rPr>
        <w:footnoteReference w:id="11"/>
      </w:r>
      <w:r w:rsidRPr="005C2A0F">
        <w:rPr>
          <w:lang w:val="en-GB"/>
        </w:rPr>
        <w:t xml:space="preserve"> Hedge funds </w:t>
      </w:r>
      <w:r w:rsidR="00B33823">
        <w:rPr>
          <w:lang w:val="en-GB"/>
        </w:rPr>
        <w:t>were not required</w:t>
      </w:r>
      <w:r w:rsidRPr="005C2A0F">
        <w:rPr>
          <w:lang w:val="en-GB"/>
        </w:rPr>
        <w:t xml:space="preserve"> to comply with this reporting requirement.</w:t>
      </w:r>
    </w:p>
    <w:p w14:paraId="620C7DFD" w14:textId="5224B117" w:rsidR="002D615C" w:rsidRPr="005C2A0F" w:rsidRDefault="002D615C" w:rsidP="002D615C">
      <w:pPr>
        <w:pStyle w:val="BodyTextMain"/>
        <w:rPr>
          <w:lang w:val="en-GB"/>
        </w:rPr>
      </w:pPr>
    </w:p>
    <w:p w14:paraId="6D36AF97" w14:textId="77777777" w:rsidR="002D615C" w:rsidRPr="005C2A0F" w:rsidRDefault="002D615C" w:rsidP="002D615C">
      <w:pPr>
        <w:pStyle w:val="BodyTextMain"/>
        <w:rPr>
          <w:lang w:val="en-GB"/>
        </w:rPr>
      </w:pPr>
    </w:p>
    <w:p w14:paraId="144A4853" w14:textId="7EC05284" w:rsidR="002D615C" w:rsidRPr="005C2A0F" w:rsidRDefault="002D615C" w:rsidP="002D615C">
      <w:pPr>
        <w:pStyle w:val="Casehead3"/>
        <w:rPr>
          <w:lang w:val="en-GB"/>
        </w:rPr>
      </w:pPr>
      <w:r w:rsidRPr="005C2A0F">
        <w:rPr>
          <w:lang w:val="en-GB"/>
        </w:rPr>
        <w:t xml:space="preserve">Governance </w:t>
      </w:r>
      <w:r w:rsidR="006512CD">
        <w:rPr>
          <w:lang w:val="en-GB"/>
        </w:rPr>
        <w:t>and</w:t>
      </w:r>
      <w:r w:rsidR="006512CD" w:rsidRPr="005C2A0F">
        <w:rPr>
          <w:lang w:val="en-GB"/>
        </w:rPr>
        <w:t xml:space="preserve"> </w:t>
      </w:r>
      <w:r w:rsidRPr="005C2A0F">
        <w:rPr>
          <w:lang w:val="en-GB"/>
        </w:rPr>
        <w:t>Taxation</w:t>
      </w:r>
    </w:p>
    <w:p w14:paraId="00C563D6" w14:textId="77777777" w:rsidR="002D615C" w:rsidRPr="005C2A0F" w:rsidRDefault="002D615C" w:rsidP="002D615C">
      <w:pPr>
        <w:pStyle w:val="BodyTextMain"/>
        <w:rPr>
          <w:i/>
          <w:lang w:val="en-GB"/>
        </w:rPr>
      </w:pPr>
    </w:p>
    <w:p w14:paraId="2F93A764" w14:textId="471F7750" w:rsidR="002D615C" w:rsidRPr="005C2A0F" w:rsidRDefault="002D615C" w:rsidP="002D615C">
      <w:pPr>
        <w:pStyle w:val="BodyTextMain"/>
        <w:rPr>
          <w:lang w:val="en-GB"/>
        </w:rPr>
      </w:pPr>
      <w:r w:rsidRPr="005C2A0F">
        <w:rPr>
          <w:lang w:val="en-GB"/>
        </w:rPr>
        <w:t xml:space="preserve">Mutual funds </w:t>
      </w:r>
      <w:r w:rsidR="00A54207">
        <w:rPr>
          <w:lang w:val="en-GB"/>
        </w:rPr>
        <w:t>needed to</w:t>
      </w:r>
      <w:r w:rsidR="00A54207" w:rsidRPr="005C2A0F">
        <w:rPr>
          <w:lang w:val="en-GB"/>
        </w:rPr>
        <w:t xml:space="preserve"> </w:t>
      </w:r>
      <w:r w:rsidRPr="005C2A0F">
        <w:rPr>
          <w:lang w:val="en-GB"/>
        </w:rPr>
        <w:t xml:space="preserve">abide by stricter governance rules than hedge funds. Mutual funds </w:t>
      </w:r>
      <w:r w:rsidR="00A54207">
        <w:rPr>
          <w:lang w:val="en-GB"/>
        </w:rPr>
        <w:t>we</w:t>
      </w:r>
      <w:r w:rsidR="00A54207" w:rsidRPr="005C2A0F">
        <w:rPr>
          <w:lang w:val="en-GB"/>
        </w:rPr>
        <w:t xml:space="preserve">re </w:t>
      </w:r>
      <w:r w:rsidRPr="005C2A0F">
        <w:rPr>
          <w:lang w:val="en-GB"/>
        </w:rPr>
        <w:t xml:space="preserve">required to have boards with a majority of independent directors, while hedge funds </w:t>
      </w:r>
      <w:r w:rsidR="00B26BC5">
        <w:rPr>
          <w:lang w:val="en-GB"/>
        </w:rPr>
        <w:t>did</w:t>
      </w:r>
      <w:r w:rsidR="00B26BC5" w:rsidRPr="005C2A0F">
        <w:rPr>
          <w:lang w:val="en-GB"/>
        </w:rPr>
        <w:t xml:space="preserve"> </w:t>
      </w:r>
      <w:r w:rsidRPr="005C2A0F">
        <w:rPr>
          <w:lang w:val="en-GB"/>
        </w:rPr>
        <w:t xml:space="preserve">not </w:t>
      </w:r>
      <w:r w:rsidR="0080047D">
        <w:rPr>
          <w:lang w:val="en-GB"/>
        </w:rPr>
        <w:t>need</w:t>
      </w:r>
      <w:r w:rsidR="0080047D" w:rsidRPr="005C2A0F">
        <w:rPr>
          <w:lang w:val="en-GB"/>
        </w:rPr>
        <w:t xml:space="preserve"> </w:t>
      </w:r>
      <w:r w:rsidRPr="005C2A0F">
        <w:rPr>
          <w:lang w:val="en-GB"/>
        </w:rPr>
        <w:t xml:space="preserve">to meet this requirement. Hedge funds </w:t>
      </w:r>
      <w:r w:rsidR="00B26BC5">
        <w:rPr>
          <w:lang w:val="en-GB"/>
        </w:rPr>
        <w:t>we</w:t>
      </w:r>
      <w:r w:rsidR="00B26BC5" w:rsidRPr="005C2A0F">
        <w:rPr>
          <w:lang w:val="en-GB"/>
        </w:rPr>
        <w:t xml:space="preserve">re </w:t>
      </w:r>
      <w:r w:rsidRPr="005C2A0F">
        <w:rPr>
          <w:lang w:val="en-GB"/>
        </w:rPr>
        <w:t xml:space="preserve">almost always structured as limited partnerships, where the fund manager </w:t>
      </w:r>
      <w:r w:rsidR="00B26BC5">
        <w:rPr>
          <w:lang w:val="en-GB"/>
        </w:rPr>
        <w:t>wa</w:t>
      </w:r>
      <w:r w:rsidR="00B26BC5" w:rsidRPr="005C2A0F">
        <w:rPr>
          <w:lang w:val="en-GB"/>
        </w:rPr>
        <w:t xml:space="preserve">s </w:t>
      </w:r>
      <w:r w:rsidRPr="005C2A0F">
        <w:rPr>
          <w:lang w:val="en-GB"/>
        </w:rPr>
        <w:t xml:space="preserve">the general partner and the investors </w:t>
      </w:r>
      <w:r w:rsidR="00B26BC5">
        <w:rPr>
          <w:lang w:val="en-GB"/>
        </w:rPr>
        <w:t>we</w:t>
      </w:r>
      <w:r w:rsidR="00B26BC5" w:rsidRPr="005C2A0F">
        <w:rPr>
          <w:lang w:val="en-GB"/>
        </w:rPr>
        <w:t xml:space="preserve">re </w:t>
      </w:r>
      <w:r w:rsidRPr="005C2A0F">
        <w:rPr>
          <w:lang w:val="en-GB"/>
        </w:rPr>
        <w:t>all the limited partners.</w:t>
      </w:r>
    </w:p>
    <w:p w14:paraId="4E8965F8" w14:textId="77777777" w:rsidR="002D615C" w:rsidRPr="005C2A0F" w:rsidRDefault="002D615C" w:rsidP="002D615C">
      <w:pPr>
        <w:pStyle w:val="BodyTextMain"/>
        <w:rPr>
          <w:lang w:val="en-GB"/>
        </w:rPr>
      </w:pPr>
    </w:p>
    <w:p w14:paraId="0819BABE" w14:textId="148733CE" w:rsidR="002D615C" w:rsidRPr="005C2A0F" w:rsidRDefault="002D615C" w:rsidP="002D615C">
      <w:pPr>
        <w:pStyle w:val="BodyTextMain"/>
        <w:rPr>
          <w:lang w:val="en-GB"/>
        </w:rPr>
      </w:pPr>
      <w:r w:rsidRPr="005C2A0F">
        <w:rPr>
          <w:lang w:val="en-GB"/>
        </w:rPr>
        <w:t xml:space="preserve">From a taxation standpoint, both mutual funds and hedge funds </w:t>
      </w:r>
      <w:r w:rsidR="00B26BC5">
        <w:rPr>
          <w:lang w:val="en-GB"/>
        </w:rPr>
        <w:t>we</w:t>
      </w:r>
      <w:r w:rsidR="00B26BC5" w:rsidRPr="005C2A0F">
        <w:rPr>
          <w:lang w:val="en-GB"/>
        </w:rPr>
        <w:t xml:space="preserve">re </w:t>
      </w:r>
      <w:r w:rsidRPr="005C2A0F">
        <w:rPr>
          <w:lang w:val="en-GB"/>
        </w:rPr>
        <w:t xml:space="preserve">pass-through institutions. A tax pass-through </w:t>
      </w:r>
      <w:r w:rsidR="00B26BC5" w:rsidRPr="005C2A0F">
        <w:rPr>
          <w:lang w:val="en-GB"/>
        </w:rPr>
        <w:t>mean</w:t>
      </w:r>
      <w:r w:rsidR="00B26BC5">
        <w:rPr>
          <w:lang w:val="en-GB"/>
        </w:rPr>
        <w:t>t</w:t>
      </w:r>
      <w:r w:rsidR="00B26BC5" w:rsidRPr="005C2A0F">
        <w:rPr>
          <w:lang w:val="en-GB"/>
        </w:rPr>
        <w:t xml:space="preserve"> </w:t>
      </w:r>
      <w:r w:rsidRPr="005C2A0F">
        <w:rPr>
          <w:lang w:val="en-GB"/>
        </w:rPr>
        <w:t xml:space="preserve">that the fund </w:t>
      </w:r>
      <w:r w:rsidR="00B26BC5" w:rsidRPr="005C2A0F">
        <w:rPr>
          <w:lang w:val="en-GB"/>
        </w:rPr>
        <w:t>pa</w:t>
      </w:r>
      <w:r w:rsidR="00B26BC5">
        <w:rPr>
          <w:lang w:val="en-GB"/>
        </w:rPr>
        <w:t>id</w:t>
      </w:r>
      <w:r w:rsidR="00B26BC5" w:rsidRPr="005C2A0F">
        <w:rPr>
          <w:lang w:val="en-GB"/>
        </w:rPr>
        <w:t xml:space="preserve"> </w:t>
      </w:r>
      <w:r w:rsidRPr="005C2A0F">
        <w:rPr>
          <w:lang w:val="en-GB"/>
        </w:rPr>
        <w:t>no corporate tax at the entity level; instead</w:t>
      </w:r>
      <w:r w:rsidR="0080047D">
        <w:rPr>
          <w:lang w:val="en-GB"/>
        </w:rPr>
        <w:t>,</w:t>
      </w:r>
      <w:r w:rsidRPr="005C2A0F">
        <w:rPr>
          <w:lang w:val="en-GB"/>
        </w:rPr>
        <w:t xml:space="preserve"> the fund </w:t>
      </w:r>
      <w:r w:rsidR="00B26BC5" w:rsidRPr="005C2A0F">
        <w:rPr>
          <w:lang w:val="en-GB"/>
        </w:rPr>
        <w:t>passe</w:t>
      </w:r>
      <w:r w:rsidR="00B26BC5">
        <w:rPr>
          <w:lang w:val="en-GB"/>
        </w:rPr>
        <w:t>d</w:t>
      </w:r>
      <w:r w:rsidR="00B26BC5" w:rsidRPr="005C2A0F">
        <w:rPr>
          <w:lang w:val="en-GB"/>
        </w:rPr>
        <w:t xml:space="preserve"> </w:t>
      </w:r>
      <w:r w:rsidRPr="005C2A0F">
        <w:rPr>
          <w:lang w:val="en-GB"/>
        </w:rPr>
        <w:t>all dividends, interest</w:t>
      </w:r>
      <w:r w:rsidR="0080047D">
        <w:rPr>
          <w:lang w:val="en-GB"/>
        </w:rPr>
        <w:t>,</w:t>
      </w:r>
      <w:r w:rsidRPr="005C2A0F">
        <w:rPr>
          <w:lang w:val="en-GB"/>
        </w:rPr>
        <w:t xml:space="preserve"> and capital gains on to its owners. </w:t>
      </w:r>
    </w:p>
    <w:p w14:paraId="5E1DCC82" w14:textId="04F9C127" w:rsidR="002D615C" w:rsidRPr="005C2A0F" w:rsidRDefault="002D615C" w:rsidP="002D615C">
      <w:pPr>
        <w:pStyle w:val="BodyTextMain"/>
        <w:rPr>
          <w:lang w:val="en-GB"/>
        </w:rPr>
      </w:pPr>
    </w:p>
    <w:p w14:paraId="7C73B288" w14:textId="77777777" w:rsidR="002D615C" w:rsidRPr="005C2A0F" w:rsidRDefault="002D615C" w:rsidP="002D615C">
      <w:pPr>
        <w:pStyle w:val="BodyTextMain"/>
        <w:rPr>
          <w:lang w:val="en-GB"/>
        </w:rPr>
      </w:pPr>
    </w:p>
    <w:p w14:paraId="383B8DFD" w14:textId="77777777" w:rsidR="002D615C" w:rsidRPr="005C2A0F" w:rsidRDefault="002D615C" w:rsidP="002D615C">
      <w:pPr>
        <w:pStyle w:val="Casehead3"/>
        <w:rPr>
          <w:lang w:val="en-GB"/>
        </w:rPr>
      </w:pPr>
      <w:r w:rsidRPr="005C2A0F">
        <w:rPr>
          <w:lang w:val="en-GB"/>
        </w:rPr>
        <w:t>Compensation</w:t>
      </w:r>
    </w:p>
    <w:p w14:paraId="5FC2F8ED" w14:textId="77777777" w:rsidR="002D615C" w:rsidRPr="005C2A0F" w:rsidRDefault="002D615C" w:rsidP="002D615C">
      <w:pPr>
        <w:pStyle w:val="BodyTextMain"/>
        <w:rPr>
          <w:lang w:val="en-GB"/>
        </w:rPr>
      </w:pPr>
    </w:p>
    <w:p w14:paraId="55D48A04" w14:textId="76DCCE20" w:rsidR="002D615C" w:rsidRPr="005C2A0F" w:rsidRDefault="002D615C" w:rsidP="002D615C">
      <w:pPr>
        <w:pStyle w:val="BodyTextMain"/>
        <w:rPr>
          <w:lang w:val="en-GB"/>
        </w:rPr>
      </w:pPr>
      <w:r w:rsidRPr="005C2A0F">
        <w:rPr>
          <w:lang w:val="en-GB"/>
        </w:rPr>
        <w:t xml:space="preserve">While the </w:t>
      </w:r>
      <w:r w:rsidRPr="006B00B4">
        <w:rPr>
          <w:i/>
          <w:lang w:val="en-GB"/>
        </w:rPr>
        <w:t>1940 Act</w:t>
      </w:r>
      <w:r w:rsidRPr="005C2A0F">
        <w:rPr>
          <w:lang w:val="en-GB"/>
        </w:rPr>
        <w:t xml:space="preserve"> </w:t>
      </w:r>
      <w:r w:rsidR="00847FAF" w:rsidRPr="005C2A0F">
        <w:rPr>
          <w:lang w:val="en-GB"/>
        </w:rPr>
        <w:t>regulate</w:t>
      </w:r>
      <w:r w:rsidR="00847FAF">
        <w:rPr>
          <w:lang w:val="en-GB"/>
        </w:rPr>
        <w:t>d</w:t>
      </w:r>
      <w:r w:rsidR="00847FAF" w:rsidRPr="005C2A0F">
        <w:rPr>
          <w:lang w:val="en-GB"/>
        </w:rPr>
        <w:t xml:space="preserve"> </w:t>
      </w:r>
      <w:r w:rsidRPr="005C2A0F">
        <w:rPr>
          <w:lang w:val="en-GB"/>
        </w:rPr>
        <w:t>the behavio</w:t>
      </w:r>
      <w:r w:rsidR="0080047D">
        <w:rPr>
          <w:lang w:val="en-GB"/>
        </w:rPr>
        <w:t>u</w:t>
      </w:r>
      <w:r w:rsidRPr="005C2A0F">
        <w:rPr>
          <w:lang w:val="en-GB"/>
        </w:rPr>
        <w:t xml:space="preserve">r of the fund as an entity, the </w:t>
      </w:r>
      <w:r w:rsidRPr="006B00B4">
        <w:rPr>
          <w:i/>
          <w:lang w:val="en-GB"/>
        </w:rPr>
        <w:t>Investment Advisers Act of 1940</w:t>
      </w:r>
      <w:r w:rsidRPr="005C2A0F">
        <w:rPr>
          <w:lang w:val="en-GB"/>
        </w:rPr>
        <w:t xml:space="preserve"> </w:t>
      </w:r>
      <w:r w:rsidR="0080047D">
        <w:rPr>
          <w:lang w:val="en-GB"/>
        </w:rPr>
        <w:t xml:space="preserve">(the </w:t>
      </w:r>
      <w:r w:rsidR="0080047D" w:rsidRPr="006B00B4">
        <w:rPr>
          <w:i/>
          <w:lang w:val="en-GB"/>
        </w:rPr>
        <w:t>Advisers Act</w:t>
      </w:r>
      <w:r w:rsidR="0080047D">
        <w:rPr>
          <w:lang w:val="en-GB"/>
        </w:rPr>
        <w:t xml:space="preserve">) </w:t>
      </w:r>
      <w:r w:rsidR="00847FAF" w:rsidRPr="005C2A0F">
        <w:rPr>
          <w:lang w:val="en-GB"/>
        </w:rPr>
        <w:t>regulate</w:t>
      </w:r>
      <w:r w:rsidR="00847FAF">
        <w:rPr>
          <w:lang w:val="en-GB"/>
        </w:rPr>
        <w:t>d</w:t>
      </w:r>
      <w:r w:rsidR="00847FAF" w:rsidRPr="005C2A0F">
        <w:rPr>
          <w:lang w:val="en-GB"/>
        </w:rPr>
        <w:t xml:space="preserve"> </w:t>
      </w:r>
      <w:r w:rsidRPr="005C2A0F">
        <w:rPr>
          <w:lang w:val="en-GB"/>
        </w:rPr>
        <w:t>the behavio</w:t>
      </w:r>
      <w:r w:rsidR="0080047D">
        <w:rPr>
          <w:lang w:val="en-GB"/>
        </w:rPr>
        <w:t>u</w:t>
      </w:r>
      <w:r w:rsidRPr="005C2A0F">
        <w:rPr>
          <w:lang w:val="en-GB"/>
        </w:rPr>
        <w:t>r of the fund manager. All advisers to mutual funds</w:t>
      </w:r>
      <w:r w:rsidR="0080047D">
        <w:rPr>
          <w:lang w:val="en-GB"/>
        </w:rPr>
        <w:t>—</w:t>
      </w:r>
      <w:r w:rsidRPr="005C2A0F">
        <w:rPr>
          <w:lang w:val="en-GB"/>
        </w:rPr>
        <w:t xml:space="preserve">and </w:t>
      </w:r>
      <w:r w:rsidR="0080047D">
        <w:rPr>
          <w:lang w:val="en-GB"/>
        </w:rPr>
        <w:t xml:space="preserve">to </w:t>
      </w:r>
      <w:r w:rsidRPr="005C2A0F">
        <w:rPr>
          <w:lang w:val="en-GB"/>
        </w:rPr>
        <w:t xml:space="preserve">any hedge funds with more than $150 million </w:t>
      </w:r>
      <w:r w:rsidR="0080047D">
        <w:rPr>
          <w:lang w:val="en-GB"/>
        </w:rPr>
        <w:t>AUM—</w:t>
      </w:r>
      <w:r w:rsidR="00847FAF">
        <w:rPr>
          <w:lang w:val="en-GB"/>
        </w:rPr>
        <w:t>were required to</w:t>
      </w:r>
      <w:r w:rsidR="00847FAF" w:rsidRPr="005C2A0F">
        <w:rPr>
          <w:lang w:val="en-GB"/>
        </w:rPr>
        <w:t xml:space="preserve"> </w:t>
      </w:r>
      <w:r w:rsidRPr="005C2A0F">
        <w:rPr>
          <w:lang w:val="en-GB"/>
        </w:rPr>
        <w:t xml:space="preserve">register under the </w:t>
      </w:r>
      <w:r w:rsidRPr="006B00B4">
        <w:rPr>
          <w:i/>
          <w:lang w:val="en-GB"/>
        </w:rPr>
        <w:t>Advisers Act</w:t>
      </w:r>
      <w:r w:rsidRPr="005C2A0F">
        <w:rPr>
          <w:lang w:val="en-GB"/>
        </w:rPr>
        <w:t xml:space="preserve">. The </w:t>
      </w:r>
      <w:r w:rsidRPr="006B00B4">
        <w:rPr>
          <w:i/>
          <w:lang w:val="en-GB"/>
        </w:rPr>
        <w:t>Advisers Act</w:t>
      </w:r>
      <w:r w:rsidRPr="005C2A0F">
        <w:rPr>
          <w:lang w:val="en-GB"/>
        </w:rPr>
        <w:t xml:space="preserve"> </w:t>
      </w:r>
      <w:r w:rsidR="00847FAF" w:rsidRPr="005C2A0F">
        <w:rPr>
          <w:lang w:val="en-GB"/>
        </w:rPr>
        <w:t>la</w:t>
      </w:r>
      <w:r w:rsidR="00847FAF">
        <w:rPr>
          <w:lang w:val="en-GB"/>
        </w:rPr>
        <w:t>id</w:t>
      </w:r>
      <w:r w:rsidR="00847FAF" w:rsidRPr="005C2A0F">
        <w:rPr>
          <w:lang w:val="en-GB"/>
        </w:rPr>
        <w:t xml:space="preserve"> </w:t>
      </w:r>
      <w:r w:rsidRPr="005C2A0F">
        <w:rPr>
          <w:lang w:val="en-GB"/>
        </w:rPr>
        <w:t xml:space="preserve">the foundation for one of the most significant differences between hedge funds and mutual funds: performance fees. Rule 205-3 of the </w:t>
      </w:r>
      <w:r w:rsidRPr="006B00B4">
        <w:rPr>
          <w:i/>
          <w:lang w:val="en-GB"/>
        </w:rPr>
        <w:t>Advisers Act</w:t>
      </w:r>
      <w:r w:rsidRPr="005C2A0F">
        <w:rPr>
          <w:lang w:val="en-GB"/>
        </w:rPr>
        <w:t xml:space="preserve"> </w:t>
      </w:r>
      <w:r w:rsidR="00847FAF" w:rsidRPr="005C2A0F">
        <w:rPr>
          <w:lang w:val="en-GB"/>
        </w:rPr>
        <w:t>allow</w:t>
      </w:r>
      <w:r w:rsidR="00847FAF">
        <w:rPr>
          <w:lang w:val="en-GB"/>
        </w:rPr>
        <w:t>ed</w:t>
      </w:r>
      <w:r w:rsidR="00847FAF" w:rsidRPr="005C2A0F">
        <w:rPr>
          <w:lang w:val="en-GB"/>
        </w:rPr>
        <w:t xml:space="preserve"> </w:t>
      </w:r>
      <w:r w:rsidRPr="005C2A0F">
        <w:rPr>
          <w:lang w:val="en-GB"/>
        </w:rPr>
        <w:t xml:space="preserve">hedge funds to charge asymmetric performance fees if all of their investors </w:t>
      </w:r>
      <w:r w:rsidR="00847FAF">
        <w:rPr>
          <w:lang w:val="en-GB"/>
        </w:rPr>
        <w:t>we</w:t>
      </w:r>
      <w:r w:rsidR="00847FAF" w:rsidRPr="005C2A0F">
        <w:rPr>
          <w:lang w:val="en-GB"/>
        </w:rPr>
        <w:t xml:space="preserve">re </w:t>
      </w:r>
      <w:r w:rsidRPr="005C2A0F">
        <w:rPr>
          <w:lang w:val="en-GB"/>
        </w:rPr>
        <w:t>qualified clients</w:t>
      </w:r>
      <w:r w:rsidR="0080047D">
        <w:rPr>
          <w:lang w:val="en-GB"/>
        </w:rPr>
        <w:t>.</w:t>
      </w:r>
      <w:r w:rsidRPr="005C2A0F">
        <w:rPr>
          <w:rStyle w:val="FootnoteReference"/>
          <w:lang w:val="en-GB"/>
        </w:rPr>
        <w:footnoteReference w:id="12"/>
      </w:r>
      <w:r w:rsidRPr="005C2A0F">
        <w:rPr>
          <w:lang w:val="en-GB"/>
        </w:rPr>
        <w:t xml:space="preserve"> Conversely, if managers of mutual funds charge</w:t>
      </w:r>
      <w:r w:rsidR="00847FAF">
        <w:rPr>
          <w:lang w:val="en-GB"/>
        </w:rPr>
        <w:t>d</w:t>
      </w:r>
      <w:r w:rsidRPr="005C2A0F">
        <w:rPr>
          <w:lang w:val="en-GB"/>
        </w:rPr>
        <w:t xml:space="preserve"> performance fees, they </w:t>
      </w:r>
      <w:r w:rsidR="00847FAF">
        <w:rPr>
          <w:lang w:val="en-GB"/>
        </w:rPr>
        <w:t>needed to</w:t>
      </w:r>
      <w:r w:rsidR="00847FAF" w:rsidRPr="005C2A0F">
        <w:rPr>
          <w:lang w:val="en-GB"/>
        </w:rPr>
        <w:t xml:space="preserve"> </w:t>
      </w:r>
      <w:r w:rsidRPr="005C2A0F">
        <w:rPr>
          <w:lang w:val="en-GB"/>
        </w:rPr>
        <w:t xml:space="preserve">be symmetric under </w:t>
      </w:r>
      <w:r w:rsidR="0080047D">
        <w:rPr>
          <w:lang w:val="en-GB"/>
        </w:rPr>
        <w:t xml:space="preserve">the </w:t>
      </w:r>
      <w:r w:rsidRPr="006B00B4">
        <w:rPr>
          <w:i/>
          <w:lang w:val="en-GB"/>
        </w:rPr>
        <w:t>Advisers Act</w:t>
      </w:r>
      <w:r w:rsidRPr="005C2A0F">
        <w:rPr>
          <w:lang w:val="en-GB"/>
        </w:rPr>
        <w:t xml:space="preserve">. For example, if a mutual fund charged a </w:t>
      </w:r>
      <w:r w:rsidR="0080047D">
        <w:rPr>
          <w:lang w:val="en-GB"/>
        </w:rPr>
        <w:t xml:space="preserve">performance fee of </w:t>
      </w:r>
      <w:r w:rsidRPr="005C2A0F">
        <w:rPr>
          <w:lang w:val="en-GB"/>
        </w:rPr>
        <w:t>10 basis point</w:t>
      </w:r>
      <w:r w:rsidR="0080047D">
        <w:rPr>
          <w:lang w:val="en-GB"/>
        </w:rPr>
        <w:t>s</w:t>
      </w:r>
      <w:r w:rsidRPr="005C2A0F">
        <w:rPr>
          <w:lang w:val="en-GB"/>
        </w:rPr>
        <w:t xml:space="preserve"> </w:t>
      </w:r>
      <w:r w:rsidR="00847FAF">
        <w:rPr>
          <w:lang w:val="en-GB"/>
        </w:rPr>
        <w:t>when</w:t>
      </w:r>
      <w:r w:rsidR="0080047D">
        <w:rPr>
          <w:lang w:val="en-GB"/>
        </w:rPr>
        <w:t xml:space="preserve"> it </w:t>
      </w:r>
      <w:r w:rsidR="0080047D" w:rsidRPr="005C2A0F">
        <w:rPr>
          <w:lang w:val="en-GB"/>
        </w:rPr>
        <w:t>outperform</w:t>
      </w:r>
      <w:r w:rsidR="0080047D">
        <w:rPr>
          <w:lang w:val="en-GB"/>
        </w:rPr>
        <w:t>ed</w:t>
      </w:r>
      <w:r w:rsidR="0080047D" w:rsidRPr="005C2A0F">
        <w:rPr>
          <w:lang w:val="en-GB"/>
        </w:rPr>
        <w:t xml:space="preserve"> </w:t>
      </w:r>
      <w:r w:rsidRPr="005C2A0F">
        <w:rPr>
          <w:lang w:val="en-GB"/>
        </w:rPr>
        <w:t>an index by 20</w:t>
      </w:r>
      <w:r w:rsidR="0080047D">
        <w:rPr>
          <w:lang w:val="en-GB"/>
        </w:rPr>
        <w:t xml:space="preserve"> per cent</w:t>
      </w:r>
      <w:r w:rsidRPr="005C2A0F">
        <w:rPr>
          <w:lang w:val="en-GB"/>
        </w:rPr>
        <w:t xml:space="preserve">, it must also </w:t>
      </w:r>
      <w:r w:rsidR="00847FAF">
        <w:rPr>
          <w:lang w:val="en-GB"/>
        </w:rPr>
        <w:t>reduce</w:t>
      </w:r>
      <w:r w:rsidR="00847FAF" w:rsidRPr="005C2A0F">
        <w:rPr>
          <w:lang w:val="en-GB"/>
        </w:rPr>
        <w:t xml:space="preserve"> </w:t>
      </w:r>
      <w:r w:rsidRPr="005C2A0F">
        <w:rPr>
          <w:lang w:val="en-GB"/>
        </w:rPr>
        <w:t xml:space="preserve">its management fee </w:t>
      </w:r>
      <w:r w:rsidR="00847FAF">
        <w:rPr>
          <w:lang w:val="en-GB"/>
        </w:rPr>
        <w:t xml:space="preserve">by </w:t>
      </w:r>
      <w:r w:rsidR="00847FAF" w:rsidRPr="005C2A0F">
        <w:rPr>
          <w:lang w:val="en-GB"/>
        </w:rPr>
        <w:t xml:space="preserve">10 basis points </w:t>
      </w:r>
      <w:r w:rsidR="00847FAF">
        <w:rPr>
          <w:lang w:val="en-GB"/>
        </w:rPr>
        <w:t>when</w:t>
      </w:r>
      <w:r w:rsidR="00847FAF" w:rsidRPr="005C2A0F">
        <w:rPr>
          <w:lang w:val="en-GB"/>
        </w:rPr>
        <w:t xml:space="preserve"> </w:t>
      </w:r>
      <w:r w:rsidRPr="005C2A0F">
        <w:rPr>
          <w:lang w:val="en-GB"/>
        </w:rPr>
        <w:t>it underperformed the same index by 20</w:t>
      </w:r>
      <w:r w:rsidR="0080047D">
        <w:rPr>
          <w:lang w:val="en-GB"/>
        </w:rPr>
        <w:t xml:space="preserve"> per cent</w:t>
      </w:r>
      <w:r w:rsidRPr="005C2A0F">
        <w:rPr>
          <w:lang w:val="en-GB"/>
        </w:rPr>
        <w:t>.</w:t>
      </w:r>
    </w:p>
    <w:p w14:paraId="55BFA733" w14:textId="77777777" w:rsidR="002D615C" w:rsidRPr="005C2A0F" w:rsidRDefault="002D615C" w:rsidP="002D615C">
      <w:pPr>
        <w:pStyle w:val="BodyTextMain"/>
        <w:rPr>
          <w:lang w:val="en-GB"/>
        </w:rPr>
      </w:pPr>
    </w:p>
    <w:p w14:paraId="347E3103" w14:textId="2027F306" w:rsidR="002D615C" w:rsidRDefault="00CD19AD" w:rsidP="002D615C">
      <w:pPr>
        <w:pStyle w:val="BodyTextMain"/>
        <w:rPr>
          <w:lang w:val="en-GB"/>
        </w:rPr>
      </w:pPr>
      <w:r>
        <w:rPr>
          <w:lang w:val="en-GB"/>
        </w:rPr>
        <w:t>Megan</w:t>
      </w:r>
      <w:r w:rsidR="002D615C" w:rsidRPr="005C2A0F">
        <w:rPr>
          <w:lang w:val="en-GB"/>
        </w:rPr>
        <w:t xml:space="preserve"> asked </w:t>
      </w:r>
      <w:r w:rsidR="0080047D">
        <w:rPr>
          <w:lang w:val="en-GB"/>
        </w:rPr>
        <w:t>Caple</w:t>
      </w:r>
      <w:r w:rsidR="0080047D" w:rsidRPr="005C2A0F">
        <w:rPr>
          <w:lang w:val="en-GB"/>
        </w:rPr>
        <w:t xml:space="preserve"> </w:t>
      </w:r>
      <w:r w:rsidR="002D615C" w:rsidRPr="005C2A0F">
        <w:rPr>
          <w:lang w:val="en-GB"/>
        </w:rPr>
        <w:t xml:space="preserve">to </w:t>
      </w:r>
      <w:r w:rsidR="0080047D">
        <w:rPr>
          <w:lang w:val="en-GB"/>
        </w:rPr>
        <w:t>provide</w:t>
      </w:r>
      <w:r w:rsidR="002D615C" w:rsidRPr="005C2A0F">
        <w:rPr>
          <w:lang w:val="en-GB"/>
        </w:rPr>
        <w:t xml:space="preserve"> some standard fee terms for FIM’s new strategy if it were to be structured as a hedge fund (</w:t>
      </w:r>
      <w:r w:rsidR="0080047D">
        <w:rPr>
          <w:lang w:val="en-GB"/>
        </w:rPr>
        <w:t xml:space="preserve">see </w:t>
      </w:r>
      <w:r w:rsidR="002D615C" w:rsidRPr="005C2A0F">
        <w:rPr>
          <w:lang w:val="en-GB"/>
        </w:rPr>
        <w:t xml:space="preserve">Exhibit </w:t>
      </w:r>
      <w:r w:rsidR="00AC62AA">
        <w:rPr>
          <w:lang w:val="en-GB"/>
        </w:rPr>
        <w:t>4</w:t>
      </w:r>
      <w:r w:rsidR="002D615C" w:rsidRPr="005C2A0F">
        <w:rPr>
          <w:lang w:val="en-GB"/>
        </w:rPr>
        <w:t xml:space="preserve">). </w:t>
      </w:r>
      <w:r w:rsidR="0080047D">
        <w:rPr>
          <w:lang w:val="en-GB"/>
        </w:rPr>
        <w:t>Caple</w:t>
      </w:r>
      <w:r w:rsidR="0080047D" w:rsidRPr="005C2A0F">
        <w:rPr>
          <w:lang w:val="en-GB"/>
        </w:rPr>
        <w:t xml:space="preserve"> </w:t>
      </w:r>
      <w:r w:rsidR="002D615C" w:rsidRPr="005C2A0F">
        <w:rPr>
          <w:lang w:val="en-GB"/>
        </w:rPr>
        <w:t>suggested the following terms:</w:t>
      </w:r>
    </w:p>
    <w:p w14:paraId="531AC0F9" w14:textId="77777777" w:rsidR="00CD19AD" w:rsidRPr="005C2A0F" w:rsidRDefault="00CD19AD" w:rsidP="002D615C">
      <w:pPr>
        <w:pStyle w:val="BodyTextMain"/>
        <w:rPr>
          <w:lang w:val="en-GB"/>
        </w:rPr>
      </w:pPr>
    </w:p>
    <w:p w14:paraId="549D9E86" w14:textId="6998F8ED" w:rsidR="002D615C" w:rsidRPr="005C2A0F" w:rsidRDefault="002D615C" w:rsidP="002D615C">
      <w:pPr>
        <w:pStyle w:val="BodyTextMain"/>
        <w:rPr>
          <w:lang w:val="en-GB"/>
        </w:rPr>
      </w:pPr>
      <w:r w:rsidRPr="005C2A0F">
        <w:rPr>
          <w:i/>
          <w:lang w:val="en-GB"/>
        </w:rPr>
        <w:t>Base fee</w:t>
      </w:r>
      <w:r w:rsidRPr="005C2A0F">
        <w:rPr>
          <w:lang w:val="en-GB"/>
        </w:rPr>
        <w:t>: Annual management fee equal to 1.5</w:t>
      </w:r>
      <w:r w:rsidR="0080047D">
        <w:rPr>
          <w:lang w:val="en-GB"/>
        </w:rPr>
        <w:t xml:space="preserve"> per cent</w:t>
      </w:r>
      <w:r w:rsidRPr="005C2A0F">
        <w:rPr>
          <w:lang w:val="en-GB"/>
        </w:rPr>
        <w:t xml:space="preserve"> of </w:t>
      </w:r>
      <w:r w:rsidR="00CD19AD">
        <w:rPr>
          <w:lang w:val="en-GB"/>
        </w:rPr>
        <w:t>AUM</w:t>
      </w:r>
    </w:p>
    <w:p w14:paraId="3DD76F1E" w14:textId="77777777" w:rsidR="002D615C" w:rsidRPr="005C2A0F" w:rsidRDefault="002D615C" w:rsidP="002D615C">
      <w:pPr>
        <w:pStyle w:val="BodyTextMain"/>
        <w:rPr>
          <w:lang w:val="en-GB"/>
        </w:rPr>
      </w:pPr>
    </w:p>
    <w:p w14:paraId="0CCEB615" w14:textId="2C927890" w:rsidR="002D615C" w:rsidRPr="005C2A0F" w:rsidRDefault="002D615C" w:rsidP="002D615C">
      <w:pPr>
        <w:pStyle w:val="BodyTextMain"/>
        <w:rPr>
          <w:lang w:val="en-GB"/>
        </w:rPr>
      </w:pPr>
      <w:r w:rsidRPr="005C2A0F">
        <w:rPr>
          <w:i/>
          <w:lang w:val="en-GB"/>
        </w:rPr>
        <w:t>Performance fee</w:t>
      </w:r>
      <w:r w:rsidRPr="005C2A0F">
        <w:rPr>
          <w:lang w:val="en-GB"/>
        </w:rPr>
        <w:t>: 20</w:t>
      </w:r>
      <w:r w:rsidR="0080047D">
        <w:rPr>
          <w:lang w:val="en-GB"/>
        </w:rPr>
        <w:t xml:space="preserve"> per cent</w:t>
      </w:r>
      <w:r w:rsidRPr="005C2A0F">
        <w:rPr>
          <w:lang w:val="en-GB"/>
        </w:rPr>
        <w:t xml:space="preserve"> of net profits above a 5</w:t>
      </w:r>
      <w:r w:rsidR="0080047D">
        <w:rPr>
          <w:lang w:val="en-GB"/>
        </w:rPr>
        <w:t xml:space="preserve"> per cent</w:t>
      </w:r>
      <w:r w:rsidRPr="005C2A0F">
        <w:rPr>
          <w:lang w:val="en-GB"/>
        </w:rPr>
        <w:t xml:space="preserve"> annual return hurdle</w:t>
      </w:r>
      <w:r w:rsidRPr="005C2A0F">
        <w:rPr>
          <w:rStyle w:val="FootnoteReference"/>
          <w:lang w:val="en-GB"/>
        </w:rPr>
        <w:footnoteReference w:id="13"/>
      </w:r>
    </w:p>
    <w:p w14:paraId="712BF17B" w14:textId="77777777" w:rsidR="002D615C" w:rsidRPr="005C2A0F" w:rsidRDefault="002D615C" w:rsidP="002D615C">
      <w:pPr>
        <w:pStyle w:val="BodyTextMain"/>
        <w:rPr>
          <w:lang w:val="en-GB"/>
        </w:rPr>
      </w:pPr>
    </w:p>
    <w:p w14:paraId="3DDC022E" w14:textId="390A13A8" w:rsidR="002D615C" w:rsidRPr="005C2A0F" w:rsidRDefault="00C86AE6" w:rsidP="002D615C">
      <w:pPr>
        <w:pStyle w:val="BodyTextMain"/>
        <w:rPr>
          <w:lang w:val="en-GB"/>
        </w:rPr>
      </w:pPr>
      <w:r>
        <w:rPr>
          <w:lang w:val="en-GB"/>
        </w:rPr>
        <w:t>Caple</w:t>
      </w:r>
      <w:r w:rsidRPr="005C2A0F">
        <w:rPr>
          <w:lang w:val="en-GB"/>
        </w:rPr>
        <w:t xml:space="preserve"> </w:t>
      </w:r>
      <w:r w:rsidR="002D615C" w:rsidRPr="005C2A0F">
        <w:rPr>
          <w:lang w:val="en-GB"/>
        </w:rPr>
        <w:t>also highlight</w:t>
      </w:r>
      <w:r>
        <w:rPr>
          <w:lang w:val="en-GB"/>
        </w:rPr>
        <w:t>ed</w:t>
      </w:r>
      <w:r w:rsidR="002D615C" w:rsidRPr="005C2A0F">
        <w:rPr>
          <w:lang w:val="en-GB"/>
        </w:rPr>
        <w:t xml:space="preserve"> that if FIM structured this new long/short strategy as an alternative mutual fund, its management fee would likely be 1</w:t>
      </w:r>
      <w:r>
        <w:rPr>
          <w:lang w:val="en-GB"/>
        </w:rPr>
        <w:t xml:space="preserve"> per cent</w:t>
      </w:r>
      <w:r w:rsidR="002D615C" w:rsidRPr="005C2A0F">
        <w:rPr>
          <w:lang w:val="en-GB"/>
        </w:rPr>
        <w:t xml:space="preserve"> of </w:t>
      </w:r>
      <w:r>
        <w:rPr>
          <w:lang w:val="en-GB"/>
        </w:rPr>
        <w:t>AUM</w:t>
      </w:r>
      <w:r w:rsidR="002D615C" w:rsidRPr="005C2A0F">
        <w:rPr>
          <w:lang w:val="en-GB"/>
        </w:rPr>
        <w:t xml:space="preserve"> (</w:t>
      </w:r>
      <w:r>
        <w:rPr>
          <w:lang w:val="en-GB"/>
        </w:rPr>
        <w:t xml:space="preserve">see </w:t>
      </w:r>
      <w:r w:rsidR="002D615C" w:rsidRPr="005C2A0F">
        <w:rPr>
          <w:lang w:val="en-GB"/>
        </w:rPr>
        <w:t>Exhibit</w:t>
      </w:r>
      <w:r w:rsidR="00A23AFA">
        <w:rPr>
          <w:lang w:val="en-GB"/>
        </w:rPr>
        <w:t xml:space="preserve"> </w:t>
      </w:r>
      <w:r w:rsidR="00AC62AA">
        <w:rPr>
          <w:lang w:val="en-GB"/>
        </w:rPr>
        <w:t>6</w:t>
      </w:r>
      <w:r w:rsidR="002D615C" w:rsidRPr="005C2A0F">
        <w:rPr>
          <w:lang w:val="en-GB"/>
        </w:rPr>
        <w:t xml:space="preserve">). While this </w:t>
      </w:r>
      <w:r>
        <w:rPr>
          <w:lang w:val="en-GB"/>
        </w:rPr>
        <w:t>management fee wa</w:t>
      </w:r>
      <w:r w:rsidRPr="005C2A0F">
        <w:rPr>
          <w:lang w:val="en-GB"/>
        </w:rPr>
        <w:t xml:space="preserve">s </w:t>
      </w:r>
      <w:r w:rsidR="002D615C" w:rsidRPr="005C2A0F">
        <w:rPr>
          <w:lang w:val="en-GB"/>
        </w:rPr>
        <w:t xml:space="preserve">less than the management fee for a hedge fund structure, it </w:t>
      </w:r>
      <w:r>
        <w:rPr>
          <w:lang w:val="en-GB"/>
        </w:rPr>
        <w:t>wa</w:t>
      </w:r>
      <w:r w:rsidRPr="005C2A0F">
        <w:rPr>
          <w:lang w:val="en-GB"/>
        </w:rPr>
        <w:t xml:space="preserve">s </w:t>
      </w:r>
      <w:r w:rsidR="002D615C" w:rsidRPr="005C2A0F">
        <w:rPr>
          <w:lang w:val="en-GB"/>
        </w:rPr>
        <w:t xml:space="preserve">far </w:t>
      </w:r>
      <w:r>
        <w:rPr>
          <w:lang w:val="en-GB"/>
        </w:rPr>
        <w:t>greater</w:t>
      </w:r>
      <w:r w:rsidRPr="005C2A0F">
        <w:rPr>
          <w:lang w:val="en-GB"/>
        </w:rPr>
        <w:t xml:space="preserve"> </w:t>
      </w:r>
      <w:r w:rsidR="002D615C" w:rsidRPr="005C2A0F">
        <w:rPr>
          <w:lang w:val="en-GB"/>
        </w:rPr>
        <w:t>than the average management fee of FIM’s existing long-only mutual funds, which charge</w:t>
      </w:r>
      <w:r>
        <w:rPr>
          <w:lang w:val="en-GB"/>
        </w:rPr>
        <w:t>d</w:t>
      </w:r>
      <w:r w:rsidR="002D615C" w:rsidRPr="005C2A0F">
        <w:rPr>
          <w:lang w:val="en-GB"/>
        </w:rPr>
        <w:t xml:space="preserve"> between 50</w:t>
      </w:r>
      <w:r>
        <w:rPr>
          <w:lang w:val="en-GB"/>
        </w:rPr>
        <w:t xml:space="preserve"> and </w:t>
      </w:r>
      <w:r w:rsidR="002D615C" w:rsidRPr="005C2A0F">
        <w:rPr>
          <w:lang w:val="en-GB"/>
        </w:rPr>
        <w:t>60</w:t>
      </w:r>
      <w:r w:rsidR="0078652B" w:rsidRPr="005C2A0F">
        <w:rPr>
          <w:lang w:val="en-GB"/>
        </w:rPr>
        <w:t xml:space="preserve"> basis points</w:t>
      </w:r>
      <w:r w:rsidR="002D615C" w:rsidRPr="005C2A0F">
        <w:rPr>
          <w:lang w:val="en-GB"/>
        </w:rPr>
        <w:t xml:space="preserve"> per year.</w:t>
      </w:r>
      <w:r w:rsidR="00A23AFA">
        <w:rPr>
          <w:lang w:val="en-GB"/>
        </w:rPr>
        <w:t xml:space="preserve"> </w:t>
      </w:r>
    </w:p>
    <w:p w14:paraId="3C4C7A59" w14:textId="77777777" w:rsidR="002D615C" w:rsidRPr="005C2A0F" w:rsidRDefault="002D615C" w:rsidP="002D615C">
      <w:pPr>
        <w:pStyle w:val="BodyTextMain"/>
        <w:rPr>
          <w:lang w:val="en-GB"/>
        </w:rPr>
      </w:pPr>
    </w:p>
    <w:p w14:paraId="2BAC39F5" w14:textId="43890D45" w:rsidR="002D615C" w:rsidRPr="005C2A0F" w:rsidRDefault="002D615C" w:rsidP="002D615C">
      <w:pPr>
        <w:pStyle w:val="Casehead1"/>
        <w:keepNext/>
        <w:rPr>
          <w:lang w:val="en-GB"/>
        </w:rPr>
      </w:pPr>
      <w:r w:rsidRPr="005C2A0F">
        <w:rPr>
          <w:lang w:val="en-GB"/>
        </w:rPr>
        <w:lastRenderedPageBreak/>
        <w:t>FIM</w:t>
      </w:r>
      <w:r w:rsidR="00C86AE6">
        <w:rPr>
          <w:lang w:val="en-GB"/>
        </w:rPr>
        <w:t>’s</w:t>
      </w:r>
      <w:r w:rsidRPr="005C2A0F">
        <w:rPr>
          <w:lang w:val="en-GB"/>
        </w:rPr>
        <w:t xml:space="preserve"> Investment Committee Meeting </w:t>
      </w:r>
    </w:p>
    <w:p w14:paraId="09384339" w14:textId="77777777" w:rsidR="002D615C" w:rsidRPr="005C2A0F" w:rsidRDefault="002D615C" w:rsidP="002D615C">
      <w:pPr>
        <w:pStyle w:val="BodyTextMain"/>
        <w:keepNext/>
        <w:rPr>
          <w:lang w:val="en-GB"/>
        </w:rPr>
      </w:pPr>
    </w:p>
    <w:p w14:paraId="4E77A5AB" w14:textId="096C0063" w:rsidR="002D615C" w:rsidRPr="005C2A0F" w:rsidRDefault="002D615C" w:rsidP="002D615C">
      <w:pPr>
        <w:pStyle w:val="BodyTextMain"/>
        <w:keepNext/>
        <w:rPr>
          <w:lang w:val="en-GB"/>
        </w:rPr>
      </w:pPr>
      <w:r w:rsidRPr="005C2A0F">
        <w:rPr>
          <w:lang w:val="en-GB"/>
        </w:rPr>
        <w:t xml:space="preserve">It was a cold day in Boston when FIM’s Investment Committee met to discuss the future fund structure of </w:t>
      </w:r>
      <w:r w:rsidR="00C86AE6">
        <w:rPr>
          <w:lang w:val="en-GB"/>
        </w:rPr>
        <w:t>its</w:t>
      </w:r>
      <w:r w:rsidR="00C86AE6" w:rsidRPr="005C2A0F">
        <w:rPr>
          <w:lang w:val="en-GB"/>
        </w:rPr>
        <w:t xml:space="preserve"> </w:t>
      </w:r>
      <w:r w:rsidRPr="005C2A0F">
        <w:rPr>
          <w:lang w:val="en-GB"/>
        </w:rPr>
        <w:t xml:space="preserve">new long/short strategy. </w:t>
      </w:r>
      <w:r w:rsidR="00C86AE6">
        <w:rPr>
          <w:lang w:val="en-GB"/>
        </w:rPr>
        <w:t>In attendance were</w:t>
      </w:r>
      <w:r w:rsidRPr="005C2A0F">
        <w:rPr>
          <w:lang w:val="en-GB"/>
        </w:rPr>
        <w:t xml:space="preserve"> Megan (CEO), </w:t>
      </w:r>
      <w:proofErr w:type="spellStart"/>
      <w:r w:rsidRPr="005C2A0F">
        <w:rPr>
          <w:lang w:val="en-GB"/>
        </w:rPr>
        <w:t>Zann</w:t>
      </w:r>
      <w:proofErr w:type="spellEnd"/>
      <w:r w:rsidRPr="005C2A0F">
        <w:rPr>
          <w:lang w:val="en-GB"/>
        </w:rPr>
        <w:t xml:space="preserve"> </w:t>
      </w:r>
      <w:proofErr w:type="spellStart"/>
      <w:r w:rsidRPr="005C2A0F">
        <w:rPr>
          <w:lang w:val="en-GB"/>
        </w:rPr>
        <w:t>Guglin</w:t>
      </w:r>
      <w:proofErr w:type="spellEnd"/>
      <w:r w:rsidRPr="005C2A0F">
        <w:rPr>
          <w:lang w:val="en-GB"/>
        </w:rPr>
        <w:t xml:space="preserve"> (</w:t>
      </w:r>
      <w:r w:rsidR="00C86AE6">
        <w:rPr>
          <w:lang w:val="en-GB"/>
        </w:rPr>
        <w:t>chief financial officer</w:t>
      </w:r>
      <w:r w:rsidRPr="005C2A0F">
        <w:rPr>
          <w:lang w:val="en-GB"/>
        </w:rPr>
        <w:t>), Caple (COO), Kristin Sperry (</w:t>
      </w:r>
      <w:r w:rsidR="00C86AE6">
        <w:rPr>
          <w:lang w:val="en-GB"/>
        </w:rPr>
        <w:t>chief marketing officer</w:t>
      </w:r>
      <w:r w:rsidRPr="005C2A0F">
        <w:rPr>
          <w:lang w:val="en-GB"/>
        </w:rPr>
        <w:t>)</w:t>
      </w:r>
      <w:r w:rsidR="00C86AE6">
        <w:rPr>
          <w:lang w:val="en-GB"/>
        </w:rPr>
        <w:t>,</w:t>
      </w:r>
      <w:r w:rsidRPr="005C2A0F">
        <w:rPr>
          <w:lang w:val="en-GB"/>
        </w:rPr>
        <w:t xml:space="preserve"> and </w:t>
      </w:r>
      <w:proofErr w:type="spellStart"/>
      <w:r w:rsidRPr="005C2A0F">
        <w:rPr>
          <w:lang w:val="en-GB"/>
        </w:rPr>
        <w:t>Danforth</w:t>
      </w:r>
      <w:proofErr w:type="spellEnd"/>
      <w:r w:rsidRPr="005C2A0F">
        <w:rPr>
          <w:lang w:val="en-GB"/>
        </w:rPr>
        <w:t xml:space="preserve"> </w:t>
      </w:r>
      <w:r w:rsidR="00C86AE6">
        <w:rPr>
          <w:lang w:val="en-GB"/>
        </w:rPr>
        <w:t>(h</w:t>
      </w:r>
      <w:r w:rsidRPr="005C2A0F">
        <w:rPr>
          <w:lang w:val="en-GB"/>
        </w:rPr>
        <w:t>ead of Quantitative Strategies</w:t>
      </w:r>
      <w:r w:rsidR="00C86AE6">
        <w:rPr>
          <w:lang w:val="en-GB"/>
        </w:rPr>
        <w:t>)</w:t>
      </w:r>
      <w:r w:rsidRPr="005C2A0F">
        <w:rPr>
          <w:lang w:val="en-GB"/>
        </w:rPr>
        <w:t xml:space="preserve">. </w:t>
      </w:r>
    </w:p>
    <w:p w14:paraId="5F1B614B" w14:textId="77777777" w:rsidR="002D615C" w:rsidRPr="005C2A0F" w:rsidRDefault="002D615C" w:rsidP="002D615C">
      <w:pPr>
        <w:pStyle w:val="BodyTextMain"/>
        <w:rPr>
          <w:lang w:val="en-GB"/>
        </w:rPr>
      </w:pPr>
    </w:p>
    <w:p w14:paraId="39167BD8" w14:textId="2EAA89EB" w:rsidR="002D615C" w:rsidRPr="005C2A0F" w:rsidRDefault="00CD19AD" w:rsidP="002D615C">
      <w:pPr>
        <w:pStyle w:val="BodyTextMain"/>
        <w:rPr>
          <w:lang w:val="en-GB"/>
        </w:rPr>
      </w:pPr>
      <w:r>
        <w:rPr>
          <w:lang w:val="en-GB"/>
        </w:rPr>
        <w:t>Megan</w:t>
      </w:r>
      <w:r w:rsidRPr="005C2A0F">
        <w:rPr>
          <w:lang w:val="en-GB"/>
        </w:rPr>
        <w:t xml:space="preserve"> </w:t>
      </w:r>
      <w:r w:rsidR="002D615C" w:rsidRPr="005C2A0F">
        <w:rPr>
          <w:lang w:val="en-GB"/>
        </w:rPr>
        <w:t>began the meeting</w:t>
      </w:r>
      <w:r w:rsidR="00C86AE6">
        <w:rPr>
          <w:lang w:val="en-GB"/>
        </w:rPr>
        <w:t>:</w:t>
      </w:r>
      <w:r w:rsidR="002D615C" w:rsidRPr="005C2A0F">
        <w:rPr>
          <w:lang w:val="en-GB"/>
        </w:rPr>
        <w:t xml:space="preserve"> </w:t>
      </w:r>
    </w:p>
    <w:p w14:paraId="02299748" w14:textId="77777777" w:rsidR="002D615C" w:rsidRPr="005C2A0F" w:rsidRDefault="002D615C" w:rsidP="002D615C">
      <w:pPr>
        <w:pStyle w:val="BodyTextMain"/>
        <w:rPr>
          <w:lang w:val="en-GB"/>
        </w:rPr>
      </w:pPr>
    </w:p>
    <w:p w14:paraId="387061B9" w14:textId="00E020FC" w:rsidR="002D615C" w:rsidRPr="005C2A0F" w:rsidRDefault="002D615C" w:rsidP="002D615C">
      <w:pPr>
        <w:pStyle w:val="BodyTextMain"/>
        <w:ind w:left="720"/>
        <w:rPr>
          <w:lang w:val="en-GB"/>
        </w:rPr>
      </w:pPr>
      <w:r w:rsidRPr="005C2A0F">
        <w:rPr>
          <w:lang w:val="en-GB"/>
        </w:rPr>
        <w:t xml:space="preserve">Thank you everyone for coming, I know we’ve been discussing this amongst ourselves all week but I wanted to get everyone on the same page as it relates to what fund wrapper to structure our new L/S </w:t>
      </w:r>
      <w:r w:rsidR="00C86AE6">
        <w:rPr>
          <w:lang w:val="en-GB"/>
        </w:rPr>
        <w:t xml:space="preserve">[long/short] </w:t>
      </w:r>
      <w:r w:rsidRPr="005C2A0F">
        <w:rPr>
          <w:lang w:val="en-GB"/>
        </w:rPr>
        <w:t>strategy in. Does anyone have any thoughts?</w:t>
      </w:r>
    </w:p>
    <w:p w14:paraId="4A61CA20" w14:textId="77777777" w:rsidR="002D615C" w:rsidRPr="005C2A0F" w:rsidRDefault="002D615C" w:rsidP="002D615C">
      <w:pPr>
        <w:pStyle w:val="BodyTextMain"/>
        <w:rPr>
          <w:lang w:val="en-GB"/>
        </w:rPr>
      </w:pPr>
    </w:p>
    <w:p w14:paraId="1D2A0E6B" w14:textId="0404DEF6" w:rsidR="002D615C" w:rsidRPr="005C2A0F" w:rsidRDefault="002D615C" w:rsidP="002D615C">
      <w:pPr>
        <w:pStyle w:val="BodyTextMain"/>
        <w:rPr>
          <w:lang w:val="en-GB"/>
        </w:rPr>
      </w:pPr>
      <w:r w:rsidRPr="005C2A0F">
        <w:rPr>
          <w:lang w:val="en-GB"/>
        </w:rPr>
        <w:t>Caple was the first to break the silence</w:t>
      </w:r>
      <w:r w:rsidR="00C86AE6">
        <w:rPr>
          <w:lang w:val="en-GB"/>
        </w:rPr>
        <w:t>:</w:t>
      </w:r>
      <w:r w:rsidRPr="005C2A0F">
        <w:rPr>
          <w:lang w:val="en-GB"/>
        </w:rPr>
        <w:t xml:space="preserve"> </w:t>
      </w:r>
    </w:p>
    <w:p w14:paraId="4DAEB7CD" w14:textId="77777777" w:rsidR="002D615C" w:rsidRPr="005C2A0F" w:rsidRDefault="002D615C" w:rsidP="002D615C">
      <w:pPr>
        <w:pStyle w:val="BodyTextMain"/>
        <w:rPr>
          <w:lang w:val="en-GB"/>
        </w:rPr>
      </w:pPr>
    </w:p>
    <w:p w14:paraId="24941840" w14:textId="526F2975" w:rsidR="002D615C" w:rsidRPr="005C2A0F" w:rsidRDefault="002D615C" w:rsidP="002D615C">
      <w:pPr>
        <w:pStyle w:val="BodyTextMain"/>
        <w:ind w:left="720"/>
        <w:rPr>
          <w:lang w:val="en-GB"/>
        </w:rPr>
      </w:pPr>
      <w:r w:rsidRPr="005C2A0F">
        <w:rPr>
          <w:lang w:val="en-GB"/>
        </w:rPr>
        <w:t xml:space="preserve">I’d like to start by saying that while this strategy is certainly different from our traditional mutual funds, the strategy itself is well within the guidelines laid out by the </w:t>
      </w:r>
      <w:r w:rsidRPr="00531FFA">
        <w:rPr>
          <w:i/>
          <w:lang w:val="en-GB"/>
        </w:rPr>
        <w:t>1940 Act</w:t>
      </w:r>
      <w:r w:rsidRPr="005C2A0F">
        <w:rPr>
          <w:lang w:val="en-GB"/>
        </w:rPr>
        <w:t xml:space="preserve">. The </w:t>
      </w:r>
      <w:r w:rsidR="00EE37D3" w:rsidRPr="00531FFA">
        <w:rPr>
          <w:i/>
          <w:lang w:val="en-GB"/>
        </w:rPr>
        <w:t>19</w:t>
      </w:r>
      <w:r w:rsidRPr="00531FFA">
        <w:rPr>
          <w:i/>
          <w:lang w:val="en-GB"/>
        </w:rPr>
        <w:t xml:space="preserve">40 </w:t>
      </w:r>
      <w:r w:rsidR="00C86AE6">
        <w:rPr>
          <w:i/>
          <w:lang w:val="en-GB"/>
        </w:rPr>
        <w:t>A</w:t>
      </w:r>
      <w:r w:rsidRPr="00531FFA">
        <w:rPr>
          <w:i/>
          <w:lang w:val="en-GB"/>
        </w:rPr>
        <w:t>ct</w:t>
      </w:r>
      <w:r w:rsidRPr="005C2A0F">
        <w:rPr>
          <w:lang w:val="en-GB"/>
        </w:rPr>
        <w:t xml:space="preserve"> allows us to use options for hedging, allows the investment in </w:t>
      </w:r>
      <w:proofErr w:type="spellStart"/>
      <w:r w:rsidRPr="005C2A0F">
        <w:rPr>
          <w:lang w:val="en-GB"/>
        </w:rPr>
        <w:t>illiquids</w:t>
      </w:r>
      <w:proofErr w:type="spellEnd"/>
      <w:r w:rsidRPr="005C2A0F">
        <w:rPr>
          <w:lang w:val="en-GB"/>
        </w:rPr>
        <w:t xml:space="preserve"> as long as 85</w:t>
      </w:r>
      <w:r w:rsidR="00C86AE6">
        <w:rPr>
          <w:lang w:val="en-GB"/>
        </w:rPr>
        <w:t xml:space="preserve"> per cent</w:t>
      </w:r>
      <w:r w:rsidRPr="005C2A0F">
        <w:rPr>
          <w:lang w:val="en-GB"/>
        </w:rPr>
        <w:t xml:space="preserve"> of the fund is liquid and allows us to short stocks as long as we have a tri-party agreement and pledge collateral. I don’t see a reason that this can’t be structured as an alternative mutual fund from a regulatory standpoint.</w:t>
      </w:r>
    </w:p>
    <w:p w14:paraId="607314EF" w14:textId="77777777" w:rsidR="002D615C" w:rsidRPr="005C2A0F" w:rsidRDefault="002D615C" w:rsidP="002D615C">
      <w:pPr>
        <w:pStyle w:val="BodyTextMain"/>
        <w:rPr>
          <w:lang w:val="en-GB"/>
        </w:rPr>
      </w:pPr>
    </w:p>
    <w:p w14:paraId="6565F741" w14:textId="44055F81" w:rsidR="002D615C" w:rsidRPr="005C2A0F" w:rsidRDefault="002D615C" w:rsidP="002D615C">
      <w:pPr>
        <w:pStyle w:val="BodyTextMain"/>
        <w:rPr>
          <w:lang w:val="en-GB"/>
        </w:rPr>
      </w:pPr>
      <w:r w:rsidRPr="005C2A0F">
        <w:rPr>
          <w:lang w:val="en-GB"/>
        </w:rPr>
        <w:t>“I’d like to jump in here, Ross</w:t>
      </w:r>
      <w:r w:rsidR="00C86AE6">
        <w:rPr>
          <w:lang w:val="en-GB"/>
        </w:rPr>
        <w:t>,</w:t>
      </w:r>
      <w:r w:rsidRPr="005C2A0F">
        <w:rPr>
          <w:lang w:val="en-GB"/>
        </w:rPr>
        <w:t xml:space="preserve">” said </w:t>
      </w:r>
      <w:proofErr w:type="spellStart"/>
      <w:r w:rsidRPr="005C2A0F">
        <w:rPr>
          <w:lang w:val="en-GB"/>
        </w:rPr>
        <w:t>Guglin</w:t>
      </w:r>
      <w:proofErr w:type="spellEnd"/>
      <w:r w:rsidRPr="005C2A0F">
        <w:rPr>
          <w:lang w:val="en-GB"/>
        </w:rPr>
        <w:t xml:space="preserve">. </w:t>
      </w:r>
    </w:p>
    <w:p w14:paraId="56F38B15" w14:textId="77777777" w:rsidR="002D615C" w:rsidRPr="005C2A0F" w:rsidRDefault="002D615C" w:rsidP="002D615C">
      <w:pPr>
        <w:pStyle w:val="BodyTextMain"/>
        <w:rPr>
          <w:lang w:val="en-GB"/>
        </w:rPr>
      </w:pPr>
    </w:p>
    <w:p w14:paraId="39F6EBD1" w14:textId="7B356D03" w:rsidR="002D615C" w:rsidRPr="005C2A0F" w:rsidRDefault="002D615C" w:rsidP="002D615C">
      <w:pPr>
        <w:pStyle w:val="BodyTextMain"/>
        <w:ind w:left="720"/>
        <w:rPr>
          <w:lang w:val="en-GB"/>
        </w:rPr>
      </w:pPr>
      <w:r w:rsidRPr="005C2A0F">
        <w:rPr>
          <w:lang w:val="en-GB"/>
        </w:rPr>
        <w:t>I don’t think we are debating whether or not it can be structured as a liquid alternative, it</w:t>
      </w:r>
      <w:r w:rsidR="00847FAF">
        <w:rPr>
          <w:lang w:val="en-GB"/>
        </w:rPr>
        <w:t>’</w:t>
      </w:r>
      <w:r w:rsidRPr="005C2A0F">
        <w:rPr>
          <w:lang w:val="en-GB"/>
        </w:rPr>
        <w:t>s whether or not we want it to be. If we structured this as a hedge fund we’d have the benefit of stickier capital, no limits on leverage or the need for custodial arrangements</w:t>
      </w:r>
      <w:r w:rsidR="00847FAF">
        <w:rPr>
          <w:lang w:val="en-GB"/>
        </w:rPr>
        <w:t>,</w:t>
      </w:r>
      <w:r w:rsidRPr="005C2A0F">
        <w:rPr>
          <w:lang w:val="en-GB"/>
        </w:rPr>
        <w:t xml:space="preserve"> and not to mention the economics surrounding the fee structure</w:t>
      </w:r>
      <w:r w:rsidR="00151AD0">
        <w:rPr>
          <w:lang w:val="en-GB"/>
        </w:rPr>
        <w:t xml:space="preserve"> </w:t>
      </w:r>
      <w:r w:rsidR="00476196">
        <w:rPr>
          <w:lang w:val="en-GB"/>
        </w:rPr>
        <w:t>[</w:t>
      </w:r>
      <w:r w:rsidR="00151AD0">
        <w:rPr>
          <w:lang w:val="en-GB"/>
        </w:rPr>
        <w:t>see Exhibits 7A and 7B</w:t>
      </w:r>
      <w:r w:rsidR="00476196">
        <w:rPr>
          <w:lang w:val="en-GB"/>
        </w:rPr>
        <w:t>]</w:t>
      </w:r>
      <w:r w:rsidRPr="005C2A0F">
        <w:rPr>
          <w:lang w:val="en-GB"/>
        </w:rPr>
        <w:t>. If this is successful</w:t>
      </w:r>
      <w:r w:rsidR="00847FAF">
        <w:rPr>
          <w:lang w:val="en-GB"/>
        </w:rPr>
        <w:t>,</w:t>
      </w:r>
      <w:r w:rsidRPr="005C2A0F">
        <w:rPr>
          <w:lang w:val="en-GB"/>
        </w:rPr>
        <w:t xml:space="preserve"> it could be a significant commercial opportunity for FIM.</w:t>
      </w:r>
    </w:p>
    <w:p w14:paraId="50C18658" w14:textId="77777777" w:rsidR="002D615C" w:rsidRPr="005C2A0F" w:rsidRDefault="002D615C" w:rsidP="002D615C">
      <w:pPr>
        <w:pStyle w:val="BodyTextMain"/>
        <w:rPr>
          <w:lang w:val="en-GB"/>
        </w:rPr>
      </w:pPr>
    </w:p>
    <w:p w14:paraId="74830AA9" w14:textId="4BA3F4EA" w:rsidR="002D615C" w:rsidRPr="005C2A0F" w:rsidRDefault="002D615C" w:rsidP="002D615C">
      <w:pPr>
        <w:pStyle w:val="BodyTextMain"/>
        <w:rPr>
          <w:lang w:val="en-GB"/>
        </w:rPr>
      </w:pPr>
      <w:r w:rsidRPr="005C2A0F">
        <w:rPr>
          <w:lang w:val="en-GB"/>
        </w:rPr>
        <w:t xml:space="preserve">“I think the key phrase that you just used is </w:t>
      </w:r>
      <w:r w:rsidRPr="005C2A0F">
        <w:rPr>
          <w:i/>
          <w:lang w:val="en-GB"/>
        </w:rPr>
        <w:t>if this is successful</w:t>
      </w:r>
      <w:r w:rsidRPr="005C2A0F">
        <w:rPr>
          <w:lang w:val="en-GB"/>
        </w:rPr>
        <w:t xml:space="preserve">,” exclaimed Sperry from the other end of the table. </w:t>
      </w:r>
    </w:p>
    <w:p w14:paraId="7CA0D418" w14:textId="77777777" w:rsidR="002D615C" w:rsidRPr="005C2A0F" w:rsidRDefault="002D615C" w:rsidP="002D615C">
      <w:pPr>
        <w:pStyle w:val="BodyTextMain"/>
        <w:rPr>
          <w:lang w:val="en-GB"/>
        </w:rPr>
      </w:pPr>
    </w:p>
    <w:p w14:paraId="2B4BBA82" w14:textId="508C65C8" w:rsidR="002D615C" w:rsidRPr="005C2A0F" w:rsidRDefault="002D615C" w:rsidP="002D615C">
      <w:pPr>
        <w:pStyle w:val="BodyTextMain"/>
        <w:ind w:left="720"/>
        <w:rPr>
          <w:lang w:val="en-GB"/>
        </w:rPr>
      </w:pPr>
      <w:r w:rsidRPr="005C2A0F">
        <w:rPr>
          <w:lang w:val="en-GB"/>
        </w:rPr>
        <w:t>We want to be mindful of the probability of success when it comes to fundraising. We have earmarked potential AUM of $500</w:t>
      </w:r>
      <w:r w:rsidR="00C86AE6">
        <w:rPr>
          <w:lang w:val="en-GB"/>
        </w:rPr>
        <w:t xml:space="preserve"> </w:t>
      </w:r>
      <w:r w:rsidRPr="005C2A0F">
        <w:rPr>
          <w:lang w:val="en-GB"/>
        </w:rPr>
        <w:t xml:space="preserve">m </w:t>
      </w:r>
      <w:r w:rsidR="00C86AE6">
        <w:rPr>
          <w:lang w:val="en-GB"/>
        </w:rPr>
        <w:t xml:space="preserve">[million] </w:t>
      </w:r>
      <w:r w:rsidRPr="005C2A0F">
        <w:rPr>
          <w:lang w:val="en-GB"/>
        </w:rPr>
        <w:t>for the hedge fund strategy, but what if we can only raise half of that? We also want to think about the potential conflicts of interest managing both entities, for instance, how would we allocate hot IPOs</w:t>
      </w:r>
      <w:r w:rsidR="00C86AE6">
        <w:rPr>
          <w:lang w:val="en-GB"/>
        </w:rPr>
        <w:t xml:space="preserve"> [initial public offerings]</w:t>
      </w:r>
      <w:r w:rsidRPr="005C2A0F">
        <w:rPr>
          <w:lang w:val="en-GB"/>
        </w:rPr>
        <w:t xml:space="preserve">? What if the </w:t>
      </w:r>
      <w:r w:rsidR="00C86AE6">
        <w:rPr>
          <w:lang w:val="en-GB"/>
        </w:rPr>
        <w:t>g</w:t>
      </w:r>
      <w:r w:rsidRPr="005C2A0F">
        <w:rPr>
          <w:lang w:val="en-GB"/>
        </w:rPr>
        <w:t xml:space="preserve">rowth fund wanted more shares because of their size but the performance fees make it attractive to allocate more to the </w:t>
      </w:r>
      <w:r w:rsidR="00C86AE6">
        <w:rPr>
          <w:lang w:val="en-GB"/>
        </w:rPr>
        <w:t>l</w:t>
      </w:r>
      <w:r w:rsidRPr="005C2A0F">
        <w:rPr>
          <w:lang w:val="en-GB"/>
        </w:rPr>
        <w:t>ong/</w:t>
      </w:r>
      <w:r w:rsidR="00C86AE6">
        <w:rPr>
          <w:lang w:val="en-GB"/>
        </w:rPr>
        <w:t>s</w:t>
      </w:r>
      <w:r w:rsidRPr="005C2A0F">
        <w:rPr>
          <w:lang w:val="en-GB"/>
        </w:rPr>
        <w:t>hort strategy?</w:t>
      </w:r>
    </w:p>
    <w:p w14:paraId="6EF0A582" w14:textId="77777777" w:rsidR="00143644" w:rsidRDefault="00143644" w:rsidP="002D615C">
      <w:pPr>
        <w:pStyle w:val="BodyTextMain"/>
        <w:rPr>
          <w:lang w:val="en-GB"/>
        </w:rPr>
      </w:pPr>
    </w:p>
    <w:p w14:paraId="7A77FF17" w14:textId="1A133BFA" w:rsidR="002D615C" w:rsidRPr="005C2A0F" w:rsidRDefault="002D615C" w:rsidP="002D615C">
      <w:pPr>
        <w:pStyle w:val="BodyTextMain"/>
        <w:rPr>
          <w:lang w:val="en-GB"/>
        </w:rPr>
      </w:pPr>
      <w:r w:rsidRPr="005C2A0F">
        <w:rPr>
          <w:lang w:val="en-GB"/>
        </w:rPr>
        <w:t>“I agree</w:t>
      </w:r>
      <w:r w:rsidR="00C86AE6">
        <w:rPr>
          <w:lang w:val="en-GB"/>
        </w:rPr>
        <w:t>,</w:t>
      </w:r>
      <w:r w:rsidRPr="005C2A0F">
        <w:rPr>
          <w:lang w:val="en-GB"/>
        </w:rPr>
        <w:t xml:space="preserve"> Kristin</w:t>
      </w:r>
      <w:r w:rsidR="00C86AE6">
        <w:rPr>
          <w:lang w:val="en-GB"/>
        </w:rPr>
        <w:t>,</w:t>
      </w:r>
      <w:r w:rsidRPr="005C2A0F">
        <w:rPr>
          <w:lang w:val="en-GB"/>
        </w:rPr>
        <w:t xml:space="preserve">” said </w:t>
      </w:r>
      <w:r w:rsidR="00C86AE6">
        <w:rPr>
          <w:lang w:val="en-GB"/>
        </w:rPr>
        <w:t>Caple</w:t>
      </w:r>
      <w:r w:rsidRPr="005C2A0F">
        <w:rPr>
          <w:lang w:val="en-GB"/>
        </w:rPr>
        <w:t xml:space="preserve">. </w:t>
      </w:r>
    </w:p>
    <w:p w14:paraId="22B8F49A" w14:textId="77777777" w:rsidR="002D615C" w:rsidRPr="005C2A0F" w:rsidRDefault="002D615C" w:rsidP="002D615C">
      <w:pPr>
        <w:pStyle w:val="BodyTextMain"/>
        <w:rPr>
          <w:lang w:val="en-GB"/>
        </w:rPr>
      </w:pPr>
    </w:p>
    <w:p w14:paraId="2817F0FB" w14:textId="13DC64BF" w:rsidR="002D615C" w:rsidRPr="005C2A0F" w:rsidRDefault="002D615C" w:rsidP="002D615C">
      <w:pPr>
        <w:pStyle w:val="BodyTextMain"/>
        <w:ind w:left="720"/>
        <w:rPr>
          <w:lang w:val="en-GB"/>
        </w:rPr>
      </w:pPr>
      <w:r w:rsidRPr="005C2A0F">
        <w:rPr>
          <w:lang w:val="en-GB"/>
        </w:rPr>
        <w:t>If we structured this as a hedge fund we would only be able to market this to accredited investors or ultra-high</w:t>
      </w:r>
      <w:r w:rsidR="00C86AE6">
        <w:rPr>
          <w:lang w:val="en-GB"/>
        </w:rPr>
        <w:t>-</w:t>
      </w:r>
      <w:r w:rsidRPr="005C2A0F">
        <w:rPr>
          <w:lang w:val="en-GB"/>
        </w:rPr>
        <w:t>net</w:t>
      </w:r>
      <w:r w:rsidR="00C86AE6">
        <w:rPr>
          <w:lang w:val="en-GB"/>
        </w:rPr>
        <w:t>-</w:t>
      </w:r>
      <w:r w:rsidRPr="005C2A0F">
        <w:rPr>
          <w:lang w:val="en-GB"/>
        </w:rPr>
        <w:t>worth individuals, which makes up a small fraction of our investor base. Furthermore, if we are questioning the ability to raise $500</w:t>
      </w:r>
      <w:r w:rsidR="00C86AE6">
        <w:rPr>
          <w:lang w:val="en-GB"/>
        </w:rPr>
        <w:t xml:space="preserve"> </w:t>
      </w:r>
      <w:r w:rsidRPr="005C2A0F">
        <w:rPr>
          <w:lang w:val="en-GB"/>
        </w:rPr>
        <w:t>m</w:t>
      </w:r>
      <w:r w:rsidR="00C86AE6">
        <w:rPr>
          <w:lang w:val="en-GB"/>
        </w:rPr>
        <w:t xml:space="preserve"> </w:t>
      </w:r>
      <w:r w:rsidRPr="005C2A0F">
        <w:rPr>
          <w:lang w:val="en-GB"/>
        </w:rPr>
        <w:t>for the hedge fund structure, we should also consider the impact to the firm if we were only able to raise half of the liquid alternative structure as well. However, from a distribution standpoint we have all the necessary infrastructure pieces in place to hit the ground running with the mutual fund strategy. If it were structured as a hedge fund we would essentially need to start from scratch from a distribution standpoint.</w:t>
      </w:r>
    </w:p>
    <w:p w14:paraId="39848C46" w14:textId="77777777" w:rsidR="002D615C" w:rsidRPr="005C2A0F" w:rsidRDefault="002D615C" w:rsidP="002D615C">
      <w:pPr>
        <w:pStyle w:val="BodyTextMain"/>
        <w:rPr>
          <w:lang w:val="en-GB"/>
        </w:rPr>
      </w:pPr>
    </w:p>
    <w:p w14:paraId="5A64E19F" w14:textId="085F582D" w:rsidR="002D615C" w:rsidRPr="005C2A0F" w:rsidRDefault="00C86AE6" w:rsidP="002D615C">
      <w:pPr>
        <w:pStyle w:val="BodyTextMain"/>
        <w:keepNext/>
        <w:rPr>
          <w:lang w:val="en-GB"/>
        </w:rPr>
      </w:pPr>
      <w:r>
        <w:rPr>
          <w:lang w:val="en-GB"/>
        </w:rPr>
        <w:lastRenderedPageBreak/>
        <w:t>Sperry</w:t>
      </w:r>
      <w:r w:rsidRPr="005C2A0F">
        <w:rPr>
          <w:lang w:val="en-GB"/>
        </w:rPr>
        <w:t xml:space="preserve"> </w:t>
      </w:r>
      <w:r w:rsidR="002D615C" w:rsidRPr="005C2A0F">
        <w:rPr>
          <w:lang w:val="en-GB"/>
        </w:rPr>
        <w:t>replied</w:t>
      </w:r>
      <w:r>
        <w:rPr>
          <w:lang w:val="en-GB"/>
        </w:rPr>
        <w:t>:</w:t>
      </w:r>
      <w:r w:rsidR="002D615C" w:rsidRPr="005C2A0F">
        <w:rPr>
          <w:lang w:val="en-GB"/>
        </w:rPr>
        <w:t xml:space="preserve"> </w:t>
      </w:r>
    </w:p>
    <w:p w14:paraId="6A80CB41" w14:textId="77777777" w:rsidR="002D615C" w:rsidRPr="005C2A0F" w:rsidRDefault="002D615C" w:rsidP="002D615C">
      <w:pPr>
        <w:pStyle w:val="BodyTextMain"/>
        <w:keepNext/>
        <w:rPr>
          <w:lang w:val="en-GB"/>
        </w:rPr>
      </w:pPr>
    </w:p>
    <w:p w14:paraId="2D063C86" w14:textId="4F33113C" w:rsidR="002D615C" w:rsidRPr="005C2A0F" w:rsidRDefault="002D615C" w:rsidP="002D615C">
      <w:pPr>
        <w:pStyle w:val="BodyTextMain"/>
        <w:keepNext/>
        <w:ind w:left="720"/>
        <w:rPr>
          <w:lang w:val="en-GB"/>
        </w:rPr>
      </w:pPr>
      <w:r w:rsidRPr="005C2A0F">
        <w:rPr>
          <w:lang w:val="en-GB"/>
        </w:rPr>
        <w:t xml:space="preserve">Well, to be clear, we could market this to whoever we would like. We could advertise on Instagram if we wanted, due to the recent changes from the </w:t>
      </w:r>
      <w:r w:rsidRPr="00531FFA">
        <w:rPr>
          <w:i/>
          <w:lang w:val="en-GB"/>
        </w:rPr>
        <w:t>JOBS Act</w:t>
      </w:r>
      <w:r w:rsidR="00C86AE6">
        <w:rPr>
          <w:lang w:val="en-GB"/>
        </w:rPr>
        <w:t>.</w:t>
      </w:r>
      <w:r w:rsidR="00E21824" w:rsidRPr="005C2A0F">
        <w:rPr>
          <w:rStyle w:val="FootnoteReference"/>
          <w:lang w:val="en-GB"/>
        </w:rPr>
        <w:footnoteReference w:id="14"/>
      </w:r>
      <w:r w:rsidRPr="005C2A0F">
        <w:rPr>
          <w:lang w:val="en-GB"/>
        </w:rPr>
        <w:t xml:space="preserve"> However, we would only be able to accept qualified purchasers, to your point. Also, I agree, the distribution for the hedge fund is outside of what we are familiar with</w:t>
      </w:r>
      <w:r w:rsidR="0013213D">
        <w:rPr>
          <w:lang w:val="en-GB"/>
        </w:rPr>
        <w:t>;</w:t>
      </w:r>
      <w:r w:rsidRPr="005C2A0F">
        <w:rPr>
          <w:lang w:val="en-GB"/>
        </w:rPr>
        <w:t xml:space="preserve"> however, I suppose the question is whether the potentially attractive fees make it worth the effort to create a new sales platform for this structure.</w:t>
      </w:r>
    </w:p>
    <w:p w14:paraId="634CAFCD" w14:textId="56CFD951" w:rsidR="002D615C" w:rsidRPr="005C2A0F" w:rsidRDefault="002D615C" w:rsidP="002D615C">
      <w:pPr>
        <w:pStyle w:val="BodyTextMain"/>
        <w:rPr>
          <w:lang w:val="en-GB"/>
        </w:rPr>
      </w:pPr>
    </w:p>
    <w:p w14:paraId="75082014" w14:textId="086019C0" w:rsidR="001476BF" w:rsidRDefault="002D615C" w:rsidP="002D615C">
      <w:pPr>
        <w:pStyle w:val="BodyTextMain"/>
        <w:rPr>
          <w:lang w:val="en-GB"/>
        </w:rPr>
      </w:pPr>
      <w:r w:rsidRPr="005C2A0F">
        <w:rPr>
          <w:lang w:val="en-GB"/>
        </w:rPr>
        <w:t>“Jake, where do you stand on this?” asked</w:t>
      </w:r>
      <w:r w:rsidR="00143644">
        <w:rPr>
          <w:lang w:val="en-GB"/>
        </w:rPr>
        <w:t xml:space="preserve"> Megan</w:t>
      </w:r>
      <w:r w:rsidRPr="005C2A0F">
        <w:rPr>
          <w:lang w:val="en-GB"/>
        </w:rPr>
        <w:t xml:space="preserve">. </w:t>
      </w:r>
    </w:p>
    <w:p w14:paraId="6E0916FD" w14:textId="77777777" w:rsidR="001476BF" w:rsidRDefault="001476BF" w:rsidP="002D615C">
      <w:pPr>
        <w:pStyle w:val="BodyTextMain"/>
        <w:rPr>
          <w:lang w:val="en-GB"/>
        </w:rPr>
      </w:pPr>
    </w:p>
    <w:p w14:paraId="467283F9" w14:textId="5594A7F1" w:rsidR="001476BF" w:rsidRDefault="005712B1" w:rsidP="00531FFA">
      <w:pPr>
        <w:pStyle w:val="BodyTextMain"/>
        <w:rPr>
          <w:lang w:val="en-GB"/>
        </w:rPr>
      </w:pPr>
      <w:proofErr w:type="spellStart"/>
      <w:r>
        <w:rPr>
          <w:lang w:val="en-GB"/>
        </w:rPr>
        <w:t>Danforth</w:t>
      </w:r>
      <w:proofErr w:type="spellEnd"/>
      <w:r w:rsidR="002D615C" w:rsidRPr="005C2A0F">
        <w:rPr>
          <w:lang w:val="en-GB"/>
        </w:rPr>
        <w:t xml:space="preserve"> responded</w:t>
      </w:r>
      <w:r w:rsidR="001476BF">
        <w:rPr>
          <w:lang w:val="en-GB"/>
        </w:rPr>
        <w:t>, “</w:t>
      </w:r>
      <w:r w:rsidR="002D615C" w:rsidRPr="005C2A0F">
        <w:rPr>
          <w:lang w:val="en-GB"/>
        </w:rPr>
        <w:t xml:space="preserve">Well, to be honest, the structure itself is not going to impact my ability to execute this strategy that much.” </w:t>
      </w:r>
      <w:proofErr w:type="spellStart"/>
      <w:r>
        <w:rPr>
          <w:lang w:val="en-GB"/>
        </w:rPr>
        <w:t>Danforth</w:t>
      </w:r>
      <w:proofErr w:type="spellEnd"/>
      <w:r w:rsidR="002D615C" w:rsidRPr="005C2A0F">
        <w:rPr>
          <w:lang w:val="en-GB"/>
        </w:rPr>
        <w:t xml:space="preserve"> explained</w:t>
      </w:r>
      <w:r w:rsidR="001476BF">
        <w:rPr>
          <w:lang w:val="en-GB"/>
        </w:rPr>
        <w:t>:</w:t>
      </w:r>
      <w:r w:rsidR="002D615C" w:rsidRPr="005C2A0F">
        <w:rPr>
          <w:lang w:val="en-GB"/>
        </w:rPr>
        <w:t xml:space="preserve"> </w:t>
      </w:r>
    </w:p>
    <w:p w14:paraId="111E292B" w14:textId="77777777" w:rsidR="001476BF" w:rsidRDefault="001476BF" w:rsidP="002D615C">
      <w:pPr>
        <w:pStyle w:val="BodyTextMain"/>
        <w:ind w:left="720"/>
        <w:rPr>
          <w:lang w:val="en-GB"/>
        </w:rPr>
      </w:pPr>
    </w:p>
    <w:p w14:paraId="5862FB33" w14:textId="759282D5" w:rsidR="002D615C" w:rsidRPr="005C2A0F" w:rsidRDefault="002D615C" w:rsidP="002D615C">
      <w:pPr>
        <w:pStyle w:val="BodyTextMain"/>
        <w:ind w:left="720"/>
        <w:rPr>
          <w:lang w:val="en-GB"/>
        </w:rPr>
      </w:pPr>
      <w:r w:rsidRPr="005C2A0F">
        <w:rPr>
          <w:lang w:val="en-GB"/>
        </w:rPr>
        <w:t xml:space="preserve">Even though the </w:t>
      </w:r>
      <w:r w:rsidRPr="00531FFA">
        <w:rPr>
          <w:i/>
          <w:lang w:val="en-GB"/>
        </w:rPr>
        <w:t>1940 Act</w:t>
      </w:r>
      <w:r w:rsidRPr="005C2A0F">
        <w:rPr>
          <w:lang w:val="en-GB"/>
        </w:rPr>
        <w:t xml:space="preserve"> restricts my use of </w:t>
      </w:r>
      <w:proofErr w:type="gramStart"/>
      <w:r w:rsidRPr="005C2A0F">
        <w:rPr>
          <w:lang w:val="en-GB"/>
        </w:rPr>
        <w:t>leverage, that</w:t>
      </w:r>
      <w:proofErr w:type="gramEnd"/>
      <w:r w:rsidRPr="005C2A0F">
        <w:rPr>
          <w:lang w:val="en-GB"/>
        </w:rPr>
        <w:t xml:space="preserve"> is not a big part of the strategy, if at all. The most important things to me are the ability to use options and short stock, which it seems that I can do in either structure. The one thing I would like to avoid, though, is disclosing my short positions. Also, from a fee perspective</w:t>
      </w:r>
      <w:r w:rsidR="001476BF">
        <w:rPr>
          <w:lang w:val="en-GB"/>
        </w:rPr>
        <w:t>,</w:t>
      </w:r>
      <w:r w:rsidRPr="005C2A0F">
        <w:rPr>
          <w:lang w:val="en-GB"/>
        </w:rPr>
        <w:t xml:space="preserve"> it seems the liquid alternative angle is the worst of both worlds, more restrictions and less fees. Just my two cents</w:t>
      </w:r>
      <w:r w:rsidR="001476BF">
        <w:rPr>
          <w:lang w:val="en-GB"/>
        </w:rPr>
        <w:t>.</w:t>
      </w:r>
      <w:r w:rsidRPr="005C2A0F">
        <w:rPr>
          <w:lang w:val="en-GB"/>
        </w:rPr>
        <w:t xml:space="preserve"> </w:t>
      </w:r>
      <w:r w:rsidR="001476BF">
        <w:rPr>
          <w:lang w:val="en-GB"/>
        </w:rPr>
        <w:t>I</w:t>
      </w:r>
      <w:r w:rsidRPr="005C2A0F">
        <w:rPr>
          <w:lang w:val="en-GB"/>
        </w:rPr>
        <w:t>t seems I would be able to manage this regardless of the structure.</w:t>
      </w:r>
    </w:p>
    <w:p w14:paraId="684BCA83" w14:textId="77777777" w:rsidR="002D615C" w:rsidRPr="005C2A0F" w:rsidRDefault="002D615C" w:rsidP="002D615C">
      <w:pPr>
        <w:pStyle w:val="BodyTextMain"/>
        <w:rPr>
          <w:lang w:val="en-GB"/>
        </w:rPr>
      </w:pPr>
    </w:p>
    <w:p w14:paraId="143985C1" w14:textId="521DE11F" w:rsidR="002D615C" w:rsidRPr="005C2A0F" w:rsidRDefault="001476BF" w:rsidP="002D615C">
      <w:pPr>
        <w:pStyle w:val="BodyTextMain"/>
        <w:rPr>
          <w:lang w:val="en-GB"/>
        </w:rPr>
      </w:pPr>
      <w:r>
        <w:rPr>
          <w:lang w:val="en-GB"/>
        </w:rPr>
        <w:t>Sperry</w:t>
      </w:r>
      <w:r w:rsidRPr="005C2A0F">
        <w:rPr>
          <w:lang w:val="en-GB"/>
        </w:rPr>
        <w:t xml:space="preserve"> </w:t>
      </w:r>
      <w:r w:rsidR="002D615C" w:rsidRPr="005C2A0F">
        <w:rPr>
          <w:lang w:val="en-GB"/>
        </w:rPr>
        <w:t>jumped back in</w:t>
      </w:r>
      <w:r>
        <w:rPr>
          <w:lang w:val="en-GB"/>
        </w:rPr>
        <w:t>:</w:t>
      </w:r>
      <w:r w:rsidR="002D615C" w:rsidRPr="005C2A0F">
        <w:rPr>
          <w:lang w:val="en-GB"/>
        </w:rPr>
        <w:t xml:space="preserve"> </w:t>
      </w:r>
    </w:p>
    <w:p w14:paraId="55F7BA1D" w14:textId="77777777" w:rsidR="002D615C" w:rsidRPr="005C2A0F" w:rsidRDefault="002D615C" w:rsidP="002D615C">
      <w:pPr>
        <w:pStyle w:val="BodyTextMain"/>
        <w:rPr>
          <w:lang w:val="en-GB"/>
        </w:rPr>
      </w:pPr>
    </w:p>
    <w:p w14:paraId="3EA4EE83" w14:textId="31B354EE" w:rsidR="002D615C" w:rsidRPr="005C2A0F" w:rsidRDefault="002D615C" w:rsidP="002D615C">
      <w:pPr>
        <w:pStyle w:val="BodyTextMain"/>
        <w:ind w:left="720"/>
        <w:rPr>
          <w:lang w:val="en-GB"/>
        </w:rPr>
      </w:pPr>
      <w:r w:rsidRPr="005C2A0F">
        <w:rPr>
          <w:lang w:val="en-GB"/>
        </w:rPr>
        <w:t xml:space="preserve">I’m not sure it’s the </w:t>
      </w:r>
      <w:r w:rsidRPr="00C01306">
        <w:rPr>
          <w:i/>
          <w:lang w:val="en-GB"/>
        </w:rPr>
        <w:t>worst</w:t>
      </w:r>
      <w:r w:rsidRPr="005C2A0F">
        <w:rPr>
          <w:lang w:val="en-GB"/>
        </w:rPr>
        <w:t xml:space="preserve"> of both worlds. From a marketing perspective it’s the </w:t>
      </w:r>
      <w:r w:rsidRPr="00C01306">
        <w:rPr>
          <w:i/>
          <w:lang w:val="en-GB"/>
        </w:rPr>
        <w:t>best</w:t>
      </w:r>
      <w:r w:rsidRPr="005C2A0F">
        <w:rPr>
          <w:lang w:val="en-GB"/>
        </w:rPr>
        <w:t xml:space="preserve"> of both worlds. It’s an alternative strategy that we can market to a retail base that is craving access to hedge</w:t>
      </w:r>
      <w:r w:rsidR="0013213D">
        <w:rPr>
          <w:lang w:val="en-GB"/>
        </w:rPr>
        <w:t xml:space="preserve"> </w:t>
      </w:r>
      <w:r w:rsidRPr="005C2A0F">
        <w:rPr>
          <w:lang w:val="en-GB"/>
        </w:rPr>
        <w:t>fund</w:t>
      </w:r>
      <w:r w:rsidR="001476BF">
        <w:rPr>
          <w:lang w:val="en-GB"/>
        </w:rPr>
        <w:t>-</w:t>
      </w:r>
      <w:r w:rsidRPr="005C2A0F">
        <w:rPr>
          <w:lang w:val="en-GB"/>
        </w:rPr>
        <w:t>like investments that they are normally shut out from. Not to mention the fees that they would pay are double what we get from our long-only products.</w:t>
      </w:r>
    </w:p>
    <w:p w14:paraId="585EF925" w14:textId="3E13D4B6" w:rsidR="002D615C" w:rsidRPr="005C2A0F" w:rsidRDefault="002D615C" w:rsidP="002D615C">
      <w:pPr>
        <w:pStyle w:val="BodyTextMain"/>
        <w:rPr>
          <w:lang w:val="en-GB"/>
        </w:rPr>
      </w:pPr>
    </w:p>
    <w:p w14:paraId="4E88ED50" w14:textId="69C88AC7" w:rsidR="002D615C" w:rsidRPr="005C2A0F" w:rsidRDefault="002D615C" w:rsidP="002D615C">
      <w:pPr>
        <w:pStyle w:val="BodyTextMain"/>
        <w:rPr>
          <w:lang w:val="en-GB"/>
        </w:rPr>
      </w:pPr>
      <w:r w:rsidRPr="005C2A0F">
        <w:rPr>
          <w:lang w:val="en-GB"/>
        </w:rPr>
        <w:t xml:space="preserve">Sensing that a decision needed to be made, </w:t>
      </w:r>
      <w:r w:rsidR="00143644">
        <w:rPr>
          <w:lang w:val="en-GB"/>
        </w:rPr>
        <w:t>Megan</w:t>
      </w:r>
      <w:r w:rsidRPr="005C2A0F">
        <w:rPr>
          <w:lang w:val="en-GB"/>
        </w:rPr>
        <w:t xml:space="preserve"> wrapped up the meeting. “Ok, thank you everyone for your input. I’ll keep everyone filled in on the decision and let you all know the next steps shortly.”</w:t>
      </w:r>
    </w:p>
    <w:p w14:paraId="7604ECFA" w14:textId="0F8E47BF" w:rsidR="002D615C" w:rsidRDefault="002D615C" w:rsidP="002D615C">
      <w:pPr>
        <w:pStyle w:val="BodyTextMain"/>
        <w:rPr>
          <w:lang w:val="en-GB"/>
        </w:rPr>
      </w:pPr>
    </w:p>
    <w:p w14:paraId="606330F8" w14:textId="77777777" w:rsidR="002A45A5" w:rsidRPr="005C2A0F" w:rsidRDefault="002A45A5" w:rsidP="002D615C">
      <w:pPr>
        <w:pStyle w:val="BodyTextMain"/>
        <w:rPr>
          <w:lang w:val="en-GB"/>
        </w:rPr>
      </w:pPr>
    </w:p>
    <w:p w14:paraId="360427A2" w14:textId="77777777" w:rsidR="002D615C" w:rsidRPr="005C2A0F" w:rsidRDefault="002D615C" w:rsidP="002A45A5">
      <w:pPr>
        <w:pStyle w:val="Casehead1"/>
        <w:keepNext/>
        <w:rPr>
          <w:lang w:val="en-GB"/>
        </w:rPr>
      </w:pPr>
      <w:r w:rsidRPr="005C2A0F">
        <w:rPr>
          <w:lang w:val="en-GB"/>
        </w:rPr>
        <w:t>Decision Time</w:t>
      </w:r>
    </w:p>
    <w:p w14:paraId="58715295" w14:textId="77777777" w:rsidR="002D615C" w:rsidRPr="005C2A0F" w:rsidRDefault="002D615C" w:rsidP="002A45A5">
      <w:pPr>
        <w:pStyle w:val="BodyTextMain"/>
        <w:keepNext/>
        <w:rPr>
          <w:i/>
          <w:lang w:val="en-GB"/>
        </w:rPr>
      </w:pPr>
    </w:p>
    <w:p w14:paraId="0E7A0B14" w14:textId="4D80DEB1" w:rsidR="002D615C" w:rsidRPr="005C2A0F" w:rsidRDefault="002D615C" w:rsidP="002A45A5">
      <w:pPr>
        <w:pStyle w:val="BodyTextMain"/>
        <w:keepNext/>
        <w:rPr>
          <w:lang w:val="en-GB"/>
        </w:rPr>
      </w:pPr>
      <w:r w:rsidRPr="005C2A0F">
        <w:rPr>
          <w:lang w:val="en-GB"/>
        </w:rPr>
        <w:t xml:space="preserve">After the meeting, </w:t>
      </w:r>
      <w:r w:rsidR="00143644">
        <w:rPr>
          <w:lang w:val="en-GB"/>
        </w:rPr>
        <w:t>Megan</w:t>
      </w:r>
      <w:r w:rsidRPr="005C2A0F">
        <w:rPr>
          <w:lang w:val="en-GB"/>
        </w:rPr>
        <w:t xml:space="preserve"> was uncertain </w:t>
      </w:r>
      <w:r w:rsidR="001476BF">
        <w:rPr>
          <w:lang w:val="en-GB"/>
        </w:rPr>
        <w:t>which</w:t>
      </w:r>
      <w:r w:rsidRPr="005C2A0F">
        <w:rPr>
          <w:lang w:val="en-GB"/>
        </w:rPr>
        <w:t xml:space="preserve"> fund structure to use. Hedge fund fees and locked</w:t>
      </w:r>
      <w:r w:rsidR="001476BF">
        <w:rPr>
          <w:lang w:val="en-GB"/>
        </w:rPr>
        <w:t>-</w:t>
      </w:r>
      <w:r w:rsidRPr="005C2A0F">
        <w:rPr>
          <w:lang w:val="en-GB"/>
        </w:rPr>
        <w:t>up capital sounded attractive, but would FIM realistically be able to raise enough assets from institutions that were qualified purchasers</w:t>
      </w:r>
      <w:r w:rsidR="001476BF">
        <w:rPr>
          <w:lang w:val="en-GB"/>
        </w:rPr>
        <w:t xml:space="preserve">—especially </w:t>
      </w:r>
      <w:r w:rsidRPr="005C2A0F">
        <w:rPr>
          <w:lang w:val="en-GB"/>
        </w:rPr>
        <w:t xml:space="preserve">given FIM’s lack of historical relationships with these types of investors? What would be the cultural implications and conflicts of interest to have a hedge fund exist within a mutual fund complex? </w:t>
      </w:r>
    </w:p>
    <w:p w14:paraId="7B07B5C9" w14:textId="77777777" w:rsidR="002D615C" w:rsidRPr="005C2A0F" w:rsidRDefault="002D615C" w:rsidP="002D615C">
      <w:pPr>
        <w:pStyle w:val="BodyTextMain"/>
        <w:rPr>
          <w:lang w:val="en-GB"/>
        </w:rPr>
      </w:pPr>
    </w:p>
    <w:p w14:paraId="4FA20303" w14:textId="63EC0371" w:rsidR="002D218C" w:rsidRPr="005C2A0F" w:rsidRDefault="00143644" w:rsidP="00971CFD">
      <w:pPr>
        <w:pStyle w:val="BodyTextMain"/>
        <w:rPr>
          <w:lang w:val="en-GB"/>
        </w:rPr>
      </w:pPr>
      <w:r>
        <w:rPr>
          <w:lang w:val="en-GB"/>
        </w:rPr>
        <w:t>Megan</w:t>
      </w:r>
      <w:r w:rsidR="002D615C" w:rsidRPr="005C2A0F">
        <w:rPr>
          <w:lang w:val="en-GB"/>
        </w:rPr>
        <w:t xml:space="preserve"> walked back to her office, sat in her chair</w:t>
      </w:r>
      <w:r w:rsidR="0013213D">
        <w:rPr>
          <w:lang w:val="en-GB"/>
        </w:rPr>
        <w:t>,</w:t>
      </w:r>
      <w:r w:rsidR="002D615C" w:rsidRPr="005C2A0F">
        <w:rPr>
          <w:lang w:val="en-GB"/>
        </w:rPr>
        <w:t xml:space="preserve"> and pondered both sides of the decision. </w:t>
      </w:r>
      <w:r w:rsidR="001476BF">
        <w:rPr>
          <w:lang w:val="en-GB"/>
        </w:rPr>
        <w:t>She</w:t>
      </w:r>
      <w:r w:rsidR="002D615C" w:rsidRPr="005C2A0F">
        <w:rPr>
          <w:lang w:val="en-GB"/>
        </w:rPr>
        <w:t xml:space="preserve"> was aware of the importance of this decision</w:t>
      </w:r>
      <w:r w:rsidR="001476BF">
        <w:rPr>
          <w:lang w:val="en-GB"/>
        </w:rPr>
        <w:t>,</w:t>
      </w:r>
      <w:r w:rsidR="002D615C" w:rsidRPr="005C2A0F">
        <w:rPr>
          <w:lang w:val="en-GB"/>
        </w:rPr>
        <w:t xml:space="preserve"> </w:t>
      </w:r>
      <w:r w:rsidR="001476BF">
        <w:rPr>
          <w:lang w:val="en-GB"/>
        </w:rPr>
        <w:t xml:space="preserve">which </w:t>
      </w:r>
      <w:r w:rsidR="002D615C" w:rsidRPr="005C2A0F">
        <w:rPr>
          <w:lang w:val="en-GB"/>
        </w:rPr>
        <w:t>could have cultural, reputational</w:t>
      </w:r>
      <w:r w:rsidR="001476BF">
        <w:rPr>
          <w:lang w:val="en-GB"/>
        </w:rPr>
        <w:t>,</w:t>
      </w:r>
      <w:r w:rsidR="002D615C" w:rsidRPr="005C2A0F">
        <w:rPr>
          <w:lang w:val="en-GB"/>
        </w:rPr>
        <w:t xml:space="preserve"> and economic ramifications for the future of FIM.</w:t>
      </w:r>
      <w:r w:rsidR="00971CFD" w:rsidRPr="005C2A0F">
        <w:rPr>
          <w:lang w:val="en-GB"/>
        </w:rPr>
        <w:t xml:space="preserve"> </w:t>
      </w:r>
      <w:r w:rsidR="002D218C" w:rsidRPr="005C2A0F">
        <w:rPr>
          <w:lang w:val="en-GB"/>
        </w:rPr>
        <w:br w:type="page"/>
      </w:r>
    </w:p>
    <w:p w14:paraId="78869F1C" w14:textId="754D231C" w:rsidR="002D218C" w:rsidRPr="005C2A0F" w:rsidRDefault="009A52F8" w:rsidP="002D218C">
      <w:pPr>
        <w:pStyle w:val="ExhibitHeading"/>
        <w:rPr>
          <w:lang w:val="en-GB"/>
        </w:rPr>
      </w:pPr>
      <w:r w:rsidRPr="005C2A0F">
        <w:rPr>
          <w:lang w:val="en-GB"/>
        </w:rPr>
        <w:lastRenderedPageBreak/>
        <w:t>EXHIBIT 1:</w:t>
      </w:r>
      <w:r w:rsidR="002D218C" w:rsidRPr="005C2A0F">
        <w:rPr>
          <w:lang w:val="en-GB"/>
        </w:rPr>
        <w:t xml:space="preserve"> Hedge Fund </w:t>
      </w:r>
      <w:r w:rsidR="00BA37AE">
        <w:rPr>
          <w:lang w:val="en-GB"/>
        </w:rPr>
        <w:t xml:space="preserve">index </w:t>
      </w:r>
      <w:r w:rsidR="002D218C" w:rsidRPr="005C2A0F">
        <w:rPr>
          <w:lang w:val="en-GB"/>
        </w:rPr>
        <w:t>v</w:t>
      </w:r>
      <w:r w:rsidR="00DC7B27">
        <w:rPr>
          <w:lang w:val="en-GB"/>
        </w:rPr>
        <w:t>er</w:t>
      </w:r>
      <w:r w:rsidR="002D218C" w:rsidRPr="005C2A0F">
        <w:rPr>
          <w:lang w:val="en-GB"/>
        </w:rPr>
        <w:t>s</w:t>
      </w:r>
      <w:r w:rsidR="00DC7B27">
        <w:rPr>
          <w:lang w:val="en-GB"/>
        </w:rPr>
        <w:t>us</w:t>
      </w:r>
      <w:r w:rsidR="002D218C" w:rsidRPr="005C2A0F">
        <w:rPr>
          <w:lang w:val="en-GB"/>
        </w:rPr>
        <w:t xml:space="preserve"> Equity Indexes</w:t>
      </w:r>
      <w:r w:rsidR="00BA37AE">
        <w:rPr>
          <w:lang w:val="en-GB"/>
        </w:rPr>
        <w:t>,</w:t>
      </w:r>
      <w:r w:rsidR="002D218C" w:rsidRPr="005C2A0F">
        <w:rPr>
          <w:lang w:val="en-GB"/>
        </w:rPr>
        <w:t xml:space="preserve"> Annualized Returns ending December 31, 2018</w:t>
      </w:r>
    </w:p>
    <w:p w14:paraId="5F92F06D" w14:textId="77777777" w:rsidR="002D218C" w:rsidRPr="005C2A0F" w:rsidRDefault="002D218C" w:rsidP="00F407C4">
      <w:pPr>
        <w:pStyle w:val="ExhibitText"/>
        <w:rPr>
          <w:lang w:val="en-GB"/>
        </w:rPr>
      </w:pPr>
    </w:p>
    <w:p w14:paraId="231E7E29" w14:textId="77777777" w:rsidR="002D218C" w:rsidRPr="005C2A0F" w:rsidRDefault="002D218C" w:rsidP="002D218C">
      <w:pPr>
        <w:jc w:val="center"/>
        <w:rPr>
          <w:sz w:val="22"/>
          <w:szCs w:val="22"/>
          <w:lang w:val="en-GB"/>
        </w:rPr>
      </w:pPr>
      <w:r w:rsidRPr="0009232F">
        <w:rPr>
          <w:noProof/>
          <w:sz w:val="22"/>
          <w:szCs w:val="22"/>
          <w:lang w:val="en-CA" w:eastAsia="en-CA"/>
        </w:rPr>
        <w:drawing>
          <wp:inline distT="0" distB="0" distL="0" distR="0" wp14:anchorId="4DF0A53B" wp14:editId="502F74F8">
            <wp:extent cx="5226685" cy="2231409"/>
            <wp:effectExtent l="0" t="0" r="18415" b="16510"/>
            <wp:docPr id="2" name="Chart 2">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DAA855" w14:textId="77777777" w:rsidR="002D218C" w:rsidRPr="005C2A0F" w:rsidRDefault="002D218C" w:rsidP="00F407C4">
      <w:pPr>
        <w:pStyle w:val="ExhibitText"/>
        <w:rPr>
          <w:lang w:val="en-GB"/>
        </w:rPr>
      </w:pPr>
    </w:p>
    <w:p w14:paraId="5678C2FB" w14:textId="77777777" w:rsidR="002D218C" w:rsidRPr="005C2A0F" w:rsidRDefault="002D218C" w:rsidP="002D218C">
      <w:pPr>
        <w:jc w:val="center"/>
        <w:rPr>
          <w:sz w:val="22"/>
          <w:szCs w:val="22"/>
          <w:lang w:val="en-GB"/>
        </w:rPr>
      </w:pPr>
      <w:r w:rsidRPr="0009232F">
        <w:rPr>
          <w:noProof/>
          <w:sz w:val="22"/>
          <w:szCs w:val="22"/>
          <w:lang w:val="en-CA" w:eastAsia="en-CA"/>
        </w:rPr>
        <w:drawing>
          <wp:inline distT="0" distB="0" distL="0" distR="0" wp14:anchorId="1F633BBA" wp14:editId="0896482D">
            <wp:extent cx="5172501" cy="2449773"/>
            <wp:effectExtent l="0" t="0" r="9525" b="14605"/>
            <wp:docPr id="3" name="Chart 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DD0BEB" w14:textId="77777777" w:rsidR="002D218C" w:rsidRPr="005C2A0F" w:rsidRDefault="002D218C" w:rsidP="002D218C">
      <w:pPr>
        <w:pStyle w:val="ExhibitText"/>
        <w:rPr>
          <w:lang w:val="en-GB"/>
        </w:rPr>
      </w:pPr>
    </w:p>
    <w:tbl>
      <w:tblPr>
        <w:tblW w:w="8190" w:type="dxa"/>
        <w:jc w:val="center"/>
        <w:tblLayout w:type="fixed"/>
        <w:tblLook w:val="04A0" w:firstRow="1" w:lastRow="0" w:firstColumn="1" w:lastColumn="0" w:noHBand="0" w:noVBand="1"/>
      </w:tblPr>
      <w:tblGrid>
        <w:gridCol w:w="1166"/>
        <w:gridCol w:w="1756"/>
        <w:gridCol w:w="1756"/>
        <w:gridCol w:w="1756"/>
        <w:gridCol w:w="1756"/>
      </w:tblGrid>
      <w:tr w:rsidR="002D218C" w:rsidRPr="005C2A0F" w14:paraId="7077B768" w14:textId="77777777" w:rsidTr="0009232F">
        <w:trPr>
          <w:trHeight w:val="259"/>
          <w:jc w:val="center"/>
        </w:trPr>
        <w:tc>
          <w:tcPr>
            <w:tcW w:w="819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F366C" w14:textId="77777777" w:rsidR="002D218C" w:rsidRPr="005C2A0F" w:rsidRDefault="002D218C" w:rsidP="002D218C">
            <w:pPr>
              <w:pStyle w:val="ExhibitText"/>
              <w:jc w:val="center"/>
              <w:rPr>
                <w:lang w:val="en-GB"/>
              </w:rPr>
            </w:pPr>
            <w:r w:rsidRPr="005C2A0F">
              <w:rPr>
                <w:lang w:val="en-GB"/>
              </w:rPr>
              <w:t>Annualized Net Returns</w:t>
            </w:r>
          </w:p>
        </w:tc>
      </w:tr>
      <w:tr w:rsidR="002D218C" w:rsidRPr="005C2A0F" w14:paraId="1FCC6AC6" w14:textId="77777777" w:rsidTr="0009232F">
        <w:trPr>
          <w:trHeight w:val="259"/>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3F962" w14:textId="25B4B4DF" w:rsidR="002D218C" w:rsidRPr="005C2A0F" w:rsidRDefault="002D218C" w:rsidP="002D218C">
            <w:pPr>
              <w:pStyle w:val="ExhibitText"/>
              <w:rPr>
                <w:lang w:val="en-GB"/>
              </w:rPr>
            </w:pPr>
            <w:r w:rsidRPr="005C2A0F">
              <w:rPr>
                <w:lang w:val="en-GB"/>
              </w:rPr>
              <w:t> </w:t>
            </w:r>
            <w:r w:rsidR="005F62DA">
              <w:rPr>
                <w:lang w:val="en-GB"/>
              </w:rPr>
              <w:t>Term</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2EDF4" w14:textId="77777777" w:rsidR="002D218C" w:rsidRPr="005C2A0F" w:rsidRDefault="002D218C" w:rsidP="00531FFA">
            <w:pPr>
              <w:pStyle w:val="ExhibitText"/>
              <w:jc w:val="center"/>
              <w:rPr>
                <w:lang w:val="en-GB"/>
              </w:rPr>
            </w:pPr>
            <w:r w:rsidRPr="005C2A0F">
              <w:rPr>
                <w:lang w:val="en-GB"/>
              </w:rPr>
              <w:t>HF Index</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FA32C" w14:textId="56FC00FA" w:rsidR="002D218C" w:rsidRPr="005C2A0F" w:rsidRDefault="002D218C" w:rsidP="00531FFA">
            <w:pPr>
              <w:pStyle w:val="ExhibitText"/>
              <w:jc w:val="center"/>
              <w:rPr>
                <w:lang w:val="en-GB"/>
              </w:rPr>
            </w:pPr>
            <w:r w:rsidRPr="005C2A0F">
              <w:rPr>
                <w:lang w:val="en-GB"/>
              </w:rPr>
              <w:t>S&amp;P 500</w:t>
            </w:r>
            <w:r w:rsidR="001476BF">
              <w:rPr>
                <w:lang w:val="en-GB"/>
              </w:rPr>
              <w:t xml:space="preserve"> Index</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3C0A6" w14:textId="2652C89B" w:rsidR="002D218C" w:rsidRPr="005C2A0F" w:rsidRDefault="002D218C" w:rsidP="00531FFA">
            <w:pPr>
              <w:pStyle w:val="ExhibitText"/>
              <w:jc w:val="center"/>
              <w:rPr>
                <w:lang w:val="en-GB"/>
              </w:rPr>
            </w:pPr>
            <w:r w:rsidRPr="005C2A0F">
              <w:rPr>
                <w:lang w:val="en-GB"/>
              </w:rPr>
              <w:t>Russell 2000</w:t>
            </w:r>
            <w:r w:rsidR="001476BF">
              <w:rPr>
                <w:lang w:val="en-GB"/>
              </w:rPr>
              <w:t xml:space="preserve"> Index</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28F32" w14:textId="77777777" w:rsidR="002D218C" w:rsidRPr="005C2A0F" w:rsidRDefault="002D218C" w:rsidP="00531FFA">
            <w:pPr>
              <w:pStyle w:val="ExhibitText"/>
              <w:jc w:val="center"/>
              <w:rPr>
                <w:lang w:val="en-GB"/>
              </w:rPr>
            </w:pPr>
            <w:r w:rsidRPr="005C2A0F">
              <w:rPr>
                <w:lang w:val="en-GB"/>
              </w:rPr>
              <w:t>FIM L/S</w:t>
            </w:r>
          </w:p>
        </w:tc>
      </w:tr>
      <w:tr w:rsidR="002D218C" w:rsidRPr="005C2A0F" w14:paraId="1669D7D8" w14:textId="77777777" w:rsidTr="0009232F">
        <w:trPr>
          <w:trHeight w:val="246"/>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90035" w14:textId="2E4EFDDA" w:rsidR="002D218C" w:rsidRPr="005C2A0F" w:rsidRDefault="002D218C" w:rsidP="002D218C">
            <w:pPr>
              <w:pStyle w:val="ExhibitText"/>
              <w:rPr>
                <w:lang w:val="en-GB"/>
              </w:rPr>
            </w:pPr>
            <w:r w:rsidRPr="005C2A0F">
              <w:rPr>
                <w:lang w:val="en-GB"/>
              </w:rPr>
              <w:t>10</w:t>
            </w:r>
            <w:r w:rsidR="005F62DA">
              <w:rPr>
                <w:lang w:val="en-GB"/>
              </w:rPr>
              <w:t xml:space="preserve"> </w:t>
            </w:r>
            <w:r w:rsidRPr="005C2A0F">
              <w:rPr>
                <w:lang w:val="en-GB"/>
              </w:rPr>
              <w:t>y</w:t>
            </w:r>
            <w:r w:rsidR="005F62DA">
              <w:rPr>
                <w:lang w:val="en-GB"/>
              </w:rPr>
              <w:t>ear</w:t>
            </w:r>
            <w:r w:rsidR="0013213D">
              <w:rPr>
                <w:lang w:val="en-GB"/>
              </w:rPr>
              <w:t>s</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98F4D" w14:textId="77777777" w:rsidR="002D218C" w:rsidRPr="005C2A0F" w:rsidRDefault="002D218C" w:rsidP="00531FFA">
            <w:pPr>
              <w:pStyle w:val="ExhibitText"/>
              <w:jc w:val="center"/>
              <w:rPr>
                <w:lang w:val="en-GB"/>
              </w:rPr>
            </w:pPr>
            <w:r w:rsidRPr="005C2A0F">
              <w:rPr>
                <w:lang w:val="en-GB"/>
              </w:rPr>
              <w:t>5.95%</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098" w14:textId="77777777" w:rsidR="002D218C" w:rsidRPr="005C2A0F" w:rsidRDefault="002D218C" w:rsidP="00531FFA">
            <w:pPr>
              <w:pStyle w:val="ExhibitText"/>
              <w:tabs>
                <w:tab w:val="decimal" w:pos="658"/>
              </w:tabs>
              <w:rPr>
                <w:lang w:val="en-GB"/>
              </w:rPr>
            </w:pPr>
            <w:r w:rsidRPr="005C2A0F">
              <w:rPr>
                <w:lang w:val="en-GB"/>
              </w:rPr>
              <w:t>13.10%</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FB45B" w14:textId="77777777" w:rsidR="002D218C" w:rsidRPr="005C2A0F" w:rsidRDefault="002D218C" w:rsidP="00531FFA">
            <w:pPr>
              <w:pStyle w:val="ExhibitText"/>
              <w:tabs>
                <w:tab w:val="decimal" w:pos="698"/>
              </w:tabs>
              <w:rPr>
                <w:lang w:val="en-GB"/>
              </w:rPr>
            </w:pPr>
            <w:r w:rsidRPr="005C2A0F">
              <w:rPr>
                <w:lang w:val="en-GB"/>
              </w:rPr>
              <w:t>11.95%</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6D86D" w14:textId="07E136CA" w:rsidR="002D218C" w:rsidRPr="005C2A0F" w:rsidRDefault="001476BF" w:rsidP="00531FFA">
            <w:pPr>
              <w:pStyle w:val="ExhibitText"/>
              <w:jc w:val="center"/>
              <w:rPr>
                <w:lang w:val="en-GB"/>
              </w:rPr>
            </w:pPr>
            <w:r>
              <w:rPr>
                <w:lang w:val="en-GB"/>
              </w:rPr>
              <w:t>–</w:t>
            </w:r>
          </w:p>
        </w:tc>
      </w:tr>
      <w:tr w:rsidR="002D218C" w:rsidRPr="005C2A0F" w14:paraId="502288DE" w14:textId="77777777" w:rsidTr="0009232F">
        <w:trPr>
          <w:trHeight w:val="246"/>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A31E3" w14:textId="34938E2F" w:rsidR="002D218C" w:rsidRPr="005C2A0F" w:rsidRDefault="002D218C" w:rsidP="002D218C">
            <w:pPr>
              <w:pStyle w:val="ExhibitText"/>
              <w:rPr>
                <w:lang w:val="en-GB"/>
              </w:rPr>
            </w:pPr>
            <w:r w:rsidRPr="005C2A0F">
              <w:rPr>
                <w:lang w:val="en-GB"/>
              </w:rPr>
              <w:t>5</w:t>
            </w:r>
            <w:r w:rsidR="005F62DA">
              <w:rPr>
                <w:lang w:val="en-GB"/>
              </w:rPr>
              <w:t xml:space="preserve"> </w:t>
            </w:r>
            <w:r w:rsidRPr="005C2A0F">
              <w:rPr>
                <w:lang w:val="en-GB"/>
              </w:rPr>
              <w:t>y</w:t>
            </w:r>
            <w:r w:rsidR="005F62DA">
              <w:rPr>
                <w:lang w:val="en-GB"/>
              </w:rPr>
              <w:t>ear</w:t>
            </w:r>
            <w:r w:rsidR="0013213D">
              <w:rPr>
                <w:lang w:val="en-GB"/>
              </w:rPr>
              <w:t>s</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8C90D" w14:textId="77777777" w:rsidR="002D218C" w:rsidRPr="005C2A0F" w:rsidRDefault="002D218C" w:rsidP="00531FFA">
            <w:pPr>
              <w:pStyle w:val="ExhibitText"/>
              <w:jc w:val="center"/>
              <w:rPr>
                <w:lang w:val="en-GB"/>
              </w:rPr>
            </w:pPr>
            <w:r w:rsidRPr="005C2A0F">
              <w:rPr>
                <w:lang w:val="en-GB"/>
              </w:rPr>
              <w:t>2.71%</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5CDAA" w14:textId="77777777" w:rsidR="002D218C" w:rsidRPr="005C2A0F" w:rsidRDefault="002D218C" w:rsidP="00531FFA">
            <w:pPr>
              <w:pStyle w:val="ExhibitText"/>
              <w:tabs>
                <w:tab w:val="decimal" w:pos="658"/>
              </w:tabs>
              <w:rPr>
                <w:lang w:val="en-GB"/>
              </w:rPr>
            </w:pPr>
            <w:r w:rsidRPr="005C2A0F">
              <w:rPr>
                <w:lang w:val="en-GB"/>
              </w:rPr>
              <w:t>8.48%</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FD9B5" w14:textId="77777777" w:rsidR="002D218C" w:rsidRPr="005C2A0F" w:rsidRDefault="002D218C" w:rsidP="00531FFA">
            <w:pPr>
              <w:pStyle w:val="ExhibitText"/>
              <w:tabs>
                <w:tab w:val="decimal" w:pos="698"/>
              </w:tabs>
              <w:rPr>
                <w:lang w:val="en-GB"/>
              </w:rPr>
            </w:pPr>
            <w:r w:rsidRPr="005C2A0F">
              <w:rPr>
                <w:lang w:val="en-GB"/>
              </w:rPr>
              <w:t>4.40%</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FE4A0" w14:textId="65FF8A6B" w:rsidR="002D218C" w:rsidRPr="005C2A0F" w:rsidRDefault="001476BF" w:rsidP="00531FFA">
            <w:pPr>
              <w:pStyle w:val="ExhibitText"/>
              <w:jc w:val="center"/>
              <w:rPr>
                <w:lang w:val="en-GB"/>
              </w:rPr>
            </w:pPr>
            <w:r>
              <w:rPr>
                <w:lang w:val="en-GB"/>
              </w:rPr>
              <w:t>–</w:t>
            </w:r>
          </w:p>
        </w:tc>
      </w:tr>
      <w:tr w:rsidR="002D218C" w:rsidRPr="005C2A0F" w14:paraId="385D9F45" w14:textId="77777777" w:rsidTr="0009232F">
        <w:trPr>
          <w:trHeight w:val="259"/>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99612" w14:textId="65F528B5" w:rsidR="002D218C" w:rsidRPr="005C2A0F" w:rsidRDefault="002D218C" w:rsidP="002D218C">
            <w:pPr>
              <w:pStyle w:val="ExhibitText"/>
              <w:rPr>
                <w:lang w:val="en-GB"/>
              </w:rPr>
            </w:pPr>
            <w:r w:rsidRPr="005C2A0F">
              <w:rPr>
                <w:lang w:val="en-GB"/>
              </w:rPr>
              <w:t>3</w:t>
            </w:r>
            <w:r w:rsidR="005F62DA">
              <w:rPr>
                <w:lang w:val="en-GB"/>
              </w:rPr>
              <w:t xml:space="preserve"> </w:t>
            </w:r>
            <w:r w:rsidRPr="005C2A0F">
              <w:rPr>
                <w:lang w:val="en-GB"/>
              </w:rPr>
              <w:t>y</w:t>
            </w:r>
            <w:r w:rsidR="005F62DA">
              <w:rPr>
                <w:lang w:val="en-GB"/>
              </w:rPr>
              <w:t>ear</w:t>
            </w:r>
            <w:r w:rsidR="0013213D">
              <w:rPr>
                <w:lang w:val="en-GB"/>
              </w:rPr>
              <w:t>s</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F202F" w14:textId="77777777" w:rsidR="002D218C" w:rsidRPr="005C2A0F" w:rsidRDefault="002D218C" w:rsidP="00531FFA">
            <w:pPr>
              <w:pStyle w:val="ExhibitText"/>
              <w:jc w:val="center"/>
              <w:rPr>
                <w:lang w:val="en-GB"/>
              </w:rPr>
            </w:pPr>
            <w:r w:rsidRPr="005C2A0F">
              <w:rPr>
                <w:lang w:val="en-GB"/>
              </w:rPr>
              <w:t>3.55%</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27747" w14:textId="77777777" w:rsidR="002D218C" w:rsidRPr="005C2A0F" w:rsidRDefault="002D218C" w:rsidP="00531FFA">
            <w:pPr>
              <w:pStyle w:val="ExhibitText"/>
              <w:tabs>
                <w:tab w:val="decimal" w:pos="658"/>
              </w:tabs>
              <w:rPr>
                <w:lang w:val="en-GB"/>
              </w:rPr>
            </w:pPr>
            <w:r w:rsidRPr="005C2A0F">
              <w:rPr>
                <w:lang w:val="en-GB"/>
              </w:rPr>
              <w:t>9.24%</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6AE37" w14:textId="77777777" w:rsidR="002D218C" w:rsidRPr="005C2A0F" w:rsidRDefault="002D218C" w:rsidP="00531FFA">
            <w:pPr>
              <w:pStyle w:val="ExhibitText"/>
              <w:tabs>
                <w:tab w:val="decimal" w:pos="698"/>
              </w:tabs>
              <w:rPr>
                <w:lang w:val="en-GB"/>
              </w:rPr>
            </w:pPr>
            <w:r w:rsidRPr="005C2A0F">
              <w:rPr>
                <w:lang w:val="en-GB"/>
              </w:rPr>
              <w:t>7.34%</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66281" w14:textId="77777777" w:rsidR="002D218C" w:rsidRPr="005C2A0F" w:rsidRDefault="002D218C" w:rsidP="00531FFA">
            <w:pPr>
              <w:pStyle w:val="ExhibitText"/>
              <w:jc w:val="center"/>
              <w:rPr>
                <w:lang w:val="en-GB"/>
              </w:rPr>
            </w:pPr>
            <w:r w:rsidRPr="005C2A0F">
              <w:rPr>
                <w:lang w:val="en-GB"/>
              </w:rPr>
              <w:t>6.50%</w:t>
            </w:r>
          </w:p>
        </w:tc>
      </w:tr>
    </w:tbl>
    <w:p w14:paraId="691414E3" w14:textId="77777777" w:rsidR="002D218C" w:rsidRPr="005C2A0F" w:rsidRDefault="002D218C" w:rsidP="002D218C">
      <w:pPr>
        <w:pStyle w:val="ExhibitText"/>
        <w:rPr>
          <w:lang w:val="en-GB"/>
        </w:rPr>
      </w:pPr>
    </w:p>
    <w:p w14:paraId="0A180520" w14:textId="44194BC3" w:rsidR="001476BF" w:rsidRDefault="001476BF" w:rsidP="002D218C">
      <w:pPr>
        <w:pStyle w:val="Footnote"/>
        <w:rPr>
          <w:lang w:val="en-GB"/>
        </w:rPr>
      </w:pPr>
      <w:r>
        <w:rPr>
          <w:lang w:val="en-GB"/>
        </w:rPr>
        <w:t xml:space="preserve">Note: HF Index = Hedge Fund Index; S&amp;P 500 = Standard &amp; Poor’s 500; FIM L/S = </w:t>
      </w:r>
      <w:proofErr w:type="spellStart"/>
      <w:r>
        <w:rPr>
          <w:lang w:val="en-GB"/>
        </w:rPr>
        <w:t>Feehan</w:t>
      </w:r>
      <w:proofErr w:type="spellEnd"/>
      <w:r>
        <w:rPr>
          <w:lang w:val="en-GB"/>
        </w:rPr>
        <w:t xml:space="preserve"> Investment Management long/short strategy</w:t>
      </w:r>
      <w:r w:rsidR="00133326">
        <w:rPr>
          <w:lang w:val="en-GB"/>
        </w:rPr>
        <w:t xml:space="preserve"> </w:t>
      </w:r>
    </w:p>
    <w:p w14:paraId="45C32C77" w14:textId="58C15EB8" w:rsidR="00A23AFA" w:rsidRPr="00531FFA" w:rsidRDefault="002D218C" w:rsidP="00A03590">
      <w:pPr>
        <w:pStyle w:val="Footnote"/>
        <w:rPr>
          <w:b/>
          <w:lang w:val="en-GB"/>
        </w:rPr>
      </w:pPr>
      <w:r w:rsidRPr="005C2A0F">
        <w:rPr>
          <w:lang w:val="en-GB"/>
        </w:rPr>
        <w:t>Source: Barclay Hedge Fund Index, S&amp;P 500, Russell 2000, “Stock Prices for Equity Indexes</w:t>
      </w:r>
      <w:r w:rsidR="001476BF">
        <w:rPr>
          <w:lang w:val="en-GB"/>
        </w:rPr>
        <w:t>,</w:t>
      </w:r>
      <w:r w:rsidRPr="005C2A0F">
        <w:rPr>
          <w:lang w:val="en-GB"/>
        </w:rPr>
        <w:t>” Bloomberg L.P., accessed May 17, 2019</w:t>
      </w:r>
      <w:r w:rsidR="00A03590">
        <w:rPr>
          <w:lang w:val="en-GB"/>
        </w:rPr>
        <w:t>.</w:t>
      </w:r>
    </w:p>
    <w:p w14:paraId="60D548AA" w14:textId="4FBBB2AC" w:rsidR="002D218C" w:rsidRPr="005C2A0F" w:rsidRDefault="002D218C">
      <w:pPr>
        <w:spacing w:after="200" w:line="276" w:lineRule="auto"/>
        <w:rPr>
          <w:sz w:val="22"/>
          <w:szCs w:val="22"/>
          <w:lang w:val="en-GB"/>
        </w:rPr>
      </w:pPr>
      <w:r w:rsidRPr="005C2A0F">
        <w:rPr>
          <w:sz w:val="22"/>
          <w:szCs w:val="22"/>
          <w:lang w:val="en-GB"/>
        </w:rPr>
        <w:br w:type="page"/>
      </w:r>
    </w:p>
    <w:p w14:paraId="715186FC" w14:textId="7BB12B25" w:rsidR="002D218C" w:rsidRPr="005C2A0F" w:rsidRDefault="009A52F8" w:rsidP="002D218C">
      <w:pPr>
        <w:pStyle w:val="ExhibitHeading"/>
        <w:rPr>
          <w:lang w:val="en-GB"/>
        </w:rPr>
      </w:pPr>
      <w:r w:rsidRPr="005C2A0F">
        <w:rPr>
          <w:lang w:val="en-GB"/>
        </w:rPr>
        <w:lastRenderedPageBreak/>
        <w:t>EXHIBIT 2:</w:t>
      </w:r>
      <w:r w:rsidR="002D218C" w:rsidRPr="005C2A0F">
        <w:rPr>
          <w:lang w:val="en-GB"/>
        </w:rPr>
        <w:t xml:space="preserve"> Active </w:t>
      </w:r>
      <w:r w:rsidR="005F62DA">
        <w:rPr>
          <w:lang w:val="en-GB"/>
        </w:rPr>
        <w:t>versus</w:t>
      </w:r>
      <w:r w:rsidR="002D218C" w:rsidRPr="005C2A0F">
        <w:rPr>
          <w:lang w:val="en-GB"/>
        </w:rPr>
        <w:t xml:space="preserve"> Passive Assets Under Management</w:t>
      </w:r>
      <w:r w:rsidR="005F62DA">
        <w:rPr>
          <w:lang w:val="en-GB"/>
        </w:rPr>
        <w:t>, 2008–2018</w:t>
      </w:r>
      <w:r w:rsidR="002D218C" w:rsidRPr="005C2A0F">
        <w:rPr>
          <w:lang w:val="en-GB"/>
        </w:rPr>
        <w:t xml:space="preserve"> </w:t>
      </w:r>
    </w:p>
    <w:p w14:paraId="5FB45A98" w14:textId="77777777" w:rsidR="002D218C" w:rsidRPr="005C2A0F" w:rsidRDefault="002D218C" w:rsidP="002B69B3">
      <w:pPr>
        <w:pStyle w:val="ExhibitText"/>
        <w:rPr>
          <w:lang w:val="en-GB"/>
        </w:rPr>
      </w:pPr>
    </w:p>
    <w:p w14:paraId="25046C89" w14:textId="77777777" w:rsidR="002D218C" w:rsidRPr="005C2A0F" w:rsidRDefault="002D218C" w:rsidP="002D218C">
      <w:pPr>
        <w:jc w:val="center"/>
        <w:rPr>
          <w:sz w:val="22"/>
          <w:szCs w:val="22"/>
          <w:lang w:val="en-GB"/>
        </w:rPr>
      </w:pPr>
      <w:r w:rsidRPr="0009232F">
        <w:rPr>
          <w:noProof/>
          <w:lang w:val="en-CA" w:eastAsia="en-CA"/>
        </w:rPr>
        <w:drawing>
          <wp:inline distT="0" distB="0" distL="0" distR="0" wp14:anchorId="6DB6F9C4" wp14:editId="2CDF4968">
            <wp:extent cx="5010150" cy="2940050"/>
            <wp:effectExtent l="0" t="0" r="0" b="12700"/>
            <wp:docPr id="1" name="Chart 1">
              <a:extLst xmlns:a="http://schemas.openxmlformats.org/drawingml/2006/main">
                <a:ext uri="{FF2B5EF4-FFF2-40B4-BE49-F238E27FC236}">
                  <a16:creationId xmlns:a16="http://schemas.microsoft.com/office/drawing/2014/main" id="{A2943EF4-D36A-C343-B820-864E756A2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C48C27" w14:textId="77777777" w:rsidR="002D218C" w:rsidRPr="005C2A0F" w:rsidRDefault="002D218C" w:rsidP="00F053F7">
      <w:pPr>
        <w:pStyle w:val="ExhibitText"/>
        <w:rPr>
          <w:lang w:val="en-GB"/>
        </w:rPr>
      </w:pPr>
    </w:p>
    <w:tbl>
      <w:tblPr>
        <w:tblW w:w="2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939"/>
        <w:gridCol w:w="1098"/>
      </w:tblGrid>
      <w:tr w:rsidR="002D218C" w:rsidRPr="005C2A0F" w14:paraId="7ADE17D5" w14:textId="77777777" w:rsidTr="0009232F">
        <w:trPr>
          <w:trHeight w:val="245"/>
          <w:jc w:val="center"/>
        </w:trPr>
        <w:tc>
          <w:tcPr>
            <w:tcW w:w="2803" w:type="dxa"/>
            <w:gridSpan w:val="3"/>
            <w:shd w:val="clear" w:color="auto" w:fill="auto"/>
            <w:noWrap/>
            <w:hideMark/>
          </w:tcPr>
          <w:p w14:paraId="5041797A" w14:textId="1C2255CF" w:rsidR="002D218C" w:rsidRPr="005C2A0F" w:rsidRDefault="002D218C" w:rsidP="0009232F">
            <w:pPr>
              <w:pStyle w:val="ExhibitText"/>
              <w:jc w:val="center"/>
              <w:rPr>
                <w:lang w:val="en-GB"/>
              </w:rPr>
            </w:pPr>
            <w:r w:rsidRPr="005C2A0F">
              <w:rPr>
                <w:lang w:val="en-GB"/>
              </w:rPr>
              <w:t>Aggregate U</w:t>
            </w:r>
            <w:r w:rsidR="00143644">
              <w:rPr>
                <w:lang w:val="en-GB"/>
              </w:rPr>
              <w:t>.</w:t>
            </w:r>
            <w:r w:rsidRPr="005C2A0F">
              <w:rPr>
                <w:lang w:val="en-GB"/>
              </w:rPr>
              <w:t>S</w:t>
            </w:r>
            <w:r w:rsidR="00143644">
              <w:rPr>
                <w:lang w:val="en-GB"/>
              </w:rPr>
              <w:t>.</w:t>
            </w:r>
            <w:r w:rsidRPr="005C2A0F">
              <w:rPr>
                <w:lang w:val="en-GB"/>
              </w:rPr>
              <w:t xml:space="preserve"> Equity AUM</w:t>
            </w:r>
          </w:p>
        </w:tc>
      </w:tr>
      <w:tr w:rsidR="002D218C" w:rsidRPr="005C2A0F" w14:paraId="4684B262" w14:textId="77777777" w:rsidTr="0009232F">
        <w:trPr>
          <w:trHeight w:val="245"/>
          <w:jc w:val="center"/>
        </w:trPr>
        <w:tc>
          <w:tcPr>
            <w:tcW w:w="766" w:type="dxa"/>
            <w:shd w:val="clear" w:color="auto" w:fill="auto"/>
            <w:noWrap/>
            <w:hideMark/>
          </w:tcPr>
          <w:p w14:paraId="35453067" w14:textId="54D87205" w:rsidR="002D218C" w:rsidRPr="005C2A0F" w:rsidRDefault="002D218C" w:rsidP="0009232F">
            <w:pPr>
              <w:pStyle w:val="ExhibitText"/>
              <w:jc w:val="center"/>
              <w:rPr>
                <w:lang w:val="en-GB"/>
              </w:rPr>
            </w:pPr>
          </w:p>
        </w:tc>
        <w:tc>
          <w:tcPr>
            <w:tcW w:w="939" w:type="dxa"/>
            <w:shd w:val="clear" w:color="auto" w:fill="auto"/>
            <w:noWrap/>
            <w:hideMark/>
          </w:tcPr>
          <w:p w14:paraId="3A5EBA28" w14:textId="77777777" w:rsidR="002D218C" w:rsidRPr="005C2A0F" w:rsidRDefault="002D218C" w:rsidP="0009232F">
            <w:pPr>
              <w:pStyle w:val="ExhibitText"/>
              <w:jc w:val="center"/>
              <w:rPr>
                <w:lang w:val="en-GB"/>
              </w:rPr>
            </w:pPr>
            <w:r w:rsidRPr="005C2A0F">
              <w:rPr>
                <w:lang w:val="en-GB"/>
              </w:rPr>
              <w:t>Active</w:t>
            </w:r>
          </w:p>
        </w:tc>
        <w:tc>
          <w:tcPr>
            <w:tcW w:w="1098" w:type="dxa"/>
            <w:shd w:val="clear" w:color="auto" w:fill="auto"/>
            <w:noWrap/>
            <w:hideMark/>
          </w:tcPr>
          <w:p w14:paraId="5F186918" w14:textId="77777777" w:rsidR="002D218C" w:rsidRPr="005C2A0F" w:rsidRDefault="002D218C" w:rsidP="0009232F">
            <w:pPr>
              <w:pStyle w:val="ExhibitText"/>
              <w:jc w:val="center"/>
              <w:rPr>
                <w:lang w:val="en-GB"/>
              </w:rPr>
            </w:pPr>
            <w:r w:rsidRPr="005C2A0F">
              <w:rPr>
                <w:lang w:val="en-GB"/>
              </w:rPr>
              <w:t>Passive</w:t>
            </w:r>
          </w:p>
        </w:tc>
      </w:tr>
      <w:tr w:rsidR="002D218C" w:rsidRPr="005C2A0F" w14:paraId="71DEA16A" w14:textId="77777777" w:rsidTr="0009232F">
        <w:trPr>
          <w:trHeight w:val="245"/>
          <w:jc w:val="center"/>
        </w:trPr>
        <w:tc>
          <w:tcPr>
            <w:tcW w:w="766" w:type="dxa"/>
            <w:shd w:val="clear" w:color="auto" w:fill="auto"/>
            <w:noWrap/>
            <w:hideMark/>
          </w:tcPr>
          <w:p w14:paraId="6BBC2C52" w14:textId="77777777" w:rsidR="002D218C" w:rsidRPr="005C2A0F" w:rsidRDefault="002D218C" w:rsidP="0009232F">
            <w:pPr>
              <w:pStyle w:val="ExhibitText"/>
              <w:jc w:val="center"/>
              <w:rPr>
                <w:lang w:val="en-GB"/>
              </w:rPr>
            </w:pPr>
            <w:r w:rsidRPr="005C2A0F">
              <w:rPr>
                <w:lang w:val="en-GB"/>
              </w:rPr>
              <w:t>2008</w:t>
            </w:r>
          </w:p>
        </w:tc>
        <w:tc>
          <w:tcPr>
            <w:tcW w:w="939" w:type="dxa"/>
            <w:shd w:val="clear" w:color="auto" w:fill="auto"/>
            <w:noWrap/>
            <w:hideMark/>
          </w:tcPr>
          <w:p w14:paraId="2CFD3403" w14:textId="77777777" w:rsidR="002D218C" w:rsidRPr="005C2A0F" w:rsidRDefault="002D218C" w:rsidP="0009232F">
            <w:pPr>
              <w:pStyle w:val="ExhibitText"/>
              <w:jc w:val="center"/>
              <w:rPr>
                <w:lang w:val="en-GB"/>
              </w:rPr>
            </w:pPr>
            <w:r w:rsidRPr="005C2A0F">
              <w:rPr>
                <w:lang w:val="en-GB"/>
              </w:rPr>
              <w:t>1.8</w:t>
            </w:r>
          </w:p>
        </w:tc>
        <w:tc>
          <w:tcPr>
            <w:tcW w:w="1098" w:type="dxa"/>
            <w:shd w:val="clear" w:color="auto" w:fill="auto"/>
            <w:noWrap/>
            <w:hideMark/>
          </w:tcPr>
          <w:p w14:paraId="08C11210" w14:textId="77777777" w:rsidR="002D218C" w:rsidRPr="005C2A0F" w:rsidRDefault="002D218C" w:rsidP="0009232F">
            <w:pPr>
              <w:pStyle w:val="ExhibitText"/>
              <w:tabs>
                <w:tab w:val="decimal" w:pos="442"/>
              </w:tabs>
              <w:jc w:val="center"/>
              <w:rPr>
                <w:lang w:val="en-GB"/>
              </w:rPr>
            </w:pPr>
            <w:r w:rsidRPr="005C2A0F">
              <w:rPr>
                <w:lang w:val="en-GB"/>
              </w:rPr>
              <w:t>0.7</w:t>
            </w:r>
          </w:p>
        </w:tc>
      </w:tr>
      <w:tr w:rsidR="002D218C" w:rsidRPr="005C2A0F" w14:paraId="719BC5C6" w14:textId="77777777" w:rsidTr="0009232F">
        <w:trPr>
          <w:trHeight w:val="245"/>
          <w:jc w:val="center"/>
        </w:trPr>
        <w:tc>
          <w:tcPr>
            <w:tcW w:w="766" w:type="dxa"/>
            <w:shd w:val="clear" w:color="auto" w:fill="auto"/>
            <w:noWrap/>
            <w:hideMark/>
          </w:tcPr>
          <w:p w14:paraId="04E342CB" w14:textId="77777777" w:rsidR="002D218C" w:rsidRPr="005C2A0F" w:rsidRDefault="002D218C" w:rsidP="0009232F">
            <w:pPr>
              <w:pStyle w:val="ExhibitText"/>
              <w:jc w:val="center"/>
              <w:rPr>
                <w:lang w:val="en-GB"/>
              </w:rPr>
            </w:pPr>
            <w:r w:rsidRPr="005C2A0F">
              <w:rPr>
                <w:lang w:val="en-GB"/>
              </w:rPr>
              <w:t>2009</w:t>
            </w:r>
          </w:p>
        </w:tc>
        <w:tc>
          <w:tcPr>
            <w:tcW w:w="939" w:type="dxa"/>
            <w:shd w:val="clear" w:color="auto" w:fill="auto"/>
            <w:noWrap/>
            <w:hideMark/>
          </w:tcPr>
          <w:p w14:paraId="1D860CC9" w14:textId="77777777" w:rsidR="002D218C" w:rsidRPr="005C2A0F" w:rsidRDefault="002D218C" w:rsidP="0009232F">
            <w:pPr>
              <w:pStyle w:val="ExhibitText"/>
              <w:jc w:val="center"/>
              <w:rPr>
                <w:lang w:val="en-GB"/>
              </w:rPr>
            </w:pPr>
            <w:r w:rsidRPr="005C2A0F">
              <w:rPr>
                <w:lang w:val="en-GB"/>
              </w:rPr>
              <w:t>2.3</w:t>
            </w:r>
          </w:p>
        </w:tc>
        <w:tc>
          <w:tcPr>
            <w:tcW w:w="1098" w:type="dxa"/>
            <w:shd w:val="clear" w:color="auto" w:fill="auto"/>
            <w:noWrap/>
            <w:hideMark/>
          </w:tcPr>
          <w:p w14:paraId="3AA546D9" w14:textId="77777777" w:rsidR="002D218C" w:rsidRPr="005C2A0F" w:rsidRDefault="002D218C" w:rsidP="0009232F">
            <w:pPr>
              <w:pStyle w:val="ExhibitText"/>
              <w:tabs>
                <w:tab w:val="decimal" w:pos="442"/>
              </w:tabs>
              <w:jc w:val="center"/>
              <w:rPr>
                <w:lang w:val="en-GB"/>
              </w:rPr>
            </w:pPr>
            <w:r w:rsidRPr="005C2A0F">
              <w:rPr>
                <w:lang w:val="en-GB"/>
              </w:rPr>
              <w:t>0.8</w:t>
            </w:r>
          </w:p>
        </w:tc>
      </w:tr>
      <w:tr w:rsidR="002D218C" w:rsidRPr="005C2A0F" w14:paraId="1621E8E7" w14:textId="77777777" w:rsidTr="0009232F">
        <w:trPr>
          <w:trHeight w:val="245"/>
          <w:jc w:val="center"/>
        </w:trPr>
        <w:tc>
          <w:tcPr>
            <w:tcW w:w="766" w:type="dxa"/>
            <w:shd w:val="clear" w:color="auto" w:fill="auto"/>
            <w:noWrap/>
            <w:hideMark/>
          </w:tcPr>
          <w:p w14:paraId="7FFF400D" w14:textId="77777777" w:rsidR="002D218C" w:rsidRPr="005C2A0F" w:rsidRDefault="002D218C" w:rsidP="0009232F">
            <w:pPr>
              <w:pStyle w:val="ExhibitText"/>
              <w:jc w:val="center"/>
              <w:rPr>
                <w:lang w:val="en-GB"/>
              </w:rPr>
            </w:pPr>
            <w:r w:rsidRPr="005C2A0F">
              <w:rPr>
                <w:lang w:val="en-GB"/>
              </w:rPr>
              <w:t>2010</w:t>
            </w:r>
          </w:p>
        </w:tc>
        <w:tc>
          <w:tcPr>
            <w:tcW w:w="939" w:type="dxa"/>
            <w:shd w:val="clear" w:color="auto" w:fill="auto"/>
            <w:noWrap/>
            <w:hideMark/>
          </w:tcPr>
          <w:p w14:paraId="7E492E20" w14:textId="77777777" w:rsidR="002D218C" w:rsidRPr="005C2A0F" w:rsidRDefault="002D218C" w:rsidP="0009232F">
            <w:pPr>
              <w:pStyle w:val="ExhibitText"/>
              <w:jc w:val="center"/>
              <w:rPr>
                <w:lang w:val="en-GB"/>
              </w:rPr>
            </w:pPr>
            <w:r w:rsidRPr="005C2A0F">
              <w:rPr>
                <w:lang w:val="en-GB"/>
              </w:rPr>
              <w:t>2.6</w:t>
            </w:r>
          </w:p>
        </w:tc>
        <w:tc>
          <w:tcPr>
            <w:tcW w:w="1098" w:type="dxa"/>
            <w:shd w:val="clear" w:color="auto" w:fill="auto"/>
            <w:noWrap/>
            <w:hideMark/>
          </w:tcPr>
          <w:p w14:paraId="587B881F" w14:textId="557DEBF2" w:rsidR="002D218C" w:rsidRPr="005C2A0F" w:rsidRDefault="002D218C" w:rsidP="0009232F">
            <w:pPr>
              <w:pStyle w:val="ExhibitText"/>
              <w:tabs>
                <w:tab w:val="decimal" w:pos="442"/>
              </w:tabs>
              <w:jc w:val="center"/>
              <w:rPr>
                <w:lang w:val="en-GB"/>
              </w:rPr>
            </w:pPr>
            <w:r w:rsidRPr="005C2A0F">
              <w:rPr>
                <w:lang w:val="en-GB"/>
              </w:rPr>
              <w:t>1</w:t>
            </w:r>
            <w:r w:rsidR="00143644">
              <w:rPr>
                <w:lang w:val="en-GB"/>
              </w:rPr>
              <w:t>.0</w:t>
            </w:r>
          </w:p>
        </w:tc>
      </w:tr>
      <w:tr w:rsidR="002D218C" w:rsidRPr="005C2A0F" w14:paraId="5551A1C8" w14:textId="77777777" w:rsidTr="0009232F">
        <w:trPr>
          <w:trHeight w:val="245"/>
          <w:jc w:val="center"/>
        </w:trPr>
        <w:tc>
          <w:tcPr>
            <w:tcW w:w="766" w:type="dxa"/>
            <w:shd w:val="clear" w:color="auto" w:fill="auto"/>
            <w:noWrap/>
            <w:hideMark/>
          </w:tcPr>
          <w:p w14:paraId="2DF09F04" w14:textId="77777777" w:rsidR="002D218C" w:rsidRPr="005C2A0F" w:rsidRDefault="002D218C" w:rsidP="0009232F">
            <w:pPr>
              <w:pStyle w:val="ExhibitText"/>
              <w:jc w:val="center"/>
              <w:rPr>
                <w:lang w:val="en-GB"/>
              </w:rPr>
            </w:pPr>
            <w:r w:rsidRPr="005C2A0F">
              <w:rPr>
                <w:lang w:val="en-GB"/>
              </w:rPr>
              <w:t>2011</w:t>
            </w:r>
          </w:p>
        </w:tc>
        <w:tc>
          <w:tcPr>
            <w:tcW w:w="939" w:type="dxa"/>
            <w:shd w:val="clear" w:color="auto" w:fill="auto"/>
            <w:noWrap/>
            <w:hideMark/>
          </w:tcPr>
          <w:p w14:paraId="03111FAB" w14:textId="77777777" w:rsidR="002D218C" w:rsidRPr="005C2A0F" w:rsidRDefault="002D218C" w:rsidP="0009232F">
            <w:pPr>
              <w:pStyle w:val="ExhibitText"/>
              <w:jc w:val="center"/>
              <w:rPr>
                <w:lang w:val="en-GB"/>
              </w:rPr>
            </w:pPr>
            <w:r w:rsidRPr="005C2A0F">
              <w:rPr>
                <w:lang w:val="en-GB"/>
              </w:rPr>
              <w:t>2.5</w:t>
            </w:r>
          </w:p>
        </w:tc>
        <w:tc>
          <w:tcPr>
            <w:tcW w:w="1098" w:type="dxa"/>
            <w:shd w:val="clear" w:color="auto" w:fill="auto"/>
            <w:noWrap/>
            <w:hideMark/>
          </w:tcPr>
          <w:p w14:paraId="42F893F9" w14:textId="77777777" w:rsidR="002D218C" w:rsidRPr="005C2A0F" w:rsidRDefault="002D218C" w:rsidP="0009232F">
            <w:pPr>
              <w:pStyle w:val="ExhibitText"/>
              <w:tabs>
                <w:tab w:val="decimal" w:pos="442"/>
              </w:tabs>
              <w:jc w:val="center"/>
              <w:rPr>
                <w:lang w:val="en-GB"/>
              </w:rPr>
            </w:pPr>
            <w:r w:rsidRPr="005C2A0F">
              <w:rPr>
                <w:lang w:val="en-GB"/>
              </w:rPr>
              <w:t>1.1</w:t>
            </w:r>
          </w:p>
        </w:tc>
      </w:tr>
      <w:tr w:rsidR="002D218C" w:rsidRPr="005C2A0F" w14:paraId="2F9EC52D" w14:textId="77777777" w:rsidTr="0009232F">
        <w:trPr>
          <w:trHeight w:val="245"/>
          <w:jc w:val="center"/>
        </w:trPr>
        <w:tc>
          <w:tcPr>
            <w:tcW w:w="766" w:type="dxa"/>
            <w:shd w:val="clear" w:color="auto" w:fill="auto"/>
            <w:noWrap/>
            <w:hideMark/>
          </w:tcPr>
          <w:p w14:paraId="37B85CD5" w14:textId="77777777" w:rsidR="002D218C" w:rsidRPr="005C2A0F" w:rsidRDefault="002D218C" w:rsidP="0009232F">
            <w:pPr>
              <w:pStyle w:val="ExhibitText"/>
              <w:jc w:val="center"/>
              <w:rPr>
                <w:lang w:val="en-GB"/>
              </w:rPr>
            </w:pPr>
            <w:r w:rsidRPr="005C2A0F">
              <w:rPr>
                <w:lang w:val="en-GB"/>
              </w:rPr>
              <w:t>2012</w:t>
            </w:r>
          </w:p>
        </w:tc>
        <w:tc>
          <w:tcPr>
            <w:tcW w:w="939" w:type="dxa"/>
            <w:shd w:val="clear" w:color="auto" w:fill="auto"/>
            <w:noWrap/>
            <w:hideMark/>
          </w:tcPr>
          <w:p w14:paraId="36CE35CA" w14:textId="77777777" w:rsidR="002D218C" w:rsidRPr="005C2A0F" w:rsidRDefault="002D218C" w:rsidP="0009232F">
            <w:pPr>
              <w:pStyle w:val="ExhibitText"/>
              <w:jc w:val="center"/>
              <w:rPr>
                <w:lang w:val="en-GB"/>
              </w:rPr>
            </w:pPr>
            <w:r w:rsidRPr="005C2A0F">
              <w:rPr>
                <w:lang w:val="en-GB"/>
              </w:rPr>
              <w:t>2.7</w:t>
            </w:r>
          </w:p>
        </w:tc>
        <w:tc>
          <w:tcPr>
            <w:tcW w:w="1098" w:type="dxa"/>
            <w:shd w:val="clear" w:color="auto" w:fill="auto"/>
            <w:noWrap/>
            <w:hideMark/>
          </w:tcPr>
          <w:p w14:paraId="1FF25B21" w14:textId="77777777" w:rsidR="002D218C" w:rsidRPr="005C2A0F" w:rsidRDefault="002D218C" w:rsidP="0009232F">
            <w:pPr>
              <w:pStyle w:val="ExhibitText"/>
              <w:tabs>
                <w:tab w:val="decimal" w:pos="442"/>
              </w:tabs>
              <w:jc w:val="center"/>
              <w:rPr>
                <w:lang w:val="en-GB"/>
              </w:rPr>
            </w:pPr>
            <w:r w:rsidRPr="005C2A0F">
              <w:rPr>
                <w:lang w:val="en-GB"/>
              </w:rPr>
              <w:t>1.3</w:t>
            </w:r>
          </w:p>
        </w:tc>
      </w:tr>
      <w:tr w:rsidR="002D218C" w:rsidRPr="005C2A0F" w14:paraId="13FD2037" w14:textId="77777777" w:rsidTr="0009232F">
        <w:trPr>
          <w:trHeight w:val="245"/>
          <w:jc w:val="center"/>
        </w:trPr>
        <w:tc>
          <w:tcPr>
            <w:tcW w:w="766" w:type="dxa"/>
            <w:shd w:val="clear" w:color="auto" w:fill="auto"/>
            <w:noWrap/>
            <w:hideMark/>
          </w:tcPr>
          <w:p w14:paraId="78FF0E0F" w14:textId="77777777" w:rsidR="002D218C" w:rsidRPr="005C2A0F" w:rsidRDefault="002D218C" w:rsidP="0009232F">
            <w:pPr>
              <w:pStyle w:val="ExhibitText"/>
              <w:jc w:val="center"/>
              <w:rPr>
                <w:lang w:val="en-GB"/>
              </w:rPr>
            </w:pPr>
            <w:r w:rsidRPr="005C2A0F">
              <w:rPr>
                <w:lang w:val="en-GB"/>
              </w:rPr>
              <w:t>2013</w:t>
            </w:r>
          </w:p>
        </w:tc>
        <w:tc>
          <w:tcPr>
            <w:tcW w:w="939" w:type="dxa"/>
            <w:shd w:val="clear" w:color="auto" w:fill="auto"/>
            <w:noWrap/>
            <w:hideMark/>
          </w:tcPr>
          <w:p w14:paraId="6BCB56EC" w14:textId="77777777" w:rsidR="002D218C" w:rsidRPr="005C2A0F" w:rsidRDefault="002D218C" w:rsidP="0009232F">
            <w:pPr>
              <w:pStyle w:val="ExhibitText"/>
              <w:jc w:val="center"/>
              <w:rPr>
                <w:lang w:val="en-GB"/>
              </w:rPr>
            </w:pPr>
            <w:r w:rsidRPr="005C2A0F">
              <w:rPr>
                <w:lang w:val="en-GB"/>
              </w:rPr>
              <w:t>3.6</w:t>
            </w:r>
          </w:p>
        </w:tc>
        <w:tc>
          <w:tcPr>
            <w:tcW w:w="1098" w:type="dxa"/>
            <w:shd w:val="clear" w:color="auto" w:fill="auto"/>
            <w:noWrap/>
            <w:hideMark/>
          </w:tcPr>
          <w:p w14:paraId="72D29723" w14:textId="77777777" w:rsidR="002D218C" w:rsidRPr="005C2A0F" w:rsidRDefault="002D218C" w:rsidP="0009232F">
            <w:pPr>
              <w:pStyle w:val="ExhibitText"/>
              <w:tabs>
                <w:tab w:val="decimal" w:pos="442"/>
              </w:tabs>
              <w:jc w:val="center"/>
              <w:rPr>
                <w:lang w:val="en-GB"/>
              </w:rPr>
            </w:pPr>
            <w:r w:rsidRPr="005C2A0F">
              <w:rPr>
                <w:lang w:val="en-GB"/>
              </w:rPr>
              <w:t>1.9</w:t>
            </w:r>
          </w:p>
        </w:tc>
      </w:tr>
      <w:tr w:rsidR="002D218C" w:rsidRPr="005C2A0F" w14:paraId="325CBF7F" w14:textId="77777777" w:rsidTr="0009232F">
        <w:trPr>
          <w:trHeight w:val="245"/>
          <w:jc w:val="center"/>
        </w:trPr>
        <w:tc>
          <w:tcPr>
            <w:tcW w:w="766" w:type="dxa"/>
            <w:shd w:val="clear" w:color="auto" w:fill="auto"/>
            <w:noWrap/>
            <w:hideMark/>
          </w:tcPr>
          <w:p w14:paraId="70C99340" w14:textId="77777777" w:rsidR="002D218C" w:rsidRPr="005C2A0F" w:rsidRDefault="002D218C" w:rsidP="0009232F">
            <w:pPr>
              <w:pStyle w:val="ExhibitText"/>
              <w:jc w:val="center"/>
              <w:rPr>
                <w:lang w:val="en-GB"/>
              </w:rPr>
            </w:pPr>
            <w:r w:rsidRPr="005C2A0F">
              <w:rPr>
                <w:lang w:val="en-GB"/>
              </w:rPr>
              <w:t>2014</w:t>
            </w:r>
          </w:p>
        </w:tc>
        <w:tc>
          <w:tcPr>
            <w:tcW w:w="939" w:type="dxa"/>
            <w:shd w:val="clear" w:color="auto" w:fill="auto"/>
            <w:noWrap/>
            <w:hideMark/>
          </w:tcPr>
          <w:p w14:paraId="00230413" w14:textId="77777777" w:rsidR="002D218C" w:rsidRPr="005C2A0F" w:rsidRDefault="002D218C" w:rsidP="0009232F">
            <w:pPr>
              <w:pStyle w:val="ExhibitText"/>
              <w:jc w:val="center"/>
              <w:rPr>
                <w:lang w:val="en-GB"/>
              </w:rPr>
            </w:pPr>
            <w:r w:rsidRPr="005C2A0F">
              <w:rPr>
                <w:lang w:val="en-GB"/>
              </w:rPr>
              <w:t>3.8</w:t>
            </w:r>
          </w:p>
        </w:tc>
        <w:tc>
          <w:tcPr>
            <w:tcW w:w="1098" w:type="dxa"/>
            <w:shd w:val="clear" w:color="auto" w:fill="auto"/>
            <w:noWrap/>
            <w:hideMark/>
          </w:tcPr>
          <w:p w14:paraId="5A601043" w14:textId="77777777" w:rsidR="002D218C" w:rsidRPr="005C2A0F" w:rsidRDefault="002D218C" w:rsidP="0009232F">
            <w:pPr>
              <w:pStyle w:val="ExhibitText"/>
              <w:tabs>
                <w:tab w:val="decimal" w:pos="442"/>
              </w:tabs>
              <w:jc w:val="center"/>
              <w:rPr>
                <w:lang w:val="en-GB"/>
              </w:rPr>
            </w:pPr>
            <w:r w:rsidRPr="005C2A0F">
              <w:rPr>
                <w:lang w:val="en-GB"/>
              </w:rPr>
              <w:t>2.2</w:t>
            </w:r>
          </w:p>
        </w:tc>
      </w:tr>
      <w:tr w:rsidR="002D218C" w:rsidRPr="005C2A0F" w14:paraId="595D19E7" w14:textId="77777777" w:rsidTr="0009232F">
        <w:trPr>
          <w:trHeight w:val="245"/>
          <w:jc w:val="center"/>
        </w:trPr>
        <w:tc>
          <w:tcPr>
            <w:tcW w:w="766" w:type="dxa"/>
            <w:shd w:val="clear" w:color="auto" w:fill="auto"/>
            <w:noWrap/>
            <w:hideMark/>
          </w:tcPr>
          <w:p w14:paraId="2B2B353E" w14:textId="77777777" w:rsidR="002D218C" w:rsidRPr="005C2A0F" w:rsidRDefault="002D218C" w:rsidP="0009232F">
            <w:pPr>
              <w:pStyle w:val="ExhibitText"/>
              <w:jc w:val="center"/>
              <w:rPr>
                <w:lang w:val="en-GB"/>
              </w:rPr>
            </w:pPr>
            <w:r w:rsidRPr="005C2A0F">
              <w:rPr>
                <w:lang w:val="en-GB"/>
              </w:rPr>
              <w:t>2015</w:t>
            </w:r>
          </w:p>
        </w:tc>
        <w:tc>
          <w:tcPr>
            <w:tcW w:w="939" w:type="dxa"/>
            <w:shd w:val="clear" w:color="auto" w:fill="auto"/>
            <w:noWrap/>
            <w:hideMark/>
          </w:tcPr>
          <w:p w14:paraId="33A657A7" w14:textId="77777777" w:rsidR="002D218C" w:rsidRPr="005C2A0F" w:rsidRDefault="002D218C" w:rsidP="0009232F">
            <w:pPr>
              <w:pStyle w:val="ExhibitText"/>
              <w:jc w:val="center"/>
              <w:rPr>
                <w:lang w:val="en-GB"/>
              </w:rPr>
            </w:pPr>
            <w:r w:rsidRPr="005C2A0F">
              <w:rPr>
                <w:lang w:val="en-GB"/>
              </w:rPr>
              <w:t>3.6</w:t>
            </w:r>
          </w:p>
        </w:tc>
        <w:tc>
          <w:tcPr>
            <w:tcW w:w="1098" w:type="dxa"/>
            <w:shd w:val="clear" w:color="auto" w:fill="auto"/>
            <w:noWrap/>
            <w:hideMark/>
          </w:tcPr>
          <w:p w14:paraId="0F7D6A20" w14:textId="77777777" w:rsidR="002D218C" w:rsidRPr="005C2A0F" w:rsidRDefault="002D218C" w:rsidP="0009232F">
            <w:pPr>
              <w:pStyle w:val="ExhibitText"/>
              <w:tabs>
                <w:tab w:val="decimal" w:pos="442"/>
              </w:tabs>
              <w:jc w:val="center"/>
              <w:rPr>
                <w:lang w:val="en-GB"/>
              </w:rPr>
            </w:pPr>
            <w:r w:rsidRPr="005C2A0F">
              <w:rPr>
                <w:lang w:val="en-GB"/>
              </w:rPr>
              <w:t>2.3</w:t>
            </w:r>
          </w:p>
        </w:tc>
      </w:tr>
      <w:tr w:rsidR="002D218C" w:rsidRPr="005C2A0F" w14:paraId="32EA2210" w14:textId="77777777" w:rsidTr="0009232F">
        <w:trPr>
          <w:trHeight w:val="245"/>
          <w:jc w:val="center"/>
        </w:trPr>
        <w:tc>
          <w:tcPr>
            <w:tcW w:w="766" w:type="dxa"/>
            <w:shd w:val="clear" w:color="auto" w:fill="auto"/>
            <w:noWrap/>
            <w:hideMark/>
          </w:tcPr>
          <w:p w14:paraId="63B7894F" w14:textId="77777777" w:rsidR="002D218C" w:rsidRPr="005C2A0F" w:rsidRDefault="002D218C" w:rsidP="0009232F">
            <w:pPr>
              <w:pStyle w:val="ExhibitText"/>
              <w:jc w:val="center"/>
              <w:rPr>
                <w:lang w:val="en-GB"/>
              </w:rPr>
            </w:pPr>
            <w:r w:rsidRPr="005C2A0F">
              <w:rPr>
                <w:lang w:val="en-GB"/>
              </w:rPr>
              <w:t>2016</w:t>
            </w:r>
          </w:p>
        </w:tc>
        <w:tc>
          <w:tcPr>
            <w:tcW w:w="939" w:type="dxa"/>
            <w:shd w:val="clear" w:color="auto" w:fill="auto"/>
            <w:noWrap/>
            <w:hideMark/>
          </w:tcPr>
          <w:p w14:paraId="131B861A" w14:textId="77777777" w:rsidR="002D218C" w:rsidRPr="005C2A0F" w:rsidRDefault="002D218C" w:rsidP="0009232F">
            <w:pPr>
              <w:pStyle w:val="ExhibitText"/>
              <w:jc w:val="center"/>
              <w:rPr>
                <w:lang w:val="en-GB"/>
              </w:rPr>
            </w:pPr>
            <w:r w:rsidRPr="005C2A0F">
              <w:rPr>
                <w:lang w:val="en-GB"/>
              </w:rPr>
              <w:t>3.7</w:t>
            </w:r>
          </w:p>
        </w:tc>
        <w:tc>
          <w:tcPr>
            <w:tcW w:w="1098" w:type="dxa"/>
            <w:shd w:val="clear" w:color="auto" w:fill="auto"/>
            <w:noWrap/>
            <w:hideMark/>
          </w:tcPr>
          <w:p w14:paraId="21F4443A" w14:textId="77777777" w:rsidR="002D218C" w:rsidRPr="005C2A0F" w:rsidRDefault="002D218C" w:rsidP="0009232F">
            <w:pPr>
              <w:pStyle w:val="ExhibitText"/>
              <w:tabs>
                <w:tab w:val="decimal" w:pos="442"/>
              </w:tabs>
              <w:jc w:val="center"/>
              <w:rPr>
                <w:lang w:val="en-GB"/>
              </w:rPr>
            </w:pPr>
            <w:r w:rsidRPr="005C2A0F">
              <w:rPr>
                <w:lang w:val="en-GB"/>
              </w:rPr>
              <w:t>2.8</w:t>
            </w:r>
          </w:p>
        </w:tc>
      </w:tr>
      <w:tr w:rsidR="002D218C" w:rsidRPr="005C2A0F" w14:paraId="229D84DC" w14:textId="77777777" w:rsidTr="0009232F">
        <w:trPr>
          <w:trHeight w:val="245"/>
          <w:jc w:val="center"/>
        </w:trPr>
        <w:tc>
          <w:tcPr>
            <w:tcW w:w="766" w:type="dxa"/>
            <w:shd w:val="clear" w:color="auto" w:fill="auto"/>
            <w:noWrap/>
            <w:hideMark/>
          </w:tcPr>
          <w:p w14:paraId="5B29941B" w14:textId="77777777" w:rsidR="002D218C" w:rsidRPr="005C2A0F" w:rsidRDefault="002D218C" w:rsidP="0009232F">
            <w:pPr>
              <w:pStyle w:val="ExhibitText"/>
              <w:jc w:val="center"/>
              <w:rPr>
                <w:lang w:val="en-GB"/>
              </w:rPr>
            </w:pPr>
            <w:r w:rsidRPr="005C2A0F">
              <w:rPr>
                <w:lang w:val="en-GB"/>
              </w:rPr>
              <w:t>2017</w:t>
            </w:r>
          </w:p>
        </w:tc>
        <w:tc>
          <w:tcPr>
            <w:tcW w:w="939" w:type="dxa"/>
            <w:shd w:val="clear" w:color="auto" w:fill="auto"/>
            <w:noWrap/>
            <w:hideMark/>
          </w:tcPr>
          <w:p w14:paraId="6523B6E8" w14:textId="77777777" w:rsidR="002D218C" w:rsidRPr="005C2A0F" w:rsidRDefault="002D218C" w:rsidP="0009232F">
            <w:pPr>
              <w:pStyle w:val="ExhibitText"/>
              <w:jc w:val="center"/>
              <w:rPr>
                <w:lang w:val="en-GB"/>
              </w:rPr>
            </w:pPr>
            <w:r w:rsidRPr="005C2A0F">
              <w:rPr>
                <w:lang w:val="en-GB"/>
              </w:rPr>
              <w:t>4.2</w:t>
            </w:r>
          </w:p>
        </w:tc>
        <w:tc>
          <w:tcPr>
            <w:tcW w:w="1098" w:type="dxa"/>
            <w:shd w:val="clear" w:color="auto" w:fill="auto"/>
            <w:noWrap/>
            <w:hideMark/>
          </w:tcPr>
          <w:p w14:paraId="262CE016" w14:textId="77777777" w:rsidR="002D218C" w:rsidRPr="005C2A0F" w:rsidRDefault="002D218C" w:rsidP="0009232F">
            <w:pPr>
              <w:pStyle w:val="ExhibitText"/>
              <w:tabs>
                <w:tab w:val="decimal" w:pos="442"/>
              </w:tabs>
              <w:jc w:val="center"/>
              <w:rPr>
                <w:lang w:val="en-GB"/>
              </w:rPr>
            </w:pPr>
            <w:r w:rsidRPr="005C2A0F">
              <w:rPr>
                <w:lang w:val="en-GB"/>
              </w:rPr>
              <w:t>3.6</w:t>
            </w:r>
          </w:p>
        </w:tc>
      </w:tr>
      <w:tr w:rsidR="002D218C" w:rsidRPr="005C2A0F" w14:paraId="0ABC54CD" w14:textId="77777777" w:rsidTr="0009232F">
        <w:trPr>
          <w:trHeight w:val="261"/>
          <w:jc w:val="center"/>
        </w:trPr>
        <w:tc>
          <w:tcPr>
            <w:tcW w:w="766" w:type="dxa"/>
            <w:shd w:val="clear" w:color="auto" w:fill="auto"/>
            <w:noWrap/>
            <w:hideMark/>
          </w:tcPr>
          <w:p w14:paraId="0FFEAFBC" w14:textId="77777777" w:rsidR="002D218C" w:rsidRPr="005C2A0F" w:rsidRDefault="002D218C" w:rsidP="0009232F">
            <w:pPr>
              <w:pStyle w:val="ExhibitText"/>
              <w:jc w:val="center"/>
              <w:rPr>
                <w:lang w:val="en-GB"/>
              </w:rPr>
            </w:pPr>
            <w:r w:rsidRPr="005C2A0F">
              <w:rPr>
                <w:lang w:val="en-GB"/>
              </w:rPr>
              <w:t>2018</w:t>
            </w:r>
          </w:p>
        </w:tc>
        <w:tc>
          <w:tcPr>
            <w:tcW w:w="939" w:type="dxa"/>
            <w:shd w:val="clear" w:color="auto" w:fill="auto"/>
            <w:noWrap/>
            <w:hideMark/>
          </w:tcPr>
          <w:p w14:paraId="38A88189" w14:textId="77777777" w:rsidR="002D218C" w:rsidRPr="005C2A0F" w:rsidRDefault="002D218C" w:rsidP="0009232F">
            <w:pPr>
              <w:pStyle w:val="ExhibitText"/>
              <w:jc w:val="center"/>
              <w:rPr>
                <w:lang w:val="en-GB"/>
              </w:rPr>
            </w:pPr>
            <w:r w:rsidRPr="005C2A0F">
              <w:rPr>
                <w:lang w:val="en-GB"/>
              </w:rPr>
              <w:t>4.2</w:t>
            </w:r>
          </w:p>
        </w:tc>
        <w:tc>
          <w:tcPr>
            <w:tcW w:w="1098" w:type="dxa"/>
            <w:shd w:val="clear" w:color="auto" w:fill="auto"/>
            <w:noWrap/>
            <w:hideMark/>
          </w:tcPr>
          <w:p w14:paraId="337E2E20" w14:textId="77777777" w:rsidR="002D218C" w:rsidRPr="005C2A0F" w:rsidRDefault="002D218C" w:rsidP="0009232F">
            <w:pPr>
              <w:pStyle w:val="ExhibitText"/>
              <w:tabs>
                <w:tab w:val="decimal" w:pos="442"/>
              </w:tabs>
              <w:jc w:val="center"/>
              <w:rPr>
                <w:lang w:val="en-GB"/>
              </w:rPr>
            </w:pPr>
            <w:r w:rsidRPr="005C2A0F">
              <w:rPr>
                <w:lang w:val="en-GB"/>
              </w:rPr>
              <w:t>3.9</w:t>
            </w:r>
          </w:p>
        </w:tc>
      </w:tr>
    </w:tbl>
    <w:p w14:paraId="760DE169" w14:textId="77777777" w:rsidR="002D218C" w:rsidRPr="005C2A0F" w:rsidRDefault="002D218C" w:rsidP="002B69B3">
      <w:pPr>
        <w:pStyle w:val="ExhibitText"/>
        <w:rPr>
          <w:lang w:val="en-GB"/>
        </w:rPr>
      </w:pPr>
    </w:p>
    <w:p w14:paraId="17E4910B" w14:textId="071F5E0B" w:rsidR="00BA37AE" w:rsidRDefault="00BA37AE" w:rsidP="002B69B3">
      <w:pPr>
        <w:pStyle w:val="Footnote"/>
        <w:rPr>
          <w:lang w:val="en-GB"/>
        </w:rPr>
      </w:pPr>
      <w:r>
        <w:rPr>
          <w:lang w:val="en-GB"/>
        </w:rPr>
        <w:t>Note: AUM = assets under management</w:t>
      </w:r>
    </w:p>
    <w:p w14:paraId="3735E8B3" w14:textId="1B813A1B" w:rsidR="00A23AFA" w:rsidRPr="005C2A0F" w:rsidRDefault="002B69B3" w:rsidP="002B69B3">
      <w:pPr>
        <w:pStyle w:val="Footnote"/>
        <w:rPr>
          <w:lang w:val="en-GB"/>
        </w:rPr>
      </w:pPr>
      <w:r w:rsidRPr="005C2A0F">
        <w:rPr>
          <w:lang w:val="en-GB"/>
        </w:rPr>
        <w:t>Source</w:t>
      </w:r>
      <w:r w:rsidR="002D218C" w:rsidRPr="005C2A0F">
        <w:rPr>
          <w:lang w:val="en-GB"/>
        </w:rPr>
        <w:t>: Active Equity AUM, Passive Equity AUM, Morningstar Inc., accessed May 17, 2019</w:t>
      </w:r>
    </w:p>
    <w:p w14:paraId="025C3AED" w14:textId="0BEF1EF3" w:rsidR="002B69B3" w:rsidRDefault="002B69B3">
      <w:pPr>
        <w:spacing w:after="200" w:line="276" w:lineRule="auto"/>
        <w:rPr>
          <w:sz w:val="22"/>
          <w:szCs w:val="22"/>
          <w:lang w:val="en-GB"/>
        </w:rPr>
      </w:pPr>
      <w:r w:rsidRPr="005C2A0F">
        <w:rPr>
          <w:sz w:val="22"/>
          <w:szCs w:val="22"/>
          <w:lang w:val="en-GB"/>
        </w:rPr>
        <w:br w:type="page"/>
      </w:r>
    </w:p>
    <w:p w14:paraId="1D124564" w14:textId="2A78164D" w:rsidR="00035045" w:rsidRPr="005C2A0F" w:rsidRDefault="00035045" w:rsidP="00035045">
      <w:pPr>
        <w:pStyle w:val="ExhibitHeading"/>
        <w:rPr>
          <w:lang w:val="en-GB"/>
        </w:rPr>
      </w:pPr>
      <w:r w:rsidRPr="005C2A0F">
        <w:rPr>
          <w:lang w:val="en-GB"/>
        </w:rPr>
        <w:lastRenderedPageBreak/>
        <w:t xml:space="preserve">EXHIBIT </w:t>
      </w:r>
      <w:r>
        <w:rPr>
          <w:lang w:val="en-GB"/>
        </w:rPr>
        <w:t>3</w:t>
      </w:r>
      <w:r w:rsidRPr="005C2A0F">
        <w:rPr>
          <w:lang w:val="en-GB"/>
        </w:rPr>
        <w:t xml:space="preserve">: </w:t>
      </w:r>
      <w:r>
        <w:rPr>
          <w:lang w:val="en-GB"/>
        </w:rPr>
        <w:t xml:space="preserve">the </w:t>
      </w:r>
      <w:r w:rsidRPr="005C2A0F">
        <w:rPr>
          <w:lang w:val="en-GB"/>
        </w:rPr>
        <w:t xml:space="preserve">Structure of </w:t>
      </w:r>
      <w:r>
        <w:rPr>
          <w:lang w:val="en-GB"/>
        </w:rPr>
        <w:t xml:space="preserve">U.S. </w:t>
      </w:r>
      <w:r w:rsidRPr="005C2A0F">
        <w:rPr>
          <w:lang w:val="en-GB"/>
        </w:rPr>
        <w:t>Federal Securities Laws</w:t>
      </w:r>
    </w:p>
    <w:p w14:paraId="60FCE1EC" w14:textId="77777777" w:rsidR="00035045" w:rsidRPr="005C2A0F" w:rsidRDefault="00035045" w:rsidP="00035045">
      <w:pPr>
        <w:pStyle w:val="ExhibitText"/>
        <w:rPr>
          <w:lang w:val="en-GB"/>
        </w:rPr>
      </w:pPr>
    </w:p>
    <w:p w14:paraId="6073F758" w14:textId="77777777" w:rsidR="00035045" w:rsidRPr="005C2A0F" w:rsidRDefault="00035045" w:rsidP="00035045">
      <w:pPr>
        <w:pStyle w:val="ExhibitText"/>
        <w:rPr>
          <w:lang w:val="en-GB"/>
        </w:rPr>
      </w:pPr>
      <w:r>
        <w:rPr>
          <w:lang w:val="en-GB"/>
        </w:rPr>
        <w:t xml:space="preserve">The </w:t>
      </w:r>
      <w:r w:rsidRPr="00531FFA">
        <w:rPr>
          <w:i/>
          <w:lang w:val="en-GB"/>
        </w:rPr>
        <w:t>Securities Act of 1933</w:t>
      </w:r>
      <w:r>
        <w:rPr>
          <w:lang w:val="en-GB"/>
        </w:rPr>
        <w:t>:</w:t>
      </w:r>
      <w:r w:rsidRPr="005C2A0F">
        <w:rPr>
          <w:lang w:val="en-GB"/>
        </w:rPr>
        <w:t xml:space="preserve"> Th</w:t>
      </w:r>
      <w:r>
        <w:rPr>
          <w:lang w:val="en-GB"/>
        </w:rPr>
        <w:t>is act</w:t>
      </w:r>
      <w:r w:rsidRPr="005C2A0F">
        <w:rPr>
          <w:lang w:val="en-GB"/>
        </w:rPr>
        <w:t xml:space="preserve"> sets forth the disclosures required in </w:t>
      </w:r>
      <w:r>
        <w:rPr>
          <w:lang w:val="en-GB"/>
        </w:rPr>
        <w:t>the</w:t>
      </w:r>
      <w:r w:rsidRPr="005C2A0F">
        <w:rPr>
          <w:lang w:val="en-GB"/>
        </w:rPr>
        <w:t xml:space="preserve"> prospectus delivered to investors when companies or funds make a public offering of securities, and delineates when </w:t>
      </w:r>
      <w:r>
        <w:rPr>
          <w:lang w:val="en-GB"/>
        </w:rPr>
        <w:t>the</w:t>
      </w:r>
      <w:r w:rsidRPr="005C2A0F">
        <w:rPr>
          <w:lang w:val="en-GB"/>
        </w:rPr>
        <w:t xml:space="preserve"> offering is not considered public. The </w:t>
      </w:r>
      <w:r>
        <w:rPr>
          <w:lang w:val="en-GB"/>
        </w:rPr>
        <w:t>a</w:t>
      </w:r>
      <w:r w:rsidRPr="005C2A0F">
        <w:rPr>
          <w:lang w:val="en-GB"/>
        </w:rPr>
        <w:t>ct</w:t>
      </w:r>
      <w:r>
        <w:rPr>
          <w:lang w:val="en-GB"/>
        </w:rPr>
        <w:t>—</w:t>
      </w:r>
      <w:r w:rsidRPr="005C2A0F">
        <w:rPr>
          <w:lang w:val="en-GB"/>
        </w:rPr>
        <w:t>also known as the “Truth in Securities” law</w:t>
      </w:r>
      <w:r>
        <w:rPr>
          <w:lang w:val="en-GB"/>
        </w:rPr>
        <w:t>—</w:t>
      </w:r>
      <w:r w:rsidRPr="005C2A0F">
        <w:rPr>
          <w:lang w:val="en-GB"/>
        </w:rPr>
        <w:t xml:space="preserve">requires that investors receive financial information </w:t>
      </w:r>
      <w:r>
        <w:rPr>
          <w:lang w:val="en-GB"/>
        </w:rPr>
        <w:t>when</w:t>
      </w:r>
      <w:r w:rsidRPr="005C2A0F">
        <w:rPr>
          <w:lang w:val="en-GB"/>
        </w:rPr>
        <w:t xml:space="preserve"> securities </w:t>
      </w:r>
      <w:r>
        <w:rPr>
          <w:lang w:val="en-GB"/>
        </w:rPr>
        <w:t xml:space="preserve">are </w:t>
      </w:r>
      <w:r w:rsidRPr="005C2A0F">
        <w:rPr>
          <w:lang w:val="en-GB"/>
        </w:rPr>
        <w:t>being offered for public sale.</w:t>
      </w:r>
    </w:p>
    <w:p w14:paraId="5BE4D84A" w14:textId="77777777" w:rsidR="00035045" w:rsidRPr="005C2A0F" w:rsidRDefault="00035045" w:rsidP="00035045">
      <w:pPr>
        <w:pStyle w:val="ExhibitText"/>
        <w:rPr>
          <w:lang w:val="en-GB"/>
        </w:rPr>
      </w:pPr>
    </w:p>
    <w:p w14:paraId="754A693E" w14:textId="77777777" w:rsidR="00035045" w:rsidRPr="005C2A0F" w:rsidRDefault="00035045" w:rsidP="00035045">
      <w:pPr>
        <w:pStyle w:val="ExhibitText"/>
        <w:rPr>
          <w:lang w:val="en-GB"/>
        </w:rPr>
      </w:pPr>
      <w:r w:rsidRPr="005C2A0F">
        <w:rPr>
          <w:lang w:val="en-GB"/>
        </w:rPr>
        <w:t xml:space="preserve">The </w:t>
      </w:r>
      <w:r w:rsidRPr="00531FFA">
        <w:rPr>
          <w:i/>
          <w:lang w:val="en-GB"/>
        </w:rPr>
        <w:t>Securities Exchange Act of 1934</w:t>
      </w:r>
      <w:r>
        <w:rPr>
          <w:lang w:val="en-GB"/>
        </w:rPr>
        <w:t>:</w:t>
      </w:r>
      <w:r w:rsidRPr="005C2A0F">
        <w:rPr>
          <w:lang w:val="en-GB"/>
        </w:rPr>
        <w:t xml:space="preserve"> Th</w:t>
      </w:r>
      <w:r>
        <w:rPr>
          <w:lang w:val="en-GB"/>
        </w:rPr>
        <w:t>is act</w:t>
      </w:r>
      <w:r w:rsidRPr="005C2A0F">
        <w:rPr>
          <w:lang w:val="en-GB"/>
        </w:rPr>
        <w:t xml:space="preserve"> regulates the U</w:t>
      </w:r>
      <w:r>
        <w:rPr>
          <w:lang w:val="en-GB"/>
        </w:rPr>
        <w:t>.</w:t>
      </w:r>
      <w:r w:rsidRPr="005C2A0F">
        <w:rPr>
          <w:lang w:val="en-GB"/>
        </w:rPr>
        <w:t>S</w:t>
      </w:r>
      <w:r>
        <w:rPr>
          <w:lang w:val="en-GB"/>
        </w:rPr>
        <w:t>.</w:t>
      </w:r>
      <w:r w:rsidRPr="005C2A0F">
        <w:rPr>
          <w:lang w:val="en-GB"/>
        </w:rPr>
        <w:t xml:space="preserve"> trading markets for public securities, including anti-fraud provisions, establishes criteria for public companies</w:t>
      </w:r>
      <w:r>
        <w:rPr>
          <w:lang w:val="en-GB"/>
        </w:rPr>
        <w:t>,</w:t>
      </w:r>
      <w:r w:rsidRPr="005C2A0F">
        <w:rPr>
          <w:lang w:val="en-GB"/>
        </w:rPr>
        <w:t xml:space="preserve"> and delineates their periodic reporting obligations. The </w:t>
      </w:r>
      <w:r>
        <w:rPr>
          <w:lang w:val="en-GB"/>
        </w:rPr>
        <w:t>a</w:t>
      </w:r>
      <w:r w:rsidRPr="005C2A0F">
        <w:rPr>
          <w:lang w:val="en-GB"/>
        </w:rPr>
        <w:t>ct granted the U</w:t>
      </w:r>
      <w:r>
        <w:rPr>
          <w:lang w:val="en-GB"/>
        </w:rPr>
        <w:t>.</w:t>
      </w:r>
      <w:r w:rsidRPr="005C2A0F">
        <w:rPr>
          <w:lang w:val="en-GB"/>
        </w:rPr>
        <w:t>S</w:t>
      </w:r>
      <w:r>
        <w:rPr>
          <w:lang w:val="en-GB"/>
        </w:rPr>
        <w:t>.</w:t>
      </w:r>
      <w:r w:rsidRPr="005C2A0F">
        <w:rPr>
          <w:lang w:val="en-GB"/>
        </w:rPr>
        <w:t xml:space="preserve"> Securities and Exchange Commission (SEC) broad authority to regulate all aspects of the securities industry.</w:t>
      </w:r>
    </w:p>
    <w:p w14:paraId="42B471F9" w14:textId="77777777" w:rsidR="00035045" w:rsidRPr="005C2A0F" w:rsidRDefault="00035045" w:rsidP="00035045">
      <w:pPr>
        <w:pStyle w:val="ExhibitText"/>
        <w:rPr>
          <w:lang w:val="en-GB"/>
        </w:rPr>
      </w:pPr>
    </w:p>
    <w:p w14:paraId="1F854071" w14:textId="77777777" w:rsidR="00035045" w:rsidRPr="005C2A0F" w:rsidRDefault="00035045" w:rsidP="00035045">
      <w:pPr>
        <w:pStyle w:val="ExhibitText"/>
        <w:rPr>
          <w:lang w:val="en-GB"/>
        </w:rPr>
      </w:pPr>
      <w:r w:rsidRPr="005C2A0F">
        <w:rPr>
          <w:lang w:val="en-GB"/>
        </w:rPr>
        <w:t xml:space="preserve">The </w:t>
      </w:r>
      <w:r w:rsidRPr="00531FFA">
        <w:rPr>
          <w:i/>
          <w:lang w:val="en-GB"/>
        </w:rPr>
        <w:t>Investment Company Act of 1940</w:t>
      </w:r>
      <w:r>
        <w:rPr>
          <w:lang w:val="en-GB"/>
        </w:rPr>
        <w:t>:</w:t>
      </w:r>
      <w:r w:rsidRPr="005C2A0F">
        <w:rPr>
          <w:lang w:val="en-GB"/>
        </w:rPr>
        <w:t xml:space="preserve"> Th</w:t>
      </w:r>
      <w:r>
        <w:rPr>
          <w:lang w:val="en-GB"/>
        </w:rPr>
        <w:t>is act</w:t>
      </w:r>
      <w:r w:rsidRPr="005C2A0F">
        <w:rPr>
          <w:lang w:val="en-GB"/>
        </w:rPr>
        <w:t xml:space="preserve"> defines an investment company</w:t>
      </w:r>
      <w:r>
        <w:rPr>
          <w:lang w:val="en-GB"/>
        </w:rPr>
        <w:t>,</w:t>
      </w:r>
      <w:r w:rsidRPr="005C2A0F">
        <w:rPr>
          <w:lang w:val="en-GB"/>
        </w:rPr>
        <w:t xml:space="preserve"> including </w:t>
      </w:r>
      <w:r>
        <w:rPr>
          <w:lang w:val="en-GB"/>
        </w:rPr>
        <w:t xml:space="preserve">its </w:t>
      </w:r>
      <w:r w:rsidRPr="005C2A0F">
        <w:rPr>
          <w:lang w:val="en-GB"/>
        </w:rPr>
        <w:t>exemptions from registration, and establishes a detailed regulatory framework to be followed by registered investment companies. </w:t>
      </w:r>
    </w:p>
    <w:p w14:paraId="5605E081" w14:textId="77777777" w:rsidR="00035045" w:rsidRPr="005C2A0F" w:rsidRDefault="00035045" w:rsidP="00035045">
      <w:pPr>
        <w:pStyle w:val="ExhibitText"/>
        <w:rPr>
          <w:lang w:val="en-GB"/>
        </w:rPr>
      </w:pPr>
    </w:p>
    <w:p w14:paraId="3A828A35" w14:textId="77777777" w:rsidR="00035045" w:rsidRPr="005C2A0F" w:rsidRDefault="00035045" w:rsidP="00035045">
      <w:pPr>
        <w:pStyle w:val="ExhibitText"/>
        <w:rPr>
          <w:lang w:val="en-GB"/>
        </w:rPr>
      </w:pPr>
      <w:r w:rsidRPr="005C2A0F">
        <w:rPr>
          <w:lang w:val="en-GB"/>
        </w:rPr>
        <w:t xml:space="preserve">The </w:t>
      </w:r>
      <w:r w:rsidRPr="00531FFA">
        <w:rPr>
          <w:i/>
          <w:lang w:val="en-GB"/>
        </w:rPr>
        <w:t>Investment Advisers Act of 1940</w:t>
      </w:r>
      <w:r>
        <w:rPr>
          <w:lang w:val="en-GB"/>
        </w:rPr>
        <w:t>:</w:t>
      </w:r>
      <w:r w:rsidRPr="005C2A0F">
        <w:rPr>
          <w:lang w:val="en-GB"/>
        </w:rPr>
        <w:t xml:space="preserve"> Th</w:t>
      </w:r>
      <w:r>
        <w:rPr>
          <w:lang w:val="en-GB"/>
        </w:rPr>
        <w:t>is act</w:t>
      </w:r>
      <w:r w:rsidRPr="005C2A0F">
        <w:rPr>
          <w:lang w:val="en-GB"/>
        </w:rPr>
        <w:t xml:space="preserve"> defines investment advisers</w:t>
      </w:r>
      <w:r>
        <w:rPr>
          <w:lang w:val="en-GB"/>
        </w:rPr>
        <w:t>,</w:t>
      </w:r>
      <w:r w:rsidRPr="005C2A0F">
        <w:rPr>
          <w:lang w:val="en-GB"/>
        </w:rPr>
        <w:t xml:space="preserve"> including </w:t>
      </w:r>
      <w:r>
        <w:rPr>
          <w:lang w:val="en-GB"/>
        </w:rPr>
        <w:t xml:space="preserve">their </w:t>
      </w:r>
      <w:r w:rsidRPr="005C2A0F">
        <w:rPr>
          <w:lang w:val="en-GB"/>
        </w:rPr>
        <w:t>exemptions from registration, and establishes a detailed framework for the relationship of registered investment advisers to their clients.</w:t>
      </w:r>
    </w:p>
    <w:p w14:paraId="3CFCE8D3" w14:textId="77777777" w:rsidR="00035045" w:rsidRPr="005C2A0F" w:rsidRDefault="00035045" w:rsidP="00035045">
      <w:pPr>
        <w:pStyle w:val="ExhibitText"/>
        <w:rPr>
          <w:lang w:val="en-GB"/>
        </w:rPr>
      </w:pPr>
    </w:p>
    <w:p w14:paraId="4D7CAAC3" w14:textId="77777777" w:rsidR="00035045" w:rsidRPr="005C2A0F" w:rsidRDefault="00035045" w:rsidP="00035045">
      <w:pPr>
        <w:pStyle w:val="ExhibitText"/>
        <w:rPr>
          <w:lang w:val="en-GB"/>
        </w:rPr>
      </w:pPr>
      <w:r w:rsidRPr="005C2A0F">
        <w:rPr>
          <w:lang w:val="en-GB"/>
        </w:rPr>
        <w:t xml:space="preserve">These four </w:t>
      </w:r>
      <w:r>
        <w:rPr>
          <w:lang w:val="en-GB"/>
        </w:rPr>
        <w:t>a</w:t>
      </w:r>
      <w:r w:rsidRPr="005C2A0F">
        <w:rPr>
          <w:lang w:val="en-GB"/>
        </w:rPr>
        <w:t xml:space="preserve">cts are administered by the SEC, which has the power to define </w:t>
      </w:r>
      <w:r>
        <w:rPr>
          <w:lang w:val="en-GB"/>
        </w:rPr>
        <w:t xml:space="preserve">the </w:t>
      </w:r>
      <w:r w:rsidRPr="005C2A0F">
        <w:rPr>
          <w:lang w:val="en-GB"/>
        </w:rPr>
        <w:t>terms, issue rules</w:t>
      </w:r>
      <w:r>
        <w:rPr>
          <w:lang w:val="en-GB"/>
        </w:rPr>
        <w:t>,</w:t>
      </w:r>
      <w:r w:rsidRPr="005C2A0F">
        <w:rPr>
          <w:lang w:val="en-GB"/>
        </w:rPr>
        <w:t xml:space="preserve"> and enforce the requirements of these four </w:t>
      </w:r>
      <w:r>
        <w:rPr>
          <w:lang w:val="en-GB"/>
        </w:rPr>
        <w:t>a</w:t>
      </w:r>
      <w:r w:rsidRPr="005C2A0F">
        <w:rPr>
          <w:lang w:val="en-GB"/>
        </w:rPr>
        <w:t>cts.</w:t>
      </w:r>
    </w:p>
    <w:p w14:paraId="42AFD8F3" w14:textId="77777777" w:rsidR="00035045" w:rsidRPr="005C2A0F" w:rsidRDefault="00035045" w:rsidP="00035045">
      <w:pPr>
        <w:pStyle w:val="ExhibitText"/>
        <w:rPr>
          <w:lang w:val="en-GB"/>
        </w:rPr>
      </w:pPr>
    </w:p>
    <w:p w14:paraId="6F22C182" w14:textId="77777777" w:rsidR="00035045" w:rsidRPr="005C2A0F" w:rsidRDefault="00035045" w:rsidP="00035045">
      <w:pPr>
        <w:pStyle w:val="Footnote"/>
        <w:rPr>
          <w:lang w:val="en-GB"/>
        </w:rPr>
      </w:pPr>
      <w:r w:rsidRPr="005C2A0F">
        <w:rPr>
          <w:lang w:val="en-GB"/>
        </w:rPr>
        <w:t>Source: Created by the authors</w:t>
      </w:r>
      <w:r>
        <w:rPr>
          <w:lang w:val="en-GB"/>
        </w:rPr>
        <w:t>.</w:t>
      </w:r>
    </w:p>
    <w:p w14:paraId="0F9F8662" w14:textId="6F759A34" w:rsidR="00035045" w:rsidRDefault="00035045" w:rsidP="00035045">
      <w:pPr>
        <w:pStyle w:val="ExhibitText"/>
        <w:rPr>
          <w:lang w:val="en-GB"/>
        </w:rPr>
      </w:pPr>
    </w:p>
    <w:p w14:paraId="0DA99E60" w14:textId="77777777" w:rsidR="00035045" w:rsidRDefault="00035045" w:rsidP="00035045">
      <w:pPr>
        <w:pStyle w:val="ExhibitText"/>
        <w:rPr>
          <w:lang w:val="en-GB"/>
        </w:rPr>
      </w:pPr>
    </w:p>
    <w:p w14:paraId="5AD2E0A9" w14:textId="4FC9F556" w:rsidR="002D218C" w:rsidRPr="005C2A0F" w:rsidRDefault="002D218C" w:rsidP="002B69B3">
      <w:pPr>
        <w:pStyle w:val="ExhibitHeading"/>
        <w:rPr>
          <w:lang w:val="en-GB"/>
        </w:rPr>
      </w:pPr>
      <w:r w:rsidRPr="005C2A0F">
        <w:rPr>
          <w:lang w:val="en-GB"/>
        </w:rPr>
        <w:t xml:space="preserve">EXHIBIT </w:t>
      </w:r>
      <w:r w:rsidR="00035045">
        <w:rPr>
          <w:lang w:val="en-GB"/>
        </w:rPr>
        <w:t>4</w:t>
      </w:r>
      <w:r w:rsidR="009A52F8" w:rsidRPr="005C2A0F">
        <w:rPr>
          <w:lang w:val="en-GB"/>
        </w:rPr>
        <w:t>:</w:t>
      </w:r>
      <w:r w:rsidRPr="005C2A0F">
        <w:rPr>
          <w:lang w:val="en-GB"/>
        </w:rPr>
        <w:t xml:space="preserve"> F</w:t>
      </w:r>
      <w:r w:rsidR="005F62DA">
        <w:rPr>
          <w:lang w:val="en-GB"/>
        </w:rPr>
        <w:t xml:space="preserve">eehan </w:t>
      </w:r>
      <w:r w:rsidRPr="005C2A0F">
        <w:rPr>
          <w:lang w:val="en-GB"/>
        </w:rPr>
        <w:t>I</w:t>
      </w:r>
      <w:r w:rsidR="005F62DA">
        <w:rPr>
          <w:lang w:val="en-GB"/>
        </w:rPr>
        <w:t xml:space="preserve">nvestment </w:t>
      </w:r>
      <w:r w:rsidRPr="005C2A0F">
        <w:rPr>
          <w:lang w:val="en-GB"/>
        </w:rPr>
        <w:t>M</w:t>
      </w:r>
      <w:r w:rsidR="005F62DA">
        <w:rPr>
          <w:lang w:val="en-GB"/>
        </w:rPr>
        <w:t>anagement</w:t>
      </w:r>
      <w:r w:rsidRPr="005C2A0F">
        <w:rPr>
          <w:lang w:val="en-GB"/>
        </w:rPr>
        <w:t>’s Potential Hedge Fund Term Sheet</w:t>
      </w:r>
    </w:p>
    <w:p w14:paraId="69289949" w14:textId="77777777" w:rsidR="002B69B3" w:rsidRPr="005C2A0F" w:rsidRDefault="002B69B3" w:rsidP="002B69B3">
      <w:pPr>
        <w:pStyle w:val="ExhibitText"/>
        <w:rPr>
          <w:lang w:val="en-GB"/>
        </w:rPr>
      </w:pPr>
    </w:p>
    <w:tbl>
      <w:tblPr>
        <w:tblW w:w="78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880"/>
        <w:gridCol w:w="1620"/>
        <w:gridCol w:w="1080"/>
      </w:tblGrid>
      <w:tr w:rsidR="002D218C" w:rsidRPr="005C2A0F" w14:paraId="6F758D55" w14:textId="77777777" w:rsidTr="0009232F">
        <w:trPr>
          <w:trHeight w:val="262"/>
        </w:trPr>
        <w:tc>
          <w:tcPr>
            <w:tcW w:w="2250" w:type="dxa"/>
            <w:shd w:val="clear" w:color="auto" w:fill="auto"/>
            <w:noWrap/>
            <w:hideMark/>
          </w:tcPr>
          <w:p w14:paraId="4CC7ADC3" w14:textId="77777777" w:rsidR="002D218C" w:rsidRPr="005C2A0F" w:rsidRDefault="002D218C" w:rsidP="003D2A2F">
            <w:pPr>
              <w:pStyle w:val="ExhibitText"/>
              <w:jc w:val="left"/>
              <w:rPr>
                <w:b/>
                <w:lang w:val="en-GB"/>
              </w:rPr>
            </w:pPr>
            <w:r w:rsidRPr="005C2A0F">
              <w:rPr>
                <w:b/>
                <w:lang w:val="en-GB"/>
              </w:rPr>
              <w:t>Anticipated AUM</w:t>
            </w:r>
          </w:p>
        </w:tc>
        <w:tc>
          <w:tcPr>
            <w:tcW w:w="2880" w:type="dxa"/>
            <w:shd w:val="clear" w:color="auto" w:fill="auto"/>
            <w:noWrap/>
            <w:hideMark/>
          </w:tcPr>
          <w:p w14:paraId="2361FA38" w14:textId="6F04321E" w:rsidR="002D218C" w:rsidRPr="005C2A0F" w:rsidRDefault="002D218C" w:rsidP="00B9676B">
            <w:pPr>
              <w:pStyle w:val="ExhibitText"/>
              <w:tabs>
                <w:tab w:val="right" w:pos="1960"/>
              </w:tabs>
              <w:jc w:val="left"/>
              <w:rPr>
                <w:lang w:val="en-GB"/>
              </w:rPr>
            </w:pPr>
            <w:r w:rsidRPr="005C2A0F">
              <w:rPr>
                <w:lang w:val="en-GB"/>
              </w:rPr>
              <w:t>$500,000,000</w:t>
            </w:r>
          </w:p>
        </w:tc>
        <w:tc>
          <w:tcPr>
            <w:tcW w:w="1620" w:type="dxa"/>
            <w:shd w:val="clear" w:color="auto" w:fill="auto"/>
            <w:noWrap/>
            <w:hideMark/>
          </w:tcPr>
          <w:p w14:paraId="00C8EACC" w14:textId="0F03989F" w:rsidR="002D218C" w:rsidRPr="005C2A0F" w:rsidRDefault="002D218C" w:rsidP="00B9676B">
            <w:pPr>
              <w:pStyle w:val="ExhibitText"/>
              <w:jc w:val="left"/>
              <w:rPr>
                <w:lang w:val="en-GB"/>
              </w:rPr>
            </w:pPr>
          </w:p>
        </w:tc>
        <w:tc>
          <w:tcPr>
            <w:tcW w:w="1080" w:type="dxa"/>
            <w:shd w:val="clear" w:color="auto" w:fill="auto"/>
            <w:noWrap/>
            <w:vAlign w:val="bottom"/>
            <w:hideMark/>
          </w:tcPr>
          <w:p w14:paraId="36E44D48" w14:textId="77777777" w:rsidR="002D218C" w:rsidRPr="005C2A0F" w:rsidRDefault="002D218C" w:rsidP="002B69B3">
            <w:pPr>
              <w:pStyle w:val="ExhibitText"/>
              <w:rPr>
                <w:lang w:val="en-GB"/>
              </w:rPr>
            </w:pPr>
            <w:r w:rsidRPr="005C2A0F">
              <w:rPr>
                <w:lang w:val="en-GB"/>
              </w:rPr>
              <w:t> </w:t>
            </w:r>
          </w:p>
        </w:tc>
      </w:tr>
      <w:tr w:rsidR="002D218C" w:rsidRPr="005C2A0F" w14:paraId="1EE05563" w14:textId="77777777" w:rsidTr="0009232F">
        <w:trPr>
          <w:trHeight w:val="247"/>
        </w:trPr>
        <w:tc>
          <w:tcPr>
            <w:tcW w:w="2250" w:type="dxa"/>
            <w:shd w:val="clear" w:color="auto" w:fill="auto"/>
            <w:noWrap/>
            <w:hideMark/>
          </w:tcPr>
          <w:p w14:paraId="38CB3829" w14:textId="77777777" w:rsidR="002D218C" w:rsidRPr="005C2A0F" w:rsidRDefault="002D218C" w:rsidP="003D2A2F">
            <w:pPr>
              <w:pStyle w:val="ExhibitText"/>
              <w:jc w:val="left"/>
              <w:rPr>
                <w:b/>
                <w:lang w:val="en-GB"/>
              </w:rPr>
            </w:pPr>
            <w:r w:rsidRPr="005C2A0F">
              <w:rPr>
                <w:b/>
                <w:lang w:val="en-GB"/>
              </w:rPr>
              <w:t>Minimum Investment</w:t>
            </w:r>
          </w:p>
        </w:tc>
        <w:tc>
          <w:tcPr>
            <w:tcW w:w="2880" w:type="dxa"/>
            <w:shd w:val="clear" w:color="auto" w:fill="auto"/>
            <w:noWrap/>
            <w:hideMark/>
          </w:tcPr>
          <w:p w14:paraId="673659BB" w14:textId="3B726437" w:rsidR="002D218C" w:rsidRPr="005C2A0F" w:rsidRDefault="002D218C" w:rsidP="00B9676B">
            <w:pPr>
              <w:pStyle w:val="ExhibitText"/>
              <w:tabs>
                <w:tab w:val="right" w:pos="1960"/>
              </w:tabs>
              <w:jc w:val="left"/>
              <w:rPr>
                <w:lang w:val="en-GB"/>
              </w:rPr>
            </w:pPr>
            <w:r w:rsidRPr="005C2A0F">
              <w:rPr>
                <w:lang w:val="en-GB"/>
              </w:rPr>
              <w:t>$1 million</w:t>
            </w:r>
          </w:p>
        </w:tc>
        <w:tc>
          <w:tcPr>
            <w:tcW w:w="1620" w:type="dxa"/>
            <w:shd w:val="clear" w:color="auto" w:fill="auto"/>
            <w:noWrap/>
            <w:hideMark/>
          </w:tcPr>
          <w:p w14:paraId="2B1D36CC" w14:textId="77777777" w:rsidR="002D218C" w:rsidRPr="005C2A0F" w:rsidRDefault="002D218C" w:rsidP="00B9676B">
            <w:pPr>
              <w:pStyle w:val="ExhibitText"/>
              <w:jc w:val="left"/>
              <w:rPr>
                <w:b/>
                <w:lang w:val="en-GB"/>
              </w:rPr>
            </w:pPr>
            <w:r w:rsidRPr="005C2A0F">
              <w:rPr>
                <w:b/>
                <w:lang w:val="en-GB"/>
              </w:rPr>
              <w:t>Legal Counsel</w:t>
            </w:r>
          </w:p>
        </w:tc>
        <w:tc>
          <w:tcPr>
            <w:tcW w:w="1080" w:type="dxa"/>
            <w:shd w:val="clear" w:color="auto" w:fill="auto"/>
            <w:noWrap/>
            <w:hideMark/>
          </w:tcPr>
          <w:p w14:paraId="1ACBFE1D" w14:textId="77777777" w:rsidR="002D218C" w:rsidRPr="005C2A0F" w:rsidRDefault="002D218C" w:rsidP="00B9676B">
            <w:pPr>
              <w:pStyle w:val="ExhibitText"/>
              <w:jc w:val="left"/>
              <w:rPr>
                <w:lang w:val="en-GB"/>
              </w:rPr>
            </w:pPr>
            <w:r w:rsidRPr="005C2A0F">
              <w:rPr>
                <w:lang w:val="en-GB"/>
              </w:rPr>
              <w:t>TBD</w:t>
            </w:r>
          </w:p>
        </w:tc>
      </w:tr>
      <w:tr w:rsidR="002D218C" w:rsidRPr="005C2A0F" w14:paraId="3E8CA85B" w14:textId="77777777" w:rsidTr="0009232F">
        <w:trPr>
          <w:trHeight w:val="247"/>
        </w:trPr>
        <w:tc>
          <w:tcPr>
            <w:tcW w:w="2250" w:type="dxa"/>
            <w:shd w:val="clear" w:color="auto" w:fill="auto"/>
            <w:noWrap/>
            <w:hideMark/>
          </w:tcPr>
          <w:p w14:paraId="67033ED2" w14:textId="77777777" w:rsidR="002D218C" w:rsidRPr="005C2A0F" w:rsidRDefault="002D218C" w:rsidP="003D2A2F">
            <w:pPr>
              <w:pStyle w:val="ExhibitText"/>
              <w:jc w:val="left"/>
              <w:rPr>
                <w:b/>
                <w:lang w:val="en-GB"/>
              </w:rPr>
            </w:pPr>
            <w:r w:rsidRPr="005C2A0F">
              <w:rPr>
                <w:b/>
                <w:lang w:val="en-GB"/>
              </w:rPr>
              <w:t>Management Fee</w:t>
            </w:r>
          </w:p>
        </w:tc>
        <w:tc>
          <w:tcPr>
            <w:tcW w:w="2880" w:type="dxa"/>
            <w:shd w:val="clear" w:color="auto" w:fill="auto"/>
            <w:noWrap/>
            <w:hideMark/>
          </w:tcPr>
          <w:p w14:paraId="028DE5D8" w14:textId="77777777" w:rsidR="002D218C" w:rsidRPr="005C2A0F" w:rsidRDefault="002D218C" w:rsidP="00B9676B">
            <w:pPr>
              <w:pStyle w:val="ExhibitText"/>
              <w:jc w:val="left"/>
              <w:rPr>
                <w:lang w:val="en-GB"/>
              </w:rPr>
            </w:pPr>
            <w:r w:rsidRPr="005C2A0F">
              <w:rPr>
                <w:lang w:val="en-GB"/>
              </w:rPr>
              <w:t>1.5% per annum</w:t>
            </w:r>
          </w:p>
        </w:tc>
        <w:tc>
          <w:tcPr>
            <w:tcW w:w="1620" w:type="dxa"/>
            <w:shd w:val="clear" w:color="auto" w:fill="auto"/>
            <w:noWrap/>
            <w:hideMark/>
          </w:tcPr>
          <w:p w14:paraId="18B743FF" w14:textId="77777777" w:rsidR="002D218C" w:rsidRPr="005C2A0F" w:rsidRDefault="002D218C" w:rsidP="00B9676B">
            <w:pPr>
              <w:pStyle w:val="ExhibitText"/>
              <w:jc w:val="left"/>
              <w:rPr>
                <w:b/>
                <w:lang w:val="en-GB"/>
              </w:rPr>
            </w:pPr>
            <w:r w:rsidRPr="005C2A0F">
              <w:rPr>
                <w:b/>
                <w:lang w:val="en-GB"/>
              </w:rPr>
              <w:t>Custodian</w:t>
            </w:r>
          </w:p>
        </w:tc>
        <w:tc>
          <w:tcPr>
            <w:tcW w:w="1080" w:type="dxa"/>
            <w:shd w:val="clear" w:color="auto" w:fill="auto"/>
            <w:noWrap/>
            <w:hideMark/>
          </w:tcPr>
          <w:p w14:paraId="49B84DC7" w14:textId="77777777" w:rsidR="002D218C" w:rsidRPr="005C2A0F" w:rsidRDefault="002D218C" w:rsidP="00B9676B">
            <w:pPr>
              <w:pStyle w:val="ExhibitText"/>
              <w:jc w:val="left"/>
              <w:rPr>
                <w:lang w:val="en-GB"/>
              </w:rPr>
            </w:pPr>
            <w:r w:rsidRPr="005C2A0F">
              <w:rPr>
                <w:lang w:val="en-GB"/>
              </w:rPr>
              <w:t>TBD</w:t>
            </w:r>
          </w:p>
        </w:tc>
      </w:tr>
      <w:tr w:rsidR="002D218C" w:rsidRPr="005C2A0F" w14:paraId="2871D784" w14:textId="77777777" w:rsidTr="0009232F">
        <w:trPr>
          <w:trHeight w:val="247"/>
        </w:trPr>
        <w:tc>
          <w:tcPr>
            <w:tcW w:w="2250" w:type="dxa"/>
            <w:shd w:val="clear" w:color="auto" w:fill="auto"/>
            <w:noWrap/>
            <w:hideMark/>
          </w:tcPr>
          <w:p w14:paraId="2852BC05" w14:textId="282A5ABF" w:rsidR="00A00D8E" w:rsidRPr="005C2A0F" w:rsidRDefault="002D218C" w:rsidP="003D2A2F">
            <w:pPr>
              <w:pStyle w:val="ExhibitText"/>
              <w:jc w:val="left"/>
              <w:rPr>
                <w:b/>
                <w:lang w:val="en-GB"/>
              </w:rPr>
            </w:pPr>
            <w:r w:rsidRPr="005C2A0F">
              <w:rPr>
                <w:b/>
                <w:lang w:val="en-GB"/>
              </w:rPr>
              <w:t>Performance Fee</w:t>
            </w:r>
          </w:p>
        </w:tc>
        <w:tc>
          <w:tcPr>
            <w:tcW w:w="2880" w:type="dxa"/>
            <w:shd w:val="clear" w:color="auto" w:fill="auto"/>
            <w:noWrap/>
            <w:hideMark/>
          </w:tcPr>
          <w:p w14:paraId="0903D9AC" w14:textId="2818CD29" w:rsidR="002D218C" w:rsidRPr="005C2A0F" w:rsidRDefault="002D218C" w:rsidP="00B9676B">
            <w:pPr>
              <w:pStyle w:val="ExhibitText"/>
              <w:jc w:val="left"/>
              <w:rPr>
                <w:lang w:val="en-GB"/>
              </w:rPr>
            </w:pPr>
            <w:r w:rsidRPr="005C2A0F">
              <w:rPr>
                <w:lang w:val="en-GB"/>
              </w:rPr>
              <w:t>20% of net profits</w:t>
            </w:r>
            <w:r w:rsidR="005C2A0F" w:rsidRPr="005C2A0F">
              <w:rPr>
                <w:lang w:val="en-GB"/>
              </w:rPr>
              <w:t xml:space="preserve"> </w:t>
            </w:r>
            <w:r w:rsidR="002B69B3" w:rsidRPr="005C2A0F">
              <w:rPr>
                <w:lang w:val="en-GB"/>
              </w:rPr>
              <w:t>above 5% annual return hurdle</w:t>
            </w:r>
          </w:p>
        </w:tc>
        <w:tc>
          <w:tcPr>
            <w:tcW w:w="1620" w:type="dxa"/>
            <w:shd w:val="clear" w:color="auto" w:fill="auto"/>
            <w:noWrap/>
            <w:hideMark/>
          </w:tcPr>
          <w:p w14:paraId="73C24464" w14:textId="5A91DB49" w:rsidR="00A00D8E" w:rsidRPr="005C2A0F" w:rsidRDefault="002D218C" w:rsidP="00B9676B">
            <w:pPr>
              <w:pStyle w:val="ExhibitText"/>
              <w:jc w:val="left"/>
              <w:rPr>
                <w:b/>
                <w:lang w:val="en-GB"/>
              </w:rPr>
            </w:pPr>
            <w:r w:rsidRPr="005C2A0F">
              <w:rPr>
                <w:b/>
                <w:lang w:val="en-GB"/>
              </w:rPr>
              <w:t>Administrator</w:t>
            </w:r>
          </w:p>
        </w:tc>
        <w:tc>
          <w:tcPr>
            <w:tcW w:w="1080" w:type="dxa"/>
            <w:shd w:val="clear" w:color="auto" w:fill="auto"/>
            <w:noWrap/>
            <w:hideMark/>
          </w:tcPr>
          <w:p w14:paraId="7EC6B745" w14:textId="75B62F47" w:rsidR="00A00D8E" w:rsidRPr="005C2A0F" w:rsidRDefault="002D218C" w:rsidP="00B9676B">
            <w:pPr>
              <w:pStyle w:val="ExhibitText"/>
              <w:jc w:val="left"/>
              <w:rPr>
                <w:lang w:val="en-GB"/>
              </w:rPr>
            </w:pPr>
            <w:r w:rsidRPr="005C2A0F">
              <w:rPr>
                <w:lang w:val="en-GB"/>
              </w:rPr>
              <w:t>TBD</w:t>
            </w:r>
          </w:p>
        </w:tc>
      </w:tr>
      <w:tr w:rsidR="002D218C" w:rsidRPr="005C2A0F" w14:paraId="714A9EA3" w14:textId="77777777" w:rsidTr="0009232F">
        <w:trPr>
          <w:trHeight w:val="247"/>
        </w:trPr>
        <w:tc>
          <w:tcPr>
            <w:tcW w:w="2250" w:type="dxa"/>
            <w:shd w:val="clear" w:color="auto" w:fill="auto"/>
            <w:noWrap/>
            <w:hideMark/>
          </w:tcPr>
          <w:p w14:paraId="75A3B379" w14:textId="77777777" w:rsidR="002D218C" w:rsidRPr="005C2A0F" w:rsidRDefault="002D218C" w:rsidP="003D2A2F">
            <w:pPr>
              <w:pStyle w:val="ExhibitText"/>
              <w:jc w:val="left"/>
              <w:rPr>
                <w:b/>
                <w:lang w:val="en-GB"/>
              </w:rPr>
            </w:pPr>
            <w:r w:rsidRPr="005C2A0F">
              <w:rPr>
                <w:b/>
                <w:lang w:val="en-GB"/>
              </w:rPr>
              <w:t>Subscriptions</w:t>
            </w:r>
          </w:p>
        </w:tc>
        <w:tc>
          <w:tcPr>
            <w:tcW w:w="2880" w:type="dxa"/>
            <w:shd w:val="clear" w:color="auto" w:fill="auto"/>
            <w:noWrap/>
            <w:hideMark/>
          </w:tcPr>
          <w:p w14:paraId="24291501" w14:textId="2B6075F5" w:rsidR="002D218C" w:rsidRPr="005C2A0F" w:rsidRDefault="004B7CC4" w:rsidP="00B9676B">
            <w:pPr>
              <w:pStyle w:val="ExhibitText"/>
              <w:jc w:val="left"/>
              <w:rPr>
                <w:lang w:val="en-GB"/>
              </w:rPr>
            </w:pPr>
            <w:r w:rsidRPr="005C2A0F">
              <w:rPr>
                <w:lang w:val="en-GB"/>
              </w:rPr>
              <w:t xml:space="preserve">Monthly </w:t>
            </w:r>
            <w:r w:rsidR="002D218C" w:rsidRPr="005C2A0F">
              <w:rPr>
                <w:lang w:val="en-GB"/>
              </w:rPr>
              <w:t>on first</w:t>
            </w:r>
            <w:r w:rsidR="002B69B3" w:rsidRPr="005C2A0F">
              <w:rPr>
                <w:lang w:val="en-GB"/>
              </w:rPr>
              <w:t xml:space="preserve"> business day</w:t>
            </w:r>
          </w:p>
        </w:tc>
        <w:tc>
          <w:tcPr>
            <w:tcW w:w="1620" w:type="dxa"/>
            <w:shd w:val="clear" w:color="auto" w:fill="auto"/>
            <w:noWrap/>
            <w:hideMark/>
          </w:tcPr>
          <w:p w14:paraId="57179E81" w14:textId="77777777" w:rsidR="002D218C" w:rsidRPr="005C2A0F" w:rsidRDefault="002D218C" w:rsidP="00B9676B">
            <w:pPr>
              <w:pStyle w:val="ExhibitText"/>
              <w:jc w:val="left"/>
              <w:rPr>
                <w:b/>
                <w:lang w:val="en-GB"/>
              </w:rPr>
            </w:pPr>
            <w:r w:rsidRPr="005C2A0F">
              <w:rPr>
                <w:b/>
                <w:lang w:val="en-GB"/>
              </w:rPr>
              <w:t>Auditor</w:t>
            </w:r>
          </w:p>
        </w:tc>
        <w:tc>
          <w:tcPr>
            <w:tcW w:w="1080" w:type="dxa"/>
            <w:shd w:val="clear" w:color="auto" w:fill="auto"/>
            <w:noWrap/>
            <w:hideMark/>
          </w:tcPr>
          <w:p w14:paraId="40289E38" w14:textId="77777777" w:rsidR="002D218C" w:rsidRPr="005C2A0F" w:rsidRDefault="002D218C" w:rsidP="00B9676B">
            <w:pPr>
              <w:pStyle w:val="ExhibitText"/>
              <w:jc w:val="left"/>
              <w:rPr>
                <w:lang w:val="en-GB"/>
              </w:rPr>
            </w:pPr>
            <w:r w:rsidRPr="005C2A0F">
              <w:rPr>
                <w:lang w:val="en-GB"/>
              </w:rPr>
              <w:t>TBD</w:t>
            </w:r>
          </w:p>
        </w:tc>
      </w:tr>
      <w:tr w:rsidR="002B69B3" w:rsidRPr="005C2A0F" w14:paraId="49715AF6" w14:textId="77777777" w:rsidTr="0009232F">
        <w:trPr>
          <w:trHeight w:val="262"/>
        </w:trPr>
        <w:tc>
          <w:tcPr>
            <w:tcW w:w="2250" w:type="dxa"/>
            <w:shd w:val="clear" w:color="auto" w:fill="auto"/>
            <w:noWrap/>
            <w:hideMark/>
          </w:tcPr>
          <w:p w14:paraId="5B0A1389" w14:textId="77777777" w:rsidR="002B69B3" w:rsidRPr="005C2A0F" w:rsidRDefault="002B69B3" w:rsidP="003D2A2F">
            <w:pPr>
              <w:pStyle w:val="ExhibitText"/>
              <w:jc w:val="left"/>
              <w:rPr>
                <w:b/>
                <w:lang w:val="en-GB"/>
              </w:rPr>
            </w:pPr>
            <w:r w:rsidRPr="005C2A0F">
              <w:rPr>
                <w:b/>
                <w:lang w:val="en-GB"/>
              </w:rPr>
              <w:t>Redemptions</w:t>
            </w:r>
          </w:p>
        </w:tc>
        <w:tc>
          <w:tcPr>
            <w:tcW w:w="2880" w:type="dxa"/>
            <w:shd w:val="clear" w:color="auto" w:fill="auto"/>
            <w:noWrap/>
            <w:hideMark/>
          </w:tcPr>
          <w:p w14:paraId="2C9C5BF1" w14:textId="2E7B5664" w:rsidR="002B69B3" w:rsidRPr="005C2A0F" w:rsidRDefault="004B7CC4" w:rsidP="00B9676B">
            <w:pPr>
              <w:pStyle w:val="ExhibitText"/>
              <w:jc w:val="left"/>
              <w:rPr>
                <w:lang w:val="en-GB"/>
              </w:rPr>
            </w:pPr>
            <w:r w:rsidRPr="005C2A0F">
              <w:rPr>
                <w:lang w:val="en-GB"/>
              </w:rPr>
              <w:t>1</w:t>
            </w:r>
            <w:r w:rsidR="00A00D8E">
              <w:rPr>
                <w:lang w:val="en-GB"/>
              </w:rPr>
              <w:t>-</w:t>
            </w:r>
            <w:r w:rsidRPr="005C2A0F">
              <w:rPr>
                <w:lang w:val="en-GB"/>
              </w:rPr>
              <w:t>year lock</w:t>
            </w:r>
            <w:r w:rsidR="00A00D8E">
              <w:rPr>
                <w:lang w:val="en-GB"/>
              </w:rPr>
              <w:t>-</w:t>
            </w:r>
            <w:r w:rsidRPr="005C2A0F">
              <w:rPr>
                <w:lang w:val="en-GB"/>
              </w:rPr>
              <w:t>up</w:t>
            </w:r>
          </w:p>
        </w:tc>
        <w:tc>
          <w:tcPr>
            <w:tcW w:w="1620" w:type="dxa"/>
            <w:shd w:val="clear" w:color="auto" w:fill="auto"/>
            <w:noWrap/>
            <w:hideMark/>
          </w:tcPr>
          <w:p w14:paraId="057FF8FB" w14:textId="77777777" w:rsidR="002B69B3" w:rsidRPr="005C2A0F" w:rsidRDefault="002B69B3" w:rsidP="00B9676B">
            <w:pPr>
              <w:pStyle w:val="ExhibitText"/>
              <w:jc w:val="left"/>
              <w:rPr>
                <w:b/>
                <w:lang w:val="en-GB"/>
              </w:rPr>
            </w:pPr>
            <w:r w:rsidRPr="005C2A0F">
              <w:rPr>
                <w:b/>
                <w:lang w:val="en-GB"/>
              </w:rPr>
              <w:t>Vehicle</w:t>
            </w:r>
          </w:p>
        </w:tc>
        <w:tc>
          <w:tcPr>
            <w:tcW w:w="1080" w:type="dxa"/>
            <w:shd w:val="clear" w:color="auto" w:fill="auto"/>
            <w:noWrap/>
            <w:hideMark/>
          </w:tcPr>
          <w:p w14:paraId="197F7327" w14:textId="77777777" w:rsidR="002B69B3" w:rsidRPr="005C2A0F" w:rsidRDefault="002B69B3" w:rsidP="00B9676B">
            <w:pPr>
              <w:pStyle w:val="ExhibitText"/>
              <w:jc w:val="left"/>
              <w:rPr>
                <w:lang w:val="en-GB"/>
              </w:rPr>
            </w:pPr>
            <w:r w:rsidRPr="005C2A0F">
              <w:rPr>
                <w:lang w:val="en-GB"/>
              </w:rPr>
              <w:t>FIM L.P.</w:t>
            </w:r>
          </w:p>
        </w:tc>
      </w:tr>
      <w:tr w:rsidR="002B69B3" w:rsidRPr="005C2A0F" w14:paraId="2408DA68" w14:textId="77777777" w:rsidTr="0009232F">
        <w:trPr>
          <w:trHeight w:val="247"/>
        </w:trPr>
        <w:tc>
          <w:tcPr>
            <w:tcW w:w="7830" w:type="dxa"/>
            <w:gridSpan w:val="4"/>
            <w:shd w:val="clear" w:color="auto" w:fill="auto"/>
            <w:noWrap/>
            <w:hideMark/>
          </w:tcPr>
          <w:p w14:paraId="34C27B81" w14:textId="54200A03" w:rsidR="002B69B3" w:rsidRPr="005C2A0F" w:rsidRDefault="002B69B3" w:rsidP="00B9676B">
            <w:pPr>
              <w:pStyle w:val="ExhibitText"/>
              <w:jc w:val="left"/>
              <w:rPr>
                <w:lang w:val="en-GB"/>
              </w:rPr>
            </w:pPr>
            <w:r w:rsidRPr="005C2A0F">
              <w:rPr>
                <w:b/>
                <w:lang w:val="en-GB"/>
              </w:rPr>
              <w:t>Marketing Strategy:</w:t>
            </w:r>
            <w:r w:rsidRPr="005C2A0F">
              <w:rPr>
                <w:lang w:val="en-GB"/>
              </w:rPr>
              <w:t xml:space="preserve"> Market to endowments, pensions, institutional investors.</w:t>
            </w:r>
            <w:r w:rsidR="00FC6ABA" w:rsidRPr="005C2A0F">
              <w:rPr>
                <w:lang w:val="en-GB"/>
              </w:rPr>
              <w:t xml:space="preserve"> </w:t>
            </w:r>
            <w:r w:rsidRPr="005C2A0F">
              <w:rPr>
                <w:lang w:val="en-GB"/>
              </w:rPr>
              <w:t xml:space="preserve">Leverage relationships with </w:t>
            </w:r>
            <w:r w:rsidR="00A00D8E">
              <w:rPr>
                <w:lang w:val="en-GB"/>
              </w:rPr>
              <w:t>third-</w:t>
            </w:r>
            <w:r w:rsidRPr="005C2A0F">
              <w:rPr>
                <w:lang w:val="en-GB"/>
              </w:rPr>
              <w:t>party allocators and fund of funds to garnet assets.</w:t>
            </w:r>
          </w:p>
        </w:tc>
      </w:tr>
    </w:tbl>
    <w:p w14:paraId="26AB4A70" w14:textId="4CA77906" w:rsidR="002B69B3" w:rsidRPr="005C2A0F" w:rsidRDefault="002B69B3" w:rsidP="002B69B3">
      <w:pPr>
        <w:pStyle w:val="ExhibitText"/>
        <w:rPr>
          <w:lang w:val="en-GB"/>
        </w:rPr>
      </w:pPr>
    </w:p>
    <w:p w14:paraId="09A83737" w14:textId="44CBAB31" w:rsidR="0080047D" w:rsidRDefault="0080047D" w:rsidP="00F407C4">
      <w:pPr>
        <w:pStyle w:val="Footnote"/>
        <w:rPr>
          <w:lang w:val="en-GB"/>
        </w:rPr>
      </w:pPr>
      <w:r>
        <w:rPr>
          <w:lang w:val="en-GB"/>
        </w:rPr>
        <w:t>Note: AUM = assets under management</w:t>
      </w:r>
      <w:r w:rsidR="005F62DA">
        <w:rPr>
          <w:lang w:val="en-GB"/>
        </w:rPr>
        <w:t>; TBD = to be determined;</w:t>
      </w:r>
      <w:r w:rsidR="00A00D8E">
        <w:rPr>
          <w:lang w:val="en-GB"/>
        </w:rPr>
        <w:t xml:space="preserve"> FIM L.P. = </w:t>
      </w:r>
      <w:proofErr w:type="spellStart"/>
      <w:r w:rsidR="00A00D8E">
        <w:rPr>
          <w:lang w:val="en-GB"/>
        </w:rPr>
        <w:t>Feehan</w:t>
      </w:r>
      <w:proofErr w:type="spellEnd"/>
      <w:r w:rsidR="00A00D8E">
        <w:rPr>
          <w:lang w:val="en-GB"/>
        </w:rPr>
        <w:t xml:space="preserve"> Investment Management</w:t>
      </w:r>
      <w:r w:rsidR="00BA37AE">
        <w:rPr>
          <w:lang w:val="en-GB"/>
        </w:rPr>
        <w:t xml:space="preserve"> </w:t>
      </w:r>
      <w:r w:rsidR="00A23AFA">
        <w:rPr>
          <w:lang w:val="en-GB"/>
        </w:rPr>
        <w:t>Limited Partnership</w:t>
      </w:r>
      <w:r w:rsidR="00A01AD2">
        <w:rPr>
          <w:lang w:val="en-GB"/>
        </w:rPr>
        <w:t xml:space="preserve"> </w:t>
      </w:r>
    </w:p>
    <w:p w14:paraId="4FDAB744" w14:textId="61F98952" w:rsidR="002B69B3" w:rsidRPr="005C2A0F" w:rsidRDefault="00F407C4" w:rsidP="00F407C4">
      <w:pPr>
        <w:pStyle w:val="Footnote"/>
        <w:rPr>
          <w:lang w:val="en-GB"/>
        </w:rPr>
      </w:pPr>
      <w:r w:rsidRPr="005C2A0F">
        <w:rPr>
          <w:lang w:val="en-GB"/>
        </w:rPr>
        <w:t>Source: Created by the authors</w:t>
      </w:r>
      <w:r w:rsidR="0080047D">
        <w:rPr>
          <w:lang w:val="en-GB"/>
        </w:rPr>
        <w:t>.</w:t>
      </w:r>
    </w:p>
    <w:p w14:paraId="046A9B7D" w14:textId="2FAEDB4C" w:rsidR="00035045" w:rsidRDefault="00035045">
      <w:pPr>
        <w:spacing w:after="200" w:line="276" w:lineRule="auto"/>
        <w:rPr>
          <w:rFonts w:ascii="Arial" w:hAnsi="Arial" w:cs="Arial"/>
          <w:lang w:val="en-GB"/>
        </w:rPr>
      </w:pPr>
      <w:r>
        <w:rPr>
          <w:lang w:val="en-GB"/>
        </w:rPr>
        <w:br w:type="page"/>
      </w:r>
    </w:p>
    <w:p w14:paraId="14E19507" w14:textId="0D3DF14E" w:rsidR="002D218C" w:rsidRPr="005C2A0F" w:rsidRDefault="002D218C" w:rsidP="002D30C9">
      <w:pPr>
        <w:pStyle w:val="ExhibitHeading"/>
        <w:rPr>
          <w:sz w:val="22"/>
          <w:szCs w:val="22"/>
          <w:lang w:val="en-GB"/>
        </w:rPr>
      </w:pPr>
      <w:r w:rsidRPr="005C2A0F">
        <w:rPr>
          <w:sz w:val="22"/>
          <w:szCs w:val="22"/>
          <w:lang w:val="en-GB"/>
        </w:rPr>
        <w:lastRenderedPageBreak/>
        <w:t xml:space="preserve">EXHIBIT </w:t>
      </w:r>
      <w:r w:rsidR="00035045">
        <w:rPr>
          <w:sz w:val="22"/>
          <w:szCs w:val="22"/>
          <w:lang w:val="en-GB"/>
        </w:rPr>
        <w:t>5</w:t>
      </w:r>
      <w:r w:rsidR="009A52F8" w:rsidRPr="005C2A0F">
        <w:rPr>
          <w:sz w:val="22"/>
          <w:szCs w:val="22"/>
          <w:lang w:val="en-GB"/>
        </w:rPr>
        <w:t>:</w:t>
      </w:r>
      <w:r w:rsidRPr="005C2A0F">
        <w:rPr>
          <w:sz w:val="22"/>
          <w:szCs w:val="22"/>
          <w:lang w:val="en-GB"/>
        </w:rPr>
        <w:t xml:space="preserve"> Hedge Fund Hurdle Rate Example</w:t>
      </w:r>
      <w:r w:rsidR="002D30C9" w:rsidRPr="005C2A0F">
        <w:rPr>
          <w:sz w:val="22"/>
          <w:szCs w:val="22"/>
          <w:lang w:val="en-GB"/>
        </w:rPr>
        <w:t xml:space="preserve"> </w:t>
      </w:r>
      <w:r w:rsidR="007447F2">
        <w:rPr>
          <w:sz w:val="22"/>
          <w:szCs w:val="22"/>
          <w:lang w:val="en-GB"/>
        </w:rPr>
        <w:t>(</w:t>
      </w:r>
      <w:r w:rsidR="002D30C9" w:rsidRPr="005C2A0F">
        <w:rPr>
          <w:sz w:val="22"/>
          <w:szCs w:val="22"/>
          <w:lang w:val="en-GB"/>
        </w:rPr>
        <w:t xml:space="preserve">in </w:t>
      </w:r>
      <w:r w:rsidR="00A00D8E">
        <w:rPr>
          <w:sz w:val="22"/>
          <w:szCs w:val="22"/>
          <w:lang w:val="en-GB"/>
        </w:rPr>
        <w:t xml:space="preserve">US$ </w:t>
      </w:r>
      <w:r w:rsidR="002D30C9" w:rsidRPr="005C2A0F">
        <w:rPr>
          <w:sz w:val="22"/>
          <w:szCs w:val="22"/>
          <w:lang w:val="en-GB"/>
        </w:rPr>
        <w:t>millions</w:t>
      </w:r>
      <w:r w:rsidR="007447F2">
        <w:rPr>
          <w:sz w:val="22"/>
          <w:szCs w:val="22"/>
          <w:lang w:val="en-GB"/>
        </w:rPr>
        <w:t>)</w:t>
      </w:r>
    </w:p>
    <w:p w14:paraId="2D1ED75B" w14:textId="77777777" w:rsidR="002D218C" w:rsidRPr="005C2A0F" w:rsidRDefault="002D218C" w:rsidP="00F407C4">
      <w:pPr>
        <w:pStyle w:val="ExhibitText"/>
        <w:rPr>
          <w:lang w:val="en-GB"/>
        </w:rPr>
      </w:pPr>
    </w:p>
    <w:tbl>
      <w:tblPr>
        <w:tblW w:w="7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1364"/>
        <w:gridCol w:w="2816"/>
        <w:gridCol w:w="1031"/>
        <w:gridCol w:w="1602"/>
      </w:tblGrid>
      <w:tr w:rsidR="002D30C9" w:rsidRPr="005C2A0F" w14:paraId="42F22BBF" w14:textId="77777777" w:rsidTr="00531FFA">
        <w:trPr>
          <w:trHeight w:val="178"/>
          <w:jc w:val="center"/>
        </w:trPr>
        <w:tc>
          <w:tcPr>
            <w:tcW w:w="1174" w:type="dxa"/>
            <w:shd w:val="clear" w:color="000000" w:fill="FFFFFF"/>
            <w:noWrap/>
            <w:vAlign w:val="bottom"/>
            <w:hideMark/>
          </w:tcPr>
          <w:p w14:paraId="16123B67" w14:textId="77777777" w:rsidR="002D30C9" w:rsidRPr="005C2A0F" w:rsidRDefault="002D30C9" w:rsidP="002D30C9">
            <w:pPr>
              <w:pStyle w:val="ExhibitText"/>
              <w:rPr>
                <w:lang w:val="en-GB"/>
              </w:rPr>
            </w:pPr>
            <w:r w:rsidRPr="005C2A0F">
              <w:rPr>
                <w:lang w:val="en-GB"/>
              </w:rPr>
              <w:t>Fund AUM</w:t>
            </w:r>
          </w:p>
        </w:tc>
        <w:tc>
          <w:tcPr>
            <w:tcW w:w="1364" w:type="dxa"/>
            <w:shd w:val="clear" w:color="000000" w:fill="FFFFFF"/>
            <w:noWrap/>
            <w:vAlign w:val="bottom"/>
            <w:hideMark/>
          </w:tcPr>
          <w:p w14:paraId="71A8E079" w14:textId="73CE9C51" w:rsidR="002D30C9" w:rsidRPr="005C2A0F" w:rsidRDefault="002D30C9" w:rsidP="00531FFA">
            <w:pPr>
              <w:pStyle w:val="ExhibitText"/>
              <w:jc w:val="center"/>
              <w:rPr>
                <w:lang w:val="en-GB"/>
              </w:rPr>
            </w:pPr>
            <w:r w:rsidRPr="005C2A0F">
              <w:rPr>
                <w:lang w:val="en-GB"/>
              </w:rPr>
              <w:t>$500</w:t>
            </w:r>
          </w:p>
        </w:tc>
        <w:tc>
          <w:tcPr>
            <w:tcW w:w="2816" w:type="dxa"/>
            <w:shd w:val="clear" w:color="000000" w:fill="FFFFFF"/>
            <w:noWrap/>
            <w:vAlign w:val="bottom"/>
            <w:hideMark/>
          </w:tcPr>
          <w:p w14:paraId="76B863A9" w14:textId="77777777" w:rsidR="002D30C9" w:rsidRPr="005C2A0F" w:rsidRDefault="002D30C9" w:rsidP="002D30C9">
            <w:pPr>
              <w:pStyle w:val="ExhibitText"/>
              <w:rPr>
                <w:lang w:val="en-GB"/>
              </w:rPr>
            </w:pPr>
            <w:r w:rsidRPr="005C2A0F">
              <w:rPr>
                <w:lang w:val="en-GB"/>
              </w:rPr>
              <w:t> </w:t>
            </w:r>
          </w:p>
        </w:tc>
        <w:tc>
          <w:tcPr>
            <w:tcW w:w="1031" w:type="dxa"/>
            <w:shd w:val="clear" w:color="000000" w:fill="FFFFFF"/>
            <w:noWrap/>
            <w:vAlign w:val="bottom"/>
            <w:hideMark/>
          </w:tcPr>
          <w:p w14:paraId="1AD44534" w14:textId="77777777" w:rsidR="002D30C9" w:rsidRPr="005C2A0F" w:rsidRDefault="002D30C9" w:rsidP="002D30C9">
            <w:pPr>
              <w:pStyle w:val="ExhibitText"/>
              <w:rPr>
                <w:lang w:val="en-GB"/>
              </w:rPr>
            </w:pPr>
            <w:r w:rsidRPr="005C2A0F">
              <w:rPr>
                <w:lang w:val="en-GB"/>
              </w:rPr>
              <w:t> </w:t>
            </w:r>
          </w:p>
        </w:tc>
        <w:tc>
          <w:tcPr>
            <w:tcW w:w="1602" w:type="dxa"/>
            <w:shd w:val="clear" w:color="000000" w:fill="FFFFFF"/>
            <w:noWrap/>
            <w:vAlign w:val="bottom"/>
            <w:hideMark/>
          </w:tcPr>
          <w:p w14:paraId="5C6FAAA4" w14:textId="77777777" w:rsidR="002D30C9" w:rsidRPr="005C2A0F" w:rsidRDefault="002D30C9" w:rsidP="002D30C9">
            <w:pPr>
              <w:pStyle w:val="ExhibitText"/>
              <w:rPr>
                <w:lang w:val="en-GB"/>
              </w:rPr>
            </w:pPr>
            <w:r w:rsidRPr="005C2A0F">
              <w:rPr>
                <w:lang w:val="en-GB"/>
              </w:rPr>
              <w:t> </w:t>
            </w:r>
          </w:p>
        </w:tc>
      </w:tr>
      <w:tr w:rsidR="002D30C9" w:rsidRPr="005C2A0F" w14:paraId="0EEFFCF4" w14:textId="77777777" w:rsidTr="00531FFA">
        <w:trPr>
          <w:trHeight w:val="178"/>
          <w:jc w:val="center"/>
        </w:trPr>
        <w:tc>
          <w:tcPr>
            <w:tcW w:w="1174" w:type="dxa"/>
            <w:shd w:val="clear" w:color="000000" w:fill="FFFFFF"/>
            <w:noWrap/>
            <w:vAlign w:val="bottom"/>
            <w:hideMark/>
          </w:tcPr>
          <w:p w14:paraId="5F8513E1" w14:textId="77777777" w:rsidR="002D30C9" w:rsidRPr="005C2A0F" w:rsidRDefault="002D30C9" w:rsidP="002D30C9">
            <w:pPr>
              <w:pStyle w:val="ExhibitText"/>
              <w:rPr>
                <w:lang w:val="en-GB"/>
              </w:rPr>
            </w:pPr>
            <w:r w:rsidRPr="005C2A0F">
              <w:rPr>
                <w:lang w:val="en-GB"/>
              </w:rPr>
              <w:t> </w:t>
            </w:r>
          </w:p>
        </w:tc>
        <w:tc>
          <w:tcPr>
            <w:tcW w:w="1364" w:type="dxa"/>
            <w:shd w:val="clear" w:color="000000" w:fill="FFFFFF"/>
            <w:noWrap/>
            <w:vAlign w:val="bottom"/>
            <w:hideMark/>
          </w:tcPr>
          <w:p w14:paraId="518966C1" w14:textId="4A97E0CD" w:rsidR="002D30C9" w:rsidRPr="005C2A0F" w:rsidRDefault="002D30C9" w:rsidP="009D4CD4">
            <w:pPr>
              <w:pStyle w:val="ExhibitText"/>
              <w:jc w:val="center"/>
              <w:rPr>
                <w:b/>
                <w:lang w:val="en-GB"/>
              </w:rPr>
            </w:pPr>
            <w:r w:rsidRPr="005C2A0F">
              <w:rPr>
                <w:b/>
                <w:lang w:val="en-GB"/>
              </w:rPr>
              <w:t xml:space="preserve">Hurdle </w:t>
            </w:r>
            <w:r w:rsidR="00A00D8E">
              <w:rPr>
                <w:b/>
                <w:lang w:val="en-GB"/>
              </w:rPr>
              <w:t xml:space="preserve">Rate </w:t>
            </w:r>
            <w:r w:rsidRPr="005C2A0F">
              <w:rPr>
                <w:b/>
                <w:lang w:val="en-GB"/>
              </w:rPr>
              <w:t>(5%)</w:t>
            </w:r>
          </w:p>
        </w:tc>
        <w:tc>
          <w:tcPr>
            <w:tcW w:w="2816" w:type="dxa"/>
            <w:shd w:val="clear" w:color="000000" w:fill="FFFFFF"/>
            <w:noWrap/>
            <w:vAlign w:val="bottom"/>
            <w:hideMark/>
          </w:tcPr>
          <w:p w14:paraId="68303855" w14:textId="77777777" w:rsidR="002D30C9" w:rsidRDefault="002D30C9" w:rsidP="009D4CD4">
            <w:pPr>
              <w:pStyle w:val="ExhibitText"/>
              <w:jc w:val="center"/>
              <w:rPr>
                <w:b/>
                <w:lang w:val="en-GB"/>
              </w:rPr>
            </w:pPr>
            <w:r w:rsidRPr="005C2A0F">
              <w:rPr>
                <w:b/>
                <w:lang w:val="en-GB"/>
              </w:rPr>
              <w:t>FIM L/S Fund Performance</w:t>
            </w:r>
          </w:p>
          <w:p w14:paraId="1F37D8FA" w14:textId="0DBB5ECB" w:rsidR="00A00D8E" w:rsidRPr="005C2A0F" w:rsidRDefault="00A00D8E" w:rsidP="009D4CD4">
            <w:pPr>
              <w:pStyle w:val="ExhibitText"/>
              <w:jc w:val="center"/>
              <w:rPr>
                <w:b/>
                <w:lang w:val="en-GB"/>
              </w:rPr>
            </w:pPr>
          </w:p>
        </w:tc>
        <w:tc>
          <w:tcPr>
            <w:tcW w:w="1031" w:type="dxa"/>
            <w:shd w:val="clear" w:color="000000" w:fill="FFFFFF"/>
            <w:noWrap/>
            <w:vAlign w:val="bottom"/>
            <w:hideMark/>
          </w:tcPr>
          <w:p w14:paraId="7A081463" w14:textId="77777777" w:rsidR="002D30C9" w:rsidRDefault="002D30C9" w:rsidP="009D4CD4">
            <w:pPr>
              <w:pStyle w:val="ExhibitText"/>
              <w:jc w:val="center"/>
              <w:rPr>
                <w:b/>
                <w:lang w:val="en-GB"/>
              </w:rPr>
            </w:pPr>
            <w:r w:rsidRPr="005C2A0F">
              <w:rPr>
                <w:b/>
                <w:lang w:val="en-GB"/>
              </w:rPr>
              <w:t>AUM</w:t>
            </w:r>
          </w:p>
          <w:p w14:paraId="3C8BA0A6" w14:textId="7BAEBFFC" w:rsidR="00A00D8E" w:rsidRPr="005C2A0F" w:rsidRDefault="00A00D8E" w:rsidP="009D4CD4">
            <w:pPr>
              <w:pStyle w:val="ExhibitText"/>
              <w:jc w:val="center"/>
              <w:rPr>
                <w:b/>
                <w:lang w:val="en-GB"/>
              </w:rPr>
            </w:pPr>
          </w:p>
        </w:tc>
        <w:tc>
          <w:tcPr>
            <w:tcW w:w="1602" w:type="dxa"/>
            <w:shd w:val="clear" w:color="000000" w:fill="FFFFFF"/>
            <w:noWrap/>
            <w:vAlign w:val="bottom"/>
            <w:hideMark/>
          </w:tcPr>
          <w:p w14:paraId="539ED220" w14:textId="77777777" w:rsidR="002D30C9" w:rsidRPr="005C2A0F" w:rsidRDefault="002D30C9" w:rsidP="009D4CD4">
            <w:pPr>
              <w:pStyle w:val="ExhibitText"/>
              <w:jc w:val="center"/>
              <w:rPr>
                <w:b/>
                <w:lang w:val="en-GB"/>
              </w:rPr>
            </w:pPr>
            <w:r w:rsidRPr="005C2A0F">
              <w:rPr>
                <w:b/>
                <w:lang w:val="en-GB"/>
              </w:rPr>
              <w:t>Performance Fee</w:t>
            </w:r>
          </w:p>
        </w:tc>
      </w:tr>
      <w:tr w:rsidR="002D30C9" w:rsidRPr="005C2A0F" w14:paraId="300A2154" w14:textId="77777777" w:rsidTr="00531FFA">
        <w:trPr>
          <w:trHeight w:val="178"/>
          <w:jc w:val="center"/>
        </w:trPr>
        <w:tc>
          <w:tcPr>
            <w:tcW w:w="1174" w:type="dxa"/>
            <w:shd w:val="clear" w:color="000000" w:fill="FFFFFF"/>
            <w:noWrap/>
            <w:vAlign w:val="bottom"/>
            <w:hideMark/>
          </w:tcPr>
          <w:p w14:paraId="27C7E2A0" w14:textId="77777777" w:rsidR="002D30C9" w:rsidRPr="005C2A0F" w:rsidRDefault="002D30C9" w:rsidP="002D30C9">
            <w:pPr>
              <w:pStyle w:val="ExhibitText"/>
              <w:rPr>
                <w:lang w:val="en-GB"/>
              </w:rPr>
            </w:pPr>
            <w:r w:rsidRPr="005C2A0F">
              <w:rPr>
                <w:lang w:val="en-GB"/>
              </w:rPr>
              <w:t>Year 1</w:t>
            </w:r>
          </w:p>
        </w:tc>
        <w:tc>
          <w:tcPr>
            <w:tcW w:w="1364" w:type="dxa"/>
            <w:shd w:val="clear" w:color="000000" w:fill="FFFFFF"/>
            <w:noWrap/>
            <w:vAlign w:val="bottom"/>
            <w:hideMark/>
          </w:tcPr>
          <w:p w14:paraId="58AF456C" w14:textId="7DE3744F" w:rsidR="002D30C9" w:rsidRPr="005C2A0F" w:rsidRDefault="002D30C9" w:rsidP="00531FFA">
            <w:pPr>
              <w:pStyle w:val="ExhibitText"/>
              <w:jc w:val="center"/>
              <w:rPr>
                <w:lang w:val="en-GB"/>
              </w:rPr>
            </w:pPr>
            <w:r w:rsidRPr="005C2A0F">
              <w:rPr>
                <w:lang w:val="en-GB"/>
              </w:rPr>
              <w:t>$525</w:t>
            </w:r>
          </w:p>
        </w:tc>
        <w:tc>
          <w:tcPr>
            <w:tcW w:w="2816" w:type="dxa"/>
            <w:shd w:val="clear" w:color="000000" w:fill="FFFFFF"/>
            <w:noWrap/>
            <w:vAlign w:val="bottom"/>
            <w:hideMark/>
          </w:tcPr>
          <w:p w14:paraId="57071E45" w14:textId="33F9DCF7" w:rsidR="002D30C9" w:rsidRPr="005C2A0F" w:rsidRDefault="009D4CD4" w:rsidP="00531FFA">
            <w:pPr>
              <w:pStyle w:val="ExhibitText"/>
              <w:jc w:val="center"/>
              <w:rPr>
                <w:lang w:val="en-GB"/>
              </w:rPr>
            </w:pPr>
            <w:r>
              <w:rPr>
                <w:lang w:val="en-GB"/>
              </w:rPr>
              <w:t>(</w:t>
            </w:r>
            <w:r w:rsidR="002D30C9" w:rsidRPr="005C2A0F">
              <w:rPr>
                <w:lang w:val="en-GB"/>
              </w:rPr>
              <w:t>10%</w:t>
            </w:r>
            <w:r>
              <w:rPr>
                <w:lang w:val="en-GB"/>
              </w:rPr>
              <w:t>)</w:t>
            </w:r>
          </w:p>
        </w:tc>
        <w:tc>
          <w:tcPr>
            <w:tcW w:w="1031" w:type="dxa"/>
            <w:shd w:val="clear" w:color="000000" w:fill="FFFFFF"/>
            <w:noWrap/>
            <w:vAlign w:val="bottom"/>
            <w:hideMark/>
          </w:tcPr>
          <w:p w14:paraId="47211555" w14:textId="03F809E1" w:rsidR="002D30C9" w:rsidRPr="005C2A0F" w:rsidRDefault="002D30C9" w:rsidP="009D4CD4">
            <w:pPr>
              <w:pStyle w:val="ExhibitText"/>
              <w:jc w:val="center"/>
              <w:rPr>
                <w:lang w:val="en-GB"/>
              </w:rPr>
            </w:pPr>
            <w:r w:rsidRPr="005C2A0F">
              <w:rPr>
                <w:lang w:val="en-GB"/>
              </w:rPr>
              <w:t>$450</w:t>
            </w:r>
          </w:p>
        </w:tc>
        <w:tc>
          <w:tcPr>
            <w:tcW w:w="1602" w:type="dxa"/>
            <w:shd w:val="clear" w:color="000000" w:fill="FFFFFF"/>
            <w:noWrap/>
            <w:vAlign w:val="bottom"/>
            <w:hideMark/>
          </w:tcPr>
          <w:p w14:paraId="5B3C36AB" w14:textId="5351C28F" w:rsidR="002D30C9" w:rsidRPr="005C2A0F" w:rsidRDefault="002D30C9" w:rsidP="009D4CD4">
            <w:pPr>
              <w:pStyle w:val="ExhibitText"/>
              <w:jc w:val="center"/>
              <w:rPr>
                <w:lang w:val="en-GB"/>
              </w:rPr>
            </w:pPr>
            <w:r w:rsidRPr="005C2A0F">
              <w:rPr>
                <w:lang w:val="en-GB"/>
              </w:rPr>
              <w:t>$</w:t>
            </w:r>
          </w:p>
        </w:tc>
      </w:tr>
      <w:tr w:rsidR="002D30C9" w:rsidRPr="005C2A0F" w14:paraId="6FD07DF9" w14:textId="77777777" w:rsidTr="00531FFA">
        <w:trPr>
          <w:trHeight w:val="188"/>
          <w:jc w:val="center"/>
        </w:trPr>
        <w:tc>
          <w:tcPr>
            <w:tcW w:w="1174" w:type="dxa"/>
            <w:shd w:val="clear" w:color="000000" w:fill="FFFFFF"/>
            <w:noWrap/>
            <w:vAlign w:val="bottom"/>
            <w:hideMark/>
          </w:tcPr>
          <w:p w14:paraId="0FAD59E0" w14:textId="77777777" w:rsidR="002D30C9" w:rsidRPr="005C2A0F" w:rsidRDefault="002D30C9" w:rsidP="002D30C9">
            <w:pPr>
              <w:pStyle w:val="ExhibitText"/>
              <w:rPr>
                <w:lang w:val="en-GB"/>
              </w:rPr>
            </w:pPr>
            <w:r w:rsidRPr="005C2A0F">
              <w:rPr>
                <w:lang w:val="en-GB"/>
              </w:rPr>
              <w:t>Year 2</w:t>
            </w:r>
          </w:p>
        </w:tc>
        <w:tc>
          <w:tcPr>
            <w:tcW w:w="1364" w:type="dxa"/>
            <w:shd w:val="clear" w:color="000000" w:fill="FFFFFF"/>
            <w:noWrap/>
            <w:vAlign w:val="bottom"/>
            <w:hideMark/>
          </w:tcPr>
          <w:p w14:paraId="0D1D0CC1" w14:textId="74839275" w:rsidR="002D30C9" w:rsidRPr="005C2A0F" w:rsidRDefault="002D30C9" w:rsidP="00531FFA">
            <w:pPr>
              <w:pStyle w:val="ExhibitText"/>
              <w:jc w:val="center"/>
              <w:rPr>
                <w:lang w:val="en-GB"/>
              </w:rPr>
            </w:pPr>
            <w:r w:rsidRPr="005C2A0F">
              <w:rPr>
                <w:lang w:val="en-GB"/>
              </w:rPr>
              <w:t>$550</w:t>
            </w:r>
          </w:p>
        </w:tc>
        <w:tc>
          <w:tcPr>
            <w:tcW w:w="2816" w:type="dxa"/>
            <w:shd w:val="clear" w:color="000000" w:fill="FFFFFF"/>
            <w:noWrap/>
            <w:vAlign w:val="bottom"/>
            <w:hideMark/>
          </w:tcPr>
          <w:p w14:paraId="2E7F01A9" w14:textId="1BB5A094" w:rsidR="002D30C9" w:rsidRPr="005C2A0F" w:rsidRDefault="002D30C9" w:rsidP="00531FFA">
            <w:pPr>
              <w:pStyle w:val="ExhibitText"/>
              <w:jc w:val="center"/>
              <w:rPr>
                <w:lang w:val="en-GB"/>
              </w:rPr>
            </w:pPr>
            <w:r w:rsidRPr="005C2A0F">
              <w:rPr>
                <w:lang w:val="en-GB"/>
              </w:rPr>
              <w:t>30%</w:t>
            </w:r>
          </w:p>
        </w:tc>
        <w:tc>
          <w:tcPr>
            <w:tcW w:w="1031" w:type="dxa"/>
            <w:shd w:val="clear" w:color="000000" w:fill="FFFFFF"/>
            <w:noWrap/>
            <w:vAlign w:val="bottom"/>
            <w:hideMark/>
          </w:tcPr>
          <w:p w14:paraId="596F770D" w14:textId="510D0D1A" w:rsidR="002D30C9" w:rsidRPr="005C2A0F" w:rsidRDefault="002D30C9" w:rsidP="009D4CD4">
            <w:pPr>
              <w:pStyle w:val="ExhibitText"/>
              <w:jc w:val="center"/>
              <w:rPr>
                <w:lang w:val="en-GB"/>
              </w:rPr>
            </w:pPr>
            <w:r w:rsidRPr="005C2A0F">
              <w:rPr>
                <w:lang w:val="en-GB"/>
              </w:rPr>
              <w:t>$585</w:t>
            </w:r>
          </w:p>
        </w:tc>
        <w:tc>
          <w:tcPr>
            <w:tcW w:w="1602" w:type="dxa"/>
            <w:shd w:val="clear" w:color="000000" w:fill="FFFFFF"/>
            <w:noWrap/>
            <w:vAlign w:val="bottom"/>
            <w:hideMark/>
          </w:tcPr>
          <w:p w14:paraId="24371294" w14:textId="77777777" w:rsidR="002D30C9" w:rsidRPr="005C2A0F" w:rsidRDefault="002D30C9" w:rsidP="009D4CD4">
            <w:pPr>
              <w:pStyle w:val="ExhibitText"/>
              <w:jc w:val="center"/>
              <w:rPr>
                <w:lang w:val="en-GB"/>
              </w:rPr>
            </w:pPr>
            <w:r w:rsidRPr="005C2A0F">
              <w:rPr>
                <w:lang w:val="en-GB"/>
              </w:rPr>
              <w:t>?</w:t>
            </w:r>
          </w:p>
        </w:tc>
      </w:tr>
    </w:tbl>
    <w:p w14:paraId="2C7D9ADE" w14:textId="77777777" w:rsidR="002D218C" w:rsidRPr="005C2A0F" w:rsidRDefault="002D218C" w:rsidP="002D30C9">
      <w:pPr>
        <w:pStyle w:val="ExhibitText"/>
        <w:rPr>
          <w:lang w:val="en-GB"/>
        </w:rPr>
      </w:pPr>
    </w:p>
    <w:p w14:paraId="69AAEF38" w14:textId="77777777" w:rsidR="002D218C" w:rsidRPr="005C2A0F" w:rsidRDefault="002D218C" w:rsidP="002D30C9">
      <w:pPr>
        <w:pStyle w:val="ExhibitText"/>
        <w:rPr>
          <w:lang w:val="en-GB"/>
        </w:rPr>
      </w:pPr>
    </w:p>
    <w:p w14:paraId="14742091" w14:textId="704CE967" w:rsidR="002D218C" w:rsidRPr="005C2A0F" w:rsidRDefault="002D218C" w:rsidP="002D30C9">
      <w:pPr>
        <w:pStyle w:val="Footnote"/>
        <w:rPr>
          <w:lang w:val="en-GB"/>
        </w:rPr>
      </w:pPr>
      <w:r w:rsidRPr="005C2A0F">
        <w:rPr>
          <w:lang w:val="en-GB"/>
        </w:rPr>
        <w:t xml:space="preserve">Note: </w:t>
      </w:r>
      <w:r w:rsidR="00A00D8E">
        <w:rPr>
          <w:lang w:val="en-GB"/>
        </w:rPr>
        <w:t xml:space="preserve">AUM = assets under management; </w:t>
      </w:r>
      <w:r w:rsidR="009D4CD4">
        <w:rPr>
          <w:lang w:val="en-GB"/>
        </w:rPr>
        <w:t xml:space="preserve">FIM L/S = </w:t>
      </w:r>
      <w:proofErr w:type="spellStart"/>
      <w:r w:rsidR="009D4CD4">
        <w:rPr>
          <w:lang w:val="en-GB"/>
        </w:rPr>
        <w:t>Feehan</w:t>
      </w:r>
      <w:proofErr w:type="spellEnd"/>
      <w:r w:rsidR="009D4CD4">
        <w:rPr>
          <w:lang w:val="en-GB"/>
        </w:rPr>
        <w:t xml:space="preserve"> Investment Management long/short strategy;</w:t>
      </w:r>
      <w:r w:rsidR="009D4CD4" w:rsidRPr="005C2A0F">
        <w:rPr>
          <w:lang w:val="en-GB"/>
        </w:rPr>
        <w:t xml:space="preserve"> </w:t>
      </w:r>
      <w:r w:rsidRPr="005C2A0F">
        <w:rPr>
          <w:lang w:val="en-GB"/>
        </w:rPr>
        <w:t xml:space="preserve">A hurdle rate establishes a minimum return </w:t>
      </w:r>
      <w:r w:rsidR="009D4CD4">
        <w:rPr>
          <w:lang w:val="en-GB"/>
        </w:rPr>
        <w:t>(</w:t>
      </w:r>
      <w:r w:rsidRPr="005C2A0F">
        <w:rPr>
          <w:lang w:val="en-GB"/>
        </w:rPr>
        <w:t>e.g.</w:t>
      </w:r>
      <w:r w:rsidR="009D4CD4">
        <w:rPr>
          <w:lang w:val="en-GB"/>
        </w:rPr>
        <w:t>,</w:t>
      </w:r>
      <w:r w:rsidRPr="005C2A0F">
        <w:rPr>
          <w:lang w:val="en-GB"/>
        </w:rPr>
        <w:t xml:space="preserve"> </w:t>
      </w:r>
      <w:r w:rsidR="009D4CD4">
        <w:rPr>
          <w:lang w:val="en-GB"/>
        </w:rPr>
        <w:t xml:space="preserve">the </w:t>
      </w:r>
      <w:r w:rsidRPr="005C2A0F">
        <w:rPr>
          <w:lang w:val="en-GB"/>
        </w:rPr>
        <w:t>federal funds rate plus 200 basis points</w:t>
      </w:r>
      <w:r w:rsidR="009D4CD4">
        <w:rPr>
          <w:lang w:val="en-GB"/>
        </w:rPr>
        <w:t>)</w:t>
      </w:r>
      <w:r w:rsidRPr="005C2A0F">
        <w:rPr>
          <w:lang w:val="en-GB"/>
        </w:rPr>
        <w:t xml:space="preserve"> that the fund must exceed before the performance fee is earned. This rate is usually a benchmark interest rate such as the rate for 5</w:t>
      </w:r>
      <w:r w:rsidR="009D4CD4">
        <w:rPr>
          <w:lang w:val="en-GB"/>
        </w:rPr>
        <w:t>-</w:t>
      </w:r>
      <w:r w:rsidRPr="005C2A0F">
        <w:rPr>
          <w:lang w:val="en-GB"/>
        </w:rPr>
        <w:t xml:space="preserve"> or 10</w:t>
      </w:r>
      <w:r w:rsidR="009D4CD4">
        <w:rPr>
          <w:lang w:val="en-GB"/>
        </w:rPr>
        <w:t>-</w:t>
      </w:r>
      <w:r w:rsidRPr="005C2A0F">
        <w:rPr>
          <w:lang w:val="en-GB"/>
        </w:rPr>
        <w:t>year U</w:t>
      </w:r>
      <w:r w:rsidR="00143644">
        <w:rPr>
          <w:lang w:val="en-GB"/>
        </w:rPr>
        <w:t>.</w:t>
      </w:r>
      <w:r w:rsidRPr="005C2A0F">
        <w:rPr>
          <w:lang w:val="en-GB"/>
        </w:rPr>
        <w:t>S</w:t>
      </w:r>
      <w:r w:rsidR="00143644">
        <w:rPr>
          <w:lang w:val="en-GB"/>
        </w:rPr>
        <w:t>.</w:t>
      </w:r>
      <w:r w:rsidRPr="005C2A0F">
        <w:rPr>
          <w:lang w:val="en-GB"/>
        </w:rPr>
        <w:t xml:space="preserve"> </w:t>
      </w:r>
      <w:r w:rsidR="00143644">
        <w:rPr>
          <w:lang w:val="en-GB"/>
        </w:rPr>
        <w:t>T</w:t>
      </w:r>
      <w:r w:rsidRPr="005C2A0F">
        <w:rPr>
          <w:lang w:val="en-GB"/>
        </w:rPr>
        <w:t>reasur</w:t>
      </w:r>
      <w:r w:rsidR="009D4CD4">
        <w:rPr>
          <w:lang w:val="en-GB"/>
        </w:rPr>
        <w:t>y bills</w:t>
      </w:r>
      <w:r w:rsidRPr="005C2A0F">
        <w:rPr>
          <w:lang w:val="en-GB"/>
        </w:rPr>
        <w:t xml:space="preserve">. The underlying concept is that an investor could earn this </w:t>
      </w:r>
      <w:r w:rsidR="009D4CD4">
        <w:rPr>
          <w:lang w:val="en-GB"/>
        </w:rPr>
        <w:t>rate</w:t>
      </w:r>
      <w:r w:rsidR="009D4CD4" w:rsidRPr="005C2A0F">
        <w:rPr>
          <w:lang w:val="en-GB"/>
        </w:rPr>
        <w:t xml:space="preserve"> </w:t>
      </w:r>
      <w:r w:rsidRPr="005C2A0F">
        <w:rPr>
          <w:lang w:val="en-GB"/>
        </w:rPr>
        <w:t>with relatively low risk</w:t>
      </w:r>
      <w:r w:rsidR="009D4CD4">
        <w:rPr>
          <w:lang w:val="en-GB"/>
        </w:rPr>
        <w:t>,</w:t>
      </w:r>
      <w:r w:rsidRPr="005C2A0F">
        <w:rPr>
          <w:lang w:val="en-GB"/>
        </w:rPr>
        <w:t xml:space="preserve"> and the hurdle rate represents the opportunity cost of investing that money elsewhere. The hurdle rate above is calculated as 5</w:t>
      </w:r>
      <w:r w:rsidR="009D4CD4">
        <w:rPr>
          <w:lang w:val="en-GB"/>
        </w:rPr>
        <w:t xml:space="preserve"> per cent</w:t>
      </w:r>
      <w:r w:rsidRPr="005C2A0F">
        <w:rPr>
          <w:lang w:val="en-GB"/>
        </w:rPr>
        <w:t xml:space="preserve"> of the initial investment ($500</w:t>
      </w:r>
      <w:r w:rsidR="009D4CD4">
        <w:rPr>
          <w:lang w:val="en-GB"/>
        </w:rPr>
        <w:t xml:space="preserve"> </w:t>
      </w:r>
      <w:r w:rsidRPr="005C2A0F">
        <w:rPr>
          <w:lang w:val="en-GB"/>
        </w:rPr>
        <w:t>m</w:t>
      </w:r>
      <w:r w:rsidR="009D4CD4">
        <w:rPr>
          <w:lang w:val="en-GB"/>
        </w:rPr>
        <w:t>illion</w:t>
      </w:r>
      <w:r w:rsidRPr="005C2A0F">
        <w:rPr>
          <w:lang w:val="en-GB"/>
        </w:rPr>
        <w:t>) per year, with no compounding. Given that the fund did not outperform 5</w:t>
      </w:r>
      <w:r w:rsidR="009D4CD4">
        <w:rPr>
          <w:lang w:val="en-GB"/>
        </w:rPr>
        <w:t xml:space="preserve"> per cent</w:t>
      </w:r>
      <w:r w:rsidRPr="005C2A0F">
        <w:rPr>
          <w:lang w:val="en-GB"/>
        </w:rPr>
        <w:t xml:space="preserve"> in </w:t>
      </w:r>
      <w:r w:rsidR="009D4CD4">
        <w:rPr>
          <w:lang w:val="en-GB"/>
        </w:rPr>
        <w:t>y</w:t>
      </w:r>
      <w:r w:rsidRPr="005C2A0F">
        <w:rPr>
          <w:lang w:val="en-GB"/>
        </w:rPr>
        <w:t xml:space="preserve">ear </w:t>
      </w:r>
      <w:r w:rsidR="009D4CD4">
        <w:rPr>
          <w:lang w:val="en-GB"/>
        </w:rPr>
        <w:t>one</w:t>
      </w:r>
      <w:r w:rsidRPr="005C2A0F">
        <w:rPr>
          <w:lang w:val="en-GB"/>
        </w:rPr>
        <w:t>, its performance fee would be $0.</w:t>
      </w:r>
    </w:p>
    <w:p w14:paraId="1457EE3B" w14:textId="09829BBE" w:rsidR="00971CFD" w:rsidRPr="005C2A0F" w:rsidRDefault="002D30C9" w:rsidP="007629AA">
      <w:pPr>
        <w:pStyle w:val="Footnote"/>
        <w:rPr>
          <w:lang w:val="en-GB"/>
        </w:rPr>
      </w:pPr>
      <w:r w:rsidRPr="005C2A0F">
        <w:rPr>
          <w:lang w:val="en-GB"/>
        </w:rPr>
        <w:t>Source:</w:t>
      </w:r>
      <w:r w:rsidR="002D218C" w:rsidRPr="005C2A0F">
        <w:rPr>
          <w:lang w:val="en-GB"/>
        </w:rPr>
        <w:t xml:space="preserve"> Created by the author</w:t>
      </w:r>
      <w:r w:rsidR="00F407C4" w:rsidRPr="005C2A0F">
        <w:rPr>
          <w:lang w:val="en-GB"/>
        </w:rPr>
        <w:t>s</w:t>
      </w:r>
      <w:r w:rsidR="009D4CD4">
        <w:rPr>
          <w:lang w:val="en-GB"/>
        </w:rPr>
        <w:t>.</w:t>
      </w:r>
    </w:p>
    <w:p w14:paraId="16308074" w14:textId="77777777" w:rsidR="00BB1907" w:rsidRDefault="00BB1907" w:rsidP="001C1202">
      <w:pPr>
        <w:pStyle w:val="ExhibitText"/>
        <w:rPr>
          <w:lang w:val="en-GB"/>
        </w:rPr>
      </w:pPr>
    </w:p>
    <w:p w14:paraId="1715FAF8" w14:textId="77777777" w:rsidR="001C1202" w:rsidRDefault="001C1202" w:rsidP="001C1202">
      <w:pPr>
        <w:pStyle w:val="ExhibitText"/>
        <w:rPr>
          <w:lang w:val="en-GB"/>
        </w:rPr>
      </w:pPr>
    </w:p>
    <w:p w14:paraId="2ABC48BB" w14:textId="7416505D" w:rsidR="00BB1907" w:rsidRPr="005C2A0F" w:rsidRDefault="00BB1907" w:rsidP="00BB1907">
      <w:pPr>
        <w:pStyle w:val="ExhibitHeading"/>
        <w:rPr>
          <w:lang w:val="en-GB"/>
        </w:rPr>
      </w:pPr>
      <w:r w:rsidRPr="005C2A0F">
        <w:rPr>
          <w:lang w:val="en-GB"/>
        </w:rPr>
        <w:t xml:space="preserve">EXHIBIT </w:t>
      </w:r>
      <w:r w:rsidR="001C1202">
        <w:rPr>
          <w:lang w:val="en-GB"/>
        </w:rPr>
        <w:t>6</w:t>
      </w:r>
      <w:r w:rsidRPr="005C2A0F">
        <w:rPr>
          <w:lang w:val="en-GB"/>
        </w:rPr>
        <w:t>: F</w:t>
      </w:r>
      <w:r>
        <w:rPr>
          <w:lang w:val="en-GB"/>
        </w:rPr>
        <w:t xml:space="preserve">eehan </w:t>
      </w:r>
      <w:r w:rsidRPr="005C2A0F">
        <w:rPr>
          <w:lang w:val="en-GB"/>
        </w:rPr>
        <w:t>I</w:t>
      </w:r>
      <w:r>
        <w:rPr>
          <w:lang w:val="en-GB"/>
        </w:rPr>
        <w:t xml:space="preserve">nvestment </w:t>
      </w:r>
      <w:r w:rsidRPr="005C2A0F">
        <w:rPr>
          <w:lang w:val="en-GB"/>
        </w:rPr>
        <w:t>M</w:t>
      </w:r>
      <w:r>
        <w:rPr>
          <w:lang w:val="en-GB"/>
        </w:rPr>
        <w:t>anagement</w:t>
      </w:r>
      <w:r w:rsidRPr="005C2A0F">
        <w:rPr>
          <w:lang w:val="en-GB"/>
        </w:rPr>
        <w:t>’s Potential Liquid Alternative Term Sheet</w:t>
      </w:r>
    </w:p>
    <w:p w14:paraId="143F0142" w14:textId="77777777" w:rsidR="00BB1907" w:rsidRPr="005C2A0F" w:rsidRDefault="00BB1907" w:rsidP="00BB1907">
      <w:pPr>
        <w:pStyle w:val="ExhibitText"/>
        <w:rPr>
          <w:lang w:val="en-GB"/>
        </w:rPr>
      </w:pPr>
    </w:p>
    <w:tbl>
      <w:tblPr>
        <w:tblW w:w="79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40"/>
        <w:gridCol w:w="1688"/>
        <w:gridCol w:w="1552"/>
      </w:tblGrid>
      <w:tr w:rsidR="00BB1907" w:rsidRPr="005C2A0F" w14:paraId="5941B252" w14:textId="77777777" w:rsidTr="00641CFF">
        <w:trPr>
          <w:trHeight w:val="265"/>
        </w:trPr>
        <w:tc>
          <w:tcPr>
            <w:tcW w:w="2340" w:type="dxa"/>
            <w:shd w:val="clear" w:color="auto" w:fill="auto"/>
            <w:noWrap/>
            <w:hideMark/>
          </w:tcPr>
          <w:p w14:paraId="501FF3DA" w14:textId="77777777" w:rsidR="00BB1907" w:rsidRPr="005C2A0F" w:rsidRDefault="00BB1907" w:rsidP="00A138CD">
            <w:pPr>
              <w:pStyle w:val="ExhibitText"/>
              <w:rPr>
                <w:b/>
                <w:lang w:val="en-GB"/>
              </w:rPr>
            </w:pPr>
            <w:r w:rsidRPr="005C2A0F">
              <w:rPr>
                <w:b/>
                <w:lang w:val="en-GB"/>
              </w:rPr>
              <w:t>Anticipated AUM</w:t>
            </w:r>
          </w:p>
        </w:tc>
        <w:tc>
          <w:tcPr>
            <w:tcW w:w="2340" w:type="dxa"/>
            <w:shd w:val="clear" w:color="auto" w:fill="auto"/>
            <w:noWrap/>
            <w:hideMark/>
          </w:tcPr>
          <w:p w14:paraId="74DAD8D8" w14:textId="77777777" w:rsidR="00BB1907" w:rsidRPr="005C2A0F" w:rsidRDefault="00BB1907" w:rsidP="00531FFA">
            <w:pPr>
              <w:pStyle w:val="ExhibitText"/>
              <w:tabs>
                <w:tab w:val="decimal" w:pos="1872"/>
              </w:tabs>
              <w:rPr>
                <w:lang w:val="en-GB"/>
              </w:rPr>
            </w:pPr>
            <w:r w:rsidRPr="005C2A0F">
              <w:rPr>
                <w:lang w:val="en-GB"/>
              </w:rPr>
              <w:t xml:space="preserve">$1,000,000,000 </w:t>
            </w:r>
          </w:p>
        </w:tc>
        <w:tc>
          <w:tcPr>
            <w:tcW w:w="1688" w:type="dxa"/>
            <w:shd w:val="clear" w:color="auto" w:fill="auto"/>
            <w:noWrap/>
            <w:hideMark/>
          </w:tcPr>
          <w:p w14:paraId="0ABDD0D5" w14:textId="77777777" w:rsidR="00BB1907" w:rsidRPr="005C2A0F" w:rsidRDefault="00BB1907" w:rsidP="00A138CD">
            <w:pPr>
              <w:pStyle w:val="ExhibitText"/>
              <w:rPr>
                <w:lang w:val="en-GB"/>
              </w:rPr>
            </w:pPr>
            <w:r w:rsidRPr="005C2A0F">
              <w:rPr>
                <w:lang w:val="en-GB"/>
              </w:rPr>
              <w:t> </w:t>
            </w:r>
          </w:p>
        </w:tc>
        <w:tc>
          <w:tcPr>
            <w:tcW w:w="1552" w:type="dxa"/>
            <w:shd w:val="clear" w:color="auto" w:fill="auto"/>
            <w:noWrap/>
            <w:hideMark/>
          </w:tcPr>
          <w:p w14:paraId="2F012052" w14:textId="77777777" w:rsidR="00BB1907" w:rsidRPr="005C2A0F" w:rsidRDefault="00BB1907" w:rsidP="00A138CD">
            <w:pPr>
              <w:pStyle w:val="ExhibitText"/>
              <w:rPr>
                <w:lang w:val="en-GB"/>
              </w:rPr>
            </w:pPr>
            <w:r w:rsidRPr="005C2A0F">
              <w:rPr>
                <w:lang w:val="en-GB"/>
              </w:rPr>
              <w:t> </w:t>
            </w:r>
          </w:p>
        </w:tc>
      </w:tr>
      <w:tr w:rsidR="00BB1907" w:rsidRPr="005C2A0F" w14:paraId="4F0FEDAB" w14:textId="77777777" w:rsidTr="00641CFF">
        <w:trPr>
          <w:trHeight w:val="250"/>
        </w:trPr>
        <w:tc>
          <w:tcPr>
            <w:tcW w:w="2340" w:type="dxa"/>
            <w:shd w:val="clear" w:color="auto" w:fill="auto"/>
            <w:noWrap/>
            <w:hideMark/>
          </w:tcPr>
          <w:p w14:paraId="4862C709" w14:textId="77777777" w:rsidR="00BB1907" w:rsidRPr="005C2A0F" w:rsidRDefault="00BB1907" w:rsidP="00A138CD">
            <w:pPr>
              <w:pStyle w:val="ExhibitText"/>
              <w:rPr>
                <w:b/>
                <w:lang w:val="en-GB"/>
              </w:rPr>
            </w:pPr>
            <w:r w:rsidRPr="005C2A0F">
              <w:rPr>
                <w:b/>
                <w:lang w:val="en-GB"/>
              </w:rPr>
              <w:t>Minimum Investment</w:t>
            </w:r>
          </w:p>
        </w:tc>
        <w:tc>
          <w:tcPr>
            <w:tcW w:w="2340" w:type="dxa"/>
            <w:shd w:val="clear" w:color="auto" w:fill="auto"/>
            <w:noWrap/>
            <w:hideMark/>
          </w:tcPr>
          <w:p w14:paraId="107A768B" w14:textId="77777777" w:rsidR="00BB1907" w:rsidRPr="005C2A0F" w:rsidRDefault="00BB1907" w:rsidP="00531FFA">
            <w:pPr>
              <w:pStyle w:val="ExhibitText"/>
              <w:tabs>
                <w:tab w:val="decimal" w:pos="1872"/>
              </w:tabs>
              <w:rPr>
                <w:lang w:val="en-GB"/>
              </w:rPr>
            </w:pPr>
            <w:r w:rsidRPr="005C2A0F">
              <w:rPr>
                <w:lang w:val="en-GB"/>
              </w:rPr>
              <w:t xml:space="preserve">$1,000 </w:t>
            </w:r>
          </w:p>
        </w:tc>
        <w:tc>
          <w:tcPr>
            <w:tcW w:w="1688" w:type="dxa"/>
            <w:shd w:val="clear" w:color="auto" w:fill="auto"/>
            <w:noWrap/>
            <w:hideMark/>
          </w:tcPr>
          <w:p w14:paraId="452276E8" w14:textId="77777777" w:rsidR="00BB1907" w:rsidRPr="005C2A0F" w:rsidRDefault="00BB1907" w:rsidP="00A138CD">
            <w:pPr>
              <w:pStyle w:val="ExhibitText"/>
              <w:rPr>
                <w:b/>
                <w:lang w:val="en-GB"/>
              </w:rPr>
            </w:pPr>
            <w:r w:rsidRPr="005C2A0F">
              <w:rPr>
                <w:b/>
                <w:lang w:val="en-GB"/>
              </w:rPr>
              <w:t>Legal Counsel</w:t>
            </w:r>
          </w:p>
        </w:tc>
        <w:tc>
          <w:tcPr>
            <w:tcW w:w="1552" w:type="dxa"/>
            <w:shd w:val="clear" w:color="auto" w:fill="auto"/>
            <w:noWrap/>
            <w:hideMark/>
          </w:tcPr>
          <w:p w14:paraId="563875E6" w14:textId="77777777" w:rsidR="00BB1907" w:rsidRPr="005C2A0F" w:rsidRDefault="00BB1907" w:rsidP="00531FFA">
            <w:pPr>
              <w:pStyle w:val="ExhibitText"/>
              <w:jc w:val="center"/>
              <w:rPr>
                <w:lang w:val="en-GB"/>
              </w:rPr>
            </w:pPr>
            <w:r w:rsidRPr="005C2A0F">
              <w:rPr>
                <w:lang w:val="en-GB"/>
              </w:rPr>
              <w:t>TBD</w:t>
            </w:r>
          </w:p>
        </w:tc>
      </w:tr>
      <w:tr w:rsidR="00BB1907" w:rsidRPr="005C2A0F" w14:paraId="44910A74" w14:textId="77777777" w:rsidTr="00641CFF">
        <w:trPr>
          <w:trHeight w:val="250"/>
        </w:trPr>
        <w:tc>
          <w:tcPr>
            <w:tcW w:w="2340" w:type="dxa"/>
            <w:shd w:val="clear" w:color="auto" w:fill="auto"/>
            <w:noWrap/>
            <w:hideMark/>
          </w:tcPr>
          <w:p w14:paraId="311D8F4A" w14:textId="77777777" w:rsidR="00BB1907" w:rsidRPr="005C2A0F" w:rsidRDefault="00BB1907" w:rsidP="00A138CD">
            <w:pPr>
              <w:pStyle w:val="ExhibitText"/>
              <w:rPr>
                <w:b/>
                <w:lang w:val="en-GB"/>
              </w:rPr>
            </w:pPr>
            <w:r w:rsidRPr="005C2A0F">
              <w:rPr>
                <w:b/>
                <w:lang w:val="en-GB"/>
              </w:rPr>
              <w:t>Management Fee</w:t>
            </w:r>
          </w:p>
        </w:tc>
        <w:tc>
          <w:tcPr>
            <w:tcW w:w="2340" w:type="dxa"/>
            <w:shd w:val="clear" w:color="auto" w:fill="auto"/>
            <w:noWrap/>
            <w:hideMark/>
          </w:tcPr>
          <w:p w14:paraId="560EDF60" w14:textId="77777777" w:rsidR="00BB1907" w:rsidRPr="005C2A0F" w:rsidRDefault="00BB1907" w:rsidP="00A138CD">
            <w:pPr>
              <w:pStyle w:val="ExhibitText"/>
              <w:rPr>
                <w:lang w:val="en-GB"/>
              </w:rPr>
            </w:pPr>
            <w:r w:rsidRPr="005C2A0F">
              <w:rPr>
                <w:lang w:val="en-GB"/>
              </w:rPr>
              <w:t>1% per annum</w:t>
            </w:r>
          </w:p>
        </w:tc>
        <w:tc>
          <w:tcPr>
            <w:tcW w:w="1688" w:type="dxa"/>
            <w:shd w:val="clear" w:color="auto" w:fill="auto"/>
            <w:noWrap/>
            <w:hideMark/>
          </w:tcPr>
          <w:p w14:paraId="139C4962" w14:textId="77777777" w:rsidR="00BB1907" w:rsidRPr="005C2A0F" w:rsidRDefault="00BB1907" w:rsidP="00A138CD">
            <w:pPr>
              <w:pStyle w:val="ExhibitText"/>
              <w:rPr>
                <w:b/>
                <w:lang w:val="en-GB"/>
              </w:rPr>
            </w:pPr>
            <w:r w:rsidRPr="005C2A0F">
              <w:rPr>
                <w:b/>
                <w:lang w:val="en-GB"/>
              </w:rPr>
              <w:t>Custodian</w:t>
            </w:r>
          </w:p>
        </w:tc>
        <w:tc>
          <w:tcPr>
            <w:tcW w:w="1552" w:type="dxa"/>
            <w:shd w:val="clear" w:color="auto" w:fill="auto"/>
            <w:noWrap/>
            <w:hideMark/>
          </w:tcPr>
          <w:p w14:paraId="6DB7F078" w14:textId="77777777" w:rsidR="00BB1907" w:rsidRPr="005C2A0F" w:rsidRDefault="00BB1907" w:rsidP="00531FFA">
            <w:pPr>
              <w:pStyle w:val="ExhibitText"/>
              <w:jc w:val="center"/>
              <w:rPr>
                <w:lang w:val="en-GB"/>
              </w:rPr>
            </w:pPr>
            <w:r w:rsidRPr="005C2A0F">
              <w:rPr>
                <w:lang w:val="en-GB"/>
              </w:rPr>
              <w:t>TBD</w:t>
            </w:r>
          </w:p>
        </w:tc>
      </w:tr>
      <w:tr w:rsidR="00BB1907" w:rsidRPr="005C2A0F" w14:paraId="3812B23D" w14:textId="77777777" w:rsidTr="00641CFF">
        <w:trPr>
          <w:trHeight w:val="250"/>
        </w:trPr>
        <w:tc>
          <w:tcPr>
            <w:tcW w:w="2340" w:type="dxa"/>
            <w:shd w:val="clear" w:color="auto" w:fill="auto"/>
            <w:noWrap/>
            <w:hideMark/>
          </w:tcPr>
          <w:p w14:paraId="0B4ADC7C" w14:textId="77777777" w:rsidR="00BB1907" w:rsidRPr="005C2A0F" w:rsidRDefault="00BB1907" w:rsidP="00A138CD">
            <w:pPr>
              <w:pStyle w:val="ExhibitText"/>
              <w:rPr>
                <w:b/>
                <w:lang w:val="en-GB"/>
              </w:rPr>
            </w:pPr>
            <w:r w:rsidRPr="005C2A0F">
              <w:rPr>
                <w:b/>
                <w:lang w:val="en-GB"/>
              </w:rPr>
              <w:t>Performance Fee</w:t>
            </w:r>
          </w:p>
        </w:tc>
        <w:tc>
          <w:tcPr>
            <w:tcW w:w="2340" w:type="dxa"/>
            <w:shd w:val="clear" w:color="auto" w:fill="auto"/>
            <w:noWrap/>
            <w:hideMark/>
          </w:tcPr>
          <w:p w14:paraId="51F93A71" w14:textId="77777777" w:rsidR="00BB1907" w:rsidRPr="005C2A0F" w:rsidRDefault="00BB1907" w:rsidP="00A138CD">
            <w:pPr>
              <w:pStyle w:val="ExhibitText"/>
              <w:rPr>
                <w:lang w:val="en-GB"/>
              </w:rPr>
            </w:pPr>
            <w:r w:rsidRPr="005C2A0F">
              <w:rPr>
                <w:lang w:val="en-GB"/>
              </w:rPr>
              <w:t>None</w:t>
            </w:r>
          </w:p>
        </w:tc>
        <w:tc>
          <w:tcPr>
            <w:tcW w:w="1688" w:type="dxa"/>
            <w:shd w:val="clear" w:color="auto" w:fill="auto"/>
            <w:noWrap/>
            <w:hideMark/>
          </w:tcPr>
          <w:p w14:paraId="6143E022" w14:textId="77777777" w:rsidR="00BB1907" w:rsidRPr="005C2A0F" w:rsidRDefault="00BB1907" w:rsidP="00A138CD">
            <w:pPr>
              <w:pStyle w:val="ExhibitText"/>
              <w:rPr>
                <w:b/>
                <w:lang w:val="en-GB"/>
              </w:rPr>
            </w:pPr>
            <w:r w:rsidRPr="005C2A0F">
              <w:rPr>
                <w:b/>
                <w:lang w:val="en-GB"/>
              </w:rPr>
              <w:t>Administrator</w:t>
            </w:r>
          </w:p>
        </w:tc>
        <w:tc>
          <w:tcPr>
            <w:tcW w:w="1552" w:type="dxa"/>
            <w:shd w:val="clear" w:color="auto" w:fill="auto"/>
            <w:noWrap/>
            <w:hideMark/>
          </w:tcPr>
          <w:p w14:paraId="03FA6573" w14:textId="77777777" w:rsidR="00BB1907" w:rsidRPr="005C2A0F" w:rsidRDefault="00BB1907" w:rsidP="00531FFA">
            <w:pPr>
              <w:pStyle w:val="ExhibitText"/>
              <w:jc w:val="center"/>
              <w:rPr>
                <w:lang w:val="en-GB"/>
              </w:rPr>
            </w:pPr>
            <w:r w:rsidRPr="005C2A0F">
              <w:rPr>
                <w:lang w:val="en-GB"/>
              </w:rPr>
              <w:t>TBD</w:t>
            </w:r>
          </w:p>
        </w:tc>
      </w:tr>
      <w:tr w:rsidR="00BB1907" w:rsidRPr="005C2A0F" w14:paraId="4156C6BA" w14:textId="77777777" w:rsidTr="00641CFF">
        <w:trPr>
          <w:trHeight w:val="250"/>
        </w:trPr>
        <w:tc>
          <w:tcPr>
            <w:tcW w:w="2340" w:type="dxa"/>
            <w:shd w:val="clear" w:color="auto" w:fill="auto"/>
            <w:noWrap/>
            <w:hideMark/>
          </w:tcPr>
          <w:p w14:paraId="404C903F" w14:textId="77777777" w:rsidR="00BB1907" w:rsidRPr="005C2A0F" w:rsidRDefault="00BB1907" w:rsidP="00A138CD">
            <w:pPr>
              <w:pStyle w:val="ExhibitText"/>
              <w:rPr>
                <w:b/>
                <w:lang w:val="en-GB"/>
              </w:rPr>
            </w:pPr>
            <w:r w:rsidRPr="005C2A0F">
              <w:rPr>
                <w:b/>
                <w:lang w:val="en-GB"/>
              </w:rPr>
              <w:t>Subscriptions</w:t>
            </w:r>
          </w:p>
        </w:tc>
        <w:tc>
          <w:tcPr>
            <w:tcW w:w="2340" w:type="dxa"/>
            <w:shd w:val="clear" w:color="auto" w:fill="auto"/>
            <w:noWrap/>
            <w:hideMark/>
          </w:tcPr>
          <w:p w14:paraId="5446A2AB" w14:textId="77777777" w:rsidR="00BB1907" w:rsidRPr="005C2A0F" w:rsidRDefault="00BB1907" w:rsidP="00A138CD">
            <w:pPr>
              <w:pStyle w:val="ExhibitText"/>
              <w:rPr>
                <w:lang w:val="en-GB"/>
              </w:rPr>
            </w:pPr>
            <w:r w:rsidRPr="005C2A0F">
              <w:rPr>
                <w:lang w:val="en-GB"/>
              </w:rPr>
              <w:t>Daily</w:t>
            </w:r>
          </w:p>
        </w:tc>
        <w:tc>
          <w:tcPr>
            <w:tcW w:w="1688" w:type="dxa"/>
            <w:shd w:val="clear" w:color="auto" w:fill="auto"/>
            <w:noWrap/>
            <w:hideMark/>
          </w:tcPr>
          <w:p w14:paraId="34DB5589" w14:textId="77777777" w:rsidR="00BB1907" w:rsidRPr="005C2A0F" w:rsidRDefault="00BB1907" w:rsidP="00A138CD">
            <w:pPr>
              <w:pStyle w:val="ExhibitText"/>
              <w:rPr>
                <w:b/>
                <w:lang w:val="en-GB"/>
              </w:rPr>
            </w:pPr>
            <w:r w:rsidRPr="005C2A0F">
              <w:rPr>
                <w:b/>
                <w:lang w:val="en-GB"/>
              </w:rPr>
              <w:t>Auditor</w:t>
            </w:r>
          </w:p>
        </w:tc>
        <w:tc>
          <w:tcPr>
            <w:tcW w:w="1552" w:type="dxa"/>
            <w:shd w:val="clear" w:color="auto" w:fill="auto"/>
            <w:noWrap/>
            <w:hideMark/>
          </w:tcPr>
          <w:p w14:paraId="5D6D3352" w14:textId="77777777" w:rsidR="00BB1907" w:rsidRPr="005C2A0F" w:rsidRDefault="00BB1907" w:rsidP="00531FFA">
            <w:pPr>
              <w:pStyle w:val="ExhibitText"/>
              <w:jc w:val="center"/>
              <w:rPr>
                <w:lang w:val="en-GB"/>
              </w:rPr>
            </w:pPr>
            <w:r w:rsidRPr="005C2A0F">
              <w:rPr>
                <w:lang w:val="en-GB"/>
              </w:rPr>
              <w:t>TBD</w:t>
            </w:r>
          </w:p>
        </w:tc>
      </w:tr>
      <w:tr w:rsidR="00BB1907" w:rsidRPr="005C2A0F" w14:paraId="269189DE" w14:textId="77777777" w:rsidTr="00641CFF">
        <w:trPr>
          <w:trHeight w:val="179"/>
        </w:trPr>
        <w:tc>
          <w:tcPr>
            <w:tcW w:w="2340" w:type="dxa"/>
            <w:shd w:val="clear" w:color="auto" w:fill="auto"/>
            <w:noWrap/>
            <w:hideMark/>
          </w:tcPr>
          <w:p w14:paraId="1B1D7F49" w14:textId="24943AD0" w:rsidR="00BB1907" w:rsidRPr="005C2A0F" w:rsidRDefault="00BB1907" w:rsidP="00641CFF">
            <w:pPr>
              <w:pStyle w:val="ExhibitText"/>
              <w:rPr>
                <w:b/>
                <w:lang w:val="en-GB"/>
              </w:rPr>
            </w:pPr>
            <w:r w:rsidRPr="005C2A0F">
              <w:rPr>
                <w:b/>
                <w:lang w:val="en-GB"/>
              </w:rPr>
              <w:t>Redemptions</w:t>
            </w:r>
          </w:p>
        </w:tc>
        <w:tc>
          <w:tcPr>
            <w:tcW w:w="2340" w:type="dxa"/>
            <w:shd w:val="clear" w:color="auto" w:fill="auto"/>
            <w:noWrap/>
            <w:hideMark/>
          </w:tcPr>
          <w:p w14:paraId="48F7DE83" w14:textId="7FA228CF" w:rsidR="00BB1907" w:rsidRPr="005C2A0F" w:rsidRDefault="00BB1907" w:rsidP="00641CFF">
            <w:pPr>
              <w:pStyle w:val="ExhibitText"/>
              <w:rPr>
                <w:lang w:val="en-GB"/>
              </w:rPr>
            </w:pPr>
            <w:r w:rsidRPr="005C2A0F">
              <w:rPr>
                <w:lang w:val="en-GB"/>
              </w:rPr>
              <w:t>Daily</w:t>
            </w:r>
          </w:p>
        </w:tc>
        <w:tc>
          <w:tcPr>
            <w:tcW w:w="1688" w:type="dxa"/>
            <w:shd w:val="clear" w:color="auto" w:fill="auto"/>
            <w:noWrap/>
            <w:hideMark/>
          </w:tcPr>
          <w:p w14:paraId="34F6FBE4" w14:textId="172B3FEE" w:rsidR="00BB1907" w:rsidRPr="005C2A0F" w:rsidRDefault="00BB1907" w:rsidP="00641CFF">
            <w:pPr>
              <w:pStyle w:val="ExhibitText"/>
              <w:rPr>
                <w:b/>
                <w:lang w:val="en-GB"/>
              </w:rPr>
            </w:pPr>
            <w:r w:rsidRPr="005C2A0F">
              <w:rPr>
                <w:b/>
                <w:lang w:val="en-GB"/>
              </w:rPr>
              <w:t>Vehicle</w:t>
            </w:r>
          </w:p>
        </w:tc>
        <w:tc>
          <w:tcPr>
            <w:tcW w:w="1552" w:type="dxa"/>
            <w:shd w:val="clear" w:color="auto" w:fill="auto"/>
            <w:noWrap/>
            <w:hideMark/>
          </w:tcPr>
          <w:p w14:paraId="022A29C8" w14:textId="51A30F13" w:rsidR="00BB1907" w:rsidRPr="00531FFA" w:rsidRDefault="00143644" w:rsidP="00531FFA">
            <w:pPr>
              <w:pStyle w:val="ExhibitText"/>
              <w:jc w:val="left"/>
              <w:rPr>
                <w:i/>
                <w:lang w:val="en-GB"/>
              </w:rPr>
            </w:pPr>
            <w:r>
              <w:rPr>
                <w:i/>
                <w:lang w:val="en-GB"/>
              </w:rPr>
              <w:t>19</w:t>
            </w:r>
            <w:r w:rsidR="00BB1907" w:rsidRPr="00531FFA">
              <w:rPr>
                <w:i/>
                <w:lang w:val="en-GB"/>
              </w:rPr>
              <w:t xml:space="preserve">40 Act </w:t>
            </w:r>
            <w:r w:rsidR="00BB1907">
              <w:rPr>
                <w:lang w:val="en-GB"/>
              </w:rPr>
              <w:t>f</w:t>
            </w:r>
            <w:r w:rsidR="00BB1907" w:rsidRPr="009D4CD4">
              <w:rPr>
                <w:lang w:val="en-GB"/>
              </w:rPr>
              <w:t>und</w:t>
            </w:r>
          </w:p>
        </w:tc>
      </w:tr>
      <w:tr w:rsidR="00BB1907" w:rsidRPr="005C2A0F" w14:paraId="3FF5922E" w14:textId="77777777" w:rsidTr="00641CFF">
        <w:trPr>
          <w:trHeight w:val="250"/>
        </w:trPr>
        <w:tc>
          <w:tcPr>
            <w:tcW w:w="7920" w:type="dxa"/>
            <w:gridSpan w:val="4"/>
            <w:shd w:val="clear" w:color="auto" w:fill="auto"/>
            <w:noWrap/>
            <w:hideMark/>
          </w:tcPr>
          <w:p w14:paraId="3862C392" w14:textId="77863313" w:rsidR="00BB1907" w:rsidRPr="005C2A0F" w:rsidRDefault="00BB1907" w:rsidP="00A138CD">
            <w:pPr>
              <w:pStyle w:val="ExhibitText"/>
              <w:rPr>
                <w:lang w:val="en-GB"/>
              </w:rPr>
            </w:pPr>
            <w:r w:rsidRPr="005C2A0F">
              <w:rPr>
                <w:b/>
                <w:lang w:val="en-GB"/>
              </w:rPr>
              <w:t>Marketing Strategy:</w:t>
            </w:r>
            <w:r w:rsidRPr="005C2A0F">
              <w:rPr>
                <w:lang w:val="en-GB"/>
              </w:rPr>
              <w:t xml:space="preserve"> Leverage existing investor base. FIM</w:t>
            </w:r>
            <w:r w:rsidR="00143644">
              <w:rPr>
                <w:lang w:val="en-GB"/>
              </w:rPr>
              <w:t>’</w:t>
            </w:r>
            <w:r w:rsidRPr="005C2A0F">
              <w:rPr>
                <w:lang w:val="en-GB"/>
              </w:rPr>
              <w:t>s existing investor base is made up of 80% retail investors that are looking for diversification and alternative investments, marketing channels already in place.</w:t>
            </w:r>
          </w:p>
        </w:tc>
      </w:tr>
    </w:tbl>
    <w:p w14:paraId="4AF5B5E4" w14:textId="77777777" w:rsidR="00BB1907" w:rsidRDefault="00BB1907" w:rsidP="00BB1907">
      <w:pPr>
        <w:pStyle w:val="Footnote"/>
        <w:rPr>
          <w:lang w:val="en-GB"/>
        </w:rPr>
      </w:pPr>
    </w:p>
    <w:p w14:paraId="4F4FDB19" w14:textId="43BD1597" w:rsidR="00BB1907" w:rsidRPr="005C2A0F" w:rsidRDefault="00BB1907" w:rsidP="00531FFA">
      <w:pPr>
        <w:pStyle w:val="Footnote"/>
        <w:rPr>
          <w:lang w:val="en-GB"/>
        </w:rPr>
      </w:pPr>
      <w:r>
        <w:rPr>
          <w:lang w:val="en-GB"/>
        </w:rPr>
        <w:t xml:space="preserve">Note: AUM = assets under management; TBD = to be determined; FIM = </w:t>
      </w:r>
      <w:proofErr w:type="spellStart"/>
      <w:r>
        <w:rPr>
          <w:lang w:val="en-GB"/>
        </w:rPr>
        <w:t>Feehan</w:t>
      </w:r>
      <w:proofErr w:type="spellEnd"/>
      <w:r>
        <w:rPr>
          <w:lang w:val="en-GB"/>
        </w:rPr>
        <w:t xml:space="preserve"> Investment Management</w:t>
      </w:r>
      <w:r w:rsidR="00143644">
        <w:rPr>
          <w:lang w:val="en-GB"/>
        </w:rPr>
        <w:t>;</w:t>
      </w:r>
      <w:r>
        <w:rPr>
          <w:lang w:val="en-GB"/>
        </w:rPr>
        <w:t xml:space="preserve"> </w:t>
      </w:r>
      <w:r w:rsidR="00143644">
        <w:rPr>
          <w:i/>
          <w:lang w:val="en-GB"/>
        </w:rPr>
        <w:t>19</w:t>
      </w:r>
      <w:r w:rsidRPr="00531FFA">
        <w:rPr>
          <w:i/>
          <w:lang w:val="en-GB"/>
        </w:rPr>
        <w:t>40 Act</w:t>
      </w:r>
      <w:r>
        <w:rPr>
          <w:lang w:val="en-GB"/>
        </w:rPr>
        <w:t xml:space="preserve"> = </w:t>
      </w:r>
      <w:r w:rsidRPr="00531FFA">
        <w:rPr>
          <w:i/>
          <w:lang w:val="en-GB"/>
        </w:rPr>
        <w:t>Investment Company Act of 1940</w:t>
      </w:r>
    </w:p>
    <w:p w14:paraId="45951DCE" w14:textId="77777777" w:rsidR="00BB1907" w:rsidRPr="005C2A0F" w:rsidRDefault="00BB1907" w:rsidP="00BB1907">
      <w:pPr>
        <w:pStyle w:val="Footnote"/>
        <w:rPr>
          <w:lang w:val="en-GB"/>
        </w:rPr>
      </w:pPr>
      <w:r w:rsidRPr="005C2A0F">
        <w:rPr>
          <w:lang w:val="en-GB"/>
        </w:rPr>
        <w:t>Source: Created by the authors</w:t>
      </w:r>
      <w:r>
        <w:rPr>
          <w:lang w:val="en-GB"/>
        </w:rPr>
        <w:t>.</w:t>
      </w:r>
    </w:p>
    <w:p w14:paraId="65BBA1EC" w14:textId="67384E7F" w:rsidR="00151AD0" w:rsidRDefault="00151AD0" w:rsidP="002A45A5">
      <w:pPr>
        <w:pStyle w:val="ExhibitText"/>
        <w:rPr>
          <w:lang w:val="en-GB"/>
        </w:rPr>
      </w:pPr>
    </w:p>
    <w:p w14:paraId="762841DD" w14:textId="77777777" w:rsidR="001C1202" w:rsidRDefault="001C1202" w:rsidP="002A45A5">
      <w:pPr>
        <w:pStyle w:val="ExhibitText"/>
        <w:rPr>
          <w:lang w:val="en-GB"/>
        </w:rPr>
      </w:pPr>
    </w:p>
    <w:p w14:paraId="3A4DBB5A" w14:textId="6A324889" w:rsidR="002D218C" w:rsidRPr="005C2A0F" w:rsidRDefault="002D218C" w:rsidP="002D30C9">
      <w:pPr>
        <w:pStyle w:val="ExhibitHeading"/>
        <w:rPr>
          <w:lang w:val="en-GB"/>
        </w:rPr>
      </w:pPr>
      <w:r w:rsidRPr="005C2A0F">
        <w:rPr>
          <w:lang w:val="en-GB"/>
        </w:rPr>
        <w:t xml:space="preserve">EXHIBIT </w:t>
      </w:r>
      <w:r w:rsidR="00151AD0">
        <w:rPr>
          <w:lang w:val="en-GB"/>
        </w:rPr>
        <w:t>7</w:t>
      </w:r>
      <w:r w:rsidR="00BB1907">
        <w:rPr>
          <w:lang w:val="en-GB"/>
        </w:rPr>
        <w:t>A</w:t>
      </w:r>
      <w:r w:rsidR="009A52F8" w:rsidRPr="005C2A0F">
        <w:rPr>
          <w:lang w:val="en-GB"/>
        </w:rPr>
        <w:t>:</w:t>
      </w:r>
      <w:r w:rsidRPr="005C2A0F">
        <w:rPr>
          <w:lang w:val="en-GB"/>
        </w:rPr>
        <w:t xml:space="preserve"> Revenues for each fund type based on Projected Assets</w:t>
      </w:r>
      <w:r w:rsidR="00B40247">
        <w:rPr>
          <w:lang w:val="en-GB"/>
        </w:rPr>
        <w:t xml:space="preserve"> under management,</w:t>
      </w:r>
      <w:r w:rsidRPr="005C2A0F">
        <w:rPr>
          <w:lang w:val="en-GB"/>
        </w:rPr>
        <w:t xml:space="preserve"> </w:t>
      </w:r>
      <w:r w:rsidR="007872EC">
        <w:rPr>
          <w:lang w:val="en-GB"/>
        </w:rPr>
        <w:t xml:space="preserve">the </w:t>
      </w:r>
      <w:r w:rsidRPr="005C2A0F">
        <w:rPr>
          <w:lang w:val="en-GB"/>
        </w:rPr>
        <w:t>Management Fee</w:t>
      </w:r>
      <w:r w:rsidR="00B40247">
        <w:rPr>
          <w:lang w:val="en-GB"/>
        </w:rPr>
        <w:t>,</w:t>
      </w:r>
      <w:r w:rsidRPr="005C2A0F">
        <w:rPr>
          <w:lang w:val="en-GB"/>
        </w:rPr>
        <w:t xml:space="preserve"> </w:t>
      </w:r>
      <w:r w:rsidR="00B40247">
        <w:rPr>
          <w:lang w:val="en-GB"/>
        </w:rPr>
        <w:t>and</w:t>
      </w:r>
      <w:r w:rsidR="00B40247" w:rsidRPr="005C2A0F">
        <w:rPr>
          <w:lang w:val="en-GB"/>
        </w:rPr>
        <w:t xml:space="preserve"> </w:t>
      </w:r>
      <w:r w:rsidR="007872EC">
        <w:rPr>
          <w:lang w:val="en-GB"/>
        </w:rPr>
        <w:t xml:space="preserve">the </w:t>
      </w:r>
      <w:r w:rsidRPr="005C2A0F">
        <w:rPr>
          <w:lang w:val="en-GB"/>
        </w:rPr>
        <w:t>Performance Fee</w:t>
      </w:r>
    </w:p>
    <w:p w14:paraId="5319502C" w14:textId="77777777" w:rsidR="002D218C" w:rsidRPr="005C2A0F" w:rsidRDefault="002D218C" w:rsidP="00641CFF">
      <w:pPr>
        <w:pStyle w:val="ExhibitText"/>
        <w:rPr>
          <w:lang w:val="en-GB"/>
        </w:rPr>
      </w:pPr>
      <w:bookmarkStart w:id="0" w:name="_GoBack"/>
      <w:bookmarkEnd w:id="0"/>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618"/>
        <w:gridCol w:w="1709"/>
        <w:gridCol w:w="1710"/>
        <w:gridCol w:w="540"/>
        <w:gridCol w:w="1620"/>
      </w:tblGrid>
      <w:tr w:rsidR="002D218C" w:rsidRPr="005C2A0F" w14:paraId="1DC7A918" w14:textId="77777777" w:rsidTr="007E1E44">
        <w:trPr>
          <w:trHeight w:val="225"/>
          <w:jc w:val="center"/>
        </w:trPr>
        <w:tc>
          <w:tcPr>
            <w:tcW w:w="4945" w:type="dxa"/>
            <w:gridSpan w:val="3"/>
            <w:shd w:val="clear" w:color="auto" w:fill="auto"/>
          </w:tcPr>
          <w:p w14:paraId="764806E9" w14:textId="77777777" w:rsidR="002D218C" w:rsidRPr="001C1202" w:rsidRDefault="002D218C" w:rsidP="00641CFF">
            <w:pPr>
              <w:pStyle w:val="ExhibitText"/>
              <w:jc w:val="center"/>
              <w:rPr>
                <w:b/>
                <w:sz w:val="18"/>
                <w:lang w:val="en-GB"/>
              </w:rPr>
            </w:pPr>
            <w:r w:rsidRPr="001C1202">
              <w:rPr>
                <w:b/>
                <w:sz w:val="18"/>
                <w:lang w:val="en-GB"/>
              </w:rPr>
              <w:t>Hedge Fund</w:t>
            </w:r>
          </w:p>
        </w:tc>
        <w:tc>
          <w:tcPr>
            <w:tcW w:w="3870" w:type="dxa"/>
            <w:gridSpan w:val="3"/>
            <w:shd w:val="clear" w:color="auto" w:fill="auto"/>
          </w:tcPr>
          <w:p w14:paraId="443E1C12" w14:textId="77777777" w:rsidR="002D218C" w:rsidRPr="001C1202" w:rsidRDefault="002D218C" w:rsidP="00641CFF">
            <w:pPr>
              <w:pStyle w:val="ExhibitText"/>
              <w:jc w:val="center"/>
              <w:rPr>
                <w:b/>
                <w:sz w:val="18"/>
                <w:lang w:val="en-GB"/>
              </w:rPr>
            </w:pPr>
            <w:r w:rsidRPr="001C1202">
              <w:rPr>
                <w:b/>
                <w:sz w:val="18"/>
                <w:lang w:val="en-GB"/>
              </w:rPr>
              <w:t>Alternative Mutual Fund</w:t>
            </w:r>
          </w:p>
        </w:tc>
      </w:tr>
      <w:tr w:rsidR="002D218C" w:rsidRPr="005C2A0F" w14:paraId="563A700C" w14:textId="77777777" w:rsidTr="007E1E44">
        <w:trPr>
          <w:trHeight w:val="225"/>
          <w:jc w:val="center"/>
        </w:trPr>
        <w:tc>
          <w:tcPr>
            <w:tcW w:w="1618" w:type="dxa"/>
            <w:shd w:val="clear" w:color="auto" w:fill="auto"/>
          </w:tcPr>
          <w:p w14:paraId="0FAECD4C" w14:textId="77777777" w:rsidR="002D218C" w:rsidRPr="001C1202" w:rsidRDefault="002D218C" w:rsidP="00641CFF">
            <w:pPr>
              <w:pStyle w:val="ExhibitText"/>
              <w:rPr>
                <w:sz w:val="18"/>
                <w:lang w:val="en-GB"/>
              </w:rPr>
            </w:pPr>
            <w:r w:rsidRPr="001C1202">
              <w:rPr>
                <w:sz w:val="18"/>
                <w:lang w:val="en-GB"/>
              </w:rPr>
              <w:t>AUM</w:t>
            </w:r>
          </w:p>
        </w:tc>
        <w:tc>
          <w:tcPr>
            <w:tcW w:w="1618" w:type="dxa"/>
            <w:shd w:val="clear" w:color="auto" w:fill="auto"/>
          </w:tcPr>
          <w:p w14:paraId="40068C57" w14:textId="1EF6FE18" w:rsidR="002D218C" w:rsidRPr="001C1202" w:rsidRDefault="002D218C" w:rsidP="00641CFF">
            <w:pPr>
              <w:pStyle w:val="ExhibitText"/>
              <w:tabs>
                <w:tab w:val="right" w:pos="1328"/>
              </w:tabs>
              <w:rPr>
                <w:sz w:val="18"/>
                <w:lang w:val="en-GB"/>
              </w:rPr>
            </w:pPr>
            <w:r w:rsidRPr="001C1202">
              <w:rPr>
                <w:sz w:val="18"/>
                <w:lang w:val="en-GB"/>
              </w:rPr>
              <w:t xml:space="preserve"> $ 500,000,000 </w:t>
            </w:r>
          </w:p>
        </w:tc>
        <w:tc>
          <w:tcPr>
            <w:tcW w:w="1709" w:type="dxa"/>
            <w:shd w:val="clear" w:color="auto" w:fill="auto"/>
          </w:tcPr>
          <w:p w14:paraId="5642B421" w14:textId="77777777" w:rsidR="002D218C" w:rsidRPr="001C1202" w:rsidRDefault="002D218C" w:rsidP="00641CFF">
            <w:pPr>
              <w:pStyle w:val="ExhibitText"/>
              <w:rPr>
                <w:sz w:val="18"/>
                <w:lang w:val="en-GB"/>
              </w:rPr>
            </w:pPr>
          </w:p>
        </w:tc>
        <w:tc>
          <w:tcPr>
            <w:tcW w:w="1710" w:type="dxa"/>
            <w:shd w:val="clear" w:color="auto" w:fill="auto"/>
          </w:tcPr>
          <w:p w14:paraId="58053D9D" w14:textId="77777777" w:rsidR="002D218C" w:rsidRPr="001C1202" w:rsidRDefault="002D218C" w:rsidP="00641CFF">
            <w:pPr>
              <w:pStyle w:val="ExhibitText"/>
              <w:rPr>
                <w:sz w:val="18"/>
                <w:lang w:val="en-GB"/>
              </w:rPr>
            </w:pPr>
            <w:r w:rsidRPr="001C1202">
              <w:rPr>
                <w:sz w:val="18"/>
                <w:lang w:val="en-GB"/>
              </w:rPr>
              <w:t>AUM</w:t>
            </w:r>
          </w:p>
        </w:tc>
        <w:tc>
          <w:tcPr>
            <w:tcW w:w="540" w:type="dxa"/>
            <w:shd w:val="clear" w:color="auto" w:fill="auto"/>
          </w:tcPr>
          <w:p w14:paraId="5C1991E4" w14:textId="77777777" w:rsidR="002D218C" w:rsidRPr="001C1202" w:rsidRDefault="002D218C" w:rsidP="00641CFF">
            <w:pPr>
              <w:pStyle w:val="ExhibitText"/>
              <w:rPr>
                <w:sz w:val="18"/>
                <w:lang w:val="en-GB"/>
              </w:rPr>
            </w:pPr>
          </w:p>
        </w:tc>
        <w:tc>
          <w:tcPr>
            <w:tcW w:w="1620" w:type="dxa"/>
            <w:shd w:val="clear" w:color="auto" w:fill="auto"/>
          </w:tcPr>
          <w:p w14:paraId="5BFEBA35" w14:textId="0EBA3C94" w:rsidR="002D218C" w:rsidRPr="001C1202" w:rsidRDefault="002D30C9" w:rsidP="00641CFF">
            <w:pPr>
              <w:pStyle w:val="ExhibitText"/>
              <w:tabs>
                <w:tab w:val="decimal" w:pos="1400"/>
              </w:tabs>
              <w:rPr>
                <w:sz w:val="18"/>
                <w:lang w:val="en-GB"/>
              </w:rPr>
            </w:pPr>
            <w:r w:rsidRPr="001C1202">
              <w:rPr>
                <w:sz w:val="18"/>
                <w:lang w:val="en-GB"/>
              </w:rPr>
              <w:t>$</w:t>
            </w:r>
            <w:r w:rsidR="002D218C" w:rsidRPr="001C1202">
              <w:rPr>
                <w:sz w:val="18"/>
                <w:lang w:val="en-GB"/>
              </w:rPr>
              <w:t xml:space="preserve">1,000,000,000 </w:t>
            </w:r>
          </w:p>
        </w:tc>
      </w:tr>
      <w:tr w:rsidR="002D218C" w:rsidRPr="005C2A0F" w14:paraId="2D890419" w14:textId="77777777" w:rsidTr="007E1E44">
        <w:trPr>
          <w:trHeight w:val="213"/>
          <w:jc w:val="center"/>
        </w:trPr>
        <w:tc>
          <w:tcPr>
            <w:tcW w:w="1618" w:type="dxa"/>
            <w:shd w:val="clear" w:color="auto" w:fill="auto"/>
          </w:tcPr>
          <w:p w14:paraId="2EBBF522" w14:textId="77777777" w:rsidR="002D218C" w:rsidRPr="001C1202" w:rsidRDefault="002D218C" w:rsidP="00641CFF">
            <w:pPr>
              <w:pStyle w:val="ExhibitText"/>
              <w:rPr>
                <w:sz w:val="18"/>
                <w:lang w:val="en-GB"/>
              </w:rPr>
            </w:pPr>
            <w:r w:rsidRPr="001C1202">
              <w:rPr>
                <w:sz w:val="18"/>
                <w:lang w:val="en-GB"/>
              </w:rPr>
              <w:t>Management Fee</w:t>
            </w:r>
          </w:p>
        </w:tc>
        <w:tc>
          <w:tcPr>
            <w:tcW w:w="1618" w:type="dxa"/>
            <w:shd w:val="clear" w:color="auto" w:fill="auto"/>
          </w:tcPr>
          <w:p w14:paraId="7BB7D7C4" w14:textId="77777777" w:rsidR="002D218C" w:rsidRPr="001C1202" w:rsidRDefault="002D218C" w:rsidP="00641CFF">
            <w:pPr>
              <w:pStyle w:val="ExhibitText"/>
              <w:jc w:val="center"/>
              <w:rPr>
                <w:sz w:val="18"/>
                <w:lang w:val="en-GB"/>
              </w:rPr>
            </w:pPr>
            <w:r w:rsidRPr="001C1202">
              <w:rPr>
                <w:sz w:val="18"/>
                <w:lang w:val="en-GB"/>
              </w:rPr>
              <w:t>1.50%</w:t>
            </w:r>
          </w:p>
        </w:tc>
        <w:tc>
          <w:tcPr>
            <w:tcW w:w="1709" w:type="dxa"/>
            <w:shd w:val="clear" w:color="auto" w:fill="auto"/>
          </w:tcPr>
          <w:p w14:paraId="56DD76CF" w14:textId="63DA48FD" w:rsidR="002D218C" w:rsidRPr="001C1202" w:rsidRDefault="002D30C9" w:rsidP="00641CFF">
            <w:pPr>
              <w:pStyle w:val="ExhibitText"/>
              <w:tabs>
                <w:tab w:val="decimal" w:pos="1332"/>
              </w:tabs>
              <w:rPr>
                <w:sz w:val="18"/>
                <w:lang w:val="en-GB"/>
              </w:rPr>
            </w:pPr>
            <w:r w:rsidRPr="001C1202">
              <w:rPr>
                <w:sz w:val="18"/>
                <w:lang w:val="en-GB"/>
              </w:rPr>
              <w:t xml:space="preserve"> $</w:t>
            </w:r>
            <w:r w:rsidR="002D218C" w:rsidRPr="001C1202">
              <w:rPr>
                <w:sz w:val="18"/>
                <w:lang w:val="en-GB"/>
              </w:rPr>
              <w:t xml:space="preserve">7,500,000 </w:t>
            </w:r>
          </w:p>
        </w:tc>
        <w:tc>
          <w:tcPr>
            <w:tcW w:w="1710" w:type="dxa"/>
            <w:shd w:val="clear" w:color="auto" w:fill="auto"/>
          </w:tcPr>
          <w:p w14:paraId="0923BFBD" w14:textId="77777777" w:rsidR="002D218C" w:rsidRPr="001C1202" w:rsidRDefault="002D218C" w:rsidP="00641CFF">
            <w:pPr>
              <w:pStyle w:val="ExhibitText"/>
              <w:rPr>
                <w:sz w:val="18"/>
                <w:lang w:val="en-GB"/>
              </w:rPr>
            </w:pPr>
            <w:r w:rsidRPr="001C1202">
              <w:rPr>
                <w:sz w:val="18"/>
                <w:lang w:val="en-GB"/>
              </w:rPr>
              <w:t>Management Fee</w:t>
            </w:r>
          </w:p>
        </w:tc>
        <w:tc>
          <w:tcPr>
            <w:tcW w:w="540" w:type="dxa"/>
            <w:shd w:val="clear" w:color="auto" w:fill="auto"/>
          </w:tcPr>
          <w:p w14:paraId="3B7F75A6" w14:textId="77777777" w:rsidR="002D218C" w:rsidRPr="001C1202" w:rsidRDefault="002D218C" w:rsidP="00641CFF">
            <w:pPr>
              <w:pStyle w:val="ExhibitText"/>
              <w:rPr>
                <w:sz w:val="18"/>
                <w:lang w:val="en-GB"/>
              </w:rPr>
            </w:pPr>
            <w:r w:rsidRPr="001C1202">
              <w:rPr>
                <w:sz w:val="18"/>
                <w:lang w:val="en-GB"/>
              </w:rPr>
              <w:t>1%</w:t>
            </w:r>
          </w:p>
        </w:tc>
        <w:tc>
          <w:tcPr>
            <w:tcW w:w="1620" w:type="dxa"/>
            <w:shd w:val="clear" w:color="auto" w:fill="auto"/>
          </w:tcPr>
          <w:p w14:paraId="23D13FCB" w14:textId="77F2F402" w:rsidR="002D218C" w:rsidRPr="001C1202" w:rsidRDefault="002D218C" w:rsidP="00641CFF">
            <w:pPr>
              <w:pStyle w:val="ExhibitText"/>
              <w:tabs>
                <w:tab w:val="decimal" w:pos="1400"/>
              </w:tabs>
              <w:rPr>
                <w:sz w:val="18"/>
                <w:lang w:val="en-GB"/>
              </w:rPr>
            </w:pPr>
            <w:r w:rsidRPr="001C1202">
              <w:rPr>
                <w:sz w:val="18"/>
                <w:lang w:val="en-GB"/>
              </w:rPr>
              <w:t>$10,000,000</w:t>
            </w:r>
          </w:p>
        </w:tc>
      </w:tr>
      <w:tr w:rsidR="002D218C" w:rsidRPr="005C2A0F" w14:paraId="3497A55E" w14:textId="77777777" w:rsidTr="007E1E44">
        <w:trPr>
          <w:trHeight w:val="225"/>
          <w:jc w:val="center"/>
        </w:trPr>
        <w:tc>
          <w:tcPr>
            <w:tcW w:w="1618" w:type="dxa"/>
            <w:shd w:val="clear" w:color="auto" w:fill="auto"/>
          </w:tcPr>
          <w:p w14:paraId="3C1815B0" w14:textId="77777777" w:rsidR="002D218C" w:rsidRPr="001C1202" w:rsidRDefault="002D218C" w:rsidP="00641CFF">
            <w:pPr>
              <w:pStyle w:val="ExhibitText"/>
              <w:jc w:val="center"/>
              <w:rPr>
                <w:sz w:val="18"/>
                <w:lang w:val="en-GB"/>
              </w:rPr>
            </w:pPr>
            <w:r w:rsidRPr="001C1202">
              <w:rPr>
                <w:sz w:val="18"/>
                <w:lang w:val="en-GB"/>
              </w:rPr>
              <w:t>Return above Benchmark</w:t>
            </w:r>
          </w:p>
        </w:tc>
        <w:tc>
          <w:tcPr>
            <w:tcW w:w="1618" w:type="dxa"/>
            <w:shd w:val="clear" w:color="auto" w:fill="auto"/>
          </w:tcPr>
          <w:p w14:paraId="0304DE3A" w14:textId="77777777" w:rsidR="002D218C" w:rsidRPr="001C1202" w:rsidRDefault="002D218C" w:rsidP="00641CFF">
            <w:pPr>
              <w:pStyle w:val="ExhibitText"/>
              <w:jc w:val="center"/>
              <w:rPr>
                <w:sz w:val="18"/>
                <w:lang w:val="en-GB"/>
              </w:rPr>
            </w:pPr>
            <w:r w:rsidRPr="001C1202">
              <w:rPr>
                <w:sz w:val="18"/>
                <w:lang w:val="en-GB"/>
              </w:rPr>
              <w:t>Performance Fee</w:t>
            </w:r>
          </w:p>
        </w:tc>
        <w:tc>
          <w:tcPr>
            <w:tcW w:w="1709" w:type="dxa"/>
            <w:shd w:val="clear" w:color="auto" w:fill="auto"/>
          </w:tcPr>
          <w:p w14:paraId="3AA3EF95" w14:textId="77777777" w:rsidR="00B40247" w:rsidRPr="001C1202" w:rsidRDefault="002D218C" w:rsidP="00641CFF">
            <w:pPr>
              <w:pStyle w:val="ExhibitText"/>
              <w:jc w:val="center"/>
              <w:rPr>
                <w:sz w:val="18"/>
                <w:lang w:val="en-GB"/>
              </w:rPr>
            </w:pPr>
            <w:r w:rsidRPr="001C1202">
              <w:rPr>
                <w:sz w:val="18"/>
                <w:lang w:val="en-GB"/>
              </w:rPr>
              <w:t>Total Revenue</w:t>
            </w:r>
          </w:p>
          <w:p w14:paraId="6CCE1003" w14:textId="331CB510" w:rsidR="002D218C" w:rsidRPr="001C1202" w:rsidRDefault="002D218C" w:rsidP="00641CFF">
            <w:pPr>
              <w:pStyle w:val="ExhibitText"/>
              <w:jc w:val="center"/>
              <w:rPr>
                <w:sz w:val="18"/>
                <w:lang w:val="en-GB"/>
              </w:rPr>
            </w:pPr>
            <w:r w:rsidRPr="001C1202">
              <w:rPr>
                <w:sz w:val="18"/>
                <w:lang w:val="en-GB"/>
              </w:rPr>
              <w:t xml:space="preserve">(Perf </w:t>
            </w:r>
            <w:r w:rsidR="00B40247" w:rsidRPr="001C1202">
              <w:rPr>
                <w:sz w:val="18"/>
                <w:lang w:val="en-GB"/>
              </w:rPr>
              <w:t xml:space="preserve">Fee </w:t>
            </w:r>
            <w:r w:rsidRPr="001C1202">
              <w:rPr>
                <w:sz w:val="18"/>
                <w:lang w:val="en-GB"/>
              </w:rPr>
              <w:t xml:space="preserve">+ </w:t>
            </w:r>
            <w:proofErr w:type="spellStart"/>
            <w:r w:rsidRPr="001C1202">
              <w:rPr>
                <w:sz w:val="18"/>
                <w:lang w:val="en-GB"/>
              </w:rPr>
              <w:t>Mgmt</w:t>
            </w:r>
            <w:proofErr w:type="spellEnd"/>
            <w:r w:rsidRPr="001C1202">
              <w:rPr>
                <w:sz w:val="18"/>
                <w:lang w:val="en-GB"/>
              </w:rPr>
              <w:t xml:space="preserve"> Fee)</w:t>
            </w:r>
          </w:p>
        </w:tc>
        <w:tc>
          <w:tcPr>
            <w:tcW w:w="1710" w:type="dxa"/>
            <w:shd w:val="clear" w:color="auto" w:fill="auto"/>
          </w:tcPr>
          <w:p w14:paraId="38494518" w14:textId="77777777" w:rsidR="002D218C" w:rsidRPr="001C1202" w:rsidRDefault="002D218C" w:rsidP="00641CFF">
            <w:pPr>
              <w:pStyle w:val="ExhibitText"/>
              <w:rPr>
                <w:sz w:val="18"/>
                <w:lang w:val="en-GB"/>
              </w:rPr>
            </w:pPr>
          </w:p>
        </w:tc>
        <w:tc>
          <w:tcPr>
            <w:tcW w:w="540" w:type="dxa"/>
            <w:shd w:val="clear" w:color="auto" w:fill="auto"/>
          </w:tcPr>
          <w:p w14:paraId="6DEC79D1" w14:textId="77777777" w:rsidR="002D218C" w:rsidRPr="001C1202" w:rsidRDefault="002D218C" w:rsidP="00641CFF">
            <w:pPr>
              <w:pStyle w:val="ExhibitText"/>
              <w:rPr>
                <w:sz w:val="18"/>
                <w:lang w:val="en-GB"/>
              </w:rPr>
            </w:pPr>
          </w:p>
        </w:tc>
        <w:tc>
          <w:tcPr>
            <w:tcW w:w="1620" w:type="dxa"/>
            <w:shd w:val="clear" w:color="auto" w:fill="auto"/>
          </w:tcPr>
          <w:p w14:paraId="240A276F" w14:textId="77777777" w:rsidR="002D218C" w:rsidRPr="001C1202" w:rsidRDefault="002D218C" w:rsidP="00641CFF">
            <w:pPr>
              <w:pStyle w:val="ExhibitText"/>
              <w:rPr>
                <w:sz w:val="18"/>
                <w:lang w:val="en-GB"/>
              </w:rPr>
            </w:pPr>
          </w:p>
        </w:tc>
      </w:tr>
      <w:tr w:rsidR="002D218C" w:rsidRPr="005C2A0F" w14:paraId="3C7EA3C6" w14:textId="77777777" w:rsidTr="007E1E44">
        <w:trPr>
          <w:trHeight w:val="213"/>
          <w:jc w:val="center"/>
        </w:trPr>
        <w:tc>
          <w:tcPr>
            <w:tcW w:w="1618" w:type="dxa"/>
            <w:shd w:val="clear" w:color="auto" w:fill="auto"/>
          </w:tcPr>
          <w:p w14:paraId="38AFCB09" w14:textId="01ACEBCA" w:rsidR="002D218C" w:rsidRPr="001C1202" w:rsidRDefault="002D218C" w:rsidP="00641CFF">
            <w:pPr>
              <w:pStyle w:val="ExhibitText"/>
              <w:tabs>
                <w:tab w:val="decimal" w:pos="698"/>
              </w:tabs>
              <w:rPr>
                <w:sz w:val="18"/>
                <w:lang w:val="en-GB"/>
              </w:rPr>
            </w:pPr>
            <w:r w:rsidRPr="001C1202">
              <w:rPr>
                <w:sz w:val="18"/>
                <w:lang w:val="en-GB"/>
              </w:rPr>
              <w:t>1%</w:t>
            </w:r>
          </w:p>
        </w:tc>
        <w:tc>
          <w:tcPr>
            <w:tcW w:w="1618" w:type="dxa"/>
            <w:shd w:val="clear" w:color="auto" w:fill="auto"/>
          </w:tcPr>
          <w:p w14:paraId="4B0CE179" w14:textId="1F54E96E" w:rsidR="002D218C" w:rsidRPr="001C1202" w:rsidRDefault="002D30C9" w:rsidP="00641CFF">
            <w:pPr>
              <w:pStyle w:val="ExhibitText"/>
              <w:tabs>
                <w:tab w:val="decimal" w:pos="1328"/>
              </w:tabs>
              <w:rPr>
                <w:sz w:val="18"/>
                <w:lang w:val="en-GB"/>
              </w:rPr>
            </w:pPr>
            <w:r w:rsidRPr="001C1202">
              <w:rPr>
                <w:sz w:val="18"/>
                <w:lang w:val="en-GB"/>
              </w:rPr>
              <w:t>$</w:t>
            </w:r>
            <w:r w:rsidR="002D218C" w:rsidRPr="001C1202">
              <w:rPr>
                <w:sz w:val="18"/>
                <w:lang w:val="en-GB"/>
              </w:rPr>
              <w:t xml:space="preserve">1,000,000 </w:t>
            </w:r>
          </w:p>
        </w:tc>
        <w:tc>
          <w:tcPr>
            <w:tcW w:w="1709" w:type="dxa"/>
            <w:shd w:val="clear" w:color="auto" w:fill="auto"/>
          </w:tcPr>
          <w:p w14:paraId="4832CA8E" w14:textId="22186075" w:rsidR="002D218C" w:rsidRPr="001C1202" w:rsidRDefault="002D218C" w:rsidP="00641CFF">
            <w:pPr>
              <w:pStyle w:val="ExhibitText"/>
              <w:tabs>
                <w:tab w:val="decimal" w:pos="1332"/>
              </w:tabs>
              <w:rPr>
                <w:sz w:val="18"/>
                <w:lang w:val="en-GB"/>
              </w:rPr>
            </w:pPr>
            <w:r w:rsidRPr="001C1202">
              <w:rPr>
                <w:sz w:val="18"/>
                <w:lang w:val="en-GB"/>
              </w:rPr>
              <w:t xml:space="preserve">$8,500,000 </w:t>
            </w:r>
          </w:p>
        </w:tc>
        <w:tc>
          <w:tcPr>
            <w:tcW w:w="1710" w:type="dxa"/>
            <w:shd w:val="clear" w:color="auto" w:fill="auto"/>
          </w:tcPr>
          <w:p w14:paraId="5F917D21" w14:textId="77777777" w:rsidR="002D218C" w:rsidRPr="001C1202" w:rsidRDefault="002D218C" w:rsidP="00641CFF">
            <w:pPr>
              <w:pStyle w:val="ExhibitText"/>
              <w:rPr>
                <w:sz w:val="18"/>
                <w:lang w:val="en-GB"/>
              </w:rPr>
            </w:pPr>
          </w:p>
        </w:tc>
        <w:tc>
          <w:tcPr>
            <w:tcW w:w="540" w:type="dxa"/>
            <w:shd w:val="clear" w:color="auto" w:fill="auto"/>
          </w:tcPr>
          <w:p w14:paraId="6B7A4921" w14:textId="77777777" w:rsidR="002D218C" w:rsidRPr="001C1202" w:rsidRDefault="002D218C" w:rsidP="00641CFF">
            <w:pPr>
              <w:pStyle w:val="ExhibitText"/>
              <w:rPr>
                <w:sz w:val="18"/>
                <w:lang w:val="en-GB"/>
              </w:rPr>
            </w:pPr>
          </w:p>
        </w:tc>
        <w:tc>
          <w:tcPr>
            <w:tcW w:w="1620" w:type="dxa"/>
            <w:shd w:val="clear" w:color="auto" w:fill="auto"/>
          </w:tcPr>
          <w:p w14:paraId="4D5477A4" w14:textId="77777777" w:rsidR="002D218C" w:rsidRPr="001C1202" w:rsidRDefault="002D218C" w:rsidP="00641CFF">
            <w:pPr>
              <w:pStyle w:val="ExhibitText"/>
              <w:rPr>
                <w:sz w:val="18"/>
                <w:lang w:val="en-GB"/>
              </w:rPr>
            </w:pPr>
          </w:p>
        </w:tc>
      </w:tr>
      <w:tr w:rsidR="002D218C" w:rsidRPr="005C2A0F" w14:paraId="7F478BD7" w14:textId="77777777" w:rsidTr="007E1E44">
        <w:trPr>
          <w:trHeight w:val="213"/>
          <w:jc w:val="center"/>
        </w:trPr>
        <w:tc>
          <w:tcPr>
            <w:tcW w:w="1618" w:type="dxa"/>
            <w:shd w:val="clear" w:color="auto" w:fill="auto"/>
          </w:tcPr>
          <w:p w14:paraId="615DAA8F" w14:textId="03C4278F" w:rsidR="002D218C" w:rsidRPr="001C1202" w:rsidRDefault="002D218C" w:rsidP="00641CFF">
            <w:pPr>
              <w:pStyle w:val="ExhibitText"/>
              <w:tabs>
                <w:tab w:val="decimal" w:pos="698"/>
              </w:tabs>
              <w:rPr>
                <w:sz w:val="18"/>
                <w:lang w:val="en-GB"/>
              </w:rPr>
            </w:pPr>
            <w:r w:rsidRPr="001C1202">
              <w:rPr>
                <w:sz w:val="18"/>
                <w:lang w:val="en-GB"/>
              </w:rPr>
              <w:t>2%</w:t>
            </w:r>
          </w:p>
        </w:tc>
        <w:tc>
          <w:tcPr>
            <w:tcW w:w="1618" w:type="dxa"/>
            <w:shd w:val="clear" w:color="auto" w:fill="auto"/>
          </w:tcPr>
          <w:p w14:paraId="616522AA" w14:textId="73A684B0" w:rsidR="002D218C" w:rsidRPr="001C1202" w:rsidRDefault="002D218C" w:rsidP="00641CFF">
            <w:pPr>
              <w:pStyle w:val="ExhibitText"/>
              <w:tabs>
                <w:tab w:val="decimal" w:pos="1328"/>
              </w:tabs>
              <w:rPr>
                <w:sz w:val="18"/>
                <w:lang w:val="en-GB"/>
              </w:rPr>
            </w:pPr>
            <w:r w:rsidRPr="001C1202">
              <w:rPr>
                <w:sz w:val="18"/>
                <w:lang w:val="en-GB"/>
              </w:rPr>
              <w:t xml:space="preserve">$2,000,000 </w:t>
            </w:r>
          </w:p>
        </w:tc>
        <w:tc>
          <w:tcPr>
            <w:tcW w:w="1709" w:type="dxa"/>
            <w:shd w:val="clear" w:color="auto" w:fill="auto"/>
          </w:tcPr>
          <w:p w14:paraId="7FEFB11D" w14:textId="1F9F59FC" w:rsidR="002D218C" w:rsidRPr="001C1202" w:rsidRDefault="002D218C" w:rsidP="00641CFF">
            <w:pPr>
              <w:pStyle w:val="ExhibitText"/>
              <w:tabs>
                <w:tab w:val="decimal" w:pos="1332"/>
              </w:tabs>
              <w:rPr>
                <w:sz w:val="18"/>
                <w:lang w:val="en-GB"/>
              </w:rPr>
            </w:pPr>
            <w:r w:rsidRPr="001C1202">
              <w:rPr>
                <w:sz w:val="18"/>
                <w:lang w:val="en-GB"/>
              </w:rPr>
              <w:t xml:space="preserve">$9,500,000 </w:t>
            </w:r>
          </w:p>
        </w:tc>
        <w:tc>
          <w:tcPr>
            <w:tcW w:w="1710" w:type="dxa"/>
            <w:shd w:val="clear" w:color="auto" w:fill="auto"/>
          </w:tcPr>
          <w:p w14:paraId="296AB22D" w14:textId="77777777" w:rsidR="002D218C" w:rsidRPr="001C1202" w:rsidRDefault="002D218C" w:rsidP="00641CFF">
            <w:pPr>
              <w:pStyle w:val="ExhibitText"/>
              <w:rPr>
                <w:sz w:val="18"/>
                <w:lang w:val="en-GB"/>
              </w:rPr>
            </w:pPr>
          </w:p>
        </w:tc>
        <w:tc>
          <w:tcPr>
            <w:tcW w:w="540" w:type="dxa"/>
            <w:shd w:val="clear" w:color="auto" w:fill="auto"/>
          </w:tcPr>
          <w:p w14:paraId="7D423FEF" w14:textId="77777777" w:rsidR="002D218C" w:rsidRPr="001C1202" w:rsidRDefault="002D218C" w:rsidP="00641CFF">
            <w:pPr>
              <w:pStyle w:val="ExhibitText"/>
              <w:rPr>
                <w:sz w:val="18"/>
                <w:lang w:val="en-GB"/>
              </w:rPr>
            </w:pPr>
          </w:p>
        </w:tc>
        <w:tc>
          <w:tcPr>
            <w:tcW w:w="1620" w:type="dxa"/>
            <w:shd w:val="clear" w:color="auto" w:fill="auto"/>
          </w:tcPr>
          <w:p w14:paraId="719BC0FD" w14:textId="77777777" w:rsidR="002D218C" w:rsidRPr="001C1202" w:rsidRDefault="002D218C" w:rsidP="00641CFF">
            <w:pPr>
              <w:pStyle w:val="ExhibitText"/>
              <w:rPr>
                <w:sz w:val="18"/>
                <w:lang w:val="en-GB"/>
              </w:rPr>
            </w:pPr>
          </w:p>
        </w:tc>
      </w:tr>
      <w:tr w:rsidR="002D218C" w:rsidRPr="005C2A0F" w14:paraId="712F0A47" w14:textId="77777777" w:rsidTr="007E1E44">
        <w:trPr>
          <w:trHeight w:val="213"/>
          <w:jc w:val="center"/>
        </w:trPr>
        <w:tc>
          <w:tcPr>
            <w:tcW w:w="1618" w:type="dxa"/>
            <w:shd w:val="clear" w:color="auto" w:fill="auto"/>
          </w:tcPr>
          <w:p w14:paraId="76CCA087" w14:textId="40D07611" w:rsidR="002D218C" w:rsidRPr="001C1202" w:rsidRDefault="002D218C" w:rsidP="00641CFF">
            <w:pPr>
              <w:pStyle w:val="ExhibitText"/>
              <w:tabs>
                <w:tab w:val="decimal" w:pos="698"/>
              </w:tabs>
              <w:rPr>
                <w:sz w:val="18"/>
                <w:lang w:val="en-GB"/>
              </w:rPr>
            </w:pPr>
            <w:r w:rsidRPr="001C1202">
              <w:rPr>
                <w:sz w:val="18"/>
                <w:lang w:val="en-GB"/>
              </w:rPr>
              <w:t>5%</w:t>
            </w:r>
          </w:p>
        </w:tc>
        <w:tc>
          <w:tcPr>
            <w:tcW w:w="1618" w:type="dxa"/>
            <w:shd w:val="clear" w:color="auto" w:fill="auto"/>
          </w:tcPr>
          <w:p w14:paraId="23374AC3" w14:textId="712E950B" w:rsidR="002D218C" w:rsidRPr="001C1202" w:rsidRDefault="002D218C" w:rsidP="00641CFF">
            <w:pPr>
              <w:pStyle w:val="ExhibitText"/>
              <w:tabs>
                <w:tab w:val="decimal" w:pos="1328"/>
              </w:tabs>
              <w:rPr>
                <w:sz w:val="18"/>
                <w:lang w:val="en-GB"/>
              </w:rPr>
            </w:pPr>
            <w:r w:rsidRPr="001C1202">
              <w:rPr>
                <w:sz w:val="18"/>
                <w:lang w:val="en-GB"/>
              </w:rPr>
              <w:t xml:space="preserve">$5,000,000 </w:t>
            </w:r>
          </w:p>
        </w:tc>
        <w:tc>
          <w:tcPr>
            <w:tcW w:w="1709" w:type="dxa"/>
            <w:shd w:val="clear" w:color="auto" w:fill="auto"/>
          </w:tcPr>
          <w:p w14:paraId="1B3BEE16" w14:textId="150D9BB4" w:rsidR="002D218C" w:rsidRPr="001C1202" w:rsidRDefault="002D218C" w:rsidP="00641CFF">
            <w:pPr>
              <w:pStyle w:val="ExhibitText"/>
              <w:tabs>
                <w:tab w:val="decimal" w:pos="1332"/>
              </w:tabs>
              <w:rPr>
                <w:sz w:val="18"/>
                <w:lang w:val="en-GB"/>
              </w:rPr>
            </w:pPr>
            <w:r w:rsidRPr="001C1202">
              <w:rPr>
                <w:sz w:val="18"/>
                <w:lang w:val="en-GB"/>
              </w:rPr>
              <w:t xml:space="preserve">$12,500,000 </w:t>
            </w:r>
          </w:p>
        </w:tc>
        <w:tc>
          <w:tcPr>
            <w:tcW w:w="1710" w:type="dxa"/>
            <w:shd w:val="clear" w:color="auto" w:fill="auto"/>
          </w:tcPr>
          <w:p w14:paraId="65299443" w14:textId="77777777" w:rsidR="002D218C" w:rsidRPr="001C1202" w:rsidRDefault="002D218C" w:rsidP="00641CFF">
            <w:pPr>
              <w:pStyle w:val="ExhibitText"/>
              <w:rPr>
                <w:sz w:val="18"/>
                <w:lang w:val="en-GB"/>
              </w:rPr>
            </w:pPr>
          </w:p>
        </w:tc>
        <w:tc>
          <w:tcPr>
            <w:tcW w:w="540" w:type="dxa"/>
            <w:shd w:val="clear" w:color="auto" w:fill="auto"/>
          </w:tcPr>
          <w:p w14:paraId="0729B91E" w14:textId="77777777" w:rsidR="002D218C" w:rsidRPr="001C1202" w:rsidRDefault="002D218C" w:rsidP="00641CFF">
            <w:pPr>
              <w:pStyle w:val="ExhibitText"/>
              <w:rPr>
                <w:sz w:val="18"/>
                <w:lang w:val="en-GB"/>
              </w:rPr>
            </w:pPr>
          </w:p>
        </w:tc>
        <w:tc>
          <w:tcPr>
            <w:tcW w:w="1620" w:type="dxa"/>
            <w:shd w:val="clear" w:color="auto" w:fill="auto"/>
          </w:tcPr>
          <w:p w14:paraId="66AF6127" w14:textId="77777777" w:rsidR="002D218C" w:rsidRPr="001C1202" w:rsidRDefault="002D218C" w:rsidP="00641CFF">
            <w:pPr>
              <w:pStyle w:val="ExhibitText"/>
              <w:rPr>
                <w:sz w:val="18"/>
                <w:lang w:val="en-GB"/>
              </w:rPr>
            </w:pPr>
          </w:p>
        </w:tc>
      </w:tr>
      <w:tr w:rsidR="002D218C" w:rsidRPr="005C2A0F" w14:paraId="7B12C8D3" w14:textId="77777777" w:rsidTr="007E1E44">
        <w:trPr>
          <w:trHeight w:val="225"/>
          <w:jc w:val="center"/>
        </w:trPr>
        <w:tc>
          <w:tcPr>
            <w:tcW w:w="1618" w:type="dxa"/>
            <w:shd w:val="clear" w:color="auto" w:fill="auto"/>
          </w:tcPr>
          <w:p w14:paraId="34AA4253" w14:textId="08EAE7F0" w:rsidR="002D218C" w:rsidRPr="001C1202" w:rsidRDefault="002D218C" w:rsidP="00641CFF">
            <w:pPr>
              <w:pStyle w:val="ExhibitText"/>
              <w:tabs>
                <w:tab w:val="decimal" w:pos="698"/>
              </w:tabs>
              <w:rPr>
                <w:sz w:val="18"/>
                <w:lang w:val="en-GB"/>
              </w:rPr>
            </w:pPr>
            <w:r w:rsidRPr="001C1202">
              <w:rPr>
                <w:sz w:val="18"/>
                <w:lang w:val="en-GB"/>
              </w:rPr>
              <w:t>10%</w:t>
            </w:r>
          </w:p>
        </w:tc>
        <w:tc>
          <w:tcPr>
            <w:tcW w:w="1618" w:type="dxa"/>
            <w:shd w:val="clear" w:color="auto" w:fill="auto"/>
          </w:tcPr>
          <w:p w14:paraId="02BF3FCD" w14:textId="12C2BB54" w:rsidR="002D218C" w:rsidRPr="001C1202" w:rsidRDefault="002D218C" w:rsidP="00641CFF">
            <w:pPr>
              <w:pStyle w:val="ExhibitText"/>
              <w:tabs>
                <w:tab w:val="decimal" w:pos="1328"/>
              </w:tabs>
              <w:rPr>
                <w:sz w:val="18"/>
                <w:lang w:val="en-GB"/>
              </w:rPr>
            </w:pPr>
            <w:r w:rsidRPr="001C1202">
              <w:rPr>
                <w:sz w:val="18"/>
                <w:lang w:val="en-GB"/>
              </w:rPr>
              <w:t xml:space="preserve">$10,000,000 </w:t>
            </w:r>
          </w:p>
        </w:tc>
        <w:tc>
          <w:tcPr>
            <w:tcW w:w="1709" w:type="dxa"/>
            <w:shd w:val="clear" w:color="auto" w:fill="auto"/>
          </w:tcPr>
          <w:p w14:paraId="7DFF402F" w14:textId="5FAD2383" w:rsidR="002D218C" w:rsidRPr="001C1202" w:rsidRDefault="002D30C9" w:rsidP="00641CFF">
            <w:pPr>
              <w:pStyle w:val="ExhibitText"/>
              <w:tabs>
                <w:tab w:val="decimal" w:pos="1332"/>
              </w:tabs>
              <w:rPr>
                <w:sz w:val="18"/>
                <w:lang w:val="en-GB"/>
              </w:rPr>
            </w:pPr>
            <w:r w:rsidRPr="001C1202">
              <w:rPr>
                <w:sz w:val="18"/>
                <w:lang w:val="en-GB"/>
              </w:rPr>
              <w:t>$</w:t>
            </w:r>
            <w:r w:rsidR="002D218C" w:rsidRPr="001C1202">
              <w:rPr>
                <w:sz w:val="18"/>
                <w:lang w:val="en-GB"/>
              </w:rPr>
              <w:t xml:space="preserve">17,500,000 </w:t>
            </w:r>
          </w:p>
        </w:tc>
        <w:tc>
          <w:tcPr>
            <w:tcW w:w="1710" w:type="dxa"/>
            <w:shd w:val="clear" w:color="auto" w:fill="auto"/>
          </w:tcPr>
          <w:p w14:paraId="444E4B6E" w14:textId="77777777" w:rsidR="002D218C" w:rsidRPr="001C1202" w:rsidRDefault="002D218C" w:rsidP="00641CFF">
            <w:pPr>
              <w:pStyle w:val="ExhibitText"/>
              <w:rPr>
                <w:sz w:val="18"/>
                <w:lang w:val="en-GB"/>
              </w:rPr>
            </w:pPr>
          </w:p>
        </w:tc>
        <w:tc>
          <w:tcPr>
            <w:tcW w:w="540" w:type="dxa"/>
            <w:shd w:val="clear" w:color="auto" w:fill="auto"/>
          </w:tcPr>
          <w:p w14:paraId="0AB08B36" w14:textId="77777777" w:rsidR="002D218C" w:rsidRPr="001C1202" w:rsidRDefault="002D218C" w:rsidP="00641CFF">
            <w:pPr>
              <w:pStyle w:val="ExhibitText"/>
              <w:rPr>
                <w:sz w:val="18"/>
                <w:lang w:val="en-GB"/>
              </w:rPr>
            </w:pPr>
          </w:p>
        </w:tc>
        <w:tc>
          <w:tcPr>
            <w:tcW w:w="1620" w:type="dxa"/>
            <w:shd w:val="clear" w:color="auto" w:fill="auto"/>
          </w:tcPr>
          <w:p w14:paraId="31D95EB3" w14:textId="77777777" w:rsidR="002D218C" w:rsidRPr="001C1202" w:rsidRDefault="002D218C" w:rsidP="00641CFF">
            <w:pPr>
              <w:pStyle w:val="ExhibitText"/>
              <w:rPr>
                <w:sz w:val="18"/>
                <w:lang w:val="en-GB"/>
              </w:rPr>
            </w:pPr>
          </w:p>
        </w:tc>
      </w:tr>
    </w:tbl>
    <w:p w14:paraId="1AAF31A7" w14:textId="74E5F748" w:rsidR="002D218C" w:rsidRPr="001C1202" w:rsidRDefault="002D218C" w:rsidP="001C1202">
      <w:pPr>
        <w:pStyle w:val="ExhibitText"/>
      </w:pPr>
    </w:p>
    <w:p w14:paraId="3E4686B3" w14:textId="346B57D2" w:rsidR="00B40247" w:rsidRDefault="00B40247" w:rsidP="002D30C9">
      <w:pPr>
        <w:pStyle w:val="Footnote"/>
        <w:rPr>
          <w:lang w:val="en-GB"/>
        </w:rPr>
      </w:pPr>
      <w:r w:rsidRPr="005C2A0F">
        <w:rPr>
          <w:lang w:val="en-GB"/>
        </w:rPr>
        <w:t xml:space="preserve">Note: </w:t>
      </w:r>
      <w:r>
        <w:rPr>
          <w:lang w:val="en-GB"/>
        </w:rPr>
        <w:t xml:space="preserve">AUM = assets under management; </w:t>
      </w:r>
      <w:r w:rsidRPr="005C2A0F">
        <w:rPr>
          <w:lang w:val="en-GB"/>
        </w:rPr>
        <w:t xml:space="preserve">Perf </w:t>
      </w:r>
      <w:r>
        <w:rPr>
          <w:lang w:val="en-GB"/>
        </w:rPr>
        <w:t xml:space="preserve">Fee </w:t>
      </w:r>
      <w:r w:rsidRPr="005C2A0F">
        <w:rPr>
          <w:lang w:val="en-GB"/>
        </w:rPr>
        <w:t xml:space="preserve">= </w:t>
      </w:r>
      <w:r>
        <w:rPr>
          <w:lang w:val="en-GB"/>
        </w:rPr>
        <w:t>p</w:t>
      </w:r>
      <w:r w:rsidRPr="005C2A0F">
        <w:rPr>
          <w:lang w:val="en-GB"/>
        </w:rPr>
        <w:t xml:space="preserve">erformance </w:t>
      </w:r>
      <w:r>
        <w:rPr>
          <w:lang w:val="en-GB"/>
        </w:rPr>
        <w:t>f</w:t>
      </w:r>
      <w:r w:rsidRPr="005C2A0F">
        <w:rPr>
          <w:lang w:val="en-GB"/>
        </w:rPr>
        <w:t>ee</w:t>
      </w:r>
      <w:r w:rsidR="005D42A0">
        <w:rPr>
          <w:lang w:val="en-GB"/>
        </w:rPr>
        <w:t>;</w:t>
      </w:r>
      <w:r w:rsidRPr="005C2A0F">
        <w:rPr>
          <w:lang w:val="en-GB"/>
        </w:rPr>
        <w:t xml:space="preserve"> </w:t>
      </w:r>
      <w:proofErr w:type="spellStart"/>
      <w:r w:rsidRPr="005C2A0F">
        <w:rPr>
          <w:lang w:val="en-GB"/>
        </w:rPr>
        <w:t>Mgmt</w:t>
      </w:r>
      <w:proofErr w:type="spellEnd"/>
      <w:r w:rsidRPr="005C2A0F">
        <w:rPr>
          <w:lang w:val="en-GB"/>
        </w:rPr>
        <w:t xml:space="preserve"> Fee = </w:t>
      </w:r>
      <w:r>
        <w:rPr>
          <w:lang w:val="en-GB"/>
        </w:rPr>
        <w:t>m</w:t>
      </w:r>
      <w:r w:rsidRPr="005C2A0F">
        <w:rPr>
          <w:lang w:val="en-GB"/>
        </w:rPr>
        <w:t xml:space="preserve">anagement </w:t>
      </w:r>
      <w:r>
        <w:rPr>
          <w:lang w:val="en-GB"/>
        </w:rPr>
        <w:t>f</w:t>
      </w:r>
      <w:r w:rsidRPr="005C2A0F">
        <w:rPr>
          <w:lang w:val="en-GB"/>
        </w:rPr>
        <w:t>ee</w:t>
      </w:r>
    </w:p>
    <w:p w14:paraId="308B74CE" w14:textId="10D8E884" w:rsidR="002A45A5" w:rsidRDefault="002D30C9" w:rsidP="001C1202">
      <w:pPr>
        <w:pStyle w:val="Footnote"/>
        <w:rPr>
          <w:lang w:val="en-GB"/>
        </w:rPr>
      </w:pPr>
      <w:r w:rsidRPr="005C2A0F">
        <w:rPr>
          <w:lang w:val="en-GB"/>
        </w:rPr>
        <w:t xml:space="preserve">Source: Created by </w:t>
      </w:r>
      <w:r w:rsidR="00F407C4" w:rsidRPr="005C2A0F">
        <w:rPr>
          <w:lang w:val="en-GB"/>
        </w:rPr>
        <w:t>the a</w:t>
      </w:r>
      <w:r w:rsidRPr="005C2A0F">
        <w:rPr>
          <w:lang w:val="en-GB"/>
        </w:rPr>
        <w:t>uthors</w:t>
      </w:r>
      <w:r w:rsidR="00B40247">
        <w:rPr>
          <w:lang w:val="en-GB"/>
        </w:rPr>
        <w:t>.</w:t>
      </w:r>
      <w:r w:rsidR="002A45A5">
        <w:rPr>
          <w:lang w:val="en-GB"/>
        </w:rPr>
        <w:br w:type="page"/>
      </w:r>
    </w:p>
    <w:p w14:paraId="6C012F23" w14:textId="241C33A3" w:rsidR="002D218C" w:rsidRPr="005C2A0F" w:rsidRDefault="002D218C" w:rsidP="002D30C9">
      <w:pPr>
        <w:pStyle w:val="ExhibitHeading"/>
        <w:rPr>
          <w:lang w:val="en-GB"/>
        </w:rPr>
      </w:pPr>
      <w:r w:rsidRPr="005C2A0F">
        <w:rPr>
          <w:lang w:val="en-GB"/>
        </w:rPr>
        <w:lastRenderedPageBreak/>
        <w:t xml:space="preserve">EXHIBIT </w:t>
      </w:r>
      <w:r w:rsidR="00151AD0">
        <w:rPr>
          <w:lang w:val="en-GB"/>
        </w:rPr>
        <w:t>7</w:t>
      </w:r>
      <w:r w:rsidR="00BB1907">
        <w:rPr>
          <w:lang w:val="en-GB"/>
        </w:rPr>
        <w:t>B</w:t>
      </w:r>
      <w:r w:rsidR="009A52F8" w:rsidRPr="005C2A0F">
        <w:rPr>
          <w:lang w:val="en-GB"/>
        </w:rPr>
        <w:t>:</w:t>
      </w:r>
      <w:r w:rsidRPr="005C2A0F">
        <w:rPr>
          <w:lang w:val="en-GB"/>
        </w:rPr>
        <w:t xml:space="preserve"> Revenues for each fund type based on 50% of Projected Assets</w:t>
      </w:r>
      <w:r w:rsidR="00B40247">
        <w:rPr>
          <w:lang w:val="en-GB"/>
        </w:rPr>
        <w:t>,</w:t>
      </w:r>
      <w:r w:rsidRPr="005C2A0F">
        <w:rPr>
          <w:lang w:val="en-GB"/>
        </w:rPr>
        <w:t xml:space="preserve"> </w:t>
      </w:r>
      <w:r w:rsidR="00E937E1">
        <w:rPr>
          <w:lang w:val="en-GB"/>
        </w:rPr>
        <w:t xml:space="preserve">the </w:t>
      </w:r>
      <w:r w:rsidRPr="005C2A0F">
        <w:rPr>
          <w:lang w:val="en-GB"/>
        </w:rPr>
        <w:t>Management Fee</w:t>
      </w:r>
      <w:r w:rsidR="00B40247">
        <w:rPr>
          <w:lang w:val="en-GB"/>
        </w:rPr>
        <w:t>,</w:t>
      </w:r>
      <w:r w:rsidRPr="005C2A0F">
        <w:rPr>
          <w:lang w:val="en-GB"/>
        </w:rPr>
        <w:t xml:space="preserve"> </w:t>
      </w:r>
      <w:r w:rsidR="00B40247">
        <w:rPr>
          <w:lang w:val="en-GB"/>
        </w:rPr>
        <w:t>and</w:t>
      </w:r>
      <w:r w:rsidR="00B40247" w:rsidRPr="005C2A0F">
        <w:rPr>
          <w:lang w:val="en-GB"/>
        </w:rPr>
        <w:t xml:space="preserve"> </w:t>
      </w:r>
      <w:r w:rsidR="00E937E1">
        <w:rPr>
          <w:lang w:val="en-GB"/>
        </w:rPr>
        <w:t xml:space="preserve">the </w:t>
      </w:r>
      <w:r w:rsidRPr="005C2A0F">
        <w:rPr>
          <w:lang w:val="en-GB"/>
        </w:rPr>
        <w:t>Performance Fee</w:t>
      </w:r>
    </w:p>
    <w:p w14:paraId="047A4B1A" w14:textId="77777777" w:rsidR="002D218C" w:rsidRPr="005C2A0F" w:rsidRDefault="002D218C" w:rsidP="002D30C9">
      <w:pPr>
        <w:pStyle w:val="ExhibitText"/>
        <w:rPr>
          <w:lang w:val="en-GB"/>
        </w:rPr>
      </w:pP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ayout w:type="fixed"/>
        <w:tblLook w:val="0000" w:firstRow="0" w:lastRow="0" w:firstColumn="0" w:lastColumn="0" w:noHBand="0" w:noVBand="0"/>
      </w:tblPr>
      <w:tblGrid>
        <w:gridCol w:w="1588"/>
        <w:gridCol w:w="1588"/>
        <w:gridCol w:w="1589"/>
        <w:gridCol w:w="1800"/>
        <w:gridCol w:w="630"/>
        <w:gridCol w:w="1530"/>
      </w:tblGrid>
      <w:tr w:rsidR="002D218C" w:rsidRPr="005C2A0F" w14:paraId="5920EABD" w14:textId="77777777" w:rsidTr="004D6D79">
        <w:trPr>
          <w:trHeight w:val="272"/>
          <w:jc w:val="center"/>
        </w:trPr>
        <w:tc>
          <w:tcPr>
            <w:tcW w:w="4765" w:type="dxa"/>
            <w:gridSpan w:val="3"/>
            <w:shd w:val="clear" w:color="auto" w:fill="auto"/>
          </w:tcPr>
          <w:p w14:paraId="629FE1CF" w14:textId="77777777" w:rsidR="002D218C" w:rsidRPr="005C2A0F" w:rsidRDefault="002D218C" w:rsidP="002D30C9">
            <w:pPr>
              <w:pStyle w:val="ExhibitText"/>
              <w:jc w:val="center"/>
              <w:rPr>
                <w:b/>
                <w:lang w:val="en-GB"/>
              </w:rPr>
            </w:pPr>
            <w:r w:rsidRPr="005C2A0F">
              <w:rPr>
                <w:b/>
                <w:lang w:val="en-GB"/>
              </w:rPr>
              <w:t>Hedge Fund</w:t>
            </w:r>
          </w:p>
        </w:tc>
        <w:tc>
          <w:tcPr>
            <w:tcW w:w="3960" w:type="dxa"/>
            <w:gridSpan w:val="3"/>
            <w:shd w:val="clear" w:color="auto" w:fill="auto"/>
          </w:tcPr>
          <w:p w14:paraId="2AA6B956" w14:textId="77777777" w:rsidR="002D218C" w:rsidRPr="005C2A0F" w:rsidRDefault="002D218C" w:rsidP="002D30C9">
            <w:pPr>
              <w:pStyle w:val="ExhibitText"/>
              <w:jc w:val="center"/>
              <w:rPr>
                <w:b/>
                <w:lang w:val="en-GB"/>
              </w:rPr>
            </w:pPr>
            <w:r w:rsidRPr="005C2A0F">
              <w:rPr>
                <w:b/>
                <w:lang w:val="en-GB"/>
              </w:rPr>
              <w:t>Alternative Mutual Fund</w:t>
            </w:r>
          </w:p>
        </w:tc>
      </w:tr>
      <w:tr w:rsidR="002D218C" w:rsidRPr="005C2A0F" w14:paraId="0670F213" w14:textId="77777777" w:rsidTr="004D6D79">
        <w:trPr>
          <w:trHeight w:val="272"/>
          <w:jc w:val="center"/>
        </w:trPr>
        <w:tc>
          <w:tcPr>
            <w:tcW w:w="1588" w:type="dxa"/>
            <w:shd w:val="clear" w:color="auto" w:fill="auto"/>
          </w:tcPr>
          <w:p w14:paraId="5EDA2DF9" w14:textId="77777777" w:rsidR="002D218C" w:rsidRPr="005C2A0F" w:rsidRDefault="002D218C" w:rsidP="002D30C9">
            <w:pPr>
              <w:pStyle w:val="ExhibitText"/>
              <w:rPr>
                <w:lang w:val="en-GB"/>
              </w:rPr>
            </w:pPr>
            <w:r w:rsidRPr="005C2A0F">
              <w:rPr>
                <w:lang w:val="en-GB"/>
              </w:rPr>
              <w:t>AUM</w:t>
            </w:r>
          </w:p>
        </w:tc>
        <w:tc>
          <w:tcPr>
            <w:tcW w:w="1588" w:type="dxa"/>
            <w:shd w:val="clear" w:color="auto" w:fill="auto"/>
          </w:tcPr>
          <w:p w14:paraId="73229713" w14:textId="2A8B577D" w:rsidR="002D218C" w:rsidRPr="005C2A0F" w:rsidRDefault="002D218C" w:rsidP="002D30C9">
            <w:pPr>
              <w:pStyle w:val="ExhibitText"/>
              <w:rPr>
                <w:lang w:val="en-GB"/>
              </w:rPr>
            </w:pPr>
            <w:r w:rsidRPr="005C2A0F">
              <w:rPr>
                <w:lang w:val="en-GB"/>
              </w:rPr>
              <w:t xml:space="preserve">$250,000,000 </w:t>
            </w:r>
          </w:p>
        </w:tc>
        <w:tc>
          <w:tcPr>
            <w:tcW w:w="1589" w:type="dxa"/>
            <w:shd w:val="clear" w:color="auto" w:fill="auto"/>
          </w:tcPr>
          <w:p w14:paraId="110AAA24" w14:textId="77777777" w:rsidR="002D218C" w:rsidRPr="005C2A0F" w:rsidRDefault="002D218C" w:rsidP="002D30C9">
            <w:pPr>
              <w:pStyle w:val="ExhibitText"/>
              <w:rPr>
                <w:lang w:val="en-GB"/>
              </w:rPr>
            </w:pPr>
          </w:p>
        </w:tc>
        <w:tc>
          <w:tcPr>
            <w:tcW w:w="1800" w:type="dxa"/>
            <w:shd w:val="clear" w:color="auto" w:fill="auto"/>
          </w:tcPr>
          <w:p w14:paraId="612DF2D4" w14:textId="77777777" w:rsidR="002D218C" w:rsidRPr="005C2A0F" w:rsidRDefault="002D218C" w:rsidP="002D30C9">
            <w:pPr>
              <w:pStyle w:val="ExhibitText"/>
              <w:rPr>
                <w:lang w:val="en-GB"/>
              </w:rPr>
            </w:pPr>
            <w:r w:rsidRPr="005C2A0F">
              <w:rPr>
                <w:lang w:val="en-GB"/>
              </w:rPr>
              <w:t>AUM</w:t>
            </w:r>
          </w:p>
        </w:tc>
        <w:tc>
          <w:tcPr>
            <w:tcW w:w="630" w:type="dxa"/>
            <w:shd w:val="clear" w:color="auto" w:fill="auto"/>
          </w:tcPr>
          <w:p w14:paraId="3AC9A15B" w14:textId="77777777" w:rsidR="002D218C" w:rsidRPr="005C2A0F" w:rsidRDefault="002D218C" w:rsidP="002D30C9">
            <w:pPr>
              <w:pStyle w:val="ExhibitText"/>
              <w:rPr>
                <w:lang w:val="en-GB"/>
              </w:rPr>
            </w:pPr>
          </w:p>
        </w:tc>
        <w:tc>
          <w:tcPr>
            <w:tcW w:w="1530" w:type="dxa"/>
            <w:shd w:val="clear" w:color="auto" w:fill="auto"/>
          </w:tcPr>
          <w:p w14:paraId="644000F0" w14:textId="7A793D6D" w:rsidR="002D218C" w:rsidRPr="005C2A0F" w:rsidRDefault="00F407C4" w:rsidP="00F407C4">
            <w:pPr>
              <w:pStyle w:val="ExhibitText"/>
              <w:rPr>
                <w:lang w:val="en-GB"/>
              </w:rPr>
            </w:pPr>
            <w:r w:rsidRPr="005C2A0F">
              <w:rPr>
                <w:lang w:val="en-GB"/>
              </w:rPr>
              <w:t>$</w:t>
            </w:r>
            <w:r w:rsidR="002D218C" w:rsidRPr="005C2A0F">
              <w:rPr>
                <w:lang w:val="en-GB"/>
              </w:rPr>
              <w:t xml:space="preserve">500,000,000 </w:t>
            </w:r>
          </w:p>
        </w:tc>
      </w:tr>
      <w:tr w:rsidR="002D218C" w:rsidRPr="005C2A0F" w14:paraId="369CDC13" w14:textId="77777777" w:rsidTr="004D6D79">
        <w:trPr>
          <w:trHeight w:val="257"/>
          <w:jc w:val="center"/>
        </w:trPr>
        <w:tc>
          <w:tcPr>
            <w:tcW w:w="1588" w:type="dxa"/>
            <w:shd w:val="clear" w:color="auto" w:fill="auto"/>
          </w:tcPr>
          <w:p w14:paraId="16196890" w14:textId="77777777" w:rsidR="002D218C" w:rsidRPr="005C2A0F" w:rsidRDefault="002D218C" w:rsidP="002D30C9">
            <w:pPr>
              <w:pStyle w:val="ExhibitText"/>
              <w:rPr>
                <w:lang w:val="en-GB"/>
              </w:rPr>
            </w:pPr>
            <w:r w:rsidRPr="005C2A0F">
              <w:rPr>
                <w:lang w:val="en-GB"/>
              </w:rPr>
              <w:t>Management Fee</w:t>
            </w:r>
          </w:p>
        </w:tc>
        <w:tc>
          <w:tcPr>
            <w:tcW w:w="1588" w:type="dxa"/>
            <w:shd w:val="clear" w:color="auto" w:fill="auto"/>
          </w:tcPr>
          <w:p w14:paraId="67CD1AF3" w14:textId="77777777" w:rsidR="002D218C" w:rsidRPr="005C2A0F" w:rsidRDefault="002D218C" w:rsidP="00531FFA">
            <w:pPr>
              <w:pStyle w:val="ExhibitText"/>
              <w:jc w:val="center"/>
              <w:rPr>
                <w:lang w:val="en-GB"/>
              </w:rPr>
            </w:pPr>
            <w:r w:rsidRPr="005C2A0F">
              <w:rPr>
                <w:lang w:val="en-GB"/>
              </w:rPr>
              <w:t>1.50%</w:t>
            </w:r>
          </w:p>
        </w:tc>
        <w:tc>
          <w:tcPr>
            <w:tcW w:w="1589" w:type="dxa"/>
            <w:shd w:val="clear" w:color="auto" w:fill="auto"/>
          </w:tcPr>
          <w:p w14:paraId="428FD6C9" w14:textId="77777777" w:rsidR="002D218C" w:rsidRPr="005C2A0F" w:rsidRDefault="002D218C" w:rsidP="00531FFA">
            <w:pPr>
              <w:pStyle w:val="ExhibitText"/>
              <w:jc w:val="center"/>
              <w:rPr>
                <w:lang w:val="en-GB"/>
              </w:rPr>
            </w:pPr>
            <w:r w:rsidRPr="005C2A0F">
              <w:rPr>
                <w:lang w:val="en-GB"/>
              </w:rPr>
              <w:t>?</w:t>
            </w:r>
          </w:p>
        </w:tc>
        <w:tc>
          <w:tcPr>
            <w:tcW w:w="1800" w:type="dxa"/>
            <w:shd w:val="clear" w:color="auto" w:fill="auto"/>
          </w:tcPr>
          <w:p w14:paraId="232FB630" w14:textId="77777777" w:rsidR="002D218C" w:rsidRPr="005C2A0F" w:rsidRDefault="002D218C" w:rsidP="002D30C9">
            <w:pPr>
              <w:pStyle w:val="ExhibitText"/>
              <w:rPr>
                <w:lang w:val="en-GB"/>
              </w:rPr>
            </w:pPr>
            <w:r w:rsidRPr="005C2A0F">
              <w:rPr>
                <w:lang w:val="en-GB"/>
              </w:rPr>
              <w:t>Management Fee</w:t>
            </w:r>
          </w:p>
        </w:tc>
        <w:tc>
          <w:tcPr>
            <w:tcW w:w="630" w:type="dxa"/>
            <w:shd w:val="clear" w:color="auto" w:fill="auto"/>
          </w:tcPr>
          <w:p w14:paraId="786D08C1" w14:textId="77777777" w:rsidR="002D218C" w:rsidRPr="005C2A0F" w:rsidRDefault="002D218C" w:rsidP="002D30C9">
            <w:pPr>
              <w:pStyle w:val="ExhibitText"/>
              <w:rPr>
                <w:lang w:val="en-GB"/>
              </w:rPr>
            </w:pPr>
            <w:r w:rsidRPr="005C2A0F">
              <w:rPr>
                <w:lang w:val="en-GB"/>
              </w:rPr>
              <w:t>1%</w:t>
            </w:r>
          </w:p>
        </w:tc>
        <w:tc>
          <w:tcPr>
            <w:tcW w:w="1530" w:type="dxa"/>
            <w:shd w:val="clear" w:color="auto" w:fill="auto"/>
          </w:tcPr>
          <w:p w14:paraId="09F5D299" w14:textId="77777777" w:rsidR="002D218C" w:rsidRPr="005C2A0F" w:rsidRDefault="002D218C" w:rsidP="00531FFA">
            <w:pPr>
              <w:pStyle w:val="ExhibitText"/>
              <w:jc w:val="center"/>
              <w:rPr>
                <w:lang w:val="en-GB"/>
              </w:rPr>
            </w:pPr>
            <w:r w:rsidRPr="005C2A0F">
              <w:rPr>
                <w:lang w:val="en-GB"/>
              </w:rPr>
              <w:t>?</w:t>
            </w:r>
          </w:p>
        </w:tc>
      </w:tr>
      <w:tr w:rsidR="002D218C" w:rsidRPr="005C2A0F" w14:paraId="0998653E" w14:textId="77777777" w:rsidTr="004D6D79">
        <w:trPr>
          <w:trHeight w:val="272"/>
          <w:jc w:val="center"/>
        </w:trPr>
        <w:tc>
          <w:tcPr>
            <w:tcW w:w="1588" w:type="dxa"/>
            <w:shd w:val="clear" w:color="auto" w:fill="auto"/>
          </w:tcPr>
          <w:p w14:paraId="3797BEFE" w14:textId="77777777" w:rsidR="002D218C" w:rsidRPr="005C2A0F" w:rsidRDefault="002D218C" w:rsidP="00531FFA">
            <w:pPr>
              <w:pStyle w:val="ExhibitText"/>
              <w:jc w:val="center"/>
              <w:rPr>
                <w:lang w:val="en-GB"/>
              </w:rPr>
            </w:pPr>
            <w:r w:rsidRPr="005C2A0F">
              <w:rPr>
                <w:lang w:val="en-GB"/>
              </w:rPr>
              <w:t>Return above Benchmark</w:t>
            </w:r>
          </w:p>
        </w:tc>
        <w:tc>
          <w:tcPr>
            <w:tcW w:w="1588" w:type="dxa"/>
            <w:shd w:val="clear" w:color="auto" w:fill="auto"/>
          </w:tcPr>
          <w:p w14:paraId="5386D54A" w14:textId="77777777" w:rsidR="002D218C" w:rsidRPr="005C2A0F" w:rsidRDefault="002D218C" w:rsidP="00531FFA">
            <w:pPr>
              <w:pStyle w:val="ExhibitText"/>
              <w:jc w:val="center"/>
              <w:rPr>
                <w:lang w:val="en-GB"/>
              </w:rPr>
            </w:pPr>
            <w:r w:rsidRPr="005C2A0F">
              <w:rPr>
                <w:lang w:val="en-GB"/>
              </w:rPr>
              <w:t>Performance Fee</w:t>
            </w:r>
          </w:p>
        </w:tc>
        <w:tc>
          <w:tcPr>
            <w:tcW w:w="1589" w:type="dxa"/>
            <w:shd w:val="clear" w:color="auto" w:fill="auto"/>
          </w:tcPr>
          <w:p w14:paraId="76B14881" w14:textId="361C3235" w:rsidR="002D218C" w:rsidRPr="005C2A0F" w:rsidRDefault="002D218C" w:rsidP="00531FFA">
            <w:pPr>
              <w:pStyle w:val="ExhibitText"/>
              <w:jc w:val="center"/>
              <w:rPr>
                <w:lang w:val="en-GB"/>
              </w:rPr>
            </w:pPr>
            <w:r w:rsidRPr="005C2A0F">
              <w:rPr>
                <w:lang w:val="en-GB"/>
              </w:rPr>
              <w:t>Total Revenue (Perf</w:t>
            </w:r>
            <w:r w:rsidR="00B40247">
              <w:rPr>
                <w:lang w:val="en-GB"/>
              </w:rPr>
              <w:t xml:space="preserve"> Fee</w:t>
            </w:r>
            <w:r w:rsidRPr="005C2A0F">
              <w:rPr>
                <w:lang w:val="en-GB"/>
              </w:rPr>
              <w:t xml:space="preserve"> + </w:t>
            </w:r>
            <w:proofErr w:type="spellStart"/>
            <w:r w:rsidRPr="005C2A0F">
              <w:rPr>
                <w:lang w:val="en-GB"/>
              </w:rPr>
              <w:t>Mgmt</w:t>
            </w:r>
            <w:proofErr w:type="spellEnd"/>
            <w:r w:rsidRPr="005C2A0F">
              <w:rPr>
                <w:lang w:val="en-GB"/>
              </w:rPr>
              <w:t xml:space="preserve"> Fee)</w:t>
            </w:r>
          </w:p>
        </w:tc>
        <w:tc>
          <w:tcPr>
            <w:tcW w:w="1800" w:type="dxa"/>
            <w:shd w:val="clear" w:color="auto" w:fill="auto"/>
          </w:tcPr>
          <w:p w14:paraId="0A3767CA" w14:textId="77777777" w:rsidR="002D218C" w:rsidRPr="005C2A0F" w:rsidRDefault="002D218C" w:rsidP="002D30C9">
            <w:pPr>
              <w:pStyle w:val="ExhibitText"/>
              <w:rPr>
                <w:lang w:val="en-GB"/>
              </w:rPr>
            </w:pPr>
          </w:p>
        </w:tc>
        <w:tc>
          <w:tcPr>
            <w:tcW w:w="630" w:type="dxa"/>
            <w:shd w:val="clear" w:color="auto" w:fill="auto"/>
          </w:tcPr>
          <w:p w14:paraId="0A956BA8" w14:textId="77777777" w:rsidR="002D218C" w:rsidRPr="005C2A0F" w:rsidRDefault="002D218C" w:rsidP="002D30C9">
            <w:pPr>
              <w:pStyle w:val="ExhibitText"/>
              <w:rPr>
                <w:lang w:val="en-GB"/>
              </w:rPr>
            </w:pPr>
          </w:p>
        </w:tc>
        <w:tc>
          <w:tcPr>
            <w:tcW w:w="1530" w:type="dxa"/>
            <w:shd w:val="clear" w:color="auto" w:fill="auto"/>
          </w:tcPr>
          <w:p w14:paraId="214FB325" w14:textId="77777777" w:rsidR="002D218C" w:rsidRPr="005C2A0F" w:rsidRDefault="002D218C" w:rsidP="002D30C9">
            <w:pPr>
              <w:pStyle w:val="ExhibitText"/>
              <w:rPr>
                <w:lang w:val="en-GB"/>
              </w:rPr>
            </w:pPr>
          </w:p>
        </w:tc>
      </w:tr>
      <w:tr w:rsidR="002D218C" w:rsidRPr="005C2A0F" w14:paraId="4919C89D" w14:textId="77777777" w:rsidTr="004D6D79">
        <w:trPr>
          <w:trHeight w:val="257"/>
          <w:jc w:val="center"/>
        </w:trPr>
        <w:tc>
          <w:tcPr>
            <w:tcW w:w="1588" w:type="dxa"/>
            <w:shd w:val="clear" w:color="auto" w:fill="auto"/>
          </w:tcPr>
          <w:p w14:paraId="3670A3FC" w14:textId="77777777" w:rsidR="002D218C" w:rsidRPr="005C2A0F" w:rsidRDefault="002D218C" w:rsidP="00531FFA">
            <w:pPr>
              <w:pStyle w:val="ExhibitText"/>
              <w:tabs>
                <w:tab w:val="decimal" w:pos="698"/>
              </w:tabs>
              <w:rPr>
                <w:lang w:val="en-GB"/>
              </w:rPr>
            </w:pPr>
            <w:r w:rsidRPr="005C2A0F">
              <w:rPr>
                <w:lang w:val="en-GB"/>
              </w:rPr>
              <w:t>1%</w:t>
            </w:r>
          </w:p>
        </w:tc>
        <w:tc>
          <w:tcPr>
            <w:tcW w:w="1588" w:type="dxa"/>
            <w:shd w:val="clear" w:color="auto" w:fill="auto"/>
          </w:tcPr>
          <w:p w14:paraId="1A4FD7AF" w14:textId="77777777" w:rsidR="002D218C" w:rsidRPr="005C2A0F" w:rsidRDefault="002D218C" w:rsidP="00531FFA">
            <w:pPr>
              <w:pStyle w:val="ExhibitText"/>
              <w:jc w:val="center"/>
              <w:rPr>
                <w:lang w:val="en-GB"/>
              </w:rPr>
            </w:pPr>
            <w:r w:rsidRPr="005C2A0F">
              <w:rPr>
                <w:lang w:val="en-GB"/>
              </w:rPr>
              <w:t>?</w:t>
            </w:r>
          </w:p>
        </w:tc>
        <w:tc>
          <w:tcPr>
            <w:tcW w:w="1589" w:type="dxa"/>
            <w:shd w:val="clear" w:color="auto" w:fill="auto"/>
          </w:tcPr>
          <w:p w14:paraId="041225F3" w14:textId="77777777" w:rsidR="002D218C" w:rsidRPr="005C2A0F" w:rsidRDefault="002D218C" w:rsidP="00531FFA">
            <w:pPr>
              <w:pStyle w:val="ExhibitText"/>
              <w:jc w:val="center"/>
              <w:rPr>
                <w:lang w:val="en-GB"/>
              </w:rPr>
            </w:pPr>
            <w:r w:rsidRPr="005C2A0F">
              <w:rPr>
                <w:lang w:val="en-GB"/>
              </w:rPr>
              <w:t>?</w:t>
            </w:r>
          </w:p>
        </w:tc>
        <w:tc>
          <w:tcPr>
            <w:tcW w:w="1800" w:type="dxa"/>
            <w:shd w:val="clear" w:color="auto" w:fill="auto"/>
          </w:tcPr>
          <w:p w14:paraId="474698CB" w14:textId="77777777" w:rsidR="002D218C" w:rsidRPr="005C2A0F" w:rsidRDefault="002D218C" w:rsidP="002D30C9">
            <w:pPr>
              <w:pStyle w:val="ExhibitText"/>
              <w:rPr>
                <w:lang w:val="en-GB"/>
              </w:rPr>
            </w:pPr>
          </w:p>
        </w:tc>
        <w:tc>
          <w:tcPr>
            <w:tcW w:w="630" w:type="dxa"/>
            <w:shd w:val="clear" w:color="auto" w:fill="auto"/>
          </w:tcPr>
          <w:p w14:paraId="7A608274" w14:textId="77777777" w:rsidR="002D218C" w:rsidRPr="005C2A0F" w:rsidRDefault="002D218C" w:rsidP="002D30C9">
            <w:pPr>
              <w:pStyle w:val="ExhibitText"/>
              <w:rPr>
                <w:lang w:val="en-GB"/>
              </w:rPr>
            </w:pPr>
          </w:p>
        </w:tc>
        <w:tc>
          <w:tcPr>
            <w:tcW w:w="1530" w:type="dxa"/>
            <w:shd w:val="clear" w:color="auto" w:fill="auto"/>
          </w:tcPr>
          <w:p w14:paraId="63798CC2" w14:textId="77777777" w:rsidR="002D218C" w:rsidRPr="005C2A0F" w:rsidRDefault="002D218C" w:rsidP="002D30C9">
            <w:pPr>
              <w:pStyle w:val="ExhibitText"/>
              <w:rPr>
                <w:lang w:val="en-GB"/>
              </w:rPr>
            </w:pPr>
          </w:p>
        </w:tc>
      </w:tr>
      <w:tr w:rsidR="002D218C" w:rsidRPr="005C2A0F" w14:paraId="223E261D" w14:textId="77777777" w:rsidTr="004D6D79">
        <w:trPr>
          <w:trHeight w:val="257"/>
          <w:jc w:val="center"/>
        </w:trPr>
        <w:tc>
          <w:tcPr>
            <w:tcW w:w="1588" w:type="dxa"/>
            <w:shd w:val="clear" w:color="auto" w:fill="auto"/>
          </w:tcPr>
          <w:p w14:paraId="7D321C94" w14:textId="77777777" w:rsidR="002D218C" w:rsidRPr="005C2A0F" w:rsidRDefault="002D218C" w:rsidP="00531FFA">
            <w:pPr>
              <w:pStyle w:val="ExhibitText"/>
              <w:tabs>
                <w:tab w:val="decimal" w:pos="698"/>
              </w:tabs>
              <w:rPr>
                <w:lang w:val="en-GB"/>
              </w:rPr>
            </w:pPr>
            <w:r w:rsidRPr="005C2A0F">
              <w:rPr>
                <w:lang w:val="en-GB"/>
              </w:rPr>
              <w:t>2%</w:t>
            </w:r>
          </w:p>
        </w:tc>
        <w:tc>
          <w:tcPr>
            <w:tcW w:w="1588" w:type="dxa"/>
            <w:shd w:val="clear" w:color="auto" w:fill="auto"/>
          </w:tcPr>
          <w:p w14:paraId="067F490A" w14:textId="77777777" w:rsidR="002D218C" w:rsidRPr="005C2A0F" w:rsidRDefault="002D218C" w:rsidP="00531FFA">
            <w:pPr>
              <w:pStyle w:val="ExhibitText"/>
              <w:jc w:val="center"/>
              <w:rPr>
                <w:lang w:val="en-GB"/>
              </w:rPr>
            </w:pPr>
            <w:r w:rsidRPr="005C2A0F">
              <w:rPr>
                <w:lang w:val="en-GB"/>
              </w:rPr>
              <w:t>?</w:t>
            </w:r>
          </w:p>
        </w:tc>
        <w:tc>
          <w:tcPr>
            <w:tcW w:w="1589" w:type="dxa"/>
            <w:shd w:val="clear" w:color="auto" w:fill="auto"/>
          </w:tcPr>
          <w:p w14:paraId="5C21AE11" w14:textId="77777777" w:rsidR="002D218C" w:rsidRPr="005C2A0F" w:rsidRDefault="002D218C" w:rsidP="00531FFA">
            <w:pPr>
              <w:pStyle w:val="ExhibitText"/>
              <w:jc w:val="center"/>
              <w:rPr>
                <w:lang w:val="en-GB"/>
              </w:rPr>
            </w:pPr>
            <w:r w:rsidRPr="005C2A0F">
              <w:rPr>
                <w:lang w:val="en-GB"/>
              </w:rPr>
              <w:t>?</w:t>
            </w:r>
          </w:p>
        </w:tc>
        <w:tc>
          <w:tcPr>
            <w:tcW w:w="1800" w:type="dxa"/>
            <w:shd w:val="clear" w:color="auto" w:fill="auto"/>
          </w:tcPr>
          <w:p w14:paraId="131FAD2D" w14:textId="77777777" w:rsidR="002D218C" w:rsidRPr="005C2A0F" w:rsidRDefault="002D218C" w:rsidP="002D30C9">
            <w:pPr>
              <w:pStyle w:val="ExhibitText"/>
              <w:rPr>
                <w:lang w:val="en-GB"/>
              </w:rPr>
            </w:pPr>
          </w:p>
        </w:tc>
        <w:tc>
          <w:tcPr>
            <w:tcW w:w="630" w:type="dxa"/>
            <w:shd w:val="clear" w:color="auto" w:fill="auto"/>
          </w:tcPr>
          <w:p w14:paraId="41435982" w14:textId="77777777" w:rsidR="002D218C" w:rsidRPr="005C2A0F" w:rsidRDefault="002D218C" w:rsidP="002D30C9">
            <w:pPr>
              <w:pStyle w:val="ExhibitText"/>
              <w:rPr>
                <w:lang w:val="en-GB"/>
              </w:rPr>
            </w:pPr>
          </w:p>
        </w:tc>
        <w:tc>
          <w:tcPr>
            <w:tcW w:w="1530" w:type="dxa"/>
            <w:shd w:val="clear" w:color="auto" w:fill="auto"/>
          </w:tcPr>
          <w:p w14:paraId="4FCDB8FA" w14:textId="77777777" w:rsidR="002D218C" w:rsidRPr="005C2A0F" w:rsidRDefault="002D218C" w:rsidP="002D30C9">
            <w:pPr>
              <w:pStyle w:val="ExhibitText"/>
              <w:rPr>
                <w:lang w:val="en-GB"/>
              </w:rPr>
            </w:pPr>
          </w:p>
        </w:tc>
      </w:tr>
      <w:tr w:rsidR="002D218C" w:rsidRPr="005C2A0F" w14:paraId="4500B2E2" w14:textId="77777777" w:rsidTr="004D6D79">
        <w:trPr>
          <w:trHeight w:val="257"/>
          <w:jc w:val="center"/>
        </w:trPr>
        <w:tc>
          <w:tcPr>
            <w:tcW w:w="1588" w:type="dxa"/>
            <w:shd w:val="clear" w:color="auto" w:fill="auto"/>
          </w:tcPr>
          <w:p w14:paraId="4548F177" w14:textId="77777777" w:rsidR="002D218C" w:rsidRPr="005C2A0F" w:rsidRDefault="002D218C" w:rsidP="00531FFA">
            <w:pPr>
              <w:pStyle w:val="ExhibitText"/>
              <w:tabs>
                <w:tab w:val="decimal" w:pos="698"/>
              </w:tabs>
              <w:rPr>
                <w:lang w:val="en-GB"/>
              </w:rPr>
            </w:pPr>
            <w:r w:rsidRPr="005C2A0F">
              <w:rPr>
                <w:lang w:val="en-GB"/>
              </w:rPr>
              <w:t>5%</w:t>
            </w:r>
          </w:p>
        </w:tc>
        <w:tc>
          <w:tcPr>
            <w:tcW w:w="1588" w:type="dxa"/>
            <w:shd w:val="clear" w:color="auto" w:fill="auto"/>
          </w:tcPr>
          <w:p w14:paraId="1A642E49" w14:textId="77777777" w:rsidR="002D218C" w:rsidRPr="005C2A0F" w:rsidRDefault="002D218C" w:rsidP="00531FFA">
            <w:pPr>
              <w:pStyle w:val="ExhibitText"/>
              <w:jc w:val="center"/>
              <w:rPr>
                <w:lang w:val="en-GB"/>
              </w:rPr>
            </w:pPr>
            <w:r w:rsidRPr="005C2A0F">
              <w:rPr>
                <w:lang w:val="en-GB"/>
              </w:rPr>
              <w:t>?</w:t>
            </w:r>
          </w:p>
        </w:tc>
        <w:tc>
          <w:tcPr>
            <w:tcW w:w="1589" w:type="dxa"/>
            <w:shd w:val="clear" w:color="auto" w:fill="auto"/>
          </w:tcPr>
          <w:p w14:paraId="10506803" w14:textId="77777777" w:rsidR="002D218C" w:rsidRPr="005C2A0F" w:rsidRDefault="002D218C" w:rsidP="00531FFA">
            <w:pPr>
              <w:pStyle w:val="ExhibitText"/>
              <w:jc w:val="center"/>
              <w:rPr>
                <w:lang w:val="en-GB"/>
              </w:rPr>
            </w:pPr>
            <w:r w:rsidRPr="005C2A0F">
              <w:rPr>
                <w:lang w:val="en-GB"/>
              </w:rPr>
              <w:t>?</w:t>
            </w:r>
          </w:p>
        </w:tc>
        <w:tc>
          <w:tcPr>
            <w:tcW w:w="1800" w:type="dxa"/>
            <w:shd w:val="clear" w:color="auto" w:fill="auto"/>
          </w:tcPr>
          <w:p w14:paraId="77B2E51F" w14:textId="77777777" w:rsidR="002D218C" w:rsidRPr="005C2A0F" w:rsidRDefault="002D218C" w:rsidP="002D30C9">
            <w:pPr>
              <w:pStyle w:val="ExhibitText"/>
              <w:rPr>
                <w:lang w:val="en-GB"/>
              </w:rPr>
            </w:pPr>
          </w:p>
        </w:tc>
        <w:tc>
          <w:tcPr>
            <w:tcW w:w="630" w:type="dxa"/>
            <w:shd w:val="clear" w:color="auto" w:fill="auto"/>
          </w:tcPr>
          <w:p w14:paraId="250CD2A5" w14:textId="77777777" w:rsidR="002D218C" w:rsidRPr="005C2A0F" w:rsidRDefault="002D218C" w:rsidP="002D30C9">
            <w:pPr>
              <w:pStyle w:val="ExhibitText"/>
              <w:rPr>
                <w:lang w:val="en-GB"/>
              </w:rPr>
            </w:pPr>
          </w:p>
        </w:tc>
        <w:tc>
          <w:tcPr>
            <w:tcW w:w="1530" w:type="dxa"/>
            <w:shd w:val="clear" w:color="auto" w:fill="auto"/>
          </w:tcPr>
          <w:p w14:paraId="77F9CB7F" w14:textId="77777777" w:rsidR="002D218C" w:rsidRPr="005C2A0F" w:rsidRDefault="002D218C" w:rsidP="002D30C9">
            <w:pPr>
              <w:pStyle w:val="ExhibitText"/>
              <w:rPr>
                <w:lang w:val="en-GB"/>
              </w:rPr>
            </w:pPr>
          </w:p>
        </w:tc>
      </w:tr>
      <w:tr w:rsidR="002D218C" w:rsidRPr="005C2A0F" w14:paraId="457958B7" w14:textId="77777777" w:rsidTr="004D6D79">
        <w:trPr>
          <w:trHeight w:val="272"/>
          <w:jc w:val="center"/>
        </w:trPr>
        <w:tc>
          <w:tcPr>
            <w:tcW w:w="1588" w:type="dxa"/>
            <w:shd w:val="clear" w:color="auto" w:fill="auto"/>
          </w:tcPr>
          <w:p w14:paraId="46DB69BC" w14:textId="77777777" w:rsidR="002D218C" w:rsidRPr="005C2A0F" w:rsidRDefault="002D218C" w:rsidP="00531FFA">
            <w:pPr>
              <w:pStyle w:val="ExhibitText"/>
              <w:tabs>
                <w:tab w:val="decimal" w:pos="698"/>
              </w:tabs>
              <w:rPr>
                <w:lang w:val="en-GB"/>
              </w:rPr>
            </w:pPr>
            <w:r w:rsidRPr="005C2A0F">
              <w:rPr>
                <w:lang w:val="en-GB"/>
              </w:rPr>
              <w:t>10%</w:t>
            </w:r>
          </w:p>
        </w:tc>
        <w:tc>
          <w:tcPr>
            <w:tcW w:w="1588" w:type="dxa"/>
            <w:shd w:val="clear" w:color="auto" w:fill="auto"/>
          </w:tcPr>
          <w:p w14:paraId="6A741EC5" w14:textId="77777777" w:rsidR="002D218C" w:rsidRPr="005C2A0F" w:rsidRDefault="002D218C" w:rsidP="00531FFA">
            <w:pPr>
              <w:pStyle w:val="ExhibitText"/>
              <w:jc w:val="center"/>
              <w:rPr>
                <w:lang w:val="en-GB"/>
              </w:rPr>
            </w:pPr>
            <w:r w:rsidRPr="005C2A0F">
              <w:rPr>
                <w:lang w:val="en-GB"/>
              </w:rPr>
              <w:t>?</w:t>
            </w:r>
          </w:p>
        </w:tc>
        <w:tc>
          <w:tcPr>
            <w:tcW w:w="1589" w:type="dxa"/>
            <w:shd w:val="clear" w:color="auto" w:fill="auto"/>
          </w:tcPr>
          <w:p w14:paraId="03CD64BB" w14:textId="77777777" w:rsidR="002D218C" w:rsidRPr="005C2A0F" w:rsidRDefault="002D218C" w:rsidP="00531FFA">
            <w:pPr>
              <w:pStyle w:val="ExhibitText"/>
              <w:jc w:val="center"/>
              <w:rPr>
                <w:lang w:val="en-GB"/>
              </w:rPr>
            </w:pPr>
            <w:r w:rsidRPr="005C2A0F">
              <w:rPr>
                <w:lang w:val="en-GB"/>
              </w:rPr>
              <w:t>?</w:t>
            </w:r>
          </w:p>
        </w:tc>
        <w:tc>
          <w:tcPr>
            <w:tcW w:w="1800" w:type="dxa"/>
            <w:shd w:val="clear" w:color="auto" w:fill="auto"/>
          </w:tcPr>
          <w:p w14:paraId="799E0264" w14:textId="77777777" w:rsidR="002D218C" w:rsidRPr="005C2A0F" w:rsidRDefault="002D218C" w:rsidP="002D30C9">
            <w:pPr>
              <w:pStyle w:val="ExhibitText"/>
              <w:rPr>
                <w:lang w:val="en-GB"/>
              </w:rPr>
            </w:pPr>
          </w:p>
        </w:tc>
        <w:tc>
          <w:tcPr>
            <w:tcW w:w="630" w:type="dxa"/>
            <w:shd w:val="clear" w:color="auto" w:fill="auto"/>
          </w:tcPr>
          <w:p w14:paraId="3DCEB9D4" w14:textId="77777777" w:rsidR="002D218C" w:rsidRPr="005C2A0F" w:rsidRDefault="002D218C" w:rsidP="002D30C9">
            <w:pPr>
              <w:pStyle w:val="ExhibitText"/>
              <w:rPr>
                <w:lang w:val="en-GB"/>
              </w:rPr>
            </w:pPr>
          </w:p>
        </w:tc>
        <w:tc>
          <w:tcPr>
            <w:tcW w:w="1530" w:type="dxa"/>
            <w:shd w:val="clear" w:color="auto" w:fill="auto"/>
          </w:tcPr>
          <w:p w14:paraId="3EBBCB77" w14:textId="77777777" w:rsidR="002D218C" w:rsidRPr="005C2A0F" w:rsidRDefault="002D218C" w:rsidP="002D30C9">
            <w:pPr>
              <w:pStyle w:val="ExhibitText"/>
              <w:rPr>
                <w:lang w:val="en-GB"/>
              </w:rPr>
            </w:pPr>
          </w:p>
        </w:tc>
      </w:tr>
    </w:tbl>
    <w:p w14:paraId="3D79602B" w14:textId="77777777" w:rsidR="002D218C" w:rsidRPr="005C2A0F" w:rsidRDefault="002D218C" w:rsidP="00F407C4">
      <w:pPr>
        <w:pStyle w:val="ExhibitText"/>
        <w:rPr>
          <w:lang w:val="en-GB"/>
        </w:rPr>
      </w:pPr>
    </w:p>
    <w:p w14:paraId="698FD5B9" w14:textId="7660CC33" w:rsidR="00971CFD" w:rsidRPr="005C2A0F" w:rsidRDefault="00971CFD" w:rsidP="00F407C4">
      <w:pPr>
        <w:pStyle w:val="Footnote"/>
        <w:rPr>
          <w:lang w:val="en-GB"/>
        </w:rPr>
      </w:pPr>
      <w:r w:rsidRPr="005C2A0F">
        <w:rPr>
          <w:lang w:val="en-GB"/>
        </w:rPr>
        <w:t xml:space="preserve">Note: </w:t>
      </w:r>
      <w:r w:rsidR="00B40247" w:rsidRPr="005C2A0F">
        <w:rPr>
          <w:lang w:val="en-GB"/>
        </w:rPr>
        <w:t xml:space="preserve">Note: </w:t>
      </w:r>
      <w:r w:rsidR="00B40247">
        <w:rPr>
          <w:lang w:val="en-GB"/>
        </w:rPr>
        <w:t>AUM = assets under management;</w:t>
      </w:r>
      <w:r w:rsidR="00B40247" w:rsidRPr="005C2A0F">
        <w:rPr>
          <w:lang w:val="en-GB"/>
        </w:rPr>
        <w:t xml:space="preserve"> </w:t>
      </w:r>
      <w:r w:rsidRPr="005C2A0F">
        <w:rPr>
          <w:lang w:val="en-GB"/>
        </w:rPr>
        <w:t xml:space="preserve">Perf </w:t>
      </w:r>
      <w:r w:rsidR="00B40247">
        <w:rPr>
          <w:lang w:val="en-GB"/>
        </w:rPr>
        <w:t xml:space="preserve">Fee </w:t>
      </w:r>
      <w:r w:rsidRPr="005C2A0F">
        <w:rPr>
          <w:lang w:val="en-GB"/>
        </w:rPr>
        <w:t xml:space="preserve">= </w:t>
      </w:r>
      <w:r w:rsidR="00B40247">
        <w:rPr>
          <w:lang w:val="en-GB"/>
        </w:rPr>
        <w:t>p</w:t>
      </w:r>
      <w:r w:rsidRPr="005C2A0F">
        <w:rPr>
          <w:lang w:val="en-GB"/>
        </w:rPr>
        <w:t xml:space="preserve">erformance </w:t>
      </w:r>
      <w:r w:rsidR="00B40247">
        <w:rPr>
          <w:lang w:val="en-GB"/>
        </w:rPr>
        <w:t>f</w:t>
      </w:r>
      <w:r w:rsidRPr="005C2A0F">
        <w:rPr>
          <w:lang w:val="en-GB"/>
        </w:rPr>
        <w:t>ee</w:t>
      </w:r>
      <w:r w:rsidR="00B40247">
        <w:rPr>
          <w:lang w:val="en-GB"/>
        </w:rPr>
        <w:t>;</w:t>
      </w:r>
      <w:r w:rsidRPr="005C2A0F">
        <w:rPr>
          <w:lang w:val="en-GB"/>
        </w:rPr>
        <w:t xml:space="preserve"> </w:t>
      </w:r>
      <w:proofErr w:type="spellStart"/>
      <w:r w:rsidRPr="005C2A0F">
        <w:rPr>
          <w:lang w:val="en-GB"/>
        </w:rPr>
        <w:t>Mgmt</w:t>
      </w:r>
      <w:proofErr w:type="spellEnd"/>
      <w:r w:rsidRPr="005C2A0F">
        <w:rPr>
          <w:lang w:val="en-GB"/>
        </w:rPr>
        <w:t xml:space="preserve"> Fee = </w:t>
      </w:r>
      <w:r w:rsidR="005D42A0">
        <w:rPr>
          <w:lang w:val="en-GB"/>
        </w:rPr>
        <w:t>m</w:t>
      </w:r>
      <w:r w:rsidRPr="005C2A0F">
        <w:rPr>
          <w:lang w:val="en-GB"/>
        </w:rPr>
        <w:t>anagem</w:t>
      </w:r>
      <w:r w:rsidR="00CA04EC" w:rsidRPr="005C2A0F">
        <w:rPr>
          <w:lang w:val="en-GB"/>
        </w:rPr>
        <w:t>en</w:t>
      </w:r>
      <w:r w:rsidRPr="005C2A0F">
        <w:rPr>
          <w:lang w:val="en-GB"/>
        </w:rPr>
        <w:t xml:space="preserve">t </w:t>
      </w:r>
      <w:r w:rsidR="005D42A0">
        <w:rPr>
          <w:lang w:val="en-GB"/>
        </w:rPr>
        <w:t>f</w:t>
      </w:r>
      <w:r w:rsidRPr="005C2A0F">
        <w:rPr>
          <w:lang w:val="en-GB"/>
        </w:rPr>
        <w:t>ee</w:t>
      </w:r>
    </w:p>
    <w:p w14:paraId="746B2829" w14:textId="0C0162B3" w:rsidR="002D218C" w:rsidRPr="005C2A0F" w:rsidRDefault="00F407C4" w:rsidP="00F407C4">
      <w:pPr>
        <w:pStyle w:val="Footnote"/>
        <w:rPr>
          <w:lang w:val="en-GB"/>
        </w:rPr>
      </w:pPr>
      <w:r w:rsidRPr="005C2A0F">
        <w:rPr>
          <w:lang w:val="en-GB"/>
        </w:rPr>
        <w:t>Source</w:t>
      </w:r>
      <w:r w:rsidR="002D218C" w:rsidRPr="005C2A0F">
        <w:rPr>
          <w:lang w:val="en-GB"/>
        </w:rPr>
        <w:t>: Created by the author</w:t>
      </w:r>
      <w:r w:rsidRPr="005C2A0F">
        <w:rPr>
          <w:lang w:val="en-GB"/>
        </w:rPr>
        <w:t>s</w:t>
      </w:r>
      <w:r w:rsidR="005D42A0">
        <w:rPr>
          <w:lang w:val="en-GB"/>
        </w:rPr>
        <w:t>.</w:t>
      </w:r>
    </w:p>
    <w:p w14:paraId="4AFD6DBE" w14:textId="77777777" w:rsidR="00E74629" w:rsidRPr="005C2A0F" w:rsidRDefault="00E74629" w:rsidP="00E74629">
      <w:pPr>
        <w:pStyle w:val="ExhibitText"/>
        <w:rPr>
          <w:lang w:val="en-GB"/>
        </w:rPr>
      </w:pPr>
    </w:p>
    <w:p w14:paraId="7767E497" w14:textId="77777777" w:rsidR="00E74629" w:rsidRPr="005C2A0F" w:rsidRDefault="00E74629" w:rsidP="00E74629">
      <w:pPr>
        <w:pStyle w:val="ExhibitText"/>
        <w:rPr>
          <w:lang w:val="en-GB"/>
        </w:rPr>
      </w:pPr>
    </w:p>
    <w:p w14:paraId="1A3C46B1" w14:textId="77777777" w:rsidR="00E74629" w:rsidRPr="005C2A0F" w:rsidRDefault="00E74629" w:rsidP="00F407C4">
      <w:pPr>
        <w:pStyle w:val="ExhibitText"/>
        <w:rPr>
          <w:lang w:val="en-GB"/>
        </w:rPr>
      </w:pPr>
    </w:p>
    <w:p w14:paraId="1570B26B" w14:textId="77777777" w:rsidR="00E74629" w:rsidRPr="005C2A0F" w:rsidRDefault="00E74629" w:rsidP="00F407C4">
      <w:pPr>
        <w:pStyle w:val="ExhibitText"/>
        <w:rPr>
          <w:lang w:val="en-GB"/>
        </w:rPr>
      </w:pPr>
    </w:p>
    <w:sectPr w:rsidR="00E74629" w:rsidRPr="005C2A0F"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517AE" w16cid:durableId="20F3D85E"/>
  <w16cid:commentId w16cid:paraId="2AC8CCA3" w16cid:durableId="20F3DB8E"/>
  <w16cid:commentId w16cid:paraId="35ACA629" w16cid:durableId="20F3DBAD"/>
  <w16cid:commentId w16cid:paraId="6D66A836" w16cid:durableId="20F3DCA6"/>
  <w16cid:commentId w16cid:paraId="7EDF9835" w16cid:durableId="20F3DD4B"/>
  <w16cid:commentId w16cid:paraId="1E49C53B" w16cid:durableId="20F3DFE4"/>
  <w16cid:commentId w16cid:paraId="144EAFD2" w16cid:durableId="20F3E4FF"/>
  <w16cid:commentId w16cid:paraId="5A718A5E" w16cid:durableId="20F3E5C1"/>
  <w16cid:commentId w16cid:paraId="7BE18B01" w16cid:durableId="20F3E6D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5A2F4" w14:textId="77777777" w:rsidR="00035045" w:rsidRDefault="00035045" w:rsidP="00D75295">
      <w:r>
        <w:separator/>
      </w:r>
    </w:p>
  </w:endnote>
  <w:endnote w:type="continuationSeparator" w:id="0">
    <w:p w14:paraId="0148CCFD" w14:textId="77777777" w:rsidR="00035045" w:rsidRDefault="0003504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360F2" w14:textId="77777777" w:rsidR="00035045" w:rsidRDefault="00035045" w:rsidP="00D75295">
      <w:r>
        <w:separator/>
      </w:r>
    </w:p>
  </w:footnote>
  <w:footnote w:type="continuationSeparator" w:id="0">
    <w:p w14:paraId="58D7055E" w14:textId="77777777" w:rsidR="00035045" w:rsidRDefault="00035045" w:rsidP="00D75295">
      <w:r>
        <w:continuationSeparator/>
      </w:r>
    </w:p>
  </w:footnote>
  <w:footnote w:id="1">
    <w:p w14:paraId="40190268" w14:textId="0A9A8461" w:rsidR="00035045" w:rsidRPr="00DF3EE7" w:rsidRDefault="00035045" w:rsidP="00DF3EE7">
      <w:pPr>
        <w:pStyle w:val="Footnote"/>
        <w:rPr>
          <w:lang w:val="en-CA"/>
        </w:rPr>
      </w:pPr>
      <w:r>
        <w:rPr>
          <w:rStyle w:val="FootnoteReference"/>
        </w:rPr>
        <w:footnoteRef/>
      </w:r>
      <w:r>
        <w:t xml:space="preserve"> </w:t>
      </w:r>
      <w:r>
        <w:rPr>
          <w:lang w:val="en-CA"/>
        </w:rPr>
        <w:t>All currency amounts are in US$.</w:t>
      </w:r>
    </w:p>
  </w:footnote>
  <w:footnote w:id="2">
    <w:p w14:paraId="141C27E1" w14:textId="0FBFAC5A" w:rsidR="00035045" w:rsidRPr="00782216" w:rsidRDefault="00035045" w:rsidP="00971CFD">
      <w:pPr>
        <w:pStyle w:val="Footnote"/>
      </w:pPr>
      <w:r w:rsidRPr="00971CFD">
        <w:rPr>
          <w:vertAlign w:val="superscript"/>
        </w:rPr>
        <w:footnoteRef/>
      </w:r>
      <w:r w:rsidRPr="00782216">
        <w:t xml:space="preserve"> A quant group refer</w:t>
      </w:r>
      <w:r>
        <w:t>red</w:t>
      </w:r>
      <w:r w:rsidRPr="00782216">
        <w:t xml:space="preserve"> to a team that use</w:t>
      </w:r>
      <w:r>
        <w:t>d</w:t>
      </w:r>
      <w:r w:rsidRPr="00782216">
        <w:t xml:space="preserve"> statistical and mathematical methods to derive investment strategies</w:t>
      </w:r>
      <w:r>
        <w:t>.</w:t>
      </w:r>
    </w:p>
  </w:footnote>
  <w:footnote w:id="3">
    <w:p w14:paraId="41D4BABD" w14:textId="53BDEB8B" w:rsidR="00035045" w:rsidRDefault="00035045" w:rsidP="00971CFD">
      <w:pPr>
        <w:pStyle w:val="Footnote"/>
      </w:pPr>
      <w:r w:rsidRPr="00971CFD">
        <w:rPr>
          <w:vertAlign w:val="superscript"/>
        </w:rPr>
        <w:footnoteRef/>
      </w:r>
      <w:r>
        <w:t xml:space="preserve"> </w:t>
      </w:r>
      <w:r w:rsidRPr="00782216">
        <w:t xml:space="preserve">Web scraping </w:t>
      </w:r>
      <w:r>
        <w:t>wa</w:t>
      </w:r>
      <w:r w:rsidRPr="00782216">
        <w:t xml:space="preserve">s </w:t>
      </w:r>
      <w:r>
        <w:t>the process of</w:t>
      </w:r>
      <w:r w:rsidRPr="00782216">
        <w:t xml:space="preserve"> extracting data from websites, </w:t>
      </w:r>
      <w:r>
        <w:t xml:space="preserve">and could be used to derive patterns </w:t>
      </w:r>
      <w:r w:rsidRPr="00782216">
        <w:t>in large data sets</w:t>
      </w:r>
      <w:r>
        <w:t>.</w:t>
      </w:r>
    </w:p>
  </w:footnote>
  <w:footnote w:id="4">
    <w:p w14:paraId="3905E622" w14:textId="541B8160" w:rsidR="00035045" w:rsidRPr="00DF3EE7" w:rsidRDefault="00035045" w:rsidP="00971CFD">
      <w:pPr>
        <w:pStyle w:val="Footnote"/>
        <w:rPr>
          <w:b/>
        </w:rPr>
      </w:pPr>
      <w:r w:rsidRPr="00971CFD">
        <w:rPr>
          <w:vertAlign w:val="superscript"/>
        </w:rPr>
        <w:footnoteRef/>
      </w:r>
      <w:r w:rsidRPr="002E6564">
        <w:t xml:space="preserve"> The </w:t>
      </w:r>
      <w:r>
        <w:t>h</w:t>
      </w:r>
      <w:r w:rsidRPr="002E6564">
        <w:t xml:space="preserve">edge </w:t>
      </w:r>
      <w:r>
        <w:t>f</w:t>
      </w:r>
      <w:r w:rsidRPr="002E6564">
        <w:t xml:space="preserve">und </w:t>
      </w:r>
      <w:r>
        <w:t>i</w:t>
      </w:r>
      <w:r w:rsidRPr="002E6564">
        <w:t>ndex refer</w:t>
      </w:r>
      <w:r>
        <w:t>r</w:t>
      </w:r>
      <w:r w:rsidRPr="002E6564">
        <w:t xml:space="preserve">ed </w:t>
      </w:r>
      <w:r>
        <w:t xml:space="preserve">to </w:t>
      </w:r>
      <w:r w:rsidRPr="002E6564">
        <w:t>the Barclay Hedge Fund Index (Ticker: BGHSHEDG)</w:t>
      </w:r>
      <w:r>
        <w:t xml:space="preserve">. </w:t>
      </w:r>
    </w:p>
  </w:footnote>
  <w:footnote w:id="5">
    <w:p w14:paraId="6FD84EAF" w14:textId="332AB3B2" w:rsidR="00035045" w:rsidRDefault="00035045" w:rsidP="00971CFD">
      <w:pPr>
        <w:pStyle w:val="Footnote"/>
      </w:pPr>
      <w:r w:rsidRPr="00AF5944">
        <w:rPr>
          <w:spacing w:val="-4"/>
          <w:vertAlign w:val="superscript"/>
        </w:rPr>
        <w:footnoteRef/>
      </w:r>
      <w:r w:rsidRPr="00AF5944">
        <w:rPr>
          <w:spacing w:val="-4"/>
          <w:vertAlign w:val="superscript"/>
        </w:rPr>
        <w:t xml:space="preserve"> </w:t>
      </w:r>
      <w:r w:rsidRPr="00AF5944">
        <w:rPr>
          <w:spacing w:val="-4"/>
        </w:rPr>
        <w:t>Passive index funds were investment funds designed to track an index or portfolio</w:t>
      </w:r>
      <w:r>
        <w:t>.</w:t>
      </w:r>
    </w:p>
  </w:footnote>
  <w:footnote w:id="6">
    <w:p w14:paraId="5F6E769A" w14:textId="0E4CF13E" w:rsidR="00035045" w:rsidRDefault="00035045" w:rsidP="00971CFD">
      <w:pPr>
        <w:pStyle w:val="Footnote"/>
      </w:pPr>
      <w:r w:rsidRPr="00971CFD">
        <w:rPr>
          <w:vertAlign w:val="superscript"/>
        </w:rPr>
        <w:footnoteRef/>
      </w:r>
      <w:r>
        <w:t xml:space="preserve"> </w:t>
      </w:r>
      <w:r w:rsidRPr="004E54D6">
        <w:t xml:space="preserve">A sell-side analyst </w:t>
      </w:r>
      <w:r>
        <w:t>wa</w:t>
      </w:r>
      <w:r w:rsidRPr="004E54D6">
        <w:t xml:space="preserve">s an equity research analyst </w:t>
      </w:r>
      <w:r>
        <w:t>who</w:t>
      </w:r>
      <w:r w:rsidRPr="004E54D6">
        <w:t xml:space="preserve"> work</w:t>
      </w:r>
      <w:r>
        <w:t>ed</w:t>
      </w:r>
      <w:r w:rsidRPr="004E54D6">
        <w:t xml:space="preserve"> for a brokerage firm </w:t>
      </w:r>
      <w:r>
        <w:t xml:space="preserve">and </w:t>
      </w:r>
      <w:r w:rsidRPr="004E54D6">
        <w:t>produce</w:t>
      </w:r>
      <w:r>
        <w:t>d</w:t>
      </w:r>
      <w:r w:rsidRPr="004E54D6">
        <w:t xml:space="preserve"> research and/or place</w:t>
      </w:r>
      <w:r>
        <w:t>d</w:t>
      </w:r>
      <w:r w:rsidRPr="004E54D6">
        <w:t xml:space="preserve"> recommendations on stocks and other securities for the use of the </w:t>
      </w:r>
      <w:r>
        <w:t xml:space="preserve">brokerage firm’s </w:t>
      </w:r>
      <w:r w:rsidRPr="004E54D6">
        <w:t>clients.</w:t>
      </w:r>
    </w:p>
  </w:footnote>
  <w:footnote w:id="7">
    <w:p w14:paraId="76D02A9C" w14:textId="53EFC813" w:rsidR="00035045" w:rsidRPr="00A03590" w:rsidRDefault="00035045" w:rsidP="00971CFD">
      <w:pPr>
        <w:pStyle w:val="Footnote"/>
        <w:rPr>
          <w:b/>
        </w:rPr>
      </w:pPr>
      <w:r w:rsidRPr="00971CFD">
        <w:rPr>
          <w:vertAlign w:val="superscript"/>
        </w:rPr>
        <w:footnoteRef/>
      </w:r>
      <w:r w:rsidRPr="00365981">
        <w:t xml:space="preserve"> </w:t>
      </w:r>
      <w:r w:rsidRPr="002E6564">
        <w:t xml:space="preserve">This opportunistic option overlay consisted of consistently rolling </w:t>
      </w:r>
      <w:r>
        <w:t>six</w:t>
      </w:r>
      <w:r w:rsidRPr="002E6564">
        <w:t>-month, 10</w:t>
      </w:r>
      <w:r>
        <w:t xml:space="preserve"> per cent</w:t>
      </w:r>
      <w:r w:rsidRPr="002E6564">
        <w:t xml:space="preserve"> out of the money</w:t>
      </w:r>
      <w:r>
        <w:t xml:space="preserve"> </w:t>
      </w:r>
      <w:r w:rsidRPr="002E6564">
        <w:t>SPY and IWM puts</w:t>
      </w:r>
      <w:r>
        <w:t xml:space="preserve"> (a put option with a strike price 10 per cent lower than the market price of the underlying asset)</w:t>
      </w:r>
      <w:r w:rsidRPr="002E6564">
        <w:t xml:space="preserve"> to hedge against significant market downturns.</w:t>
      </w:r>
      <w:r>
        <w:t xml:space="preserve"> SPY and IWM are both ETFs (Exchange-Traded Funds) that can be used to track their respective indexes, the S&amp;P 500 index and the Russell 2000 index. Both SPY and IWM are highly liquid securities, which make them attractive for hedgers. </w:t>
      </w:r>
    </w:p>
  </w:footnote>
  <w:footnote w:id="8">
    <w:p w14:paraId="732D02CB" w14:textId="38390421" w:rsidR="00035045" w:rsidRPr="00BF1D41" w:rsidRDefault="00035045" w:rsidP="00971CFD">
      <w:pPr>
        <w:pStyle w:val="Footnote"/>
      </w:pPr>
      <w:r w:rsidRPr="00971CFD">
        <w:rPr>
          <w:vertAlign w:val="superscript"/>
        </w:rPr>
        <w:footnoteRef/>
      </w:r>
      <w:r w:rsidRPr="002E6564">
        <w:t xml:space="preserve"> </w:t>
      </w:r>
      <w:r>
        <w:t>As per the</w:t>
      </w:r>
      <w:r>
        <w:rPr>
          <w:i/>
          <w:lang w:val="en-GB"/>
        </w:rPr>
        <w:t xml:space="preserve"> (1940 Act)</w:t>
      </w:r>
      <w:r>
        <w:rPr>
          <w:lang w:val="en-GB"/>
        </w:rPr>
        <w:t xml:space="preserve">, </w:t>
      </w:r>
      <w:r>
        <w:t>an a</w:t>
      </w:r>
      <w:r w:rsidRPr="002E6564">
        <w:t xml:space="preserve">ccredited </w:t>
      </w:r>
      <w:r>
        <w:t>i</w:t>
      </w:r>
      <w:r w:rsidRPr="002E6564">
        <w:t xml:space="preserve">nvestor </w:t>
      </w:r>
      <w:r>
        <w:t>wa</w:t>
      </w:r>
      <w:r w:rsidRPr="002E6564">
        <w:t>s defined as</w:t>
      </w:r>
      <w:r>
        <w:t xml:space="preserve"> one of the following</w:t>
      </w:r>
      <w:r w:rsidRPr="002E6564">
        <w:t xml:space="preserve">: </w:t>
      </w:r>
      <w:r>
        <w:t>(1) a</w:t>
      </w:r>
      <w:r w:rsidRPr="002E6564">
        <w:t>n individual with net worth, or joint net worth with a spouse, in excess of $1 million</w:t>
      </w:r>
      <w:r>
        <w:t>; (2) a</w:t>
      </w:r>
      <w:r w:rsidRPr="002E6564">
        <w:t>n individual with income in excess of $200,000, or joint income with a spouse in excess of $300,000</w:t>
      </w:r>
      <w:r>
        <w:t>;</w:t>
      </w:r>
      <w:r w:rsidRPr="002E6564">
        <w:t xml:space="preserve"> or</w:t>
      </w:r>
      <w:r>
        <w:t xml:space="preserve"> (3) a</w:t>
      </w:r>
      <w:r w:rsidRPr="002E6564">
        <w:t xml:space="preserve"> bank, insurance company, registered broker</w:t>
      </w:r>
      <w:r>
        <w:t>–</w:t>
      </w:r>
      <w:r w:rsidRPr="002E6564">
        <w:t>dealer</w:t>
      </w:r>
      <w:r>
        <w:t>,</w:t>
      </w:r>
      <w:r w:rsidRPr="002E6564">
        <w:t xml:space="preserve"> or investment company, or employee benefit plan with assets in excess of $5 million</w:t>
      </w:r>
      <w:r>
        <w:t>.</w:t>
      </w:r>
    </w:p>
  </w:footnote>
  <w:footnote w:id="9">
    <w:p w14:paraId="0C01ACA4" w14:textId="44872BA7" w:rsidR="00035045" w:rsidRPr="002E6564" w:rsidRDefault="00035045" w:rsidP="00971CFD">
      <w:pPr>
        <w:pStyle w:val="Footnote"/>
      </w:pPr>
      <w:r w:rsidRPr="00971CFD">
        <w:rPr>
          <w:vertAlign w:val="superscript"/>
        </w:rPr>
        <w:footnoteRef/>
      </w:r>
      <w:r w:rsidRPr="002E6564">
        <w:t xml:space="preserve"> </w:t>
      </w:r>
      <w:r>
        <w:t xml:space="preserve">As per the </w:t>
      </w:r>
      <w:r w:rsidRPr="00592228">
        <w:rPr>
          <w:i/>
        </w:rPr>
        <w:t>1940 Act</w:t>
      </w:r>
      <w:r>
        <w:t>, a q</w:t>
      </w:r>
      <w:r w:rsidRPr="002E6564">
        <w:t xml:space="preserve">ualified </w:t>
      </w:r>
      <w:r>
        <w:t>p</w:t>
      </w:r>
      <w:r w:rsidRPr="002E6564">
        <w:t xml:space="preserve">urchaser </w:t>
      </w:r>
      <w:r>
        <w:t>wa</w:t>
      </w:r>
      <w:r w:rsidRPr="002E6564">
        <w:t>s defined as</w:t>
      </w:r>
      <w:r>
        <w:t xml:space="preserve"> one of the following</w:t>
      </w:r>
      <w:r w:rsidRPr="002E6564">
        <w:t>:</w:t>
      </w:r>
      <w:r>
        <w:t xml:space="preserve"> (1) a</w:t>
      </w:r>
      <w:r w:rsidRPr="002E6564">
        <w:t xml:space="preserve"> person</w:t>
      </w:r>
      <w:r>
        <w:t>,</w:t>
      </w:r>
      <w:r w:rsidRPr="002E6564">
        <w:t xml:space="preserve"> or company owned by </w:t>
      </w:r>
      <w:r>
        <w:t>two</w:t>
      </w:r>
      <w:r w:rsidRPr="002E6564">
        <w:t xml:space="preserve"> or more persons who are related as siblings or as spouses</w:t>
      </w:r>
      <w:r>
        <w:t>,</w:t>
      </w:r>
      <w:r w:rsidRPr="002E6564">
        <w:t xml:space="preserve"> with at least $5 million in investments</w:t>
      </w:r>
      <w:r>
        <w:t>; (2) a</w:t>
      </w:r>
      <w:r w:rsidRPr="002E6564">
        <w:t>ny person, acting for his or her own account or the accounts of other qualified purchasers, who owns and invests on a discretionary basis at least $25 million in aggregate investment</w:t>
      </w:r>
      <w:r>
        <w:t>; or (3) a</w:t>
      </w:r>
      <w:r w:rsidRPr="002E6564">
        <w:t xml:space="preserve"> trust that was not formed for the specific purpose of acquiring the offered securities, in which the trustee and each contributor meet </w:t>
      </w:r>
      <w:r>
        <w:t>e</w:t>
      </w:r>
      <w:r w:rsidRPr="002E6564">
        <w:t>ither of the two previous criteria</w:t>
      </w:r>
      <w:r>
        <w:t>.</w:t>
      </w:r>
    </w:p>
  </w:footnote>
  <w:footnote w:id="10">
    <w:p w14:paraId="38FBFBF2" w14:textId="70853076" w:rsidR="00035045" w:rsidRDefault="00035045" w:rsidP="00971CFD">
      <w:pPr>
        <w:pStyle w:val="Footnote"/>
      </w:pPr>
      <w:r w:rsidRPr="00971CFD">
        <w:rPr>
          <w:vertAlign w:val="superscript"/>
        </w:rPr>
        <w:footnoteRef/>
      </w:r>
      <w:r w:rsidRPr="0078652B">
        <w:rPr>
          <w:sz w:val="22"/>
          <w:szCs w:val="22"/>
        </w:rPr>
        <w:t xml:space="preserve"> </w:t>
      </w:r>
      <w:r w:rsidRPr="0078652B">
        <w:t xml:space="preserve">A lock-up period </w:t>
      </w:r>
      <w:r>
        <w:t>wa</w:t>
      </w:r>
      <w:r w:rsidRPr="0078652B">
        <w:t xml:space="preserve">s a window of time </w:t>
      </w:r>
      <w:r>
        <w:t>during which</w:t>
      </w:r>
      <w:r w:rsidRPr="0078652B">
        <w:t xml:space="preserve"> investors </w:t>
      </w:r>
      <w:r>
        <w:t>we</w:t>
      </w:r>
      <w:r w:rsidRPr="0078652B">
        <w:t>re not allowed to redeem or sell their shares in an investment.</w:t>
      </w:r>
      <w:r>
        <w:t xml:space="preserve"> </w:t>
      </w:r>
    </w:p>
  </w:footnote>
  <w:footnote w:id="11">
    <w:p w14:paraId="58FA652E" w14:textId="4E07737B" w:rsidR="00035045" w:rsidRPr="00A03590" w:rsidRDefault="00035045" w:rsidP="00971CFD">
      <w:pPr>
        <w:pStyle w:val="Footnote"/>
        <w:rPr>
          <w:b/>
        </w:rPr>
      </w:pPr>
      <w:r w:rsidRPr="00971CFD">
        <w:rPr>
          <w:vertAlign w:val="superscript"/>
        </w:rPr>
        <w:footnoteRef/>
      </w:r>
      <w:r w:rsidRPr="002E6564">
        <w:t xml:space="preserve"> </w:t>
      </w:r>
      <w:r>
        <w:t xml:space="preserve">U.S. </w:t>
      </w:r>
      <w:r w:rsidRPr="002E6564">
        <w:t>Securities and Exchange Commission</w:t>
      </w:r>
      <w:r>
        <w:t>,</w:t>
      </w:r>
      <w:r w:rsidRPr="002E6564">
        <w:t xml:space="preserve"> </w:t>
      </w:r>
      <w:r w:rsidRPr="00C01306">
        <w:rPr>
          <w:i/>
        </w:rPr>
        <w:t>Investment Companies Reporting Modernization</w:t>
      </w:r>
      <w:r>
        <w:t>,</w:t>
      </w:r>
      <w:r w:rsidRPr="002E6564">
        <w:t xml:space="preserve"> January 17, 2017, </w:t>
      </w:r>
      <w:r>
        <w:t xml:space="preserve">accessed July 1, 2019, </w:t>
      </w:r>
      <w:r w:rsidRPr="002D615C">
        <w:t>www.sec.gov/rules/final/2016/33-10231.pdf</w:t>
      </w:r>
      <w:r>
        <w:t xml:space="preserve">. </w:t>
      </w:r>
    </w:p>
  </w:footnote>
  <w:footnote w:id="12">
    <w:p w14:paraId="7C41515F" w14:textId="29FCE437" w:rsidR="00035045" w:rsidRPr="002E6564" w:rsidRDefault="00035045" w:rsidP="00971CFD">
      <w:pPr>
        <w:pStyle w:val="Footnote"/>
      </w:pPr>
      <w:r w:rsidRPr="00971CFD">
        <w:rPr>
          <w:vertAlign w:val="superscript"/>
        </w:rPr>
        <w:footnoteRef/>
      </w:r>
      <w:r>
        <w:t xml:space="preserve"> As per the </w:t>
      </w:r>
      <w:r w:rsidRPr="00592228">
        <w:rPr>
          <w:i/>
        </w:rPr>
        <w:t>Advisers Act</w:t>
      </w:r>
      <w:r>
        <w:t>, a q</w:t>
      </w:r>
      <w:r w:rsidRPr="002E6564">
        <w:t xml:space="preserve">ualified client </w:t>
      </w:r>
      <w:r>
        <w:t>wa</w:t>
      </w:r>
      <w:r w:rsidRPr="002E6564">
        <w:t>s defined as</w:t>
      </w:r>
      <w:r>
        <w:t xml:space="preserve"> a</w:t>
      </w:r>
      <w:r w:rsidRPr="002E6564">
        <w:t xml:space="preserve"> person or company that ha</w:t>
      </w:r>
      <w:r>
        <w:t>d</w:t>
      </w:r>
      <w:r w:rsidRPr="002E6564">
        <w:t xml:space="preserve"> at least $750,000 under the management of the investment adviser</w:t>
      </w:r>
      <w:r>
        <w:t>;</w:t>
      </w:r>
      <w:r w:rsidRPr="002E6564">
        <w:t xml:space="preserve"> or</w:t>
      </w:r>
      <w:r>
        <w:t xml:space="preserve"> a</w:t>
      </w:r>
      <w:r w:rsidRPr="002E6564">
        <w:t xml:space="preserve"> person or company that ha</w:t>
      </w:r>
      <w:r>
        <w:t>d</w:t>
      </w:r>
      <w:r w:rsidRPr="002E6564">
        <w:t xml:space="preserve"> a net worth of more than $1.5 million</w:t>
      </w:r>
      <w:r>
        <w:t>;</w:t>
      </w:r>
      <w:r w:rsidRPr="002E6564">
        <w:t xml:space="preserve"> or</w:t>
      </w:r>
      <w:r>
        <w:t xml:space="preserve"> a</w:t>
      </w:r>
      <w:r w:rsidRPr="002E6564">
        <w:t xml:space="preserve"> person or company that </w:t>
      </w:r>
      <w:r>
        <w:t>wa</w:t>
      </w:r>
      <w:r w:rsidRPr="002E6564">
        <w:t xml:space="preserve">s a </w:t>
      </w:r>
      <w:r>
        <w:t>q</w:t>
      </w:r>
      <w:r w:rsidRPr="002E6564">
        <w:t xml:space="preserve">ualified </w:t>
      </w:r>
      <w:r>
        <w:t>p</w:t>
      </w:r>
      <w:r w:rsidRPr="002E6564">
        <w:t>urchaser</w:t>
      </w:r>
      <w:r>
        <w:t>.</w:t>
      </w:r>
      <w:r w:rsidRPr="002E6564">
        <w:t xml:space="preserve"> </w:t>
      </w:r>
    </w:p>
  </w:footnote>
  <w:footnote w:id="13">
    <w:p w14:paraId="70DB91F6" w14:textId="6D46D3EB" w:rsidR="00035045" w:rsidRPr="008C7199" w:rsidRDefault="00035045" w:rsidP="00971CFD">
      <w:pPr>
        <w:pStyle w:val="Footnote"/>
        <w:rPr>
          <w:b/>
        </w:rPr>
      </w:pPr>
      <w:r w:rsidRPr="00971CFD">
        <w:rPr>
          <w:vertAlign w:val="superscript"/>
        </w:rPr>
        <w:footnoteRef/>
      </w:r>
      <w:r w:rsidRPr="002E6564">
        <w:t xml:space="preserve"> This </w:t>
      </w:r>
      <w:r>
        <w:t>5 per cent annual return handle was</w:t>
      </w:r>
      <w:r w:rsidRPr="002E6564">
        <w:t xml:space="preserve"> known as a “hurdle rate</w:t>
      </w:r>
      <w:r>
        <w:t>.</w:t>
      </w:r>
      <w:r w:rsidRPr="002E6564">
        <w:t>” For more information on hurdle rates</w:t>
      </w:r>
      <w:r>
        <w:t>,</w:t>
      </w:r>
      <w:r w:rsidRPr="002E6564">
        <w:t xml:space="preserve"> refer to Exhibit </w:t>
      </w:r>
      <w:r>
        <w:t>5</w:t>
      </w:r>
      <w:r w:rsidRPr="002E6564">
        <w:t>.</w:t>
      </w:r>
      <w:r>
        <w:rPr>
          <w:b/>
        </w:rPr>
        <w:t xml:space="preserve"> </w:t>
      </w:r>
    </w:p>
  </w:footnote>
  <w:footnote w:id="14">
    <w:p w14:paraId="1ADBD72A" w14:textId="65CBEC44" w:rsidR="00035045" w:rsidRDefault="00035045" w:rsidP="00971CFD">
      <w:pPr>
        <w:pStyle w:val="Footnote"/>
      </w:pPr>
      <w:r w:rsidRPr="00971CFD">
        <w:rPr>
          <w:vertAlign w:val="superscript"/>
        </w:rPr>
        <w:footnoteRef/>
      </w:r>
      <w:r w:rsidRPr="00971CFD">
        <w:rPr>
          <w:vertAlign w:val="superscript"/>
        </w:rPr>
        <w:t xml:space="preserve"> </w:t>
      </w:r>
      <w:r>
        <w:t xml:space="preserve">The </w:t>
      </w:r>
      <w:r w:rsidRPr="00531FFA">
        <w:rPr>
          <w:i/>
        </w:rPr>
        <w:t>JOBS Act</w:t>
      </w:r>
      <w:r>
        <w:t xml:space="preserve"> referred to the </w:t>
      </w:r>
      <w:r w:rsidRPr="00531FFA">
        <w:rPr>
          <w:i/>
        </w:rPr>
        <w:t>Jumpstart Our Business Startups Act</w:t>
      </w:r>
      <w:r>
        <w:t xml:space="preserve">, which intended to encourage the funding of small businesses in the United States by relaxing some of the regulations that impacted small firms. One of the changes from the </w:t>
      </w:r>
      <w:r w:rsidRPr="00531FFA">
        <w:rPr>
          <w:i/>
        </w:rPr>
        <w:t>JOBS Act</w:t>
      </w:r>
      <w:r>
        <w:t xml:space="preserve"> was to allow hedge funds to market their funds to the general public, not just accredited investors. This amendment did not, however, change the restrictions on the type of investors hedge funds could accept while still maintaining exemption from section 3(c)(1) or section 3(c)(7) of the </w:t>
      </w:r>
      <w:r w:rsidRPr="00531FFA">
        <w:rPr>
          <w:i/>
        </w:rPr>
        <w:t>1940</w:t>
      </w:r>
      <w:r>
        <w:rPr>
          <w:i/>
        </w:rPr>
        <w:t xml:space="preserve"> Act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2AAABAA" w:rsidR="00035045" w:rsidRPr="00C92CC4" w:rsidRDefault="0003504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E1E44">
      <w:rPr>
        <w:rFonts w:ascii="Arial" w:hAnsi="Arial"/>
        <w:b/>
        <w:noProof/>
      </w:rPr>
      <w:t>13</w:t>
    </w:r>
    <w:r>
      <w:rPr>
        <w:rFonts w:ascii="Arial" w:hAnsi="Arial"/>
        <w:b/>
      </w:rPr>
      <w:fldChar w:fldCharType="end"/>
    </w:r>
    <w:r>
      <w:rPr>
        <w:rFonts w:ascii="Arial" w:hAnsi="Arial"/>
        <w:b/>
      </w:rPr>
      <w:tab/>
    </w:r>
    <w:r w:rsidR="00B5233D" w:rsidRPr="00B5233D">
      <w:rPr>
        <w:rFonts w:ascii="Arial" w:hAnsi="Arial"/>
        <w:b/>
      </w:rPr>
      <w:t>9B19N015</w:t>
    </w:r>
  </w:p>
  <w:p w14:paraId="2B53C0A0" w14:textId="77777777" w:rsidR="00035045" w:rsidRDefault="00035045" w:rsidP="00D13667">
    <w:pPr>
      <w:pStyle w:val="Header"/>
      <w:tabs>
        <w:tab w:val="clear" w:pos="4680"/>
      </w:tabs>
      <w:rPr>
        <w:sz w:val="18"/>
        <w:szCs w:val="18"/>
      </w:rPr>
    </w:pPr>
  </w:p>
  <w:p w14:paraId="47119730" w14:textId="77777777" w:rsidR="00035045" w:rsidRPr="00C92CC4" w:rsidRDefault="0003504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9741EB"/>
    <w:multiLevelType w:val="hybridMultilevel"/>
    <w:tmpl w:val="49F0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71649A"/>
    <w:multiLevelType w:val="hybridMultilevel"/>
    <w:tmpl w:val="0EBA72BE"/>
    <w:lvl w:ilvl="0" w:tplc="61FA212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F6713"/>
    <w:multiLevelType w:val="hybridMultilevel"/>
    <w:tmpl w:val="F522C6F4"/>
    <w:lvl w:ilvl="0" w:tplc="F9C80C2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
  </w:num>
  <w:num w:numId="4">
    <w:abstractNumId w:val="12"/>
  </w:num>
  <w:num w:numId="5">
    <w:abstractNumId w:val="3"/>
  </w:num>
  <w:num w:numId="6">
    <w:abstractNumId w:val="10"/>
  </w:num>
  <w:num w:numId="7">
    <w:abstractNumId w:val="0"/>
  </w:num>
  <w:num w:numId="8">
    <w:abstractNumId w:val="14"/>
  </w:num>
  <w:num w:numId="9">
    <w:abstractNumId w:val="11"/>
  </w:num>
  <w:num w:numId="10">
    <w:abstractNumId w:val="1"/>
  </w:num>
  <w:num w:numId="11">
    <w:abstractNumId w:val="8"/>
  </w:num>
  <w:num w:numId="12">
    <w:abstractNumId w:val="9"/>
  </w:num>
  <w:num w:numId="13">
    <w:abstractNumId w:val="7"/>
  </w:num>
  <w:num w:numId="14">
    <w:abstractNumId w:val="4"/>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D5B"/>
    <w:rsid w:val="00013360"/>
    <w:rsid w:val="00016759"/>
    <w:rsid w:val="000216CE"/>
    <w:rsid w:val="00024D58"/>
    <w:rsid w:val="00024ED4"/>
    <w:rsid w:val="00025DC7"/>
    <w:rsid w:val="00035045"/>
    <w:rsid w:val="00035F09"/>
    <w:rsid w:val="00044ECC"/>
    <w:rsid w:val="000531D3"/>
    <w:rsid w:val="0005646B"/>
    <w:rsid w:val="000615D1"/>
    <w:rsid w:val="000662E1"/>
    <w:rsid w:val="0008102D"/>
    <w:rsid w:val="00086B26"/>
    <w:rsid w:val="0009232F"/>
    <w:rsid w:val="00094C0E"/>
    <w:rsid w:val="000A146D"/>
    <w:rsid w:val="000B40CF"/>
    <w:rsid w:val="000C740C"/>
    <w:rsid w:val="000D2A2F"/>
    <w:rsid w:val="000D7091"/>
    <w:rsid w:val="000F0C22"/>
    <w:rsid w:val="000F6B09"/>
    <w:rsid w:val="000F6FDC"/>
    <w:rsid w:val="00104567"/>
    <w:rsid w:val="00104916"/>
    <w:rsid w:val="00104AA7"/>
    <w:rsid w:val="0012732D"/>
    <w:rsid w:val="0013213D"/>
    <w:rsid w:val="00133326"/>
    <w:rsid w:val="00143644"/>
    <w:rsid w:val="00143F25"/>
    <w:rsid w:val="001476BF"/>
    <w:rsid w:val="00151AD0"/>
    <w:rsid w:val="00152682"/>
    <w:rsid w:val="00154FC9"/>
    <w:rsid w:val="001901C0"/>
    <w:rsid w:val="0019241A"/>
    <w:rsid w:val="00192A18"/>
    <w:rsid w:val="001A22D1"/>
    <w:rsid w:val="001A752D"/>
    <w:rsid w:val="001A757E"/>
    <w:rsid w:val="001B5032"/>
    <w:rsid w:val="001C1202"/>
    <w:rsid w:val="001C7777"/>
    <w:rsid w:val="001D2BC1"/>
    <w:rsid w:val="001D344B"/>
    <w:rsid w:val="001E364F"/>
    <w:rsid w:val="001F3C6C"/>
    <w:rsid w:val="001F4222"/>
    <w:rsid w:val="00203AA1"/>
    <w:rsid w:val="00213E98"/>
    <w:rsid w:val="00230150"/>
    <w:rsid w:val="0023081A"/>
    <w:rsid w:val="00233111"/>
    <w:rsid w:val="0026152E"/>
    <w:rsid w:val="00265FA8"/>
    <w:rsid w:val="00271DF7"/>
    <w:rsid w:val="002A45A5"/>
    <w:rsid w:val="002B0C2F"/>
    <w:rsid w:val="002B40FF"/>
    <w:rsid w:val="002B69B3"/>
    <w:rsid w:val="002C4E29"/>
    <w:rsid w:val="002D218C"/>
    <w:rsid w:val="002D30C9"/>
    <w:rsid w:val="002D615C"/>
    <w:rsid w:val="002F460C"/>
    <w:rsid w:val="002F48D6"/>
    <w:rsid w:val="00317391"/>
    <w:rsid w:val="00326216"/>
    <w:rsid w:val="00336580"/>
    <w:rsid w:val="00354899"/>
    <w:rsid w:val="00354CB1"/>
    <w:rsid w:val="00355781"/>
    <w:rsid w:val="00355FD6"/>
    <w:rsid w:val="00364A5C"/>
    <w:rsid w:val="0036635D"/>
    <w:rsid w:val="00373FB1"/>
    <w:rsid w:val="00375B77"/>
    <w:rsid w:val="00395979"/>
    <w:rsid w:val="00396C76"/>
    <w:rsid w:val="003B30D8"/>
    <w:rsid w:val="003B7EF2"/>
    <w:rsid w:val="003C3FA4"/>
    <w:rsid w:val="003C782C"/>
    <w:rsid w:val="003D0BA1"/>
    <w:rsid w:val="003D2A2F"/>
    <w:rsid w:val="003F2B0C"/>
    <w:rsid w:val="004015AC"/>
    <w:rsid w:val="004105B2"/>
    <w:rsid w:val="0041145A"/>
    <w:rsid w:val="00412900"/>
    <w:rsid w:val="004221E4"/>
    <w:rsid w:val="00423BB1"/>
    <w:rsid w:val="004273F8"/>
    <w:rsid w:val="004355A3"/>
    <w:rsid w:val="004426D8"/>
    <w:rsid w:val="00446546"/>
    <w:rsid w:val="00452769"/>
    <w:rsid w:val="00454FA7"/>
    <w:rsid w:val="00465348"/>
    <w:rsid w:val="00476196"/>
    <w:rsid w:val="00477FD7"/>
    <w:rsid w:val="004979A5"/>
    <w:rsid w:val="004A25E0"/>
    <w:rsid w:val="004B1CCB"/>
    <w:rsid w:val="004B632F"/>
    <w:rsid w:val="004B7CC4"/>
    <w:rsid w:val="004C14E7"/>
    <w:rsid w:val="004D3FB1"/>
    <w:rsid w:val="004D6D79"/>
    <w:rsid w:val="004D6F21"/>
    <w:rsid w:val="004D73A5"/>
    <w:rsid w:val="004E54D6"/>
    <w:rsid w:val="005160F1"/>
    <w:rsid w:val="00524F2F"/>
    <w:rsid w:val="00527E5C"/>
    <w:rsid w:val="00531096"/>
    <w:rsid w:val="00531FFA"/>
    <w:rsid w:val="00532CF5"/>
    <w:rsid w:val="005506A3"/>
    <w:rsid w:val="005528CB"/>
    <w:rsid w:val="00566771"/>
    <w:rsid w:val="005712B1"/>
    <w:rsid w:val="00581E2E"/>
    <w:rsid w:val="0058327C"/>
    <w:rsid w:val="00584F15"/>
    <w:rsid w:val="00592228"/>
    <w:rsid w:val="0059514B"/>
    <w:rsid w:val="005A1B0F"/>
    <w:rsid w:val="005B4CE6"/>
    <w:rsid w:val="005B5EFE"/>
    <w:rsid w:val="005C2A0F"/>
    <w:rsid w:val="005D42A0"/>
    <w:rsid w:val="005F62DA"/>
    <w:rsid w:val="00603C86"/>
    <w:rsid w:val="006163F7"/>
    <w:rsid w:val="00627C63"/>
    <w:rsid w:val="0063350B"/>
    <w:rsid w:val="00641CFF"/>
    <w:rsid w:val="006512CD"/>
    <w:rsid w:val="00652606"/>
    <w:rsid w:val="00663A0F"/>
    <w:rsid w:val="006946EE"/>
    <w:rsid w:val="006A58A9"/>
    <w:rsid w:val="006A606D"/>
    <w:rsid w:val="006B00B4"/>
    <w:rsid w:val="006C0371"/>
    <w:rsid w:val="006C08B6"/>
    <w:rsid w:val="006C0B1A"/>
    <w:rsid w:val="006C6065"/>
    <w:rsid w:val="006C7F9F"/>
    <w:rsid w:val="006E2F6D"/>
    <w:rsid w:val="006E58F6"/>
    <w:rsid w:val="006E77E1"/>
    <w:rsid w:val="006F131D"/>
    <w:rsid w:val="00711642"/>
    <w:rsid w:val="00713A18"/>
    <w:rsid w:val="00743263"/>
    <w:rsid w:val="007447F2"/>
    <w:rsid w:val="007507C6"/>
    <w:rsid w:val="00751E0B"/>
    <w:rsid w:val="00752BCD"/>
    <w:rsid w:val="007629AA"/>
    <w:rsid w:val="00766DA1"/>
    <w:rsid w:val="0077513F"/>
    <w:rsid w:val="00780D94"/>
    <w:rsid w:val="00782216"/>
    <w:rsid w:val="0078652B"/>
    <w:rsid w:val="007866A6"/>
    <w:rsid w:val="007872EC"/>
    <w:rsid w:val="00791B2B"/>
    <w:rsid w:val="007A130D"/>
    <w:rsid w:val="007D1A2D"/>
    <w:rsid w:val="007D32E6"/>
    <w:rsid w:val="007D4102"/>
    <w:rsid w:val="007E1E44"/>
    <w:rsid w:val="007E2333"/>
    <w:rsid w:val="007E54A7"/>
    <w:rsid w:val="007F43B7"/>
    <w:rsid w:val="0080047D"/>
    <w:rsid w:val="00821B25"/>
    <w:rsid w:val="00821FFC"/>
    <w:rsid w:val="008271CA"/>
    <w:rsid w:val="008467D5"/>
    <w:rsid w:val="00847FAF"/>
    <w:rsid w:val="008A4DC4"/>
    <w:rsid w:val="008B438C"/>
    <w:rsid w:val="008C7199"/>
    <w:rsid w:val="008D06CA"/>
    <w:rsid w:val="008D3A46"/>
    <w:rsid w:val="008E7360"/>
    <w:rsid w:val="008F2385"/>
    <w:rsid w:val="009067A4"/>
    <w:rsid w:val="00930885"/>
    <w:rsid w:val="00933D68"/>
    <w:rsid w:val="009340DB"/>
    <w:rsid w:val="0094618C"/>
    <w:rsid w:val="0095684B"/>
    <w:rsid w:val="00971CFD"/>
    <w:rsid w:val="00972498"/>
    <w:rsid w:val="0097481F"/>
    <w:rsid w:val="00974CC6"/>
    <w:rsid w:val="00976AD4"/>
    <w:rsid w:val="00995547"/>
    <w:rsid w:val="009A312F"/>
    <w:rsid w:val="009A52F8"/>
    <w:rsid w:val="009A5348"/>
    <w:rsid w:val="009B0AB7"/>
    <w:rsid w:val="009C76D5"/>
    <w:rsid w:val="009D4CD4"/>
    <w:rsid w:val="009F7AA4"/>
    <w:rsid w:val="00A00D8E"/>
    <w:rsid w:val="00A01AD2"/>
    <w:rsid w:val="00A03590"/>
    <w:rsid w:val="00A10AD7"/>
    <w:rsid w:val="00A138CD"/>
    <w:rsid w:val="00A23AFA"/>
    <w:rsid w:val="00A323B0"/>
    <w:rsid w:val="00A54207"/>
    <w:rsid w:val="00A559DB"/>
    <w:rsid w:val="00A569EA"/>
    <w:rsid w:val="00A66E43"/>
    <w:rsid w:val="00A676A0"/>
    <w:rsid w:val="00A85BD6"/>
    <w:rsid w:val="00A90150"/>
    <w:rsid w:val="00AA35F9"/>
    <w:rsid w:val="00AC62AA"/>
    <w:rsid w:val="00AF35FC"/>
    <w:rsid w:val="00AF5556"/>
    <w:rsid w:val="00AF5944"/>
    <w:rsid w:val="00B03561"/>
    <w:rsid w:val="00B03639"/>
    <w:rsid w:val="00B0652A"/>
    <w:rsid w:val="00B26BC5"/>
    <w:rsid w:val="00B33127"/>
    <w:rsid w:val="00B33823"/>
    <w:rsid w:val="00B40247"/>
    <w:rsid w:val="00B40937"/>
    <w:rsid w:val="00B423EF"/>
    <w:rsid w:val="00B453DE"/>
    <w:rsid w:val="00B5233D"/>
    <w:rsid w:val="00B55C74"/>
    <w:rsid w:val="00B6052C"/>
    <w:rsid w:val="00B62497"/>
    <w:rsid w:val="00B66623"/>
    <w:rsid w:val="00B678C8"/>
    <w:rsid w:val="00B72597"/>
    <w:rsid w:val="00B7333A"/>
    <w:rsid w:val="00B83AA2"/>
    <w:rsid w:val="00B87DC0"/>
    <w:rsid w:val="00B901F9"/>
    <w:rsid w:val="00B9536E"/>
    <w:rsid w:val="00B9676B"/>
    <w:rsid w:val="00BA37AE"/>
    <w:rsid w:val="00BA37FD"/>
    <w:rsid w:val="00BB1907"/>
    <w:rsid w:val="00BC4D98"/>
    <w:rsid w:val="00BD41D8"/>
    <w:rsid w:val="00BD6EFB"/>
    <w:rsid w:val="00BE3DF5"/>
    <w:rsid w:val="00BF5EAB"/>
    <w:rsid w:val="00C01306"/>
    <w:rsid w:val="00C02410"/>
    <w:rsid w:val="00C1584D"/>
    <w:rsid w:val="00C15BE2"/>
    <w:rsid w:val="00C25F86"/>
    <w:rsid w:val="00C3447F"/>
    <w:rsid w:val="00C3614C"/>
    <w:rsid w:val="00C44714"/>
    <w:rsid w:val="00C52974"/>
    <w:rsid w:val="00C64DA6"/>
    <w:rsid w:val="00C67102"/>
    <w:rsid w:val="00C81491"/>
    <w:rsid w:val="00C81676"/>
    <w:rsid w:val="00C85C5D"/>
    <w:rsid w:val="00C86AE6"/>
    <w:rsid w:val="00C92CC4"/>
    <w:rsid w:val="00CA04EC"/>
    <w:rsid w:val="00CA0AFB"/>
    <w:rsid w:val="00CA2CE1"/>
    <w:rsid w:val="00CA3976"/>
    <w:rsid w:val="00CA50E3"/>
    <w:rsid w:val="00CA5906"/>
    <w:rsid w:val="00CA707C"/>
    <w:rsid w:val="00CA757B"/>
    <w:rsid w:val="00CC1787"/>
    <w:rsid w:val="00CC182C"/>
    <w:rsid w:val="00CC4CC6"/>
    <w:rsid w:val="00CD0824"/>
    <w:rsid w:val="00CD19AD"/>
    <w:rsid w:val="00CD2908"/>
    <w:rsid w:val="00CD65E0"/>
    <w:rsid w:val="00D03A82"/>
    <w:rsid w:val="00D13667"/>
    <w:rsid w:val="00D15344"/>
    <w:rsid w:val="00D23F57"/>
    <w:rsid w:val="00D31BEC"/>
    <w:rsid w:val="00D63150"/>
    <w:rsid w:val="00D636BA"/>
    <w:rsid w:val="00D64A32"/>
    <w:rsid w:val="00D64EFC"/>
    <w:rsid w:val="00D6546E"/>
    <w:rsid w:val="00D75295"/>
    <w:rsid w:val="00D76CE9"/>
    <w:rsid w:val="00D97F12"/>
    <w:rsid w:val="00DA6095"/>
    <w:rsid w:val="00DB42E7"/>
    <w:rsid w:val="00DC09D8"/>
    <w:rsid w:val="00DC7B27"/>
    <w:rsid w:val="00DE01A6"/>
    <w:rsid w:val="00DE7A98"/>
    <w:rsid w:val="00DF32C2"/>
    <w:rsid w:val="00DF3EE7"/>
    <w:rsid w:val="00E10B48"/>
    <w:rsid w:val="00E21824"/>
    <w:rsid w:val="00E43651"/>
    <w:rsid w:val="00E471A7"/>
    <w:rsid w:val="00E635CF"/>
    <w:rsid w:val="00E74629"/>
    <w:rsid w:val="00E937E1"/>
    <w:rsid w:val="00EB1E3B"/>
    <w:rsid w:val="00EB7EB8"/>
    <w:rsid w:val="00EC5321"/>
    <w:rsid w:val="00EC6E0A"/>
    <w:rsid w:val="00ED4E18"/>
    <w:rsid w:val="00ED7922"/>
    <w:rsid w:val="00EE02C4"/>
    <w:rsid w:val="00EE1F37"/>
    <w:rsid w:val="00EE37D3"/>
    <w:rsid w:val="00EE4A87"/>
    <w:rsid w:val="00EE7746"/>
    <w:rsid w:val="00F00232"/>
    <w:rsid w:val="00F0159C"/>
    <w:rsid w:val="00F053F7"/>
    <w:rsid w:val="00F105B7"/>
    <w:rsid w:val="00F13220"/>
    <w:rsid w:val="00F17A21"/>
    <w:rsid w:val="00F3021E"/>
    <w:rsid w:val="00F36FC2"/>
    <w:rsid w:val="00F37B27"/>
    <w:rsid w:val="00F407C4"/>
    <w:rsid w:val="00F46556"/>
    <w:rsid w:val="00F50E91"/>
    <w:rsid w:val="00F56799"/>
    <w:rsid w:val="00F57D29"/>
    <w:rsid w:val="00F60786"/>
    <w:rsid w:val="00F6762E"/>
    <w:rsid w:val="00F90BFB"/>
    <w:rsid w:val="00F91BC7"/>
    <w:rsid w:val="00F96201"/>
    <w:rsid w:val="00FA1BBC"/>
    <w:rsid w:val="00FC6ABA"/>
    <w:rsid w:val="00FC6B37"/>
    <w:rsid w:val="00FD0B18"/>
    <w:rsid w:val="00FD2FAD"/>
    <w:rsid w:val="00FE714F"/>
    <w:rsid w:val="00FE7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779AA937"/>
  <w15:docId w15:val="{ADCC263B-19ED-4A65-A943-17BDE078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147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23960">
      <w:bodyDiv w:val="1"/>
      <w:marLeft w:val="0"/>
      <w:marRight w:val="0"/>
      <w:marTop w:val="0"/>
      <w:marBottom w:val="0"/>
      <w:divBdr>
        <w:top w:val="none" w:sz="0" w:space="0" w:color="auto"/>
        <w:left w:val="none" w:sz="0" w:space="0" w:color="auto"/>
        <w:bottom w:val="none" w:sz="0" w:space="0" w:color="auto"/>
        <w:right w:val="none" w:sz="0" w:space="0" w:color="auto"/>
      </w:divBdr>
      <w:divsChild>
        <w:div w:id="1295023461">
          <w:marLeft w:val="0"/>
          <w:marRight w:val="0"/>
          <w:marTop w:val="0"/>
          <w:marBottom w:val="0"/>
          <w:divBdr>
            <w:top w:val="none" w:sz="0" w:space="0" w:color="auto"/>
            <w:left w:val="none" w:sz="0" w:space="0" w:color="auto"/>
            <w:bottom w:val="none" w:sz="0" w:space="0" w:color="auto"/>
            <w:right w:val="none" w:sz="0" w:space="0" w:color="auto"/>
          </w:divBdr>
        </w:div>
        <w:div w:id="844824798">
          <w:marLeft w:val="0"/>
          <w:marRight w:val="0"/>
          <w:marTop w:val="0"/>
          <w:marBottom w:val="0"/>
          <w:divBdr>
            <w:top w:val="none" w:sz="0" w:space="0" w:color="auto"/>
            <w:left w:val="none" w:sz="0" w:space="0" w:color="auto"/>
            <w:bottom w:val="none" w:sz="0" w:space="0" w:color="auto"/>
            <w:right w:val="none" w:sz="0" w:space="0" w:color="auto"/>
          </w:divBdr>
        </w:div>
        <w:div w:id="1438524211">
          <w:marLeft w:val="0"/>
          <w:marRight w:val="0"/>
          <w:marTop w:val="0"/>
          <w:marBottom w:val="0"/>
          <w:divBdr>
            <w:top w:val="none" w:sz="0" w:space="0" w:color="auto"/>
            <w:left w:val="none" w:sz="0" w:space="0" w:color="auto"/>
            <w:bottom w:val="none" w:sz="0" w:space="0" w:color="auto"/>
            <w:right w:val="none" w:sz="0" w:space="0" w:color="auto"/>
          </w:divBdr>
        </w:div>
        <w:div w:id="2133942609">
          <w:marLeft w:val="0"/>
          <w:marRight w:val="0"/>
          <w:marTop w:val="0"/>
          <w:marBottom w:val="0"/>
          <w:divBdr>
            <w:top w:val="none" w:sz="0" w:space="0" w:color="auto"/>
            <w:left w:val="none" w:sz="0" w:space="0" w:color="auto"/>
            <w:bottom w:val="none" w:sz="0" w:space="0" w:color="auto"/>
            <w:right w:val="none" w:sz="0" w:space="0" w:color="auto"/>
          </w:divBdr>
        </w:div>
        <w:div w:id="19355905">
          <w:marLeft w:val="0"/>
          <w:marRight w:val="0"/>
          <w:marTop w:val="0"/>
          <w:marBottom w:val="0"/>
          <w:divBdr>
            <w:top w:val="none" w:sz="0" w:space="0" w:color="auto"/>
            <w:left w:val="none" w:sz="0" w:space="0" w:color="auto"/>
            <w:bottom w:val="none" w:sz="0" w:space="0" w:color="auto"/>
            <w:right w:val="none" w:sz="0" w:space="0" w:color="auto"/>
          </w:divBdr>
        </w:div>
        <w:div w:id="277219563">
          <w:marLeft w:val="0"/>
          <w:marRight w:val="0"/>
          <w:marTop w:val="0"/>
          <w:marBottom w:val="0"/>
          <w:divBdr>
            <w:top w:val="none" w:sz="0" w:space="0" w:color="auto"/>
            <w:left w:val="none" w:sz="0" w:space="0" w:color="auto"/>
            <w:bottom w:val="none" w:sz="0" w:space="0" w:color="auto"/>
            <w:right w:val="none" w:sz="0" w:space="0" w:color="auto"/>
          </w:divBdr>
        </w:div>
        <w:div w:id="526605271">
          <w:marLeft w:val="0"/>
          <w:marRight w:val="0"/>
          <w:marTop w:val="0"/>
          <w:marBottom w:val="0"/>
          <w:divBdr>
            <w:top w:val="none" w:sz="0" w:space="0" w:color="auto"/>
            <w:left w:val="none" w:sz="0" w:space="0" w:color="auto"/>
            <w:bottom w:val="none" w:sz="0" w:space="0" w:color="auto"/>
            <w:right w:val="none" w:sz="0" w:space="0" w:color="auto"/>
          </w:divBdr>
        </w:div>
        <w:div w:id="1524318685">
          <w:marLeft w:val="0"/>
          <w:marRight w:val="0"/>
          <w:marTop w:val="0"/>
          <w:marBottom w:val="0"/>
          <w:divBdr>
            <w:top w:val="none" w:sz="0" w:space="0" w:color="auto"/>
            <w:left w:val="none" w:sz="0" w:space="0" w:color="auto"/>
            <w:bottom w:val="none" w:sz="0" w:space="0" w:color="auto"/>
            <w:right w:val="none" w:sz="0" w:space="0" w:color="auto"/>
          </w:divBdr>
        </w:div>
        <w:div w:id="1472281775">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078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ttdoherty\Downloads\retur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mattdoherty\Downloads\return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latin typeface="Arial" panose="020B0604020202020204" pitchFamily="34" charset="0"/>
                <a:cs typeface="Arial" panose="020B0604020202020204" pitchFamily="34" charset="0"/>
              </a:rPr>
              <a:t>10-Year Total Returns</a:t>
            </a:r>
          </a:p>
        </c:rich>
      </c:tx>
      <c:layout/>
      <c:overlay val="0"/>
    </c:title>
    <c:autoTitleDeleted val="0"/>
    <c:plotArea>
      <c:layout/>
      <c:lineChart>
        <c:grouping val="standard"/>
        <c:varyColors val="0"/>
        <c:ser>
          <c:idx val="0"/>
          <c:order val="0"/>
          <c:tx>
            <c:v>HF Index</c:v>
          </c:tx>
          <c:spPr>
            <a:ln>
              <a:solidFill>
                <a:schemeClr val="tx1"/>
              </a:solidFill>
              <a:prstDash val="dash"/>
            </a:ln>
          </c:spPr>
          <c:marker>
            <c:symbol val="none"/>
          </c:marker>
          <c:cat>
            <c:numRef>
              <c:f>Sheet1!$A$39:$A$49</c:f>
              <c:numCache>
                <c:formatCode>General</c:formatCode>
                <c:ptCount val="11"/>
                <c:pt idx="0">
                  <c:v>2018</c:v>
                </c:pt>
                <c:pt idx="1">
                  <c:v>2017</c:v>
                </c:pt>
                <c:pt idx="2">
                  <c:v>2016</c:v>
                </c:pt>
                <c:pt idx="3">
                  <c:v>2015</c:v>
                </c:pt>
                <c:pt idx="4">
                  <c:v>2014</c:v>
                </c:pt>
                <c:pt idx="5">
                  <c:v>2013</c:v>
                </c:pt>
                <c:pt idx="6">
                  <c:v>2012</c:v>
                </c:pt>
                <c:pt idx="7">
                  <c:v>2011</c:v>
                </c:pt>
                <c:pt idx="8">
                  <c:v>2010</c:v>
                </c:pt>
                <c:pt idx="9">
                  <c:v>2009</c:v>
                </c:pt>
                <c:pt idx="10">
                  <c:v>2008</c:v>
                </c:pt>
              </c:numCache>
            </c:numRef>
          </c:cat>
          <c:val>
            <c:numRef>
              <c:f>Sheet1!$B$39:$B$49</c:f>
              <c:numCache>
                <c:formatCode>General</c:formatCode>
                <c:ptCount val="11"/>
                <c:pt idx="0">
                  <c:v>78.31</c:v>
                </c:pt>
                <c:pt idx="1">
                  <c:v>88</c:v>
                </c:pt>
                <c:pt idx="2">
                  <c:v>70.36</c:v>
                </c:pt>
                <c:pt idx="3">
                  <c:v>60.56</c:v>
                </c:pt>
                <c:pt idx="4">
                  <c:v>60.49</c:v>
                </c:pt>
                <c:pt idx="5">
                  <c:v>56</c:v>
                </c:pt>
                <c:pt idx="6">
                  <c:v>40.39</c:v>
                </c:pt>
                <c:pt idx="7">
                  <c:v>29.69</c:v>
                </c:pt>
                <c:pt idx="8">
                  <c:v>37.200000000000003</c:v>
                </c:pt>
                <c:pt idx="9">
                  <c:v>23.74</c:v>
                </c:pt>
                <c:pt idx="10">
                  <c:v>0</c:v>
                </c:pt>
              </c:numCache>
            </c:numRef>
          </c:val>
          <c:smooth val="0"/>
          <c:extLst>
            <c:ext xmlns:c16="http://schemas.microsoft.com/office/drawing/2014/chart" uri="{C3380CC4-5D6E-409C-BE32-E72D297353CC}">
              <c16:uniqueId val="{00000000-CCAE-4EAA-A5D3-DD00D38C1A11}"/>
            </c:ext>
          </c:extLst>
        </c:ser>
        <c:ser>
          <c:idx val="1"/>
          <c:order val="1"/>
          <c:tx>
            <c:v>S&amp;P 500</c:v>
          </c:tx>
          <c:spPr>
            <a:ln>
              <a:solidFill>
                <a:schemeClr val="tx1"/>
              </a:solidFill>
              <a:prstDash val="sysDot"/>
            </a:ln>
          </c:spPr>
          <c:marker>
            <c:symbol val="none"/>
          </c:marker>
          <c:cat>
            <c:numRef>
              <c:f>Sheet1!$A$39:$A$49</c:f>
              <c:numCache>
                <c:formatCode>General</c:formatCode>
                <c:ptCount val="11"/>
                <c:pt idx="0">
                  <c:v>2018</c:v>
                </c:pt>
                <c:pt idx="1">
                  <c:v>2017</c:v>
                </c:pt>
                <c:pt idx="2">
                  <c:v>2016</c:v>
                </c:pt>
                <c:pt idx="3">
                  <c:v>2015</c:v>
                </c:pt>
                <c:pt idx="4">
                  <c:v>2014</c:v>
                </c:pt>
                <c:pt idx="5">
                  <c:v>2013</c:v>
                </c:pt>
                <c:pt idx="6">
                  <c:v>2012</c:v>
                </c:pt>
                <c:pt idx="7">
                  <c:v>2011</c:v>
                </c:pt>
                <c:pt idx="8">
                  <c:v>2010</c:v>
                </c:pt>
                <c:pt idx="9">
                  <c:v>2009</c:v>
                </c:pt>
                <c:pt idx="10">
                  <c:v>2008</c:v>
                </c:pt>
              </c:numCache>
            </c:numRef>
          </c:cat>
          <c:val>
            <c:numRef>
              <c:f>Sheet1!$C$39:$C$49</c:f>
              <c:numCache>
                <c:formatCode>General</c:formatCode>
                <c:ptCount val="11"/>
                <c:pt idx="0">
                  <c:v>242.75</c:v>
                </c:pt>
                <c:pt idx="1">
                  <c:v>258.5</c:v>
                </c:pt>
                <c:pt idx="2">
                  <c:v>194.28</c:v>
                </c:pt>
                <c:pt idx="3">
                  <c:v>162.86000000000001</c:v>
                </c:pt>
                <c:pt idx="4">
                  <c:v>159.29</c:v>
                </c:pt>
                <c:pt idx="5">
                  <c:v>128.09</c:v>
                </c:pt>
                <c:pt idx="6">
                  <c:v>72.31</c:v>
                </c:pt>
                <c:pt idx="7">
                  <c:v>48.55</c:v>
                </c:pt>
                <c:pt idx="8">
                  <c:v>45.49</c:v>
                </c:pt>
                <c:pt idx="9">
                  <c:v>26.45</c:v>
                </c:pt>
                <c:pt idx="10">
                  <c:v>0</c:v>
                </c:pt>
              </c:numCache>
            </c:numRef>
          </c:val>
          <c:smooth val="0"/>
          <c:extLst>
            <c:ext xmlns:c16="http://schemas.microsoft.com/office/drawing/2014/chart" uri="{C3380CC4-5D6E-409C-BE32-E72D297353CC}">
              <c16:uniqueId val="{00000001-CCAE-4EAA-A5D3-DD00D38C1A11}"/>
            </c:ext>
          </c:extLst>
        </c:ser>
        <c:ser>
          <c:idx val="2"/>
          <c:order val="2"/>
          <c:tx>
            <c:v>Russell 2000</c:v>
          </c:tx>
          <c:spPr>
            <a:ln>
              <a:solidFill>
                <a:schemeClr val="tx1"/>
              </a:solidFill>
            </a:ln>
          </c:spPr>
          <c:marker>
            <c:symbol val="none"/>
          </c:marker>
          <c:cat>
            <c:numRef>
              <c:f>Sheet1!$A$39:$A$49</c:f>
              <c:numCache>
                <c:formatCode>General</c:formatCode>
                <c:ptCount val="11"/>
                <c:pt idx="0">
                  <c:v>2018</c:v>
                </c:pt>
                <c:pt idx="1">
                  <c:v>2017</c:v>
                </c:pt>
                <c:pt idx="2">
                  <c:v>2016</c:v>
                </c:pt>
                <c:pt idx="3">
                  <c:v>2015</c:v>
                </c:pt>
                <c:pt idx="4">
                  <c:v>2014</c:v>
                </c:pt>
                <c:pt idx="5">
                  <c:v>2013</c:v>
                </c:pt>
                <c:pt idx="6">
                  <c:v>2012</c:v>
                </c:pt>
                <c:pt idx="7">
                  <c:v>2011</c:v>
                </c:pt>
                <c:pt idx="8">
                  <c:v>2010</c:v>
                </c:pt>
                <c:pt idx="9">
                  <c:v>2009</c:v>
                </c:pt>
                <c:pt idx="10">
                  <c:v>2008</c:v>
                </c:pt>
              </c:numCache>
            </c:numRef>
          </c:cat>
          <c:val>
            <c:numRef>
              <c:f>Sheet1!$D$39:$D$49</c:f>
              <c:numCache>
                <c:formatCode>General</c:formatCode>
                <c:ptCount val="11"/>
                <c:pt idx="0">
                  <c:v>209.46</c:v>
                </c:pt>
                <c:pt idx="1">
                  <c:v>247.81</c:v>
                </c:pt>
                <c:pt idx="2">
                  <c:v>203.43</c:v>
                </c:pt>
                <c:pt idx="3">
                  <c:v>150.19</c:v>
                </c:pt>
                <c:pt idx="4">
                  <c:v>161.74</c:v>
                </c:pt>
                <c:pt idx="5">
                  <c:v>149.53</c:v>
                </c:pt>
                <c:pt idx="6">
                  <c:v>79.739999999999995</c:v>
                </c:pt>
                <c:pt idx="7">
                  <c:v>54.44</c:v>
                </c:pt>
                <c:pt idx="8">
                  <c:v>61.17</c:v>
                </c:pt>
                <c:pt idx="9">
                  <c:v>27.09</c:v>
                </c:pt>
                <c:pt idx="10">
                  <c:v>0</c:v>
                </c:pt>
              </c:numCache>
            </c:numRef>
          </c:val>
          <c:smooth val="0"/>
          <c:extLst>
            <c:ext xmlns:c16="http://schemas.microsoft.com/office/drawing/2014/chart" uri="{C3380CC4-5D6E-409C-BE32-E72D297353CC}">
              <c16:uniqueId val="{00000002-CCAE-4EAA-A5D3-DD00D38C1A11}"/>
            </c:ext>
          </c:extLst>
        </c:ser>
        <c:dLbls>
          <c:showLegendKey val="0"/>
          <c:showVal val="0"/>
          <c:showCatName val="0"/>
          <c:showSerName val="0"/>
          <c:showPercent val="0"/>
          <c:showBubbleSize val="0"/>
        </c:dLbls>
        <c:smooth val="0"/>
        <c:axId val="2142178168"/>
        <c:axId val="2142181208"/>
      </c:lineChart>
      <c:catAx>
        <c:axId val="2142178168"/>
        <c:scaling>
          <c:orientation val="maxMin"/>
        </c:scaling>
        <c:delete val="0"/>
        <c:axPos val="b"/>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2142181208"/>
        <c:crosses val="autoZero"/>
        <c:auto val="1"/>
        <c:lblAlgn val="ctr"/>
        <c:lblOffset val="100"/>
        <c:noMultiLvlLbl val="0"/>
      </c:catAx>
      <c:valAx>
        <c:axId val="2142181208"/>
        <c:scaling>
          <c:orientation val="minMax"/>
        </c:scaling>
        <c:delete val="0"/>
        <c:axPos val="r"/>
        <c:title>
          <c:tx>
            <c:rich>
              <a:bodyPr rot="5400000" vert="horz" anchor="t" anchorCtr="1"/>
              <a:lstStyle/>
              <a:p>
                <a:pPr>
                  <a:defRPr>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Total Return (%)</a:t>
                </a:r>
              </a:p>
            </c:rich>
          </c:tx>
          <c:layout/>
          <c:overlay val="0"/>
        </c:title>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2142178168"/>
        <c:crosses val="autoZero"/>
        <c:crossBetween val="between"/>
      </c:valAx>
      <c:spPr>
        <a:noFill/>
      </c:spPr>
    </c:plotArea>
    <c:legend>
      <c:legendPos val="b"/>
      <c:layout/>
      <c:overlay val="0"/>
      <c:txPr>
        <a:bodyPr/>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latin typeface="Arial" panose="020B0604020202020204" pitchFamily="34" charset="0"/>
                <a:cs typeface="Arial" panose="020B0604020202020204" pitchFamily="34" charset="0"/>
              </a:rPr>
              <a:t>5-Year Total Returns</a:t>
            </a:r>
          </a:p>
        </c:rich>
      </c:tx>
      <c:layout/>
      <c:overlay val="0"/>
    </c:title>
    <c:autoTitleDeleted val="0"/>
    <c:plotArea>
      <c:layout/>
      <c:lineChart>
        <c:grouping val="standard"/>
        <c:varyColors val="0"/>
        <c:ser>
          <c:idx val="0"/>
          <c:order val="0"/>
          <c:tx>
            <c:v>HF Index</c:v>
          </c:tx>
          <c:spPr>
            <a:ln>
              <a:solidFill>
                <a:schemeClr val="tx1"/>
              </a:solidFill>
              <a:prstDash val="dash"/>
            </a:ln>
          </c:spPr>
          <c:marker>
            <c:symbol val="none"/>
          </c:marker>
          <c:cat>
            <c:numRef>
              <c:f>Sheet1!$A$28:$A$33</c:f>
              <c:numCache>
                <c:formatCode>General</c:formatCode>
                <c:ptCount val="6"/>
                <c:pt idx="0">
                  <c:v>2018</c:v>
                </c:pt>
                <c:pt idx="1">
                  <c:v>2017</c:v>
                </c:pt>
                <c:pt idx="2">
                  <c:v>2016</c:v>
                </c:pt>
                <c:pt idx="3">
                  <c:v>2015</c:v>
                </c:pt>
                <c:pt idx="4">
                  <c:v>2014</c:v>
                </c:pt>
                <c:pt idx="5">
                  <c:v>2013</c:v>
                </c:pt>
              </c:numCache>
            </c:numRef>
          </c:cat>
          <c:val>
            <c:numRef>
              <c:f>Sheet1!$B$28:$B$33</c:f>
              <c:numCache>
                <c:formatCode>General</c:formatCode>
                <c:ptCount val="6"/>
                <c:pt idx="0">
                  <c:v>14.3</c:v>
                </c:pt>
                <c:pt idx="1">
                  <c:v>20.51</c:v>
                </c:pt>
                <c:pt idx="2">
                  <c:v>9.2000000000000011</c:v>
                </c:pt>
                <c:pt idx="3">
                  <c:v>2.93</c:v>
                </c:pt>
                <c:pt idx="4">
                  <c:v>2.88</c:v>
                </c:pt>
                <c:pt idx="5">
                  <c:v>0</c:v>
                </c:pt>
              </c:numCache>
            </c:numRef>
          </c:val>
          <c:smooth val="0"/>
          <c:extLst>
            <c:ext xmlns:c16="http://schemas.microsoft.com/office/drawing/2014/chart" uri="{C3380CC4-5D6E-409C-BE32-E72D297353CC}">
              <c16:uniqueId val="{00000000-93D3-46DA-A5D3-5FE5B46193FB}"/>
            </c:ext>
          </c:extLst>
        </c:ser>
        <c:ser>
          <c:idx val="1"/>
          <c:order val="1"/>
          <c:tx>
            <c:v>S&amp;P 500</c:v>
          </c:tx>
          <c:spPr>
            <a:ln>
              <a:solidFill>
                <a:schemeClr val="tx1"/>
              </a:solidFill>
              <a:prstDash val="sysDot"/>
            </a:ln>
          </c:spPr>
          <c:marker>
            <c:symbol val="none"/>
          </c:marker>
          <c:cat>
            <c:numRef>
              <c:f>Sheet1!$A$28:$A$33</c:f>
              <c:numCache>
                <c:formatCode>General</c:formatCode>
                <c:ptCount val="6"/>
                <c:pt idx="0">
                  <c:v>2018</c:v>
                </c:pt>
                <c:pt idx="1">
                  <c:v>2017</c:v>
                </c:pt>
                <c:pt idx="2">
                  <c:v>2016</c:v>
                </c:pt>
                <c:pt idx="3">
                  <c:v>2015</c:v>
                </c:pt>
                <c:pt idx="4">
                  <c:v>2014</c:v>
                </c:pt>
                <c:pt idx="5">
                  <c:v>2013</c:v>
                </c:pt>
              </c:numCache>
            </c:numRef>
          </c:cat>
          <c:val>
            <c:numRef>
              <c:f>Sheet1!$C$28:$C$33</c:f>
              <c:numCache>
                <c:formatCode>General</c:formatCode>
                <c:ptCount val="6"/>
                <c:pt idx="0">
                  <c:v>50.27</c:v>
                </c:pt>
                <c:pt idx="1">
                  <c:v>57.17</c:v>
                </c:pt>
                <c:pt idx="2">
                  <c:v>29.02</c:v>
                </c:pt>
                <c:pt idx="3">
                  <c:v>15.24</c:v>
                </c:pt>
                <c:pt idx="4">
                  <c:v>13.68</c:v>
                </c:pt>
                <c:pt idx="5">
                  <c:v>0</c:v>
                </c:pt>
              </c:numCache>
            </c:numRef>
          </c:val>
          <c:smooth val="0"/>
          <c:extLst>
            <c:ext xmlns:c16="http://schemas.microsoft.com/office/drawing/2014/chart" uri="{C3380CC4-5D6E-409C-BE32-E72D297353CC}">
              <c16:uniqueId val="{00000001-93D3-46DA-A5D3-5FE5B46193FB}"/>
            </c:ext>
          </c:extLst>
        </c:ser>
        <c:ser>
          <c:idx val="2"/>
          <c:order val="2"/>
          <c:tx>
            <c:v>Russell 2000</c:v>
          </c:tx>
          <c:spPr>
            <a:ln>
              <a:solidFill>
                <a:schemeClr val="tx1"/>
              </a:solidFill>
            </a:ln>
          </c:spPr>
          <c:marker>
            <c:symbol val="none"/>
          </c:marker>
          <c:cat>
            <c:numRef>
              <c:f>Sheet1!$A$28:$A$33</c:f>
              <c:numCache>
                <c:formatCode>General</c:formatCode>
                <c:ptCount val="6"/>
                <c:pt idx="0">
                  <c:v>2018</c:v>
                </c:pt>
                <c:pt idx="1">
                  <c:v>2017</c:v>
                </c:pt>
                <c:pt idx="2">
                  <c:v>2016</c:v>
                </c:pt>
                <c:pt idx="3">
                  <c:v>2015</c:v>
                </c:pt>
                <c:pt idx="4">
                  <c:v>2014</c:v>
                </c:pt>
                <c:pt idx="5">
                  <c:v>2013</c:v>
                </c:pt>
              </c:numCache>
            </c:numRef>
          </c:cat>
          <c:val>
            <c:numRef>
              <c:f>Sheet1!$D$28:$D$33</c:f>
              <c:numCache>
                <c:formatCode>General</c:formatCode>
                <c:ptCount val="6"/>
                <c:pt idx="0">
                  <c:v>24.02</c:v>
                </c:pt>
                <c:pt idx="1">
                  <c:v>39.39</c:v>
                </c:pt>
                <c:pt idx="2">
                  <c:v>21.6</c:v>
                </c:pt>
                <c:pt idx="3">
                  <c:v>0.27</c:v>
                </c:pt>
                <c:pt idx="4">
                  <c:v>4.9000000000000004</c:v>
                </c:pt>
                <c:pt idx="5">
                  <c:v>0</c:v>
                </c:pt>
              </c:numCache>
            </c:numRef>
          </c:val>
          <c:smooth val="0"/>
          <c:extLst>
            <c:ext xmlns:c16="http://schemas.microsoft.com/office/drawing/2014/chart" uri="{C3380CC4-5D6E-409C-BE32-E72D297353CC}">
              <c16:uniqueId val="{00000002-93D3-46DA-A5D3-5FE5B46193FB}"/>
            </c:ext>
          </c:extLst>
        </c:ser>
        <c:dLbls>
          <c:showLegendKey val="0"/>
          <c:showVal val="0"/>
          <c:showCatName val="0"/>
          <c:showSerName val="0"/>
          <c:showPercent val="0"/>
          <c:showBubbleSize val="0"/>
        </c:dLbls>
        <c:smooth val="0"/>
        <c:axId val="2141487768"/>
        <c:axId val="2141484712"/>
      </c:lineChart>
      <c:catAx>
        <c:axId val="2141487768"/>
        <c:scaling>
          <c:orientation val="maxMin"/>
        </c:scaling>
        <c:delete val="0"/>
        <c:axPos val="b"/>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2141484712"/>
        <c:crosses val="autoZero"/>
        <c:auto val="1"/>
        <c:lblAlgn val="ctr"/>
        <c:lblOffset val="100"/>
        <c:noMultiLvlLbl val="0"/>
      </c:catAx>
      <c:valAx>
        <c:axId val="2141484712"/>
        <c:scaling>
          <c:orientation val="minMax"/>
        </c:scaling>
        <c:delete val="0"/>
        <c:axPos val="r"/>
        <c:title>
          <c:tx>
            <c:rich>
              <a:bodyPr rot="5400000" vert="horz" anchor="t" anchorCtr="1"/>
              <a:lstStyle/>
              <a:p>
                <a:pPr>
                  <a:defRPr>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Total Return (%)</a:t>
                </a:r>
              </a:p>
            </c:rich>
          </c:tx>
          <c:layout/>
          <c:overlay val="0"/>
        </c:title>
        <c:numFmt formatCode="General"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2141487768"/>
        <c:crosses val="autoZero"/>
        <c:crossBetween val="between"/>
      </c:valAx>
      <c:spPr>
        <a:noFill/>
      </c:spPr>
    </c:plotArea>
    <c:legend>
      <c:legendPos val="b"/>
      <c:layout/>
      <c:overlay val="0"/>
      <c:txPr>
        <a:bodyPr/>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a:latin typeface="Arial" panose="020B0604020202020204" pitchFamily="34" charset="0"/>
                <a:cs typeface="Arial" panose="020B0604020202020204" pitchFamily="34" charset="0"/>
              </a:rPr>
              <a:t>Aggregate U.S. Equity Fund Assets</a:t>
            </a:r>
            <a:r>
              <a:rPr lang="en-US" sz="1200" baseline="0">
                <a:latin typeface="Arial" panose="020B0604020202020204" pitchFamily="34" charset="0"/>
                <a:cs typeface="Arial" panose="020B0604020202020204" pitchFamily="34" charset="0"/>
              </a:rPr>
              <a:t> under Management</a:t>
            </a:r>
            <a:endParaRPr lang="en-US" sz="1200">
              <a:latin typeface="Arial" panose="020B0604020202020204" pitchFamily="34" charset="0"/>
              <a:cs typeface="Arial" panose="020B0604020202020204" pitchFamily="34" charset="0"/>
            </a:endParaRPr>
          </a:p>
          <a:p>
            <a:pPr>
              <a:defRPr>
                <a:latin typeface="Arial" panose="020B0604020202020204" pitchFamily="34" charset="0"/>
                <a:cs typeface="Arial" panose="020B0604020202020204" pitchFamily="34" charset="0"/>
              </a:defRPr>
            </a:pPr>
            <a:r>
              <a:rPr lang="en-US" sz="1000" baseline="0">
                <a:latin typeface="Arial" panose="020B0604020202020204" pitchFamily="34" charset="0"/>
                <a:cs typeface="Arial" panose="020B0604020202020204" pitchFamily="34" charset="0"/>
              </a:rPr>
              <a:t>Active versus Passive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Sheet1!$B$3</c:f>
              <c:strCache>
                <c:ptCount val="1"/>
                <c:pt idx="0">
                  <c:v>Active</c:v>
                </c:pt>
              </c:strCache>
            </c:strRef>
          </c:tx>
          <c:spPr>
            <a:ln w="28575" cap="rnd">
              <a:solidFill>
                <a:schemeClr val="tx1"/>
              </a:solidFill>
              <a:prstDash val="dash"/>
              <a:round/>
            </a:ln>
            <a:effectLst/>
          </c:spPr>
          <c:marker>
            <c:symbol val="none"/>
          </c:marker>
          <c:cat>
            <c:numRef>
              <c:f>Sheet1!$A$4:$A$14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Sheet1!$B$4:$B$14</c:f>
              <c:numCache>
                <c:formatCode>General</c:formatCode>
                <c:ptCount val="11"/>
                <c:pt idx="0">
                  <c:v>1.8</c:v>
                </c:pt>
                <c:pt idx="1">
                  <c:v>2.2999999999999998</c:v>
                </c:pt>
                <c:pt idx="2">
                  <c:v>2.6</c:v>
                </c:pt>
                <c:pt idx="3">
                  <c:v>2.5</c:v>
                </c:pt>
                <c:pt idx="4">
                  <c:v>2.7</c:v>
                </c:pt>
                <c:pt idx="5">
                  <c:v>3.6</c:v>
                </c:pt>
                <c:pt idx="6">
                  <c:v>3.8</c:v>
                </c:pt>
                <c:pt idx="7">
                  <c:v>3.6</c:v>
                </c:pt>
                <c:pt idx="8">
                  <c:v>3.7</c:v>
                </c:pt>
                <c:pt idx="9">
                  <c:v>4.2</c:v>
                </c:pt>
                <c:pt idx="10">
                  <c:v>4.2</c:v>
                </c:pt>
              </c:numCache>
            </c:numRef>
          </c:val>
          <c:smooth val="0"/>
          <c:extLst>
            <c:ext xmlns:c16="http://schemas.microsoft.com/office/drawing/2014/chart" uri="{C3380CC4-5D6E-409C-BE32-E72D297353CC}">
              <c16:uniqueId val="{00000000-9BDA-4B9D-BFF7-746B94D57DC6}"/>
            </c:ext>
          </c:extLst>
        </c:ser>
        <c:ser>
          <c:idx val="1"/>
          <c:order val="1"/>
          <c:tx>
            <c:strRef>
              <c:f>Sheet1!$C$3</c:f>
              <c:strCache>
                <c:ptCount val="1"/>
                <c:pt idx="0">
                  <c:v>Passive</c:v>
                </c:pt>
              </c:strCache>
            </c:strRef>
          </c:tx>
          <c:spPr>
            <a:ln w="28575" cap="rnd">
              <a:solidFill>
                <a:schemeClr val="tx1"/>
              </a:solidFill>
              <a:round/>
            </a:ln>
            <a:effectLst/>
          </c:spPr>
          <c:marker>
            <c:symbol val="none"/>
          </c:marker>
          <c:cat>
            <c:numRef>
              <c:f>Sheet1!$A$4:$A$14</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Sheet1!$C$4:$C$14</c:f>
              <c:numCache>
                <c:formatCode>General</c:formatCode>
                <c:ptCount val="11"/>
                <c:pt idx="0">
                  <c:v>0.7</c:v>
                </c:pt>
                <c:pt idx="1">
                  <c:v>0.8</c:v>
                </c:pt>
                <c:pt idx="2">
                  <c:v>1</c:v>
                </c:pt>
                <c:pt idx="3">
                  <c:v>1.1000000000000001</c:v>
                </c:pt>
                <c:pt idx="4">
                  <c:v>1.3</c:v>
                </c:pt>
                <c:pt idx="5">
                  <c:v>1.9</c:v>
                </c:pt>
                <c:pt idx="6">
                  <c:v>2.2000000000000002</c:v>
                </c:pt>
                <c:pt idx="7">
                  <c:v>2.2999999999999998</c:v>
                </c:pt>
                <c:pt idx="8">
                  <c:v>2.8</c:v>
                </c:pt>
                <c:pt idx="9">
                  <c:v>3.6</c:v>
                </c:pt>
                <c:pt idx="10">
                  <c:v>3.9</c:v>
                </c:pt>
              </c:numCache>
            </c:numRef>
          </c:val>
          <c:smooth val="0"/>
          <c:extLst>
            <c:ext xmlns:c16="http://schemas.microsoft.com/office/drawing/2014/chart" uri="{C3380CC4-5D6E-409C-BE32-E72D297353CC}">
              <c16:uniqueId val="{00000001-9BDA-4B9D-BFF7-746B94D57DC6}"/>
            </c:ext>
          </c:extLst>
        </c:ser>
        <c:dLbls>
          <c:showLegendKey val="0"/>
          <c:showVal val="0"/>
          <c:showCatName val="0"/>
          <c:showSerName val="0"/>
          <c:showPercent val="0"/>
          <c:showBubbleSize val="0"/>
        </c:dLbls>
        <c:smooth val="0"/>
        <c:axId val="2141503192"/>
        <c:axId val="2141473000"/>
      </c:lineChart>
      <c:catAx>
        <c:axId val="2141503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41473000"/>
        <c:crosses val="autoZero"/>
        <c:auto val="1"/>
        <c:lblAlgn val="ctr"/>
        <c:lblOffset val="100"/>
        <c:noMultiLvlLbl val="0"/>
      </c:catAx>
      <c:valAx>
        <c:axId val="2141473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t"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trillions</a:t>
                </a:r>
                <a:r>
                  <a:rPr lang="en-US" baseline="0">
                    <a:latin typeface="Arial" panose="020B0604020202020204" pitchFamily="34" charset="0"/>
                    <a:cs typeface="Arial" panose="020B0604020202020204" pitchFamily="34" charset="0"/>
                  </a:rPr>
                  <a:t>($)</a:t>
                </a:r>
                <a:endParaRPr lang="en-US">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t"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1415031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ABDA3-7EDE-465B-AA84-865C78CB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4652</Words>
  <Characters>26518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10</cp:revision>
  <cp:lastPrinted>2019-08-12T18:33:00Z</cp:lastPrinted>
  <dcterms:created xsi:type="dcterms:W3CDTF">2019-08-06T19:20:00Z</dcterms:created>
  <dcterms:modified xsi:type="dcterms:W3CDTF">2019-08-12T18:35:00Z</dcterms:modified>
</cp:coreProperties>
</file>