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FC5443" w14:textId="75708E5B" w:rsidR="00C23EDB" w:rsidRPr="00B502E6" w:rsidRDefault="00BD0403" w:rsidP="00C02410">
      <w:pPr>
        <w:pBdr>
          <w:bottom w:val="single" w:sz="18" w:space="1" w:color="auto"/>
        </w:pBdr>
        <w:tabs>
          <w:tab w:val="left" w:pos="-1440"/>
          <w:tab w:val="left" w:pos="-720"/>
          <w:tab w:val="left" w:pos="1"/>
        </w:tabs>
        <w:jc w:val="both"/>
        <w:rPr>
          <w:rFonts w:ascii="Arial" w:hAnsi="Arial"/>
          <w:b/>
          <w:sz w:val="24"/>
          <w:lang w:val="en-CA"/>
        </w:rPr>
      </w:pPr>
      <w:r w:rsidRPr="00B502E6">
        <w:rPr>
          <w:rFonts w:ascii="Arial" w:hAnsi="Arial"/>
          <w:b/>
          <w:noProof/>
          <w:sz w:val="24"/>
          <w:lang w:val="en-CA" w:eastAsia="en-CA"/>
        </w:rPr>
        <w:drawing>
          <wp:inline distT="0" distB="0" distL="0" distR="0" wp14:anchorId="4922D505" wp14:editId="5853030C">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07FB051F" w:rsidR="00C02410" w:rsidRPr="00B502E6" w:rsidRDefault="00C37927" w:rsidP="00C02410">
      <w:pPr>
        <w:pStyle w:val="ProductNumber"/>
        <w:rPr>
          <w:lang w:val="en-CA"/>
        </w:rPr>
      </w:pPr>
      <w:r>
        <w:rPr>
          <w:lang w:val="en-CA"/>
        </w:rPr>
        <w:t>9B19N</w:t>
      </w:r>
      <w:r w:rsidR="00B502E6" w:rsidRPr="00B502E6">
        <w:rPr>
          <w:lang w:val="en-CA"/>
        </w:rPr>
        <w:t>017</w:t>
      </w:r>
    </w:p>
    <w:p w14:paraId="4E057522" w14:textId="7A113CB1" w:rsidR="00D75295" w:rsidRPr="00B502E6" w:rsidRDefault="00D75295" w:rsidP="00D75295">
      <w:pPr>
        <w:jc w:val="right"/>
        <w:rPr>
          <w:rFonts w:ascii="Arial" w:hAnsi="Arial"/>
          <w:b/>
          <w:lang w:val="en-CA"/>
        </w:rPr>
      </w:pPr>
    </w:p>
    <w:p w14:paraId="02524312" w14:textId="77777777" w:rsidR="001901C0" w:rsidRPr="00B502E6" w:rsidRDefault="001901C0" w:rsidP="00D75295">
      <w:pPr>
        <w:jc w:val="right"/>
        <w:rPr>
          <w:rFonts w:ascii="Arial" w:hAnsi="Arial"/>
          <w:b/>
          <w:lang w:val="en-CA"/>
        </w:rPr>
      </w:pPr>
    </w:p>
    <w:p w14:paraId="2F03D26A" w14:textId="7AD5C740" w:rsidR="00013360" w:rsidRPr="00B502E6" w:rsidRDefault="00AC7965" w:rsidP="00013360">
      <w:pPr>
        <w:pStyle w:val="CaseTitle"/>
        <w:spacing w:after="0" w:line="240" w:lineRule="auto"/>
        <w:rPr>
          <w:sz w:val="20"/>
          <w:szCs w:val="20"/>
          <w:lang w:val="en-CA"/>
        </w:rPr>
      </w:pPr>
      <w:r w:rsidRPr="00B502E6">
        <w:rPr>
          <w:lang w:val="en-CA"/>
        </w:rPr>
        <w:t>Regulus Solar Power Inc.: Price Demand Elasticities</w:t>
      </w:r>
    </w:p>
    <w:p w14:paraId="40ABF6FD" w14:textId="77777777" w:rsidR="00CA3976" w:rsidRPr="00B502E6" w:rsidRDefault="00CA3976" w:rsidP="00013360">
      <w:pPr>
        <w:pStyle w:val="CaseTitle"/>
        <w:spacing w:after="0" w:line="240" w:lineRule="auto"/>
        <w:rPr>
          <w:sz w:val="20"/>
          <w:szCs w:val="20"/>
          <w:lang w:val="en-CA"/>
        </w:rPr>
      </w:pPr>
    </w:p>
    <w:p w14:paraId="202F1085" w14:textId="77777777" w:rsidR="00013360" w:rsidRPr="00B502E6" w:rsidRDefault="00013360" w:rsidP="00013360">
      <w:pPr>
        <w:pStyle w:val="CaseTitle"/>
        <w:spacing w:after="0" w:line="240" w:lineRule="auto"/>
        <w:rPr>
          <w:sz w:val="20"/>
          <w:szCs w:val="20"/>
          <w:lang w:val="en-CA"/>
        </w:rPr>
      </w:pPr>
    </w:p>
    <w:p w14:paraId="58B0C73F" w14:textId="7683DECA" w:rsidR="00086B26" w:rsidRPr="00B502E6" w:rsidRDefault="00AC7965" w:rsidP="00086B26">
      <w:pPr>
        <w:pStyle w:val="StyleCopyrightStatementAfter0ptBottomSinglesolidline1"/>
        <w:rPr>
          <w:lang w:val="en-CA"/>
        </w:rPr>
      </w:pPr>
      <w:r w:rsidRPr="00B502E6">
        <w:rPr>
          <w:lang w:val="en-CA"/>
        </w:rPr>
        <w:t>Owen Hall, Jr.</w:t>
      </w:r>
      <w:r w:rsidR="00636E16" w:rsidRPr="00B502E6">
        <w:rPr>
          <w:lang w:val="en-CA"/>
        </w:rPr>
        <w:t xml:space="preserve"> and David M. Smith</w:t>
      </w:r>
      <w:r w:rsidR="00ED7922" w:rsidRPr="00B502E6">
        <w:rPr>
          <w:rFonts w:cs="Arial"/>
          <w:szCs w:val="16"/>
          <w:lang w:val="en-CA"/>
        </w:rPr>
        <w:t xml:space="preserve"> </w:t>
      </w:r>
      <w:r w:rsidR="00086B26" w:rsidRPr="00B502E6">
        <w:rPr>
          <w:lang w:val="en-CA"/>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05285F1C" w:rsidR="00086B26" w:rsidRPr="00B502E6" w:rsidRDefault="00086B26" w:rsidP="00086B26">
      <w:pPr>
        <w:pStyle w:val="StyleCopyrightStatementAfter0ptBottomSinglesolidline1"/>
        <w:rPr>
          <w:lang w:val="en-CA"/>
        </w:rPr>
      </w:pPr>
    </w:p>
    <w:p w14:paraId="372FC876" w14:textId="77777777" w:rsidR="00B502E6" w:rsidRPr="00B502E6" w:rsidRDefault="00B502E6" w:rsidP="00B502E6">
      <w:pPr>
        <w:pStyle w:val="StyleStyleCopyrightStatementAfter0ptBottomSinglesolid"/>
        <w:rPr>
          <w:rFonts w:cs="Arial"/>
          <w:color w:val="FFFFFF" w:themeColor="background1"/>
          <w:szCs w:val="16"/>
          <w:lang w:val="en-CA"/>
        </w:rPr>
      </w:pPr>
      <w:r w:rsidRPr="00B502E6">
        <w:rPr>
          <w:rFonts w:cs="Arial"/>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 </w:t>
      </w:r>
      <w:r w:rsidRPr="00B502E6">
        <w:rPr>
          <w:rFonts w:cs="Arial"/>
          <w:color w:val="FFFFFF" w:themeColor="background1"/>
          <w:szCs w:val="16"/>
          <w:lang w:val="en-CA"/>
        </w:rPr>
        <w:t>i1v2e5y5pubs</w:t>
      </w:r>
    </w:p>
    <w:p w14:paraId="518716D2" w14:textId="77777777" w:rsidR="00B502E6" w:rsidRPr="00B502E6" w:rsidRDefault="00B502E6" w:rsidP="00B502E6">
      <w:pPr>
        <w:pStyle w:val="StyleStyleCopyrightStatementAfter0ptBottomSinglesolid"/>
        <w:rPr>
          <w:rFonts w:cs="Arial"/>
          <w:color w:val="FFFFFF" w:themeColor="background1"/>
          <w:szCs w:val="16"/>
          <w:lang w:val="en-CA"/>
        </w:rPr>
      </w:pPr>
    </w:p>
    <w:p w14:paraId="3922E14F" w14:textId="4FCE80BC" w:rsidR="00751E0B" w:rsidRPr="00B502E6" w:rsidRDefault="00B502E6" w:rsidP="00A323B0">
      <w:pPr>
        <w:pStyle w:val="StyleStyleCopyrightStatementAfter0ptBottomSinglesolid"/>
        <w:rPr>
          <w:rFonts w:cs="Arial"/>
          <w:color w:val="FFFFFF" w:themeColor="background1"/>
          <w:szCs w:val="16"/>
          <w:lang w:val="en-CA"/>
        </w:rPr>
      </w:pPr>
      <w:r w:rsidRPr="00B502E6">
        <w:rPr>
          <w:rFonts w:cs="Arial"/>
          <w:iCs w:val="0"/>
          <w:color w:val="auto"/>
          <w:szCs w:val="16"/>
          <w:lang w:val="en-CA"/>
        </w:rPr>
        <w:t>Copyright © 2019, Ivey Business School Foundation</w:t>
      </w:r>
      <w:r w:rsidR="00A323B0" w:rsidRPr="00B502E6">
        <w:rPr>
          <w:rFonts w:cs="Arial"/>
          <w:iCs w:val="0"/>
          <w:color w:val="auto"/>
          <w:szCs w:val="16"/>
          <w:lang w:val="en-CA"/>
        </w:rPr>
        <w:tab/>
      </w:r>
      <w:r w:rsidR="00A91251" w:rsidRPr="00B502E6">
        <w:rPr>
          <w:rFonts w:cs="Arial"/>
          <w:iCs w:val="0"/>
          <w:color w:val="auto"/>
          <w:szCs w:val="16"/>
          <w:lang w:val="en-CA"/>
        </w:rPr>
        <w:t>Version: 2019-0</w:t>
      </w:r>
      <w:r w:rsidR="00C23EDB" w:rsidRPr="00B502E6">
        <w:rPr>
          <w:rFonts w:cs="Arial"/>
          <w:iCs w:val="0"/>
          <w:color w:val="auto"/>
          <w:szCs w:val="16"/>
          <w:lang w:val="en-CA"/>
        </w:rPr>
        <w:t>8</w:t>
      </w:r>
      <w:r w:rsidR="00A91251" w:rsidRPr="00B502E6">
        <w:rPr>
          <w:rFonts w:cs="Arial"/>
          <w:iCs w:val="0"/>
          <w:color w:val="auto"/>
          <w:szCs w:val="16"/>
          <w:lang w:val="en-CA"/>
        </w:rPr>
        <w:t>-</w:t>
      </w:r>
      <w:r w:rsidRPr="00B502E6">
        <w:rPr>
          <w:rFonts w:cs="Arial"/>
          <w:iCs w:val="0"/>
          <w:color w:val="auto"/>
          <w:szCs w:val="16"/>
          <w:lang w:val="en-CA"/>
        </w:rPr>
        <w:t>2</w:t>
      </w:r>
      <w:r w:rsidR="00F46C3F">
        <w:rPr>
          <w:rFonts w:cs="Arial"/>
          <w:iCs w:val="0"/>
          <w:color w:val="auto"/>
          <w:szCs w:val="16"/>
          <w:lang w:val="en-CA"/>
        </w:rPr>
        <w:t>3</w:t>
      </w:r>
    </w:p>
    <w:p w14:paraId="0A2A54E4" w14:textId="77777777" w:rsidR="00751E0B" w:rsidRPr="00B502E6" w:rsidRDefault="00751E0B" w:rsidP="00751E0B">
      <w:pPr>
        <w:pStyle w:val="StyleCopyrightStatementAfter0ptBottomSinglesolidline1"/>
        <w:rPr>
          <w:rFonts w:ascii="Times New Roman" w:hAnsi="Times New Roman"/>
          <w:sz w:val="20"/>
          <w:lang w:val="en-CA"/>
        </w:rPr>
      </w:pPr>
    </w:p>
    <w:p w14:paraId="6A997A0A" w14:textId="77777777" w:rsidR="00AC7965" w:rsidRPr="00B502E6" w:rsidRDefault="00AC7965" w:rsidP="00751E0B">
      <w:pPr>
        <w:pStyle w:val="StyleCopyrightStatementAfter0ptBottomSinglesolidline1"/>
        <w:rPr>
          <w:rFonts w:ascii="Times New Roman" w:hAnsi="Times New Roman"/>
          <w:sz w:val="20"/>
          <w:lang w:val="en-CA"/>
        </w:rPr>
      </w:pPr>
    </w:p>
    <w:p w14:paraId="4E750385" w14:textId="69234B55" w:rsidR="00790444" w:rsidRPr="00B502E6" w:rsidRDefault="00AC7965" w:rsidP="00AC7965">
      <w:pPr>
        <w:pStyle w:val="BodyTextMain"/>
        <w:rPr>
          <w:lang w:val="en-CA"/>
        </w:rPr>
      </w:pPr>
      <w:r w:rsidRPr="00B502E6">
        <w:rPr>
          <w:lang w:val="en-CA"/>
        </w:rPr>
        <w:t xml:space="preserve">At the </w:t>
      </w:r>
      <w:proofErr w:type="spellStart"/>
      <w:r w:rsidRPr="00B502E6">
        <w:rPr>
          <w:lang w:val="en-CA"/>
        </w:rPr>
        <w:t>Regulus</w:t>
      </w:r>
      <w:proofErr w:type="spellEnd"/>
      <w:r w:rsidRPr="00B502E6">
        <w:rPr>
          <w:lang w:val="en-CA"/>
        </w:rPr>
        <w:t xml:space="preserve"> Solar Power</w:t>
      </w:r>
      <w:r w:rsidR="00056FF9" w:rsidRPr="00B502E6">
        <w:rPr>
          <w:lang w:val="en-CA"/>
        </w:rPr>
        <w:t xml:space="preserve"> Inc.</w:t>
      </w:r>
      <w:r w:rsidRPr="00B502E6">
        <w:rPr>
          <w:lang w:val="en-CA"/>
        </w:rPr>
        <w:t xml:space="preserve"> (RSP) November 2018 board meeting, the primary focus was on RSP’s revenue challenges. </w:t>
      </w:r>
      <w:r w:rsidR="00790444" w:rsidRPr="00B502E6">
        <w:rPr>
          <w:lang w:val="en-CA"/>
        </w:rPr>
        <w:t xml:space="preserve">Headquartered in Phoenix, Arizona, </w:t>
      </w:r>
      <w:r w:rsidRPr="00B502E6">
        <w:rPr>
          <w:lang w:val="en-CA"/>
        </w:rPr>
        <w:t xml:space="preserve">RSP was a regional player in the solar panel installation market serving clients throughout the </w:t>
      </w:r>
      <w:r w:rsidR="00F4551B" w:rsidRPr="00B502E6">
        <w:rPr>
          <w:lang w:val="en-CA"/>
        </w:rPr>
        <w:t>S</w:t>
      </w:r>
      <w:r w:rsidRPr="00B502E6">
        <w:rPr>
          <w:lang w:val="en-CA"/>
        </w:rPr>
        <w:t>outhwest</w:t>
      </w:r>
      <w:r w:rsidR="00A3350A" w:rsidRPr="00B502E6">
        <w:rPr>
          <w:lang w:val="en-CA"/>
        </w:rPr>
        <w:t xml:space="preserve"> United States</w:t>
      </w:r>
      <w:r w:rsidRPr="00B502E6">
        <w:rPr>
          <w:lang w:val="en-CA"/>
        </w:rPr>
        <w:t xml:space="preserve">. RSP’s </w:t>
      </w:r>
      <w:r w:rsidR="008F52B3" w:rsidRPr="00B502E6">
        <w:rPr>
          <w:lang w:val="en-CA"/>
        </w:rPr>
        <w:t>c</w:t>
      </w:r>
      <w:r w:rsidRPr="00B502E6">
        <w:rPr>
          <w:lang w:val="en-CA"/>
        </w:rPr>
        <w:t xml:space="preserve">hief </w:t>
      </w:r>
      <w:r w:rsidR="008F52B3" w:rsidRPr="00B502E6">
        <w:rPr>
          <w:lang w:val="en-CA"/>
        </w:rPr>
        <w:t>e</w:t>
      </w:r>
      <w:r w:rsidRPr="00B502E6">
        <w:rPr>
          <w:lang w:val="en-CA"/>
        </w:rPr>
        <w:t xml:space="preserve">xecutive </w:t>
      </w:r>
      <w:r w:rsidR="008F52B3" w:rsidRPr="00B502E6">
        <w:rPr>
          <w:lang w:val="en-CA"/>
        </w:rPr>
        <w:t>o</w:t>
      </w:r>
      <w:r w:rsidRPr="00B502E6">
        <w:rPr>
          <w:lang w:val="en-CA"/>
        </w:rPr>
        <w:t xml:space="preserve">fficer, Barbara Johnson, began the meeting by providing an overview on market and technological trends in solar power. Johnson stated, </w:t>
      </w:r>
      <w:r w:rsidR="00AF7AE5" w:rsidRPr="00B502E6">
        <w:rPr>
          <w:lang w:val="en-CA"/>
        </w:rPr>
        <w:t>“W</w:t>
      </w:r>
      <w:r w:rsidRPr="00B502E6">
        <w:rPr>
          <w:lang w:val="en-CA"/>
        </w:rPr>
        <w:t>e have witnessed strong growth in solar panel installations over the past five years</w:t>
      </w:r>
      <w:r w:rsidR="00AF7AE5" w:rsidRPr="00B502E6">
        <w:rPr>
          <w:lang w:val="en-CA"/>
        </w:rPr>
        <w:t>.</w:t>
      </w:r>
      <w:r w:rsidRPr="00B502E6">
        <w:rPr>
          <w:lang w:val="en-CA"/>
        </w:rPr>
        <w:t xml:space="preserve"> </w:t>
      </w:r>
      <w:r w:rsidR="00AF7AE5" w:rsidRPr="00B502E6">
        <w:rPr>
          <w:lang w:val="en-CA"/>
        </w:rPr>
        <w:t>H</w:t>
      </w:r>
      <w:r w:rsidRPr="00B502E6">
        <w:rPr>
          <w:lang w:val="en-CA"/>
        </w:rPr>
        <w:t>owever, sales flatt</w:t>
      </w:r>
      <w:r w:rsidR="00AF7AE5" w:rsidRPr="00B502E6">
        <w:rPr>
          <w:lang w:val="en-CA"/>
        </w:rPr>
        <w:t>en</w:t>
      </w:r>
      <w:r w:rsidRPr="00B502E6">
        <w:rPr>
          <w:lang w:val="en-CA"/>
        </w:rPr>
        <w:t>ed out in 2018 due primarily to increased competition and lower solar panel prices.</w:t>
      </w:r>
      <w:r w:rsidR="00AF7AE5" w:rsidRPr="00B502E6">
        <w:rPr>
          <w:lang w:val="en-CA"/>
        </w:rPr>
        <w:t>”</w:t>
      </w:r>
      <w:r w:rsidRPr="00B502E6">
        <w:rPr>
          <w:lang w:val="en-CA"/>
        </w:rPr>
        <w:t xml:space="preserve"> Robert Smith, the board’s vice chairman, weighed in and ask</w:t>
      </w:r>
      <w:r w:rsidR="00AF7AE5" w:rsidRPr="00B502E6">
        <w:rPr>
          <w:lang w:val="en-CA"/>
        </w:rPr>
        <w:t>ed</w:t>
      </w:r>
      <w:r w:rsidRPr="00B502E6">
        <w:rPr>
          <w:lang w:val="en-CA"/>
        </w:rPr>
        <w:t xml:space="preserve"> for a more descriptive </w:t>
      </w:r>
      <w:r w:rsidR="00790444" w:rsidRPr="00B502E6">
        <w:rPr>
          <w:lang w:val="en-CA"/>
        </w:rPr>
        <w:t>overview</w:t>
      </w:r>
      <w:r w:rsidRPr="00B502E6">
        <w:rPr>
          <w:lang w:val="en-CA"/>
        </w:rPr>
        <w:t xml:space="preserve">. At that point, Johnson turned to RSP’s </w:t>
      </w:r>
      <w:r w:rsidR="00F2456E" w:rsidRPr="00B502E6">
        <w:rPr>
          <w:lang w:val="en-CA"/>
        </w:rPr>
        <w:t>c</w:t>
      </w:r>
      <w:r w:rsidRPr="00B502E6">
        <w:rPr>
          <w:lang w:val="en-CA"/>
        </w:rPr>
        <w:t xml:space="preserve">hief </w:t>
      </w:r>
      <w:r w:rsidR="00F2456E" w:rsidRPr="00B502E6">
        <w:rPr>
          <w:lang w:val="en-CA"/>
        </w:rPr>
        <w:t>f</w:t>
      </w:r>
      <w:r w:rsidRPr="00B502E6">
        <w:rPr>
          <w:lang w:val="en-CA"/>
        </w:rPr>
        <w:t xml:space="preserve">inancial </w:t>
      </w:r>
      <w:r w:rsidR="00F2456E" w:rsidRPr="00B502E6">
        <w:rPr>
          <w:lang w:val="en-CA"/>
        </w:rPr>
        <w:t>o</w:t>
      </w:r>
      <w:r w:rsidRPr="00B502E6">
        <w:rPr>
          <w:lang w:val="en-CA"/>
        </w:rPr>
        <w:t>fficer</w:t>
      </w:r>
      <w:r w:rsidR="00F2456E" w:rsidRPr="00B502E6">
        <w:rPr>
          <w:lang w:val="en-CA"/>
        </w:rPr>
        <w:t xml:space="preserve"> (CFO)</w:t>
      </w:r>
      <w:r w:rsidRPr="00B502E6">
        <w:rPr>
          <w:lang w:val="en-CA"/>
        </w:rPr>
        <w:t xml:space="preserve">, Johnny Urbane, </w:t>
      </w:r>
      <w:r w:rsidR="00F2456E" w:rsidRPr="00B502E6">
        <w:rPr>
          <w:lang w:val="en-CA"/>
        </w:rPr>
        <w:t xml:space="preserve">and asked him </w:t>
      </w:r>
      <w:r w:rsidRPr="00B502E6">
        <w:rPr>
          <w:lang w:val="en-CA"/>
        </w:rPr>
        <w:t xml:space="preserve">to provide more details. </w:t>
      </w:r>
    </w:p>
    <w:p w14:paraId="115C89B1" w14:textId="77777777" w:rsidR="00790444" w:rsidRPr="00B502E6" w:rsidRDefault="00790444" w:rsidP="00AC7965">
      <w:pPr>
        <w:pStyle w:val="BodyTextMain"/>
        <w:rPr>
          <w:lang w:val="en-CA"/>
        </w:rPr>
      </w:pPr>
    </w:p>
    <w:p w14:paraId="11CB390C" w14:textId="09C5B465" w:rsidR="00AC7965" w:rsidRPr="00B502E6" w:rsidRDefault="00AC7965" w:rsidP="00AC7965">
      <w:pPr>
        <w:pStyle w:val="BodyTextMain"/>
        <w:rPr>
          <w:lang w:val="en-CA"/>
        </w:rPr>
      </w:pPr>
      <w:r w:rsidRPr="00B502E6">
        <w:rPr>
          <w:lang w:val="en-CA"/>
        </w:rPr>
        <w:t xml:space="preserve">Urbane reported that revenues for 2018 were projected at </w:t>
      </w:r>
      <w:r w:rsidR="00617E84" w:rsidRPr="00B502E6">
        <w:rPr>
          <w:lang w:val="en-CA"/>
        </w:rPr>
        <w:t>US</w:t>
      </w:r>
      <w:r w:rsidRPr="00B502E6">
        <w:rPr>
          <w:lang w:val="en-CA"/>
        </w:rPr>
        <w:t>$18 million</w:t>
      </w:r>
      <w:r w:rsidR="00406A94" w:rsidRPr="00B502E6">
        <w:rPr>
          <w:lang w:val="en-CA"/>
        </w:rPr>
        <w:t>,</w:t>
      </w:r>
      <w:r w:rsidR="00617E84" w:rsidRPr="00B502E6">
        <w:rPr>
          <w:rStyle w:val="FootnoteReference"/>
          <w:lang w:val="en-CA"/>
        </w:rPr>
        <w:footnoteReference w:id="1"/>
      </w:r>
      <w:r w:rsidRPr="00B502E6">
        <w:rPr>
          <w:lang w:val="en-CA"/>
        </w:rPr>
        <w:t xml:space="preserve"> which represented only a </w:t>
      </w:r>
      <w:r w:rsidR="009A58EE" w:rsidRPr="00B502E6">
        <w:rPr>
          <w:lang w:val="en-CA"/>
        </w:rPr>
        <w:t xml:space="preserve">2 </w:t>
      </w:r>
      <w:r w:rsidRPr="00B502E6">
        <w:rPr>
          <w:lang w:val="en-CA"/>
        </w:rPr>
        <w:t>per</w:t>
      </w:r>
      <w:r w:rsidR="009A58EE" w:rsidRPr="00B502E6">
        <w:rPr>
          <w:lang w:val="en-CA"/>
        </w:rPr>
        <w:t xml:space="preserve"> </w:t>
      </w:r>
      <w:r w:rsidRPr="00B502E6">
        <w:rPr>
          <w:lang w:val="en-CA"/>
        </w:rPr>
        <w:t xml:space="preserve">cent increase from 2017. Urbane went on to say that the largest </w:t>
      </w:r>
      <w:r w:rsidR="00406A94" w:rsidRPr="00B502E6">
        <w:rPr>
          <w:lang w:val="en-CA"/>
        </w:rPr>
        <w:t xml:space="preserve">U.S. </w:t>
      </w:r>
      <w:r w:rsidRPr="00B502E6">
        <w:rPr>
          <w:lang w:val="en-CA"/>
        </w:rPr>
        <w:t xml:space="preserve">solar installer had recently increased </w:t>
      </w:r>
      <w:r w:rsidR="00F2456E" w:rsidRPr="00B502E6">
        <w:rPr>
          <w:lang w:val="en-CA"/>
        </w:rPr>
        <w:t>its</w:t>
      </w:r>
      <w:r w:rsidRPr="00B502E6">
        <w:rPr>
          <w:lang w:val="en-CA"/>
        </w:rPr>
        <w:t xml:space="preserve"> presence in the Southwest </w:t>
      </w:r>
      <w:r w:rsidR="009A58EE" w:rsidRPr="00B502E6">
        <w:rPr>
          <w:lang w:val="en-CA"/>
        </w:rPr>
        <w:t xml:space="preserve">United States </w:t>
      </w:r>
      <w:r w:rsidRPr="00B502E6">
        <w:rPr>
          <w:lang w:val="en-CA"/>
        </w:rPr>
        <w:t xml:space="preserve">and </w:t>
      </w:r>
      <w:r w:rsidR="00406A94" w:rsidRPr="00B502E6">
        <w:rPr>
          <w:lang w:val="en-CA"/>
        </w:rPr>
        <w:t xml:space="preserve">noted that </w:t>
      </w:r>
      <w:r w:rsidRPr="00B502E6">
        <w:rPr>
          <w:lang w:val="en-CA"/>
        </w:rPr>
        <w:t>th</w:t>
      </w:r>
      <w:r w:rsidR="00406A94" w:rsidRPr="00B502E6">
        <w:rPr>
          <w:lang w:val="en-CA"/>
        </w:rPr>
        <w:t>e</w:t>
      </w:r>
      <w:r w:rsidRPr="00B502E6">
        <w:rPr>
          <w:lang w:val="en-CA"/>
        </w:rPr>
        <w:t xml:space="preserve"> </w:t>
      </w:r>
      <w:r w:rsidR="00F2456E" w:rsidRPr="00B502E6">
        <w:rPr>
          <w:lang w:val="en-CA"/>
        </w:rPr>
        <w:t>company</w:t>
      </w:r>
      <w:r w:rsidRPr="00B502E6">
        <w:rPr>
          <w:lang w:val="en-CA"/>
        </w:rPr>
        <w:t xml:space="preserve"> had perfected the process for one-day installations, which put them at a competitive advantage. </w:t>
      </w:r>
      <w:r w:rsidRPr="00B502E6">
        <w:rPr>
          <w:color w:val="000000"/>
          <w:lang w:val="en-CA"/>
        </w:rPr>
        <w:t xml:space="preserve">Urbane concluded by saying that RSP had not done enough to embrace the growing </w:t>
      </w:r>
      <w:r w:rsidR="00F2456E" w:rsidRPr="00B502E6">
        <w:rPr>
          <w:color w:val="000000"/>
          <w:lang w:val="en-CA"/>
        </w:rPr>
        <w:t>e</w:t>
      </w:r>
      <w:r w:rsidRPr="00B502E6">
        <w:rPr>
          <w:color w:val="000000"/>
          <w:lang w:val="en-CA"/>
        </w:rPr>
        <w:t>nvironmental movement, which was a major driver of the solar power market.</w:t>
      </w:r>
      <w:r w:rsidRPr="00B502E6">
        <w:rPr>
          <w:lang w:val="en-CA"/>
        </w:rPr>
        <w:t xml:space="preserve"> Johnson thanked Urbane for his report and indicated to the board that, among other things, RSP would need to lower </w:t>
      </w:r>
      <w:r w:rsidR="00F2456E" w:rsidRPr="00B502E6">
        <w:rPr>
          <w:lang w:val="en-CA"/>
        </w:rPr>
        <w:t xml:space="preserve">its </w:t>
      </w:r>
      <w:r w:rsidRPr="00B502E6">
        <w:rPr>
          <w:lang w:val="en-CA"/>
        </w:rPr>
        <w:t xml:space="preserve">prices to remain competitive in this dynamic market. </w:t>
      </w:r>
      <w:r w:rsidR="00D935C8" w:rsidRPr="00B502E6">
        <w:rPr>
          <w:lang w:val="en-CA"/>
        </w:rPr>
        <w:t>She also indicated that RSP planned to adopt the one-day installation process, which would reduce costs</w:t>
      </w:r>
      <w:r w:rsidR="00F2456E" w:rsidRPr="00B502E6">
        <w:rPr>
          <w:lang w:val="en-CA"/>
        </w:rPr>
        <w:t>.</w:t>
      </w:r>
      <w:r w:rsidR="00D935C8" w:rsidRPr="00B502E6">
        <w:rPr>
          <w:lang w:val="en-CA"/>
        </w:rPr>
        <w:t xml:space="preserve"> </w:t>
      </w:r>
      <w:r w:rsidRPr="00B502E6">
        <w:rPr>
          <w:lang w:val="en-CA"/>
        </w:rPr>
        <w:t>As the board meeting concluded, Johnson directed Urbane to develop an action plan and report back at the board’s next meeting.</w:t>
      </w:r>
    </w:p>
    <w:p w14:paraId="3C584625" w14:textId="77777777" w:rsidR="00AC7965" w:rsidRPr="00B502E6" w:rsidRDefault="00AC7965" w:rsidP="00AC7965">
      <w:pPr>
        <w:pStyle w:val="BodyTextMain"/>
        <w:rPr>
          <w:rFonts w:ascii="Calibri" w:eastAsia="Calibri" w:hAnsi="Calibri"/>
          <w:lang w:val="en-CA"/>
        </w:rPr>
      </w:pPr>
    </w:p>
    <w:p w14:paraId="79063228" w14:textId="77777777" w:rsidR="00AC7965" w:rsidRPr="00B502E6" w:rsidRDefault="00AC7965" w:rsidP="00AC7965">
      <w:pPr>
        <w:pStyle w:val="BodyTextMain"/>
        <w:rPr>
          <w:rFonts w:ascii="Calibri" w:eastAsia="Calibri" w:hAnsi="Calibri"/>
          <w:lang w:val="en-CA"/>
        </w:rPr>
      </w:pPr>
    </w:p>
    <w:p w14:paraId="2187C98B" w14:textId="776EA9B1" w:rsidR="00AC7965" w:rsidRPr="00B502E6" w:rsidRDefault="003C2BFB" w:rsidP="00AC7965">
      <w:pPr>
        <w:pStyle w:val="Casehead1"/>
        <w:rPr>
          <w:lang w:val="en-CA"/>
        </w:rPr>
      </w:pPr>
      <w:r w:rsidRPr="00B502E6">
        <w:rPr>
          <w:lang w:val="en-CA"/>
        </w:rPr>
        <w:t xml:space="preserve">the </w:t>
      </w:r>
      <w:r w:rsidR="00AC7965" w:rsidRPr="00B502E6">
        <w:rPr>
          <w:lang w:val="en-CA"/>
        </w:rPr>
        <w:t>SOLAR POWER INDUSTRY</w:t>
      </w:r>
    </w:p>
    <w:p w14:paraId="714B93A3" w14:textId="77777777" w:rsidR="00AC7965" w:rsidRPr="00B502E6" w:rsidRDefault="00AC7965" w:rsidP="00AC7965">
      <w:pPr>
        <w:pStyle w:val="BodyTextMain"/>
        <w:rPr>
          <w:lang w:val="en-CA"/>
        </w:rPr>
      </w:pPr>
    </w:p>
    <w:p w14:paraId="7B6BD29E" w14:textId="57C49DAF" w:rsidR="00AC7965" w:rsidRPr="00B502E6" w:rsidRDefault="00AC7965" w:rsidP="00AC7965">
      <w:pPr>
        <w:pStyle w:val="BodyTextMain"/>
        <w:rPr>
          <w:spacing w:val="-1"/>
          <w:lang w:val="en-CA" w:eastAsia="x-none"/>
        </w:rPr>
      </w:pPr>
      <w:r w:rsidRPr="00B502E6">
        <w:rPr>
          <w:spacing w:val="-1"/>
          <w:lang w:val="en-CA" w:eastAsia="x-none"/>
        </w:rPr>
        <w:t>The solar power market was divided into two segments: photovoltaic</w:t>
      </w:r>
      <w:r w:rsidR="00790444" w:rsidRPr="00B502E6">
        <w:rPr>
          <w:spacing w:val="-1"/>
          <w:lang w:val="en-CA" w:eastAsia="x-none"/>
        </w:rPr>
        <w:t xml:space="preserve"> units</w:t>
      </w:r>
      <w:r w:rsidRPr="00B502E6">
        <w:rPr>
          <w:spacing w:val="-1"/>
          <w:lang w:val="en-CA" w:eastAsia="x-none"/>
        </w:rPr>
        <w:t xml:space="preserve"> (solar panels) and concentrated solar thermal. At that time, the solar panel component was significantly larger than the thermal segment. Solar panels directly transformed sunlight into electrical power. The sun produced enough energy daily to supply 10,000 times current worldwide electrical needs. </w:t>
      </w:r>
      <w:r w:rsidRPr="00B502E6">
        <w:rPr>
          <w:spacing w:val="-1"/>
          <w:shd w:val="clear" w:color="auto" w:fill="FFFFFF"/>
          <w:lang w:val="en-CA" w:eastAsia="x-none"/>
        </w:rPr>
        <w:t>The global solar</w:t>
      </w:r>
      <w:r w:rsidR="00790444" w:rsidRPr="00B502E6">
        <w:rPr>
          <w:spacing w:val="-1"/>
          <w:shd w:val="clear" w:color="auto" w:fill="FFFFFF"/>
          <w:lang w:val="en-CA" w:eastAsia="x-none"/>
        </w:rPr>
        <w:t>-</w:t>
      </w:r>
      <w:r w:rsidRPr="00B502E6">
        <w:rPr>
          <w:spacing w:val="-1"/>
          <w:shd w:val="clear" w:color="auto" w:fill="FFFFFF"/>
          <w:lang w:val="en-CA" w:eastAsia="x-none"/>
        </w:rPr>
        <w:t>energy industry was expected to reach revenues of $422 billion by 2022 from a baseline of $86 billion in 2015.</w:t>
      </w:r>
      <w:r w:rsidRPr="00B502E6">
        <w:rPr>
          <w:spacing w:val="-1"/>
          <w:shd w:val="clear" w:color="auto" w:fill="FFFFFF"/>
          <w:vertAlign w:val="superscript"/>
          <w:lang w:val="en-CA" w:eastAsia="x-none"/>
        </w:rPr>
        <w:footnoteReference w:id="2"/>
      </w:r>
      <w:r w:rsidRPr="00B502E6">
        <w:rPr>
          <w:rFonts w:ascii="Arial" w:hAnsi="Arial" w:cs="Arial"/>
          <w:spacing w:val="-1"/>
          <w:shd w:val="clear" w:color="auto" w:fill="FFFFFF"/>
          <w:lang w:val="en-CA" w:eastAsia="x-none"/>
        </w:rPr>
        <w:t> </w:t>
      </w:r>
      <w:r w:rsidRPr="00B502E6">
        <w:rPr>
          <w:rFonts w:eastAsia="Calibri"/>
          <w:shd w:val="clear" w:color="auto" w:fill="FFFFFF"/>
          <w:lang w:val="en-CA"/>
        </w:rPr>
        <w:t>The growth of this</w:t>
      </w:r>
      <w:hyperlink r:id="rId9" w:tgtFrame="_blank" w:history="1">
        <w:r w:rsidRPr="00B502E6">
          <w:rPr>
            <w:rFonts w:eastAsia="Calibri"/>
            <w:shd w:val="clear" w:color="auto" w:fill="FFFFFF"/>
            <w:lang w:val="en-CA"/>
          </w:rPr>
          <w:t xml:space="preserve"> market</w:t>
        </w:r>
      </w:hyperlink>
      <w:r w:rsidRPr="00B502E6">
        <w:rPr>
          <w:rFonts w:eastAsia="Calibri"/>
          <w:shd w:val="clear" w:color="auto" w:fill="FFFFFF"/>
          <w:lang w:val="en-CA"/>
        </w:rPr>
        <w:t> was driven by increased environmental pollution concerns, government incentives</w:t>
      </w:r>
      <w:r w:rsidR="005B7FA7" w:rsidRPr="00B502E6">
        <w:rPr>
          <w:rFonts w:eastAsia="Calibri"/>
          <w:shd w:val="clear" w:color="auto" w:fill="FFFFFF"/>
          <w:lang w:val="en-CA"/>
        </w:rPr>
        <w:t>,</w:t>
      </w:r>
      <w:r w:rsidRPr="00B502E6">
        <w:rPr>
          <w:rFonts w:eastAsia="Calibri"/>
          <w:shd w:val="clear" w:color="auto" w:fill="FFFFFF"/>
          <w:lang w:val="en-CA"/>
        </w:rPr>
        <w:t xml:space="preserve"> and utility </w:t>
      </w:r>
      <w:r w:rsidRPr="00B502E6">
        <w:rPr>
          <w:rFonts w:eastAsia="Calibri"/>
          <w:shd w:val="clear" w:color="auto" w:fill="FFFFFF"/>
          <w:lang w:val="en-CA"/>
        </w:rPr>
        <w:lastRenderedPageBreak/>
        <w:t>power buyback schemes. The solar panel side of this market also consisted of two segments: solar panel manufacturers and solar panel installers.</w:t>
      </w:r>
      <w:r w:rsidRPr="00B502E6">
        <w:rPr>
          <w:rFonts w:ascii="Arial" w:eastAsia="Calibri" w:hAnsi="Arial" w:cs="Arial"/>
          <w:shd w:val="clear" w:color="auto" w:fill="FFFFFF"/>
          <w:lang w:val="en-CA"/>
        </w:rPr>
        <w:t xml:space="preserve"> </w:t>
      </w:r>
      <w:r w:rsidRPr="00B502E6">
        <w:rPr>
          <w:spacing w:val="-1"/>
          <w:shd w:val="clear" w:color="auto" w:fill="FEFEFE"/>
          <w:lang w:val="en-CA" w:eastAsia="x-none"/>
        </w:rPr>
        <w:t xml:space="preserve">Some of the major players in solar panel manufacturing were </w:t>
      </w:r>
      <w:r w:rsidRPr="00B502E6">
        <w:rPr>
          <w:bCs/>
          <w:spacing w:val="-1"/>
          <w:lang w:val="en-CA" w:eastAsia="x-none"/>
        </w:rPr>
        <w:t>located in China and Canada</w:t>
      </w:r>
      <w:r w:rsidRPr="00B502E6">
        <w:rPr>
          <w:color w:val="444444"/>
          <w:spacing w:val="-1"/>
          <w:shd w:val="clear" w:color="auto" w:fill="FEFEFE"/>
          <w:lang w:val="en-CA" w:eastAsia="x-none"/>
        </w:rPr>
        <w:t xml:space="preserve">. </w:t>
      </w:r>
      <w:r w:rsidRPr="00B502E6">
        <w:rPr>
          <w:bCs/>
          <w:spacing w:val="-1"/>
          <w:lang w:val="en-CA" w:eastAsia="x-none"/>
        </w:rPr>
        <w:t>The solar installation segment of the market was highly fragmented</w:t>
      </w:r>
      <w:r w:rsidRPr="00B502E6">
        <w:rPr>
          <w:spacing w:val="-1"/>
          <w:lang w:val="en-CA" w:eastAsia="x-none"/>
        </w:rPr>
        <w:t>.</w:t>
      </w:r>
      <w:r w:rsidRPr="00B502E6">
        <w:rPr>
          <w:spacing w:val="-1"/>
          <w:vertAlign w:val="superscript"/>
          <w:lang w:val="en-CA" w:eastAsia="x-none"/>
        </w:rPr>
        <w:footnoteReference w:id="3"/>
      </w:r>
    </w:p>
    <w:p w14:paraId="727BE1B8" w14:textId="77777777" w:rsidR="00AC7965" w:rsidRPr="00B502E6" w:rsidRDefault="00AC7965" w:rsidP="00AC7965">
      <w:pPr>
        <w:pStyle w:val="BodyTextMain"/>
        <w:rPr>
          <w:color w:val="444444"/>
          <w:spacing w:val="-1"/>
          <w:shd w:val="clear" w:color="auto" w:fill="FEFEFE"/>
          <w:lang w:val="en-CA" w:eastAsia="x-none"/>
        </w:rPr>
      </w:pPr>
    </w:p>
    <w:p w14:paraId="158F4675" w14:textId="603D4300" w:rsidR="00AC7965" w:rsidRPr="00B502E6" w:rsidRDefault="00AC7965" w:rsidP="00AC7965">
      <w:pPr>
        <w:pStyle w:val="BodyTextMain"/>
        <w:rPr>
          <w:spacing w:val="-1"/>
          <w:vertAlign w:val="superscript"/>
          <w:lang w:val="en-CA" w:eastAsia="x-none"/>
        </w:rPr>
      </w:pPr>
      <w:r w:rsidRPr="00B502E6">
        <w:rPr>
          <w:spacing w:val="-1"/>
          <w:lang w:val="en-CA" w:eastAsia="x-none"/>
        </w:rPr>
        <w:t>From 2010 to 2018</w:t>
      </w:r>
      <w:r w:rsidR="003C2BFB" w:rsidRPr="00B502E6">
        <w:rPr>
          <w:spacing w:val="-1"/>
          <w:lang w:val="en-CA" w:eastAsia="x-none"/>
        </w:rPr>
        <w:t>,</w:t>
      </w:r>
      <w:r w:rsidRPr="00B502E6">
        <w:rPr>
          <w:spacing w:val="-1"/>
          <w:lang w:val="en-CA" w:eastAsia="x-none"/>
        </w:rPr>
        <w:t xml:space="preserve"> the total cost for a typical installation had decreased by nearly 70 per</w:t>
      </w:r>
      <w:r w:rsidR="009A58EE" w:rsidRPr="00B502E6">
        <w:rPr>
          <w:spacing w:val="-1"/>
          <w:lang w:val="en-CA" w:eastAsia="x-none"/>
        </w:rPr>
        <w:t xml:space="preserve"> </w:t>
      </w:r>
      <w:r w:rsidRPr="00B502E6">
        <w:rPr>
          <w:spacing w:val="-1"/>
          <w:lang w:val="en-CA" w:eastAsia="x-none"/>
        </w:rPr>
        <w:t>cent. This trend made solar power more affordable for both residential and commercial applications</w:t>
      </w:r>
      <w:r w:rsidR="00227E3B" w:rsidRPr="00B502E6">
        <w:rPr>
          <w:spacing w:val="-1"/>
          <w:lang w:val="en-CA" w:eastAsia="x-none"/>
        </w:rPr>
        <w:t>.</w:t>
      </w:r>
      <w:r w:rsidRPr="00B502E6">
        <w:rPr>
          <w:spacing w:val="-1"/>
          <w:lang w:val="en-CA" w:eastAsia="x-none"/>
        </w:rPr>
        <w:t xml:space="preserve"> </w:t>
      </w:r>
      <w:r w:rsidR="006C7B3F" w:rsidRPr="00B502E6">
        <w:rPr>
          <w:spacing w:val="-1"/>
          <w:lang w:val="en-CA" w:eastAsia="x-none"/>
        </w:rPr>
        <w:t>Because schools were in session during daylight hours, b</w:t>
      </w:r>
      <w:r w:rsidRPr="00B502E6">
        <w:rPr>
          <w:spacing w:val="-1"/>
          <w:lang w:val="en-CA" w:eastAsia="x-none"/>
        </w:rPr>
        <w:t xml:space="preserve">oth public and private schools offered additional </w:t>
      </w:r>
      <w:r w:rsidR="006C7B3F" w:rsidRPr="00B502E6">
        <w:rPr>
          <w:spacing w:val="-1"/>
          <w:lang w:val="en-CA" w:eastAsia="x-none"/>
        </w:rPr>
        <w:t>s</w:t>
      </w:r>
      <w:bookmarkStart w:id="0" w:name="_GoBack"/>
      <w:bookmarkEnd w:id="0"/>
      <w:r w:rsidR="006C7B3F" w:rsidRPr="00B502E6">
        <w:rPr>
          <w:spacing w:val="-1"/>
          <w:lang w:val="en-CA" w:eastAsia="x-none"/>
        </w:rPr>
        <w:t xml:space="preserve">olar installation </w:t>
      </w:r>
      <w:r w:rsidRPr="00B502E6">
        <w:rPr>
          <w:spacing w:val="-1"/>
          <w:lang w:val="en-CA" w:eastAsia="x-none"/>
        </w:rPr>
        <w:t xml:space="preserve">opportunities. There were approximately 100,000 </w:t>
      </w:r>
      <w:r w:rsidR="003E6C4F" w:rsidRPr="00B502E6">
        <w:rPr>
          <w:spacing w:val="-1"/>
          <w:lang w:val="en-CA" w:eastAsia="x-none"/>
        </w:rPr>
        <w:t>kindergarten to</w:t>
      </w:r>
      <w:r w:rsidR="005B7FA7" w:rsidRPr="00B502E6">
        <w:rPr>
          <w:spacing w:val="-1"/>
          <w:lang w:val="en-CA" w:eastAsia="x-none"/>
        </w:rPr>
        <w:t xml:space="preserve"> grade</w:t>
      </w:r>
      <w:r w:rsidR="003E6C4F" w:rsidRPr="00B502E6">
        <w:rPr>
          <w:spacing w:val="-1"/>
          <w:lang w:val="en-CA" w:eastAsia="x-none"/>
        </w:rPr>
        <w:t xml:space="preserve"> </w:t>
      </w:r>
      <w:r w:rsidRPr="00B502E6">
        <w:rPr>
          <w:spacing w:val="-1"/>
          <w:lang w:val="en-CA" w:eastAsia="x-none"/>
        </w:rPr>
        <w:t>12 schools throughout the United States but by 2017</w:t>
      </w:r>
      <w:r w:rsidR="00FE3ECF" w:rsidRPr="00B502E6">
        <w:rPr>
          <w:spacing w:val="-1"/>
          <w:lang w:val="en-CA" w:eastAsia="x-none"/>
        </w:rPr>
        <w:t>,</w:t>
      </w:r>
      <w:r w:rsidRPr="00B502E6">
        <w:rPr>
          <w:spacing w:val="-1"/>
          <w:lang w:val="en-CA" w:eastAsia="x-none"/>
        </w:rPr>
        <w:t xml:space="preserve"> only 5,000 schools had been equipped with solar power systems.</w:t>
      </w:r>
      <w:r w:rsidRPr="00B502E6">
        <w:rPr>
          <w:spacing w:val="-1"/>
          <w:vertAlign w:val="superscript"/>
          <w:lang w:val="en-CA" w:eastAsia="x-none"/>
        </w:rPr>
        <w:footnoteReference w:id="4"/>
      </w:r>
      <w:r w:rsidRPr="00B502E6">
        <w:rPr>
          <w:spacing w:val="-1"/>
          <w:lang w:val="en-CA" w:eastAsia="x-none"/>
        </w:rPr>
        <w:t xml:space="preserve"> A typical solar panel for a residential or school application measured 65 by 39 inches</w:t>
      </w:r>
      <w:r w:rsidR="006C7B3F" w:rsidRPr="00B502E6">
        <w:rPr>
          <w:spacing w:val="-1"/>
          <w:lang w:val="en-CA" w:eastAsia="x-none"/>
        </w:rPr>
        <w:t xml:space="preserve"> (165 by 99 c</w:t>
      </w:r>
      <w:r w:rsidR="009A58EE" w:rsidRPr="00B502E6">
        <w:rPr>
          <w:spacing w:val="-1"/>
          <w:lang w:val="en-CA" w:eastAsia="x-none"/>
        </w:rPr>
        <w:t>enti</w:t>
      </w:r>
      <w:r w:rsidR="006C7B3F" w:rsidRPr="00B502E6">
        <w:rPr>
          <w:spacing w:val="-1"/>
          <w:lang w:val="en-CA" w:eastAsia="x-none"/>
        </w:rPr>
        <w:t>m</w:t>
      </w:r>
      <w:r w:rsidR="009A58EE" w:rsidRPr="00B502E6">
        <w:rPr>
          <w:spacing w:val="-1"/>
          <w:lang w:val="en-CA" w:eastAsia="x-none"/>
        </w:rPr>
        <w:t>etres</w:t>
      </w:r>
      <w:r w:rsidR="006C7B3F" w:rsidRPr="00B502E6">
        <w:rPr>
          <w:spacing w:val="-1"/>
          <w:lang w:val="en-CA" w:eastAsia="x-none"/>
        </w:rPr>
        <w:t>)</w:t>
      </w:r>
      <w:r w:rsidRPr="00B502E6">
        <w:rPr>
          <w:spacing w:val="-1"/>
          <w:lang w:val="en-CA" w:eastAsia="x-none"/>
        </w:rPr>
        <w:t xml:space="preserve"> and generated, on average, approximately 250 watts.</w:t>
      </w:r>
      <w:r w:rsidRPr="00B502E6">
        <w:rPr>
          <w:spacing w:val="-1"/>
          <w:vertAlign w:val="superscript"/>
          <w:lang w:val="en-CA" w:eastAsia="x-none"/>
        </w:rPr>
        <w:footnoteReference w:id="5"/>
      </w:r>
    </w:p>
    <w:p w14:paraId="348EBEA9" w14:textId="77777777" w:rsidR="00AC7965" w:rsidRPr="00B502E6" w:rsidRDefault="00AC7965" w:rsidP="00AC7965">
      <w:pPr>
        <w:pStyle w:val="BodyTextMain"/>
        <w:rPr>
          <w:spacing w:val="-1"/>
          <w:lang w:val="en-CA"/>
        </w:rPr>
      </w:pPr>
    </w:p>
    <w:p w14:paraId="2892B6BF" w14:textId="77777777" w:rsidR="00AC7965" w:rsidRPr="00B502E6" w:rsidRDefault="00AC7965" w:rsidP="00AC7965">
      <w:pPr>
        <w:pStyle w:val="BodyTextMain"/>
        <w:rPr>
          <w:spacing w:val="-1"/>
          <w:lang w:val="en-CA"/>
        </w:rPr>
      </w:pPr>
    </w:p>
    <w:p w14:paraId="63353029" w14:textId="77777777" w:rsidR="00AC7965" w:rsidRPr="00B502E6" w:rsidRDefault="00AC7965" w:rsidP="00AC7965">
      <w:pPr>
        <w:pStyle w:val="Casehead1"/>
        <w:rPr>
          <w:lang w:val="en-CA"/>
        </w:rPr>
      </w:pPr>
      <w:r w:rsidRPr="00B502E6">
        <w:rPr>
          <w:lang w:val="en-CA"/>
        </w:rPr>
        <w:t>COMPANY BACKGROUND</w:t>
      </w:r>
    </w:p>
    <w:p w14:paraId="0A857BC6" w14:textId="77777777" w:rsidR="00AC7965" w:rsidRPr="00B502E6" w:rsidRDefault="00AC7965" w:rsidP="00AC7965">
      <w:pPr>
        <w:pStyle w:val="BodyTextMain"/>
        <w:rPr>
          <w:lang w:val="en-CA"/>
        </w:rPr>
      </w:pPr>
    </w:p>
    <w:p w14:paraId="06A7DE86" w14:textId="60840A40" w:rsidR="008456EE" w:rsidRPr="00B502E6" w:rsidRDefault="00AC7965" w:rsidP="00AC7965">
      <w:pPr>
        <w:pStyle w:val="BodyTextMain"/>
        <w:rPr>
          <w:spacing w:val="-2"/>
          <w:kern w:val="22"/>
          <w:lang w:val="en-CA"/>
        </w:rPr>
      </w:pPr>
      <w:r w:rsidRPr="00B502E6">
        <w:rPr>
          <w:rFonts w:eastAsia="Calibri"/>
          <w:spacing w:val="-2"/>
          <w:kern w:val="22"/>
          <w:lang w:val="en-CA"/>
        </w:rPr>
        <w:t xml:space="preserve">RSP, which was founded in 2012 and headquartered in Phoenix, Arizona, offered </w:t>
      </w:r>
      <w:r w:rsidR="00C041A3" w:rsidRPr="00B502E6">
        <w:rPr>
          <w:rFonts w:eastAsia="Calibri"/>
          <w:spacing w:val="-2"/>
          <w:kern w:val="22"/>
          <w:lang w:val="en-CA"/>
        </w:rPr>
        <w:t xml:space="preserve">solar power </w:t>
      </w:r>
      <w:r w:rsidRPr="00B502E6">
        <w:rPr>
          <w:rFonts w:eastAsia="Calibri"/>
          <w:spacing w:val="-2"/>
          <w:kern w:val="22"/>
          <w:lang w:val="en-CA"/>
        </w:rPr>
        <w:t xml:space="preserve">design and installation services for residential and commercial applications throughout the greater </w:t>
      </w:r>
      <w:r w:rsidR="00C041A3" w:rsidRPr="00B502E6">
        <w:rPr>
          <w:rFonts w:eastAsia="Calibri"/>
          <w:spacing w:val="-2"/>
          <w:kern w:val="22"/>
          <w:lang w:val="en-CA"/>
        </w:rPr>
        <w:t>S</w:t>
      </w:r>
      <w:r w:rsidRPr="00B502E6">
        <w:rPr>
          <w:rFonts w:eastAsia="Calibri"/>
          <w:spacing w:val="-2"/>
          <w:kern w:val="22"/>
          <w:lang w:val="en-CA"/>
        </w:rPr>
        <w:t>outhwestern United States. While interest in solar power had continued to grow</w:t>
      </w:r>
      <w:r w:rsidR="00673500" w:rsidRPr="00B502E6">
        <w:rPr>
          <w:rFonts w:eastAsia="Calibri"/>
          <w:spacing w:val="-2"/>
          <w:kern w:val="22"/>
          <w:lang w:val="en-CA"/>
        </w:rPr>
        <w:t>, by 2018</w:t>
      </w:r>
      <w:r w:rsidRPr="00B502E6">
        <w:rPr>
          <w:rFonts w:eastAsia="Calibri"/>
          <w:spacing w:val="-2"/>
          <w:kern w:val="22"/>
          <w:lang w:val="en-CA"/>
        </w:rPr>
        <w:t xml:space="preserve"> RSP’s revenues had flattened out</w:t>
      </w:r>
      <w:r w:rsidR="00673500" w:rsidRPr="00B502E6">
        <w:rPr>
          <w:rFonts w:eastAsia="Calibri"/>
          <w:spacing w:val="-2"/>
          <w:kern w:val="22"/>
          <w:lang w:val="en-CA"/>
        </w:rPr>
        <w:t xml:space="preserve"> because </w:t>
      </w:r>
      <w:r w:rsidRPr="00B502E6">
        <w:rPr>
          <w:spacing w:val="-2"/>
          <w:kern w:val="22"/>
          <w:lang w:val="en-CA"/>
        </w:rPr>
        <w:t xml:space="preserve">the largest solar panel installer in North America </w:t>
      </w:r>
      <w:r w:rsidR="00673500" w:rsidRPr="00B502E6">
        <w:rPr>
          <w:spacing w:val="-2"/>
          <w:kern w:val="22"/>
          <w:lang w:val="en-CA"/>
        </w:rPr>
        <w:t xml:space="preserve">had entered </w:t>
      </w:r>
      <w:r w:rsidRPr="00B502E6">
        <w:rPr>
          <w:spacing w:val="-2"/>
          <w:kern w:val="22"/>
          <w:lang w:val="en-CA"/>
        </w:rPr>
        <w:t>RSP’s market area. Th</w:t>
      </w:r>
      <w:r w:rsidR="00673500" w:rsidRPr="00B502E6">
        <w:rPr>
          <w:spacing w:val="-2"/>
          <w:kern w:val="22"/>
          <w:lang w:val="en-CA"/>
        </w:rPr>
        <w:t>at company</w:t>
      </w:r>
      <w:r w:rsidRPr="00B502E6">
        <w:rPr>
          <w:spacing w:val="-2"/>
          <w:kern w:val="22"/>
          <w:lang w:val="en-CA"/>
        </w:rPr>
        <w:t xml:space="preserve"> offered a more attractive price point and had developed more </w:t>
      </w:r>
      <w:r w:rsidR="00673500" w:rsidRPr="00B502E6">
        <w:rPr>
          <w:spacing w:val="-2"/>
          <w:kern w:val="22"/>
          <w:lang w:val="en-CA"/>
        </w:rPr>
        <w:t xml:space="preserve">efficient </w:t>
      </w:r>
      <w:r w:rsidRPr="00B502E6">
        <w:rPr>
          <w:spacing w:val="-2"/>
          <w:kern w:val="22"/>
          <w:lang w:val="en-CA"/>
        </w:rPr>
        <w:t>installation procedures.</w:t>
      </w:r>
      <w:r w:rsidR="00264016" w:rsidRPr="00B502E6">
        <w:rPr>
          <w:spacing w:val="-2"/>
          <w:kern w:val="22"/>
          <w:lang w:val="en-CA"/>
        </w:rPr>
        <w:t xml:space="preserve"> </w:t>
      </w:r>
      <w:r w:rsidRPr="00B502E6">
        <w:rPr>
          <w:spacing w:val="-2"/>
          <w:kern w:val="22"/>
          <w:lang w:val="en-CA"/>
        </w:rPr>
        <w:t>RSP averaged one</w:t>
      </w:r>
      <w:r w:rsidR="009A58EE" w:rsidRPr="00B502E6">
        <w:rPr>
          <w:spacing w:val="-2"/>
          <w:kern w:val="22"/>
          <w:lang w:val="en-CA"/>
        </w:rPr>
        <w:t>-</w:t>
      </w:r>
      <w:r w:rsidRPr="00B502E6">
        <w:rPr>
          <w:spacing w:val="-2"/>
          <w:kern w:val="22"/>
          <w:lang w:val="en-CA"/>
        </w:rPr>
        <w:t>and</w:t>
      </w:r>
      <w:r w:rsidR="009A58EE" w:rsidRPr="00B502E6">
        <w:rPr>
          <w:spacing w:val="-2"/>
          <w:kern w:val="22"/>
          <w:lang w:val="en-CA"/>
        </w:rPr>
        <w:t>-</w:t>
      </w:r>
      <w:r w:rsidRPr="00B502E6">
        <w:rPr>
          <w:spacing w:val="-2"/>
          <w:kern w:val="22"/>
          <w:lang w:val="en-CA"/>
        </w:rPr>
        <w:t>a</w:t>
      </w:r>
      <w:r w:rsidR="009A58EE" w:rsidRPr="00B502E6">
        <w:rPr>
          <w:spacing w:val="-2"/>
          <w:kern w:val="22"/>
          <w:lang w:val="en-CA"/>
        </w:rPr>
        <w:t>-</w:t>
      </w:r>
      <w:r w:rsidRPr="00B502E6">
        <w:rPr>
          <w:spacing w:val="-2"/>
          <w:kern w:val="22"/>
          <w:lang w:val="en-CA"/>
        </w:rPr>
        <w:t>half days for a typical installation, while the</w:t>
      </w:r>
      <w:r w:rsidR="00673500" w:rsidRPr="00B502E6">
        <w:rPr>
          <w:spacing w:val="-2"/>
          <w:kern w:val="22"/>
          <w:lang w:val="en-CA"/>
        </w:rPr>
        <w:t xml:space="preserve"> </w:t>
      </w:r>
      <w:r w:rsidRPr="00B502E6">
        <w:rPr>
          <w:spacing w:val="-2"/>
          <w:kern w:val="22"/>
          <w:lang w:val="en-CA"/>
        </w:rPr>
        <w:t xml:space="preserve">competitors’ installations were generally completed in a single day. </w:t>
      </w:r>
    </w:p>
    <w:p w14:paraId="1D81702A" w14:textId="77777777" w:rsidR="008456EE" w:rsidRPr="00B502E6" w:rsidRDefault="008456EE" w:rsidP="00AC7965">
      <w:pPr>
        <w:pStyle w:val="BodyTextMain"/>
        <w:rPr>
          <w:rFonts w:eastAsia="Calibri"/>
          <w:spacing w:val="-2"/>
          <w:kern w:val="22"/>
          <w:lang w:val="en-CA"/>
        </w:rPr>
      </w:pPr>
    </w:p>
    <w:p w14:paraId="36594016" w14:textId="32E5CDC6" w:rsidR="009C6597" w:rsidRPr="00B502E6" w:rsidRDefault="009A58EE" w:rsidP="00AC7965">
      <w:pPr>
        <w:pStyle w:val="BodyTextMain"/>
        <w:rPr>
          <w:rFonts w:eastAsia="Calibri"/>
          <w:lang w:val="en-CA"/>
        </w:rPr>
      </w:pPr>
      <w:r w:rsidRPr="00B502E6">
        <w:rPr>
          <w:rFonts w:eastAsia="Calibri"/>
          <w:lang w:val="en-CA"/>
        </w:rPr>
        <w:t>T</w:t>
      </w:r>
      <w:r w:rsidR="00AC7965" w:rsidRPr="00B502E6">
        <w:rPr>
          <w:rFonts w:eastAsia="Calibri"/>
          <w:lang w:val="en-CA"/>
        </w:rPr>
        <w:t>he basic parameters associated with a typical solar panel installation for a residential application</w:t>
      </w:r>
      <w:r w:rsidR="009C6597" w:rsidRPr="00B502E6">
        <w:rPr>
          <w:rFonts w:eastAsia="Calibri"/>
          <w:lang w:val="en-CA"/>
        </w:rPr>
        <w:t xml:space="preserve"> in 2018</w:t>
      </w:r>
      <w:r w:rsidRPr="00B502E6">
        <w:rPr>
          <w:rFonts w:eastAsia="Calibri"/>
          <w:lang w:val="en-CA"/>
        </w:rPr>
        <w:t xml:space="preserve"> included</w:t>
      </w:r>
      <w:r w:rsidR="00F579CB" w:rsidRPr="00B502E6">
        <w:rPr>
          <w:rFonts w:eastAsia="Calibri"/>
          <w:lang w:val="en-CA"/>
        </w:rPr>
        <w:t xml:space="preserve"> an average cost of $3,000 and an average installation size of 5 kilowatts of power</w:t>
      </w:r>
      <w:r w:rsidRPr="00B502E6">
        <w:rPr>
          <w:rFonts w:eastAsia="Calibri"/>
          <w:lang w:val="en-CA"/>
        </w:rPr>
        <w:t xml:space="preserve"> (see Exhibit 1)</w:t>
      </w:r>
      <w:r w:rsidR="00AC7965" w:rsidRPr="00B502E6">
        <w:rPr>
          <w:rFonts w:eastAsia="Calibri"/>
          <w:lang w:val="en-CA"/>
        </w:rPr>
        <w:t xml:space="preserve">. </w:t>
      </w:r>
      <w:r w:rsidR="008456EE" w:rsidRPr="00B502E6">
        <w:rPr>
          <w:rFonts w:eastAsia="Calibri"/>
          <w:lang w:val="en-CA"/>
        </w:rPr>
        <w:t>According to a</w:t>
      </w:r>
      <w:r w:rsidR="00AC7965" w:rsidRPr="00B502E6">
        <w:rPr>
          <w:rFonts w:eastAsia="Calibri"/>
          <w:lang w:val="en-CA"/>
        </w:rPr>
        <w:t xml:space="preserve"> </w:t>
      </w:r>
      <w:r w:rsidR="00457083" w:rsidRPr="00B502E6">
        <w:rPr>
          <w:rFonts w:eastAsia="Calibri"/>
          <w:lang w:val="en-CA"/>
        </w:rPr>
        <w:t xml:space="preserve">basic </w:t>
      </w:r>
      <w:r w:rsidR="00AC7965" w:rsidRPr="00B502E6">
        <w:rPr>
          <w:rFonts w:eastAsia="Calibri"/>
          <w:lang w:val="en-CA"/>
        </w:rPr>
        <w:t>price demand curve</w:t>
      </w:r>
      <w:r w:rsidR="008456EE" w:rsidRPr="00B502E6">
        <w:rPr>
          <w:rFonts w:eastAsia="Calibri"/>
          <w:lang w:val="en-CA"/>
        </w:rPr>
        <w:t>, in 2018, a typical installation of 300 units would cost approximately $15,000 per complete installation, whereas 540 units would cost $1</w:t>
      </w:r>
      <w:r w:rsidR="00B502E6">
        <w:rPr>
          <w:rFonts w:eastAsia="Calibri"/>
          <w:lang w:val="en-CA"/>
        </w:rPr>
        <w:t>2,000 per complete installation</w:t>
      </w:r>
      <w:r w:rsidRPr="00B502E6">
        <w:rPr>
          <w:rFonts w:eastAsia="Calibri"/>
          <w:lang w:val="en-CA"/>
        </w:rPr>
        <w:t xml:space="preserve"> (see Exhibit 2)</w:t>
      </w:r>
      <w:r w:rsidR="00AC7965" w:rsidRPr="00B502E6">
        <w:rPr>
          <w:rFonts w:eastAsia="Calibri"/>
          <w:lang w:val="en-CA"/>
        </w:rPr>
        <w:t>.</w:t>
      </w:r>
    </w:p>
    <w:p w14:paraId="23E184D0" w14:textId="77777777" w:rsidR="009C6597" w:rsidRPr="00B502E6" w:rsidRDefault="009C6597" w:rsidP="00AC7965">
      <w:pPr>
        <w:pStyle w:val="BodyTextMain"/>
        <w:rPr>
          <w:rFonts w:eastAsia="Calibri"/>
          <w:lang w:val="en-CA"/>
        </w:rPr>
      </w:pPr>
    </w:p>
    <w:p w14:paraId="1C1DC88E" w14:textId="724F5507" w:rsidR="00AC7965" w:rsidRPr="00B502E6" w:rsidRDefault="00AC7965" w:rsidP="00AC7965">
      <w:pPr>
        <w:pStyle w:val="BodyTextMain"/>
        <w:rPr>
          <w:rFonts w:eastAsia="Calibri"/>
          <w:lang w:val="en-CA"/>
        </w:rPr>
      </w:pPr>
      <w:r w:rsidRPr="00B502E6">
        <w:rPr>
          <w:rFonts w:eastAsia="Calibri"/>
          <w:lang w:val="en-CA"/>
        </w:rPr>
        <w:t xml:space="preserve">Urbane believed that a </w:t>
      </w:r>
      <w:r w:rsidR="009A58EE" w:rsidRPr="00B502E6">
        <w:rPr>
          <w:rFonts w:eastAsia="Calibri"/>
          <w:lang w:val="en-CA"/>
        </w:rPr>
        <w:t>10</w:t>
      </w:r>
      <w:r w:rsidRPr="00B502E6">
        <w:rPr>
          <w:rFonts w:eastAsia="Calibri"/>
          <w:lang w:val="en-CA"/>
        </w:rPr>
        <w:t xml:space="preserve"> per</w:t>
      </w:r>
      <w:r w:rsidR="009A58EE" w:rsidRPr="00B502E6">
        <w:rPr>
          <w:rFonts w:eastAsia="Calibri"/>
          <w:lang w:val="en-CA"/>
        </w:rPr>
        <w:t xml:space="preserve"> </w:t>
      </w:r>
      <w:r w:rsidRPr="00B502E6">
        <w:rPr>
          <w:rFonts w:eastAsia="Calibri"/>
          <w:lang w:val="en-CA"/>
        </w:rPr>
        <w:t>cent drop in price would be more than offset by an increase in demand volume. Urbane also knew that</w:t>
      </w:r>
      <w:r w:rsidR="00264016" w:rsidRPr="00B502E6">
        <w:rPr>
          <w:rFonts w:eastAsia="Calibri"/>
          <w:lang w:val="en-CA"/>
        </w:rPr>
        <w:t>,</w:t>
      </w:r>
      <w:r w:rsidRPr="00B502E6">
        <w:rPr>
          <w:rFonts w:eastAsia="Calibri"/>
          <w:lang w:val="en-CA"/>
        </w:rPr>
        <w:t xml:space="preserve"> </w:t>
      </w:r>
      <w:r w:rsidR="00673500" w:rsidRPr="00B502E6">
        <w:rPr>
          <w:rFonts w:eastAsia="Calibri"/>
          <w:lang w:val="en-CA"/>
        </w:rPr>
        <w:t>to remain competitive in this fast-growing market</w:t>
      </w:r>
      <w:r w:rsidR="00264016" w:rsidRPr="00B502E6">
        <w:rPr>
          <w:rFonts w:eastAsia="Calibri"/>
          <w:lang w:val="en-CA"/>
        </w:rPr>
        <w:t>,</w:t>
      </w:r>
      <w:r w:rsidR="00673500" w:rsidRPr="00B502E6">
        <w:rPr>
          <w:rFonts w:eastAsia="Calibri"/>
          <w:lang w:val="en-CA"/>
        </w:rPr>
        <w:t xml:space="preserve"> </w:t>
      </w:r>
      <w:r w:rsidRPr="00B502E6">
        <w:rPr>
          <w:rFonts w:eastAsia="Calibri"/>
          <w:lang w:val="en-CA"/>
        </w:rPr>
        <w:t xml:space="preserve">RSP needed to improve </w:t>
      </w:r>
      <w:r w:rsidR="00673500" w:rsidRPr="00B502E6">
        <w:rPr>
          <w:rFonts w:eastAsia="Calibri"/>
          <w:lang w:val="en-CA"/>
        </w:rPr>
        <w:t xml:space="preserve">its </w:t>
      </w:r>
      <w:r w:rsidRPr="00B502E6">
        <w:rPr>
          <w:rFonts w:eastAsia="Calibri"/>
          <w:lang w:val="en-CA"/>
        </w:rPr>
        <w:t xml:space="preserve">image with respect to </w:t>
      </w:r>
      <w:r w:rsidR="00673500" w:rsidRPr="00B502E6">
        <w:rPr>
          <w:rFonts w:eastAsia="Calibri"/>
          <w:lang w:val="en-CA"/>
        </w:rPr>
        <w:t>e</w:t>
      </w:r>
      <w:r w:rsidRPr="00B502E6">
        <w:rPr>
          <w:rFonts w:eastAsia="Calibri"/>
          <w:lang w:val="en-CA"/>
        </w:rPr>
        <w:t>nvironmental movement</w:t>
      </w:r>
      <w:r w:rsidR="00673500" w:rsidRPr="00B502E6">
        <w:rPr>
          <w:rFonts w:eastAsia="Calibri"/>
          <w:lang w:val="en-CA"/>
        </w:rPr>
        <w:t xml:space="preserve"> groups</w:t>
      </w:r>
      <w:r w:rsidRPr="00B502E6">
        <w:rPr>
          <w:rFonts w:eastAsia="Calibri"/>
          <w:lang w:val="en-CA"/>
        </w:rPr>
        <w:t>.</w:t>
      </w:r>
    </w:p>
    <w:p w14:paraId="2C183161" w14:textId="5E629CB0" w:rsidR="00AC7965" w:rsidRPr="00B502E6" w:rsidRDefault="00AC7965">
      <w:pPr>
        <w:spacing w:after="200" w:line="276" w:lineRule="auto"/>
        <w:rPr>
          <w:rFonts w:ascii="Arial" w:hAnsi="Arial" w:cs="Arial"/>
          <w:b/>
          <w:caps/>
          <w:lang w:val="en-CA"/>
        </w:rPr>
      </w:pPr>
      <w:r w:rsidRPr="00B502E6">
        <w:rPr>
          <w:lang w:val="en-CA"/>
        </w:rPr>
        <w:br w:type="page"/>
      </w:r>
    </w:p>
    <w:p w14:paraId="2A011333" w14:textId="3BFA96BA" w:rsidR="00AC7965" w:rsidRPr="00B502E6" w:rsidRDefault="00AC7965" w:rsidP="00AC7965">
      <w:pPr>
        <w:pStyle w:val="ExhibitHeading"/>
        <w:rPr>
          <w:lang w:val="en-CA"/>
        </w:rPr>
      </w:pPr>
      <w:r w:rsidRPr="00B502E6">
        <w:rPr>
          <w:lang w:val="en-CA"/>
        </w:rPr>
        <w:lastRenderedPageBreak/>
        <w:t xml:space="preserve">Exhibit 1: Estimated Costs </w:t>
      </w:r>
      <w:r w:rsidR="009C6597" w:rsidRPr="00B502E6">
        <w:rPr>
          <w:lang w:val="en-CA"/>
        </w:rPr>
        <w:t>and</w:t>
      </w:r>
      <w:r w:rsidRPr="00B502E6">
        <w:rPr>
          <w:lang w:val="en-CA"/>
        </w:rPr>
        <w:t xml:space="preserve"> Saving</w:t>
      </w:r>
      <w:r w:rsidR="009C6597" w:rsidRPr="00B502E6">
        <w:rPr>
          <w:lang w:val="en-CA"/>
        </w:rPr>
        <w:t>s</w:t>
      </w:r>
      <w:r w:rsidRPr="00B502E6">
        <w:rPr>
          <w:lang w:val="en-CA"/>
        </w:rPr>
        <w:t xml:space="preserve"> Components for a Typical Solar Panel Installation</w:t>
      </w:r>
      <w:r w:rsidR="009C6597" w:rsidRPr="00B502E6">
        <w:rPr>
          <w:lang w:val="en-CA"/>
        </w:rPr>
        <w:t xml:space="preserve"> (US$)</w:t>
      </w:r>
    </w:p>
    <w:p w14:paraId="53B979C2" w14:textId="77777777" w:rsidR="00AC7965" w:rsidRPr="00B502E6" w:rsidRDefault="00AC7965" w:rsidP="00AC7965">
      <w:pPr>
        <w:pStyle w:val="ExhibitText"/>
        <w:rPr>
          <w:lang w:val="en-CA"/>
        </w:rPr>
      </w:pPr>
    </w:p>
    <w:tbl>
      <w:tblPr>
        <w:tblStyle w:val="TableGrid"/>
        <w:tblW w:w="0" w:type="auto"/>
        <w:jc w:val="center"/>
        <w:tblLook w:val="04A0" w:firstRow="1" w:lastRow="0" w:firstColumn="1" w:lastColumn="0" w:noHBand="0" w:noVBand="1"/>
      </w:tblPr>
      <w:tblGrid>
        <w:gridCol w:w="4856"/>
        <w:gridCol w:w="2428"/>
      </w:tblGrid>
      <w:tr w:rsidR="00AC7965" w:rsidRPr="00B502E6" w14:paraId="772EE5A0" w14:textId="77777777" w:rsidTr="00C23EDB">
        <w:trPr>
          <w:trHeight w:val="252"/>
          <w:jc w:val="center"/>
        </w:trPr>
        <w:tc>
          <w:tcPr>
            <w:tcW w:w="4856" w:type="dxa"/>
            <w:tcBorders>
              <w:top w:val="single" w:sz="4" w:space="0" w:color="auto"/>
              <w:left w:val="single" w:sz="4" w:space="0" w:color="auto"/>
              <w:bottom w:val="single" w:sz="4" w:space="0" w:color="auto"/>
              <w:right w:val="single" w:sz="4" w:space="0" w:color="auto"/>
            </w:tcBorders>
            <w:hideMark/>
          </w:tcPr>
          <w:p w14:paraId="064A5E8D" w14:textId="77777777" w:rsidR="00AC7965" w:rsidRPr="00B502E6" w:rsidRDefault="00AC7965" w:rsidP="00AC7965">
            <w:pPr>
              <w:pStyle w:val="ExhibitText"/>
              <w:rPr>
                <w:b/>
                <w:lang w:val="en-CA"/>
              </w:rPr>
            </w:pPr>
            <w:r w:rsidRPr="00B502E6">
              <w:rPr>
                <w:b/>
                <w:lang w:val="en-CA"/>
              </w:rPr>
              <w:t>Factor</w:t>
            </w:r>
          </w:p>
        </w:tc>
        <w:tc>
          <w:tcPr>
            <w:tcW w:w="2428" w:type="dxa"/>
            <w:tcBorders>
              <w:top w:val="single" w:sz="4" w:space="0" w:color="auto"/>
              <w:left w:val="single" w:sz="4" w:space="0" w:color="auto"/>
              <w:bottom w:val="single" w:sz="4" w:space="0" w:color="auto"/>
              <w:right w:val="single" w:sz="4" w:space="0" w:color="auto"/>
            </w:tcBorders>
            <w:hideMark/>
          </w:tcPr>
          <w:p w14:paraId="6E1A0496" w14:textId="77777777" w:rsidR="00AC7965" w:rsidRPr="00B502E6" w:rsidRDefault="00AC7965" w:rsidP="00AC7965">
            <w:pPr>
              <w:pStyle w:val="ExhibitText"/>
              <w:rPr>
                <w:b/>
                <w:lang w:val="en-CA"/>
              </w:rPr>
            </w:pPr>
            <w:r w:rsidRPr="00B502E6">
              <w:rPr>
                <w:b/>
                <w:lang w:val="en-CA"/>
              </w:rPr>
              <w:t>Estimate</w:t>
            </w:r>
          </w:p>
        </w:tc>
      </w:tr>
      <w:tr w:rsidR="00AC7965" w:rsidRPr="00B502E6" w14:paraId="36C6C032" w14:textId="77777777" w:rsidTr="00C23EDB">
        <w:trPr>
          <w:trHeight w:val="241"/>
          <w:jc w:val="center"/>
        </w:trPr>
        <w:tc>
          <w:tcPr>
            <w:tcW w:w="4856" w:type="dxa"/>
            <w:tcBorders>
              <w:top w:val="single" w:sz="4" w:space="0" w:color="auto"/>
              <w:left w:val="single" w:sz="4" w:space="0" w:color="auto"/>
              <w:bottom w:val="single" w:sz="4" w:space="0" w:color="auto"/>
              <w:right w:val="single" w:sz="4" w:space="0" w:color="auto"/>
            </w:tcBorders>
            <w:hideMark/>
          </w:tcPr>
          <w:p w14:paraId="5D2C2422" w14:textId="7FE2B764" w:rsidR="00AC7965" w:rsidRPr="00B502E6" w:rsidRDefault="00AC7965" w:rsidP="00AC7965">
            <w:pPr>
              <w:pStyle w:val="ExhibitText"/>
              <w:rPr>
                <w:lang w:val="en-CA"/>
              </w:rPr>
            </w:pPr>
            <w:r w:rsidRPr="00B502E6">
              <w:rPr>
                <w:lang w:val="en-CA"/>
              </w:rPr>
              <w:t xml:space="preserve">Typical </w:t>
            </w:r>
            <w:r w:rsidR="009C6597" w:rsidRPr="00B502E6">
              <w:rPr>
                <w:lang w:val="en-CA"/>
              </w:rPr>
              <w:t>p</w:t>
            </w:r>
            <w:r w:rsidRPr="00B502E6">
              <w:rPr>
                <w:lang w:val="en-CA"/>
              </w:rPr>
              <w:t xml:space="preserve">ower </w:t>
            </w:r>
            <w:r w:rsidR="009C6597" w:rsidRPr="00B502E6">
              <w:rPr>
                <w:lang w:val="en-CA"/>
              </w:rPr>
              <w:t>c</w:t>
            </w:r>
            <w:r w:rsidRPr="00B502E6">
              <w:rPr>
                <w:lang w:val="en-CA"/>
              </w:rPr>
              <w:t xml:space="preserve">ost from </w:t>
            </w:r>
            <w:r w:rsidR="009C6597" w:rsidRPr="00B502E6">
              <w:rPr>
                <w:lang w:val="en-CA"/>
              </w:rPr>
              <w:t>u</w:t>
            </w:r>
            <w:r w:rsidRPr="00B502E6">
              <w:rPr>
                <w:lang w:val="en-CA"/>
              </w:rPr>
              <w:t>tility</w:t>
            </w:r>
          </w:p>
        </w:tc>
        <w:tc>
          <w:tcPr>
            <w:tcW w:w="2428" w:type="dxa"/>
            <w:tcBorders>
              <w:top w:val="single" w:sz="4" w:space="0" w:color="auto"/>
              <w:left w:val="single" w:sz="4" w:space="0" w:color="auto"/>
              <w:bottom w:val="single" w:sz="4" w:space="0" w:color="auto"/>
              <w:right w:val="single" w:sz="4" w:space="0" w:color="auto"/>
            </w:tcBorders>
            <w:hideMark/>
          </w:tcPr>
          <w:p w14:paraId="017313AF" w14:textId="6CD892E8" w:rsidR="00AC7965" w:rsidRPr="00B502E6" w:rsidRDefault="00AC7965" w:rsidP="00AC7965">
            <w:pPr>
              <w:pStyle w:val="ExhibitText"/>
              <w:rPr>
                <w:lang w:val="en-CA"/>
              </w:rPr>
            </w:pPr>
            <w:r w:rsidRPr="00B502E6">
              <w:rPr>
                <w:lang w:val="en-CA"/>
              </w:rPr>
              <w:t>$0.15</w:t>
            </w:r>
            <w:r w:rsidR="000C7BF8" w:rsidRPr="00B502E6">
              <w:rPr>
                <w:lang w:val="en-CA"/>
              </w:rPr>
              <w:t xml:space="preserve"> per </w:t>
            </w:r>
            <w:r w:rsidRPr="00B502E6">
              <w:rPr>
                <w:lang w:val="en-CA"/>
              </w:rPr>
              <w:t>KW</w:t>
            </w:r>
            <w:r w:rsidR="00C041A3" w:rsidRPr="00B502E6">
              <w:rPr>
                <w:lang w:val="en-CA"/>
              </w:rPr>
              <w:t>h</w:t>
            </w:r>
          </w:p>
        </w:tc>
      </w:tr>
      <w:tr w:rsidR="00AC7965" w:rsidRPr="00B502E6" w14:paraId="38294E56" w14:textId="77777777" w:rsidTr="00C23EDB">
        <w:trPr>
          <w:trHeight w:val="252"/>
          <w:jc w:val="center"/>
        </w:trPr>
        <w:tc>
          <w:tcPr>
            <w:tcW w:w="4856" w:type="dxa"/>
            <w:tcBorders>
              <w:top w:val="single" w:sz="4" w:space="0" w:color="auto"/>
              <w:left w:val="single" w:sz="4" w:space="0" w:color="auto"/>
              <w:bottom w:val="single" w:sz="4" w:space="0" w:color="auto"/>
              <w:right w:val="single" w:sz="4" w:space="0" w:color="auto"/>
            </w:tcBorders>
            <w:hideMark/>
          </w:tcPr>
          <w:p w14:paraId="01C80AAC" w14:textId="1C5B45DD" w:rsidR="00AC7965" w:rsidRPr="00B502E6" w:rsidRDefault="00AC7965" w:rsidP="00AC7965">
            <w:pPr>
              <w:pStyle w:val="ExhibitText"/>
              <w:rPr>
                <w:lang w:val="en-CA"/>
              </w:rPr>
            </w:pPr>
            <w:r w:rsidRPr="00B502E6">
              <w:rPr>
                <w:lang w:val="en-CA"/>
              </w:rPr>
              <w:t xml:space="preserve">Average </w:t>
            </w:r>
            <w:r w:rsidR="009C6597" w:rsidRPr="00B502E6">
              <w:rPr>
                <w:lang w:val="en-CA"/>
              </w:rPr>
              <w:t>i</w:t>
            </w:r>
            <w:r w:rsidRPr="00B502E6">
              <w:rPr>
                <w:lang w:val="en-CA"/>
              </w:rPr>
              <w:t xml:space="preserve">nstalled </w:t>
            </w:r>
            <w:r w:rsidR="009C6597" w:rsidRPr="00B502E6">
              <w:rPr>
                <w:lang w:val="en-CA"/>
              </w:rPr>
              <w:t>c</w:t>
            </w:r>
            <w:r w:rsidRPr="00B502E6">
              <w:rPr>
                <w:lang w:val="en-CA"/>
              </w:rPr>
              <w:t>ost</w:t>
            </w:r>
          </w:p>
        </w:tc>
        <w:tc>
          <w:tcPr>
            <w:tcW w:w="2428" w:type="dxa"/>
            <w:tcBorders>
              <w:top w:val="single" w:sz="4" w:space="0" w:color="auto"/>
              <w:left w:val="single" w:sz="4" w:space="0" w:color="auto"/>
              <w:bottom w:val="single" w:sz="4" w:space="0" w:color="auto"/>
              <w:right w:val="single" w:sz="4" w:space="0" w:color="auto"/>
            </w:tcBorders>
            <w:hideMark/>
          </w:tcPr>
          <w:p w14:paraId="724E1284" w14:textId="5A801B8E" w:rsidR="00AC7965" w:rsidRPr="00B502E6" w:rsidRDefault="00AC7965" w:rsidP="00AC7965">
            <w:pPr>
              <w:pStyle w:val="ExhibitText"/>
              <w:rPr>
                <w:lang w:val="en-CA"/>
              </w:rPr>
            </w:pPr>
            <w:r w:rsidRPr="00B502E6">
              <w:rPr>
                <w:lang w:val="en-CA"/>
              </w:rPr>
              <w:t>$3,000</w:t>
            </w:r>
            <w:r w:rsidR="000C7BF8" w:rsidRPr="00B502E6">
              <w:rPr>
                <w:lang w:val="en-CA"/>
              </w:rPr>
              <w:t xml:space="preserve"> per </w:t>
            </w:r>
            <w:r w:rsidRPr="00B502E6">
              <w:rPr>
                <w:lang w:val="en-CA"/>
              </w:rPr>
              <w:t>KW</w:t>
            </w:r>
          </w:p>
        </w:tc>
      </w:tr>
      <w:tr w:rsidR="00AC7965" w:rsidRPr="00B502E6" w14:paraId="52A6825D" w14:textId="77777777" w:rsidTr="00C23EDB">
        <w:trPr>
          <w:trHeight w:val="252"/>
          <w:jc w:val="center"/>
        </w:trPr>
        <w:tc>
          <w:tcPr>
            <w:tcW w:w="4856" w:type="dxa"/>
            <w:tcBorders>
              <w:top w:val="single" w:sz="4" w:space="0" w:color="auto"/>
              <w:left w:val="single" w:sz="4" w:space="0" w:color="auto"/>
              <w:bottom w:val="single" w:sz="4" w:space="0" w:color="auto"/>
              <w:right w:val="single" w:sz="4" w:space="0" w:color="auto"/>
            </w:tcBorders>
            <w:hideMark/>
          </w:tcPr>
          <w:p w14:paraId="23AF17E1" w14:textId="69499AAE" w:rsidR="00AC7965" w:rsidRPr="00B502E6" w:rsidRDefault="00AC7965" w:rsidP="00AC7965">
            <w:pPr>
              <w:pStyle w:val="ExhibitText"/>
              <w:rPr>
                <w:lang w:val="en-CA"/>
              </w:rPr>
            </w:pPr>
            <w:r w:rsidRPr="00B502E6">
              <w:rPr>
                <w:lang w:val="en-CA"/>
              </w:rPr>
              <w:t xml:space="preserve">Typical </w:t>
            </w:r>
            <w:r w:rsidR="009C6597" w:rsidRPr="00B502E6">
              <w:rPr>
                <w:lang w:val="en-CA"/>
              </w:rPr>
              <w:t>r</w:t>
            </w:r>
            <w:r w:rsidRPr="00B502E6">
              <w:rPr>
                <w:lang w:val="en-CA"/>
              </w:rPr>
              <w:t xml:space="preserve">esidential </w:t>
            </w:r>
            <w:r w:rsidR="009C6597" w:rsidRPr="00B502E6">
              <w:rPr>
                <w:lang w:val="en-CA"/>
              </w:rPr>
              <w:t>d</w:t>
            </w:r>
            <w:r w:rsidRPr="00B502E6">
              <w:rPr>
                <w:lang w:val="en-CA"/>
              </w:rPr>
              <w:t>emand</w:t>
            </w:r>
          </w:p>
        </w:tc>
        <w:tc>
          <w:tcPr>
            <w:tcW w:w="2428" w:type="dxa"/>
            <w:tcBorders>
              <w:top w:val="single" w:sz="4" w:space="0" w:color="auto"/>
              <w:left w:val="single" w:sz="4" w:space="0" w:color="auto"/>
              <w:bottom w:val="single" w:sz="4" w:space="0" w:color="auto"/>
              <w:right w:val="single" w:sz="4" w:space="0" w:color="auto"/>
            </w:tcBorders>
            <w:hideMark/>
          </w:tcPr>
          <w:p w14:paraId="0F33D607" w14:textId="7FADF13F" w:rsidR="00AC7965" w:rsidRPr="00B502E6" w:rsidRDefault="00AC7965" w:rsidP="00AC7965">
            <w:pPr>
              <w:pStyle w:val="ExhibitText"/>
              <w:rPr>
                <w:lang w:val="en-CA"/>
              </w:rPr>
            </w:pPr>
            <w:r w:rsidRPr="00B502E6">
              <w:rPr>
                <w:lang w:val="en-CA"/>
              </w:rPr>
              <w:t>1</w:t>
            </w:r>
            <w:r w:rsidR="00C041A3" w:rsidRPr="00B502E6">
              <w:rPr>
                <w:lang w:val="en-CA"/>
              </w:rPr>
              <w:t>,</w:t>
            </w:r>
            <w:r w:rsidRPr="00B502E6">
              <w:rPr>
                <w:lang w:val="en-CA"/>
              </w:rPr>
              <w:t>000 KW</w:t>
            </w:r>
            <w:r w:rsidR="00C041A3" w:rsidRPr="00B502E6">
              <w:rPr>
                <w:lang w:val="en-CA"/>
              </w:rPr>
              <w:t>h</w:t>
            </w:r>
            <w:r w:rsidR="000C7BF8" w:rsidRPr="00B502E6">
              <w:rPr>
                <w:lang w:val="en-CA"/>
              </w:rPr>
              <w:t xml:space="preserve"> per </w:t>
            </w:r>
            <w:r w:rsidRPr="00B502E6">
              <w:rPr>
                <w:lang w:val="en-CA"/>
              </w:rPr>
              <w:t>month</w:t>
            </w:r>
          </w:p>
        </w:tc>
      </w:tr>
      <w:tr w:rsidR="00AC7965" w:rsidRPr="00B502E6" w14:paraId="5F4AC575" w14:textId="77777777" w:rsidTr="00C23EDB">
        <w:trPr>
          <w:trHeight w:val="241"/>
          <w:jc w:val="center"/>
        </w:trPr>
        <w:tc>
          <w:tcPr>
            <w:tcW w:w="4856" w:type="dxa"/>
            <w:tcBorders>
              <w:top w:val="single" w:sz="4" w:space="0" w:color="auto"/>
              <w:left w:val="single" w:sz="4" w:space="0" w:color="auto"/>
              <w:bottom w:val="single" w:sz="4" w:space="0" w:color="auto"/>
              <w:right w:val="single" w:sz="4" w:space="0" w:color="auto"/>
            </w:tcBorders>
            <w:hideMark/>
          </w:tcPr>
          <w:p w14:paraId="58E40FFC" w14:textId="2B9F9090" w:rsidR="00AC7965" w:rsidRPr="00B502E6" w:rsidRDefault="00AC7965" w:rsidP="00AC7965">
            <w:pPr>
              <w:pStyle w:val="ExhibitText"/>
              <w:rPr>
                <w:lang w:val="en-CA"/>
              </w:rPr>
            </w:pPr>
            <w:r w:rsidRPr="00B502E6">
              <w:rPr>
                <w:lang w:val="en-CA"/>
              </w:rPr>
              <w:t xml:space="preserve">Annual </w:t>
            </w:r>
            <w:r w:rsidR="009C6597" w:rsidRPr="00B502E6">
              <w:rPr>
                <w:lang w:val="en-CA"/>
              </w:rPr>
              <w:t>m</w:t>
            </w:r>
            <w:r w:rsidRPr="00B502E6">
              <w:rPr>
                <w:lang w:val="en-CA"/>
              </w:rPr>
              <w:t>aintenance</w:t>
            </w:r>
          </w:p>
        </w:tc>
        <w:tc>
          <w:tcPr>
            <w:tcW w:w="2428" w:type="dxa"/>
            <w:tcBorders>
              <w:top w:val="single" w:sz="4" w:space="0" w:color="auto"/>
              <w:left w:val="single" w:sz="4" w:space="0" w:color="auto"/>
              <w:bottom w:val="single" w:sz="4" w:space="0" w:color="auto"/>
              <w:right w:val="single" w:sz="4" w:space="0" w:color="auto"/>
            </w:tcBorders>
            <w:hideMark/>
          </w:tcPr>
          <w:p w14:paraId="40462D75" w14:textId="4F0CF5D9" w:rsidR="00AC7965" w:rsidRPr="00B502E6" w:rsidRDefault="00AC7965" w:rsidP="00AC7965">
            <w:pPr>
              <w:pStyle w:val="ExhibitText"/>
              <w:rPr>
                <w:lang w:val="en-CA"/>
              </w:rPr>
            </w:pPr>
            <w:r w:rsidRPr="00B502E6">
              <w:rPr>
                <w:lang w:val="en-CA"/>
              </w:rPr>
              <w:t>$200</w:t>
            </w:r>
          </w:p>
        </w:tc>
      </w:tr>
      <w:tr w:rsidR="00AC7965" w:rsidRPr="00B502E6" w14:paraId="5BC5EFB1" w14:textId="77777777" w:rsidTr="00C23EDB">
        <w:trPr>
          <w:trHeight w:val="252"/>
          <w:jc w:val="center"/>
        </w:trPr>
        <w:tc>
          <w:tcPr>
            <w:tcW w:w="4856" w:type="dxa"/>
            <w:tcBorders>
              <w:top w:val="single" w:sz="4" w:space="0" w:color="auto"/>
              <w:left w:val="single" w:sz="4" w:space="0" w:color="auto"/>
              <w:bottom w:val="single" w:sz="4" w:space="0" w:color="auto"/>
              <w:right w:val="single" w:sz="4" w:space="0" w:color="auto"/>
            </w:tcBorders>
            <w:hideMark/>
          </w:tcPr>
          <w:p w14:paraId="5285FF2E" w14:textId="0D4A94D5" w:rsidR="00AC7965" w:rsidRPr="00B502E6" w:rsidRDefault="00AC7965" w:rsidP="00AC7965">
            <w:pPr>
              <w:pStyle w:val="ExhibitText"/>
              <w:rPr>
                <w:lang w:val="en-CA"/>
              </w:rPr>
            </w:pPr>
            <w:r w:rsidRPr="00B502E6">
              <w:rPr>
                <w:lang w:val="en-CA"/>
              </w:rPr>
              <w:t xml:space="preserve">Government </w:t>
            </w:r>
            <w:r w:rsidR="009C6597" w:rsidRPr="00B502E6">
              <w:rPr>
                <w:lang w:val="en-CA"/>
              </w:rPr>
              <w:t>t</w:t>
            </w:r>
            <w:r w:rsidRPr="00B502E6">
              <w:rPr>
                <w:lang w:val="en-CA"/>
              </w:rPr>
              <w:t xml:space="preserve">ax </w:t>
            </w:r>
            <w:r w:rsidR="009C6597" w:rsidRPr="00B502E6">
              <w:rPr>
                <w:lang w:val="en-CA"/>
              </w:rPr>
              <w:t>c</w:t>
            </w:r>
            <w:r w:rsidRPr="00B502E6">
              <w:rPr>
                <w:lang w:val="en-CA"/>
              </w:rPr>
              <w:t>redit</w:t>
            </w:r>
          </w:p>
        </w:tc>
        <w:tc>
          <w:tcPr>
            <w:tcW w:w="2428" w:type="dxa"/>
            <w:tcBorders>
              <w:top w:val="single" w:sz="4" w:space="0" w:color="auto"/>
              <w:left w:val="single" w:sz="4" w:space="0" w:color="auto"/>
              <w:bottom w:val="single" w:sz="4" w:space="0" w:color="auto"/>
              <w:right w:val="single" w:sz="4" w:space="0" w:color="auto"/>
            </w:tcBorders>
            <w:hideMark/>
          </w:tcPr>
          <w:p w14:paraId="799B7434" w14:textId="77777777" w:rsidR="00AC7965" w:rsidRPr="00B502E6" w:rsidRDefault="00AC7965" w:rsidP="00AC7965">
            <w:pPr>
              <w:pStyle w:val="ExhibitText"/>
              <w:rPr>
                <w:lang w:val="en-CA"/>
              </w:rPr>
            </w:pPr>
            <w:r w:rsidRPr="00B502E6">
              <w:rPr>
                <w:lang w:val="en-CA"/>
              </w:rPr>
              <w:t>30%</w:t>
            </w:r>
          </w:p>
        </w:tc>
      </w:tr>
      <w:tr w:rsidR="00AC7965" w:rsidRPr="00B502E6" w14:paraId="7D469294" w14:textId="77777777" w:rsidTr="00C23EDB">
        <w:trPr>
          <w:trHeight w:val="252"/>
          <w:jc w:val="center"/>
        </w:trPr>
        <w:tc>
          <w:tcPr>
            <w:tcW w:w="4856" w:type="dxa"/>
            <w:tcBorders>
              <w:top w:val="single" w:sz="4" w:space="0" w:color="auto"/>
              <w:left w:val="single" w:sz="4" w:space="0" w:color="auto"/>
              <w:bottom w:val="single" w:sz="4" w:space="0" w:color="auto"/>
              <w:right w:val="single" w:sz="4" w:space="0" w:color="auto"/>
            </w:tcBorders>
            <w:hideMark/>
          </w:tcPr>
          <w:p w14:paraId="53893C6E" w14:textId="2AE9A202" w:rsidR="00AC7965" w:rsidRPr="00B502E6" w:rsidRDefault="00AC7965" w:rsidP="00AC7965">
            <w:pPr>
              <w:pStyle w:val="ExhibitText"/>
              <w:rPr>
                <w:lang w:val="en-CA"/>
              </w:rPr>
            </w:pPr>
            <w:r w:rsidRPr="00B502E6">
              <w:rPr>
                <w:lang w:val="en-CA"/>
              </w:rPr>
              <w:t xml:space="preserve">Utility </w:t>
            </w:r>
            <w:r w:rsidR="009C6597" w:rsidRPr="00B502E6">
              <w:rPr>
                <w:lang w:val="en-CA"/>
              </w:rPr>
              <w:t>p</w:t>
            </w:r>
            <w:r w:rsidRPr="00B502E6">
              <w:rPr>
                <w:lang w:val="en-CA"/>
              </w:rPr>
              <w:t xml:space="preserve">ower </w:t>
            </w:r>
            <w:r w:rsidR="009C6597" w:rsidRPr="00B502E6">
              <w:rPr>
                <w:lang w:val="en-CA"/>
              </w:rPr>
              <w:t>b</w:t>
            </w:r>
            <w:r w:rsidRPr="00B502E6">
              <w:rPr>
                <w:lang w:val="en-CA"/>
              </w:rPr>
              <w:t xml:space="preserve">uyback </w:t>
            </w:r>
            <w:r w:rsidR="009C6597" w:rsidRPr="00B502E6">
              <w:rPr>
                <w:lang w:val="en-CA"/>
              </w:rPr>
              <w:t>f</w:t>
            </w:r>
            <w:r w:rsidRPr="00B502E6">
              <w:rPr>
                <w:lang w:val="en-CA"/>
              </w:rPr>
              <w:t>ee</w:t>
            </w:r>
          </w:p>
        </w:tc>
        <w:tc>
          <w:tcPr>
            <w:tcW w:w="2428" w:type="dxa"/>
            <w:tcBorders>
              <w:top w:val="single" w:sz="4" w:space="0" w:color="auto"/>
              <w:left w:val="single" w:sz="4" w:space="0" w:color="auto"/>
              <w:bottom w:val="single" w:sz="4" w:space="0" w:color="auto"/>
              <w:right w:val="single" w:sz="4" w:space="0" w:color="auto"/>
            </w:tcBorders>
            <w:hideMark/>
          </w:tcPr>
          <w:p w14:paraId="52E02DB6" w14:textId="228967D5" w:rsidR="00AC7965" w:rsidRPr="00B502E6" w:rsidRDefault="00AC7965" w:rsidP="00AC7965">
            <w:pPr>
              <w:pStyle w:val="ExhibitText"/>
              <w:rPr>
                <w:lang w:val="en-CA"/>
              </w:rPr>
            </w:pPr>
            <w:r w:rsidRPr="00B502E6">
              <w:rPr>
                <w:lang w:val="en-CA"/>
              </w:rPr>
              <w:t>$15</w:t>
            </w:r>
            <w:r w:rsidR="000C7BF8" w:rsidRPr="00B502E6">
              <w:rPr>
                <w:lang w:val="en-CA"/>
              </w:rPr>
              <w:t xml:space="preserve"> per </w:t>
            </w:r>
            <w:r w:rsidRPr="00B502E6">
              <w:rPr>
                <w:lang w:val="en-CA"/>
              </w:rPr>
              <w:t>month</w:t>
            </w:r>
          </w:p>
        </w:tc>
      </w:tr>
      <w:tr w:rsidR="00AC7965" w:rsidRPr="00B502E6" w14:paraId="6CEF25BB" w14:textId="77777777" w:rsidTr="00C23EDB">
        <w:trPr>
          <w:trHeight w:val="241"/>
          <w:jc w:val="center"/>
        </w:trPr>
        <w:tc>
          <w:tcPr>
            <w:tcW w:w="4856" w:type="dxa"/>
            <w:tcBorders>
              <w:top w:val="single" w:sz="4" w:space="0" w:color="auto"/>
              <w:left w:val="single" w:sz="4" w:space="0" w:color="auto"/>
              <w:bottom w:val="single" w:sz="4" w:space="0" w:color="auto"/>
              <w:right w:val="single" w:sz="4" w:space="0" w:color="auto"/>
            </w:tcBorders>
            <w:hideMark/>
          </w:tcPr>
          <w:p w14:paraId="17723473" w14:textId="0EA23388" w:rsidR="00AC7965" w:rsidRPr="00B502E6" w:rsidRDefault="00AC7965" w:rsidP="00AC7965">
            <w:pPr>
              <w:pStyle w:val="ExhibitText"/>
              <w:rPr>
                <w:lang w:val="en-CA"/>
              </w:rPr>
            </w:pPr>
            <w:r w:rsidRPr="00B502E6">
              <w:rPr>
                <w:lang w:val="en-CA"/>
              </w:rPr>
              <w:t xml:space="preserve">Average </w:t>
            </w:r>
            <w:r w:rsidR="009C6597" w:rsidRPr="00B502E6">
              <w:rPr>
                <w:lang w:val="en-CA"/>
              </w:rPr>
              <w:t>a</w:t>
            </w:r>
            <w:r w:rsidRPr="00B502E6">
              <w:rPr>
                <w:lang w:val="en-CA"/>
              </w:rPr>
              <w:t xml:space="preserve">nnual </w:t>
            </w:r>
            <w:r w:rsidR="009C6597" w:rsidRPr="00B502E6">
              <w:rPr>
                <w:lang w:val="en-CA"/>
              </w:rPr>
              <w:t>p</w:t>
            </w:r>
            <w:r w:rsidR="00E15601" w:rsidRPr="00B502E6">
              <w:rPr>
                <w:lang w:val="en-CA"/>
              </w:rPr>
              <w:t xml:space="preserve">eak </w:t>
            </w:r>
            <w:r w:rsidR="009C6597" w:rsidRPr="00B502E6">
              <w:rPr>
                <w:lang w:val="en-CA"/>
              </w:rPr>
              <w:t>s</w:t>
            </w:r>
            <w:r w:rsidRPr="00B502E6">
              <w:rPr>
                <w:lang w:val="en-CA"/>
              </w:rPr>
              <w:t xml:space="preserve">olar </w:t>
            </w:r>
            <w:r w:rsidR="009C6597" w:rsidRPr="00B502E6">
              <w:rPr>
                <w:lang w:val="en-CA"/>
              </w:rPr>
              <w:t>d</w:t>
            </w:r>
            <w:r w:rsidRPr="00B502E6">
              <w:rPr>
                <w:lang w:val="en-CA"/>
              </w:rPr>
              <w:t xml:space="preserve">ay </w:t>
            </w:r>
            <w:r w:rsidR="00E15601" w:rsidRPr="00B502E6">
              <w:rPr>
                <w:lang w:val="en-CA"/>
              </w:rPr>
              <w:t>(Southwest)</w:t>
            </w:r>
          </w:p>
        </w:tc>
        <w:tc>
          <w:tcPr>
            <w:tcW w:w="2428" w:type="dxa"/>
            <w:tcBorders>
              <w:top w:val="single" w:sz="4" w:space="0" w:color="auto"/>
              <w:left w:val="single" w:sz="4" w:space="0" w:color="auto"/>
              <w:bottom w:val="single" w:sz="4" w:space="0" w:color="auto"/>
              <w:right w:val="single" w:sz="4" w:space="0" w:color="auto"/>
            </w:tcBorders>
            <w:hideMark/>
          </w:tcPr>
          <w:p w14:paraId="1352DCD9" w14:textId="7F9FA5B2" w:rsidR="00AC7965" w:rsidRPr="00B502E6" w:rsidRDefault="00AC7965" w:rsidP="00E90252">
            <w:pPr>
              <w:pStyle w:val="ExhibitText"/>
              <w:rPr>
                <w:lang w:val="en-CA"/>
              </w:rPr>
            </w:pPr>
            <w:r w:rsidRPr="00B502E6">
              <w:rPr>
                <w:lang w:val="en-CA"/>
              </w:rPr>
              <w:t>6.5 hours</w:t>
            </w:r>
          </w:p>
        </w:tc>
      </w:tr>
      <w:tr w:rsidR="00AC7965" w:rsidRPr="00B502E6" w14:paraId="2B007CDE" w14:textId="77777777" w:rsidTr="00C23EDB">
        <w:trPr>
          <w:trHeight w:val="252"/>
          <w:jc w:val="center"/>
        </w:trPr>
        <w:tc>
          <w:tcPr>
            <w:tcW w:w="4856" w:type="dxa"/>
            <w:tcBorders>
              <w:top w:val="single" w:sz="4" w:space="0" w:color="auto"/>
              <w:left w:val="single" w:sz="4" w:space="0" w:color="auto"/>
              <w:bottom w:val="single" w:sz="4" w:space="0" w:color="auto"/>
              <w:right w:val="single" w:sz="4" w:space="0" w:color="auto"/>
            </w:tcBorders>
          </w:tcPr>
          <w:p w14:paraId="2D8759EA" w14:textId="05E1FB13" w:rsidR="00AC7965" w:rsidRPr="00B502E6" w:rsidRDefault="00AC7965" w:rsidP="00AC7965">
            <w:pPr>
              <w:pStyle w:val="ExhibitText"/>
              <w:rPr>
                <w:lang w:val="en-CA"/>
              </w:rPr>
            </w:pPr>
            <w:r w:rsidRPr="00B502E6">
              <w:rPr>
                <w:lang w:val="en-CA"/>
              </w:rPr>
              <w:t xml:space="preserve">Solar </w:t>
            </w:r>
            <w:r w:rsidR="009C6597" w:rsidRPr="00B502E6">
              <w:rPr>
                <w:lang w:val="en-CA"/>
              </w:rPr>
              <w:t>p</w:t>
            </w:r>
            <w:r w:rsidRPr="00B502E6">
              <w:rPr>
                <w:lang w:val="en-CA"/>
              </w:rPr>
              <w:t xml:space="preserve">anel </w:t>
            </w:r>
            <w:r w:rsidR="009C6597" w:rsidRPr="00B502E6">
              <w:rPr>
                <w:lang w:val="en-CA"/>
              </w:rPr>
              <w:t>s</w:t>
            </w:r>
            <w:r w:rsidRPr="00B502E6">
              <w:rPr>
                <w:lang w:val="en-CA"/>
              </w:rPr>
              <w:t>ize</w:t>
            </w:r>
          </w:p>
        </w:tc>
        <w:tc>
          <w:tcPr>
            <w:tcW w:w="2428" w:type="dxa"/>
            <w:tcBorders>
              <w:top w:val="single" w:sz="4" w:space="0" w:color="auto"/>
              <w:left w:val="single" w:sz="4" w:space="0" w:color="auto"/>
              <w:bottom w:val="single" w:sz="4" w:space="0" w:color="auto"/>
              <w:right w:val="single" w:sz="4" w:space="0" w:color="auto"/>
            </w:tcBorders>
          </w:tcPr>
          <w:p w14:paraId="3C913DE6" w14:textId="04BAC618" w:rsidR="00AC7965" w:rsidRPr="00B502E6" w:rsidRDefault="00AC7965" w:rsidP="00AC7965">
            <w:pPr>
              <w:pStyle w:val="ExhibitText"/>
              <w:rPr>
                <w:lang w:val="en-CA"/>
              </w:rPr>
            </w:pPr>
            <w:r w:rsidRPr="00B502E6">
              <w:rPr>
                <w:lang w:val="en-CA"/>
              </w:rPr>
              <w:t>65</w:t>
            </w:r>
            <w:r w:rsidR="00F579CB" w:rsidRPr="00B502E6">
              <w:rPr>
                <w:lang w:val="en-CA"/>
              </w:rPr>
              <w:t xml:space="preserve"> inches</w:t>
            </w:r>
            <w:r w:rsidRPr="00B502E6">
              <w:rPr>
                <w:lang w:val="en-CA"/>
              </w:rPr>
              <w:t xml:space="preserve"> x 39</w:t>
            </w:r>
            <w:r w:rsidR="00F579CB" w:rsidRPr="00B502E6">
              <w:rPr>
                <w:lang w:val="en-CA"/>
              </w:rPr>
              <w:t xml:space="preserve"> inches</w:t>
            </w:r>
          </w:p>
        </w:tc>
      </w:tr>
      <w:tr w:rsidR="00AC7965" w:rsidRPr="00B502E6" w14:paraId="16E3DE44" w14:textId="77777777" w:rsidTr="00C23EDB">
        <w:trPr>
          <w:trHeight w:val="252"/>
          <w:jc w:val="center"/>
        </w:trPr>
        <w:tc>
          <w:tcPr>
            <w:tcW w:w="4856" w:type="dxa"/>
            <w:tcBorders>
              <w:top w:val="single" w:sz="4" w:space="0" w:color="auto"/>
              <w:left w:val="single" w:sz="4" w:space="0" w:color="auto"/>
              <w:bottom w:val="single" w:sz="4" w:space="0" w:color="auto"/>
              <w:right w:val="single" w:sz="4" w:space="0" w:color="auto"/>
            </w:tcBorders>
            <w:hideMark/>
          </w:tcPr>
          <w:p w14:paraId="4CC32218" w14:textId="792F1F6E" w:rsidR="00AC7965" w:rsidRPr="00B502E6" w:rsidRDefault="00AC7965" w:rsidP="00AC7965">
            <w:pPr>
              <w:pStyle w:val="ExhibitText"/>
              <w:rPr>
                <w:lang w:val="en-CA"/>
              </w:rPr>
            </w:pPr>
            <w:r w:rsidRPr="00B502E6">
              <w:rPr>
                <w:lang w:val="en-CA"/>
              </w:rPr>
              <w:t xml:space="preserve">Solar </w:t>
            </w:r>
            <w:r w:rsidR="009C6597" w:rsidRPr="00B502E6">
              <w:rPr>
                <w:lang w:val="en-CA"/>
              </w:rPr>
              <w:t>p</w:t>
            </w:r>
            <w:r w:rsidRPr="00B502E6">
              <w:rPr>
                <w:lang w:val="en-CA"/>
              </w:rPr>
              <w:t xml:space="preserve">anel </w:t>
            </w:r>
            <w:r w:rsidR="00DB076C" w:rsidRPr="00B502E6">
              <w:rPr>
                <w:lang w:val="en-CA"/>
              </w:rPr>
              <w:t>y</w:t>
            </w:r>
            <w:r w:rsidRPr="00B502E6">
              <w:rPr>
                <w:lang w:val="en-CA"/>
              </w:rPr>
              <w:t>ield</w:t>
            </w:r>
          </w:p>
        </w:tc>
        <w:tc>
          <w:tcPr>
            <w:tcW w:w="2428" w:type="dxa"/>
            <w:tcBorders>
              <w:top w:val="single" w:sz="4" w:space="0" w:color="auto"/>
              <w:left w:val="single" w:sz="4" w:space="0" w:color="auto"/>
              <w:bottom w:val="single" w:sz="4" w:space="0" w:color="auto"/>
              <w:right w:val="single" w:sz="4" w:space="0" w:color="auto"/>
            </w:tcBorders>
            <w:hideMark/>
          </w:tcPr>
          <w:p w14:paraId="74FFDD90" w14:textId="0C4E2BF6" w:rsidR="00AC7965" w:rsidRPr="00B502E6" w:rsidRDefault="00AC7965" w:rsidP="00AC7965">
            <w:pPr>
              <w:pStyle w:val="ExhibitText"/>
              <w:rPr>
                <w:lang w:val="en-CA"/>
              </w:rPr>
            </w:pPr>
            <w:r w:rsidRPr="00B502E6">
              <w:rPr>
                <w:lang w:val="en-CA"/>
              </w:rPr>
              <w:t>0.25 KW</w:t>
            </w:r>
          </w:p>
        </w:tc>
      </w:tr>
      <w:tr w:rsidR="00AC7965" w:rsidRPr="00B502E6" w14:paraId="20BD3B19" w14:textId="77777777" w:rsidTr="00C23EDB">
        <w:trPr>
          <w:trHeight w:val="241"/>
          <w:jc w:val="center"/>
        </w:trPr>
        <w:tc>
          <w:tcPr>
            <w:tcW w:w="4856" w:type="dxa"/>
            <w:tcBorders>
              <w:top w:val="single" w:sz="4" w:space="0" w:color="auto"/>
              <w:left w:val="single" w:sz="4" w:space="0" w:color="auto"/>
              <w:bottom w:val="single" w:sz="4" w:space="0" w:color="auto"/>
              <w:right w:val="single" w:sz="4" w:space="0" w:color="auto"/>
            </w:tcBorders>
            <w:hideMark/>
          </w:tcPr>
          <w:p w14:paraId="3ED2A168" w14:textId="67943484" w:rsidR="00AC7965" w:rsidRPr="00B502E6" w:rsidRDefault="00AC7965" w:rsidP="00AC7965">
            <w:pPr>
              <w:pStyle w:val="ExhibitText"/>
              <w:rPr>
                <w:lang w:val="en-CA"/>
              </w:rPr>
            </w:pPr>
            <w:r w:rsidRPr="00B502E6">
              <w:rPr>
                <w:lang w:val="en-CA"/>
              </w:rPr>
              <w:t xml:space="preserve">Average </w:t>
            </w:r>
            <w:r w:rsidR="009C6597" w:rsidRPr="00B502E6">
              <w:rPr>
                <w:lang w:val="en-CA"/>
              </w:rPr>
              <w:t>r</w:t>
            </w:r>
            <w:r w:rsidRPr="00B502E6">
              <w:rPr>
                <w:lang w:val="en-CA"/>
              </w:rPr>
              <w:t xml:space="preserve">esidential </w:t>
            </w:r>
            <w:r w:rsidR="009C6597" w:rsidRPr="00B502E6">
              <w:rPr>
                <w:lang w:val="en-CA"/>
              </w:rPr>
              <w:t>s</w:t>
            </w:r>
            <w:r w:rsidRPr="00B502E6">
              <w:rPr>
                <w:lang w:val="en-CA"/>
              </w:rPr>
              <w:t xml:space="preserve">ize </w:t>
            </w:r>
            <w:r w:rsidR="009C6597" w:rsidRPr="00B502E6">
              <w:rPr>
                <w:lang w:val="en-CA"/>
              </w:rPr>
              <w:t>i</w:t>
            </w:r>
            <w:r w:rsidRPr="00B502E6">
              <w:rPr>
                <w:lang w:val="en-CA"/>
              </w:rPr>
              <w:t>nstallation</w:t>
            </w:r>
          </w:p>
        </w:tc>
        <w:tc>
          <w:tcPr>
            <w:tcW w:w="2428" w:type="dxa"/>
            <w:tcBorders>
              <w:top w:val="single" w:sz="4" w:space="0" w:color="auto"/>
              <w:left w:val="single" w:sz="4" w:space="0" w:color="auto"/>
              <w:bottom w:val="single" w:sz="4" w:space="0" w:color="auto"/>
              <w:right w:val="single" w:sz="4" w:space="0" w:color="auto"/>
            </w:tcBorders>
            <w:hideMark/>
          </w:tcPr>
          <w:p w14:paraId="3186F04B" w14:textId="77777777" w:rsidR="00AC7965" w:rsidRPr="00B502E6" w:rsidRDefault="00AC7965" w:rsidP="00AC7965">
            <w:pPr>
              <w:pStyle w:val="ExhibitText"/>
              <w:rPr>
                <w:lang w:val="en-CA"/>
              </w:rPr>
            </w:pPr>
            <w:r w:rsidRPr="00B502E6">
              <w:rPr>
                <w:lang w:val="en-CA"/>
              </w:rPr>
              <w:t>5 KW</w:t>
            </w:r>
          </w:p>
        </w:tc>
      </w:tr>
    </w:tbl>
    <w:p w14:paraId="0D80E4EA" w14:textId="77777777" w:rsidR="00AC7965" w:rsidRPr="00B502E6" w:rsidRDefault="00AC7965" w:rsidP="00AC7965">
      <w:pPr>
        <w:pStyle w:val="ExhibitText"/>
        <w:rPr>
          <w:lang w:val="en-CA"/>
        </w:rPr>
      </w:pPr>
    </w:p>
    <w:p w14:paraId="1690FD5C" w14:textId="389AE512" w:rsidR="00AC7965" w:rsidRPr="00B502E6" w:rsidRDefault="00AC7965" w:rsidP="00AC7965">
      <w:pPr>
        <w:pStyle w:val="Footnote"/>
        <w:rPr>
          <w:lang w:val="en-CA"/>
        </w:rPr>
      </w:pPr>
      <w:r w:rsidRPr="00B502E6">
        <w:rPr>
          <w:lang w:val="en-CA"/>
        </w:rPr>
        <w:t>Note: KW</w:t>
      </w:r>
      <w:r w:rsidR="00C041A3" w:rsidRPr="00B502E6">
        <w:rPr>
          <w:lang w:val="en-CA"/>
        </w:rPr>
        <w:t>h</w:t>
      </w:r>
      <w:r w:rsidRPr="00B502E6">
        <w:rPr>
          <w:lang w:val="en-CA"/>
        </w:rPr>
        <w:t xml:space="preserve"> = </w:t>
      </w:r>
      <w:r w:rsidR="007051CE" w:rsidRPr="00B502E6">
        <w:rPr>
          <w:lang w:val="en-CA"/>
        </w:rPr>
        <w:t>k</w:t>
      </w:r>
      <w:r w:rsidRPr="00B502E6">
        <w:rPr>
          <w:lang w:val="en-CA"/>
        </w:rPr>
        <w:t>ilowatt</w:t>
      </w:r>
      <w:r w:rsidR="009E347C" w:rsidRPr="00B502E6">
        <w:rPr>
          <w:lang w:val="en-CA"/>
        </w:rPr>
        <w:t>-</w:t>
      </w:r>
      <w:r w:rsidRPr="00B502E6">
        <w:rPr>
          <w:lang w:val="en-CA"/>
        </w:rPr>
        <w:t xml:space="preserve">hour, KW = </w:t>
      </w:r>
      <w:r w:rsidR="007051CE" w:rsidRPr="00B502E6">
        <w:rPr>
          <w:lang w:val="en-CA"/>
        </w:rPr>
        <w:t>k</w:t>
      </w:r>
      <w:r w:rsidRPr="00B502E6">
        <w:rPr>
          <w:lang w:val="en-CA"/>
        </w:rPr>
        <w:t>ilowatt</w:t>
      </w:r>
      <w:r w:rsidR="00F579CB" w:rsidRPr="00B502E6">
        <w:rPr>
          <w:lang w:val="en-CA"/>
        </w:rPr>
        <w:t>; 1 inch = 2.5 centimetres</w:t>
      </w:r>
    </w:p>
    <w:p w14:paraId="68D8AE96" w14:textId="6BD4BC0A" w:rsidR="00AC7965" w:rsidRPr="00B502E6" w:rsidRDefault="00AC7965" w:rsidP="005D7DB1">
      <w:pPr>
        <w:pStyle w:val="Footnote"/>
        <w:rPr>
          <w:lang w:val="en-CA"/>
        </w:rPr>
      </w:pPr>
      <w:r w:rsidRPr="00B502E6">
        <w:rPr>
          <w:lang w:val="en-CA"/>
        </w:rPr>
        <w:t>Source: Based on the author</w:t>
      </w:r>
      <w:r w:rsidR="009C6597" w:rsidRPr="00B502E6">
        <w:rPr>
          <w:lang w:val="en-CA"/>
        </w:rPr>
        <w:t>’</w:t>
      </w:r>
      <w:r w:rsidRPr="00B502E6">
        <w:rPr>
          <w:lang w:val="en-CA"/>
        </w:rPr>
        <w:t>s calculations from information in the case</w:t>
      </w:r>
      <w:r w:rsidR="005D7DB1" w:rsidRPr="00B502E6">
        <w:rPr>
          <w:lang w:val="en-CA"/>
        </w:rPr>
        <w:t xml:space="preserve">; </w:t>
      </w:r>
      <w:r w:rsidR="009C6597" w:rsidRPr="00B502E6">
        <w:rPr>
          <w:lang w:val="en-CA"/>
        </w:rPr>
        <w:t xml:space="preserve">“Average Peak Sun Hours by State,” </w:t>
      </w:r>
      <w:proofErr w:type="spellStart"/>
      <w:r w:rsidR="00E15601" w:rsidRPr="00B502E6">
        <w:rPr>
          <w:lang w:val="en-CA"/>
        </w:rPr>
        <w:t>Regony</w:t>
      </w:r>
      <w:proofErr w:type="spellEnd"/>
      <w:r w:rsidR="00E15601" w:rsidRPr="00B502E6">
        <w:rPr>
          <w:lang w:val="en-CA"/>
        </w:rPr>
        <w:t>, 2013, accessed April 1, 2019, www.renogy.com/template/files/Average-Peak-Sun-hours-by-State.pdf</w:t>
      </w:r>
      <w:r w:rsidR="009C6597" w:rsidRPr="00B502E6">
        <w:rPr>
          <w:lang w:val="en-CA"/>
        </w:rPr>
        <w:t>.</w:t>
      </w:r>
    </w:p>
    <w:p w14:paraId="6D4D36AC" w14:textId="77777777" w:rsidR="009C6597" w:rsidRPr="00B502E6" w:rsidRDefault="009C6597" w:rsidP="005D7DB1">
      <w:pPr>
        <w:pStyle w:val="Footnote"/>
        <w:rPr>
          <w:lang w:val="en-CA"/>
        </w:rPr>
      </w:pPr>
    </w:p>
    <w:p w14:paraId="53D51B57" w14:textId="77777777" w:rsidR="00AC7965" w:rsidRPr="00B502E6" w:rsidRDefault="00AC7965" w:rsidP="00AC7965">
      <w:pPr>
        <w:pStyle w:val="ExhibitText"/>
        <w:rPr>
          <w:lang w:val="en-CA"/>
        </w:rPr>
      </w:pPr>
    </w:p>
    <w:p w14:paraId="75B6A587" w14:textId="77777777" w:rsidR="00F4551B" w:rsidRPr="00B502E6" w:rsidRDefault="00F4551B" w:rsidP="00AC7965">
      <w:pPr>
        <w:pStyle w:val="ExhibitText"/>
        <w:rPr>
          <w:lang w:val="en-CA"/>
        </w:rPr>
      </w:pPr>
    </w:p>
    <w:p w14:paraId="3186C0AF" w14:textId="4AD45650" w:rsidR="00AC7965" w:rsidRPr="00B502E6" w:rsidRDefault="00AC7965" w:rsidP="00AC7965">
      <w:pPr>
        <w:pStyle w:val="ExhibitHeading"/>
        <w:rPr>
          <w:lang w:val="en-CA"/>
        </w:rPr>
      </w:pPr>
      <w:r w:rsidRPr="00B502E6">
        <w:rPr>
          <w:lang w:val="en-CA"/>
        </w:rPr>
        <w:t>Exhibit 2: Regulus Solar Panel Installation Demand Curve</w:t>
      </w:r>
      <w:r w:rsidR="009C6597" w:rsidRPr="00B502E6">
        <w:rPr>
          <w:lang w:val="en-CA"/>
        </w:rPr>
        <w:t xml:space="preserve"> (US$)</w:t>
      </w:r>
    </w:p>
    <w:p w14:paraId="199AB884" w14:textId="4949C08F" w:rsidR="00AC7965" w:rsidRPr="00B502E6" w:rsidRDefault="00AC7965" w:rsidP="00AC7965">
      <w:pPr>
        <w:pStyle w:val="ExhibitText"/>
        <w:rPr>
          <w:lang w:val="en-CA"/>
        </w:rPr>
      </w:pPr>
    </w:p>
    <w:p w14:paraId="7CE05E3D" w14:textId="5A654BCE" w:rsidR="00E66E7F" w:rsidRPr="00B502E6" w:rsidRDefault="005D7DB1" w:rsidP="00227E3B">
      <w:pPr>
        <w:rPr>
          <w:lang w:val="en-CA"/>
        </w:rPr>
      </w:pPr>
      <w:bookmarkStart w:id="1" w:name="_Hlk527192410"/>
      <w:r w:rsidRPr="00B502E6">
        <w:rPr>
          <w:noProof/>
          <w:lang w:val="en-CA" w:eastAsia="en-CA"/>
        </w:rPr>
        <w:drawing>
          <wp:anchor distT="0" distB="0" distL="114300" distR="114300" simplePos="0" relativeHeight="251658240" behindDoc="0" locked="0" layoutInCell="1" allowOverlap="1" wp14:anchorId="2BB05626" wp14:editId="08AC9ADC">
            <wp:simplePos x="0" y="0"/>
            <wp:positionH relativeFrom="margin">
              <wp:posOffset>600075</wp:posOffset>
            </wp:positionH>
            <wp:positionV relativeFrom="paragraph">
              <wp:posOffset>8890</wp:posOffset>
            </wp:positionV>
            <wp:extent cx="4885690" cy="2900045"/>
            <wp:effectExtent l="0" t="0" r="10160" b="14605"/>
            <wp:wrapSquare wrapText="bothSides"/>
            <wp:docPr id="1" name="Chart 1">
              <a:extLst xmlns:a="http://schemas.openxmlformats.org/drawingml/2006/main">
                <a:ext uri="{FF2B5EF4-FFF2-40B4-BE49-F238E27FC236}">
                  <a16:creationId xmlns:a16="http://schemas.microsoft.com/office/drawing/2014/main" id="{50B3A563-F2EC-4D15-8B07-8BD0E460FF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E66E7F" w:rsidRPr="00B502E6">
        <w:rPr>
          <w:lang w:val="en-CA"/>
        </w:rPr>
        <w:br w:type="textWrapping" w:clear="all"/>
      </w:r>
    </w:p>
    <w:p w14:paraId="67D14E5A" w14:textId="62936BB1" w:rsidR="00AC7965" w:rsidRPr="00B502E6" w:rsidRDefault="00AC7965" w:rsidP="00AC7965">
      <w:pPr>
        <w:pStyle w:val="Footnote"/>
        <w:rPr>
          <w:color w:val="FF0000"/>
          <w:lang w:val="en-CA"/>
        </w:rPr>
      </w:pPr>
      <w:r w:rsidRPr="00B502E6">
        <w:rPr>
          <w:lang w:val="en-CA"/>
        </w:rPr>
        <w:t>Source: Based on the author</w:t>
      </w:r>
      <w:r w:rsidR="009C6597" w:rsidRPr="00B502E6">
        <w:rPr>
          <w:lang w:val="en-CA"/>
        </w:rPr>
        <w:t>’</w:t>
      </w:r>
      <w:r w:rsidRPr="00B502E6">
        <w:rPr>
          <w:lang w:val="en-CA"/>
        </w:rPr>
        <w:t>s calculations from information in the case.</w:t>
      </w:r>
    </w:p>
    <w:bookmarkEnd w:id="1"/>
    <w:p w14:paraId="63B7B3E0" w14:textId="77777777" w:rsidR="00AC7965" w:rsidRPr="00B502E6" w:rsidRDefault="00AC7965" w:rsidP="00AC7965">
      <w:pPr>
        <w:pStyle w:val="BodyText"/>
        <w:rPr>
          <w:sz w:val="24"/>
          <w:szCs w:val="24"/>
          <w:lang w:val="en-CA"/>
        </w:rPr>
      </w:pPr>
    </w:p>
    <w:p w14:paraId="197C88C5" w14:textId="77777777" w:rsidR="00AC7965" w:rsidRPr="00B502E6" w:rsidRDefault="00AC7965" w:rsidP="00AC7965">
      <w:pPr>
        <w:pStyle w:val="BodyText"/>
        <w:rPr>
          <w:sz w:val="24"/>
          <w:szCs w:val="24"/>
          <w:lang w:val="en-CA"/>
        </w:rPr>
      </w:pPr>
    </w:p>
    <w:p w14:paraId="5997B2B9" w14:textId="77777777" w:rsidR="00AC7965" w:rsidRPr="00B502E6" w:rsidRDefault="00AC7965" w:rsidP="00AC7965">
      <w:pPr>
        <w:pStyle w:val="BodyText"/>
        <w:rPr>
          <w:sz w:val="24"/>
          <w:szCs w:val="24"/>
          <w:lang w:val="en-CA"/>
        </w:rPr>
      </w:pPr>
    </w:p>
    <w:p w14:paraId="08220241" w14:textId="77777777" w:rsidR="00B87DC0" w:rsidRPr="00B502E6" w:rsidRDefault="00B87DC0" w:rsidP="002B40FF">
      <w:pPr>
        <w:pStyle w:val="Casehead1"/>
        <w:rPr>
          <w:lang w:val="en-CA"/>
        </w:rPr>
      </w:pPr>
    </w:p>
    <w:sectPr w:rsidR="00B87DC0" w:rsidRPr="00B502E6" w:rsidSect="00751E0B">
      <w:headerReference w:type="default" r:id="rId11"/>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599DB4" w16cid:durableId="20FFF500"/>
  <w16cid:commentId w16cid:paraId="324145BB" w16cid:durableId="20FFF583"/>
  <w16cid:commentId w16cid:paraId="09B8B8C7" w16cid:durableId="20FFF27B"/>
  <w16cid:commentId w16cid:paraId="7E2FABCF" w16cid:durableId="210100DE"/>
  <w16cid:commentId w16cid:paraId="191F1005" w16cid:durableId="20FFF0E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53C0C0" w14:textId="77777777" w:rsidR="0026513B" w:rsidRDefault="0026513B" w:rsidP="00D75295">
      <w:r>
        <w:separator/>
      </w:r>
    </w:p>
  </w:endnote>
  <w:endnote w:type="continuationSeparator" w:id="0">
    <w:p w14:paraId="08C29101" w14:textId="77777777" w:rsidR="0026513B" w:rsidRDefault="0026513B"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915E61" w14:textId="77777777" w:rsidR="0026513B" w:rsidRDefault="0026513B" w:rsidP="00D75295">
      <w:r>
        <w:separator/>
      </w:r>
    </w:p>
  </w:footnote>
  <w:footnote w:type="continuationSeparator" w:id="0">
    <w:p w14:paraId="739502A0" w14:textId="77777777" w:rsidR="0026513B" w:rsidRDefault="0026513B" w:rsidP="00D75295">
      <w:r>
        <w:continuationSeparator/>
      </w:r>
    </w:p>
  </w:footnote>
  <w:footnote w:id="1">
    <w:p w14:paraId="31300DA5" w14:textId="5EFD17E1" w:rsidR="00617E84" w:rsidRPr="00227E3B" w:rsidRDefault="00617E84" w:rsidP="00227E3B">
      <w:pPr>
        <w:pStyle w:val="Footnote"/>
        <w:rPr>
          <w:lang w:val="en-CA"/>
        </w:rPr>
      </w:pPr>
      <w:r>
        <w:rPr>
          <w:rStyle w:val="FootnoteReference"/>
        </w:rPr>
        <w:footnoteRef/>
      </w:r>
      <w:r>
        <w:t xml:space="preserve"> </w:t>
      </w:r>
      <w:r>
        <w:rPr>
          <w:lang w:val="en-CA"/>
        </w:rPr>
        <w:t>All currency amounts are in U</w:t>
      </w:r>
      <w:r w:rsidR="007051CE">
        <w:rPr>
          <w:lang w:val="en-CA"/>
        </w:rPr>
        <w:t>.</w:t>
      </w:r>
      <w:r>
        <w:rPr>
          <w:lang w:val="en-CA"/>
        </w:rPr>
        <w:t>S</w:t>
      </w:r>
      <w:r w:rsidR="007051CE">
        <w:rPr>
          <w:lang w:val="en-CA"/>
        </w:rPr>
        <w:t>.</w:t>
      </w:r>
      <w:r>
        <w:rPr>
          <w:lang w:val="en-CA"/>
        </w:rPr>
        <w:t xml:space="preserve"> dollars unless otherwise specified.</w:t>
      </w:r>
    </w:p>
  </w:footnote>
  <w:footnote w:id="2">
    <w:p w14:paraId="4D7F02C6" w14:textId="729110E7" w:rsidR="00AC7965" w:rsidRPr="00AC7965" w:rsidRDefault="00AC7965" w:rsidP="00227E3B">
      <w:pPr>
        <w:pStyle w:val="Footnote"/>
      </w:pPr>
      <w:r w:rsidRPr="00AC7965">
        <w:rPr>
          <w:rStyle w:val="FootnoteReference"/>
        </w:rPr>
        <w:footnoteRef/>
      </w:r>
      <w:r w:rsidRPr="00AC7965">
        <w:t xml:space="preserve"> </w:t>
      </w:r>
      <w:proofErr w:type="spellStart"/>
      <w:r w:rsidRPr="00AC7965">
        <w:t>Yashwant</w:t>
      </w:r>
      <w:proofErr w:type="spellEnd"/>
      <w:r w:rsidRPr="00AC7965">
        <w:t xml:space="preserve"> Singh </w:t>
      </w:r>
      <w:proofErr w:type="spellStart"/>
      <w:r w:rsidRPr="00AC7965">
        <w:t>Sahu</w:t>
      </w:r>
      <w:proofErr w:type="spellEnd"/>
      <w:r w:rsidRPr="00AC7965">
        <w:t xml:space="preserve">, </w:t>
      </w:r>
      <w:r w:rsidR="005D00D6">
        <w:t>“</w:t>
      </w:r>
      <w:r w:rsidRPr="00AC7965">
        <w:t>Solar Energy Market by Technology,</w:t>
      </w:r>
      <w:r w:rsidR="005D00D6">
        <w:t>”</w:t>
      </w:r>
      <w:r w:rsidRPr="00AC7965">
        <w:t xml:space="preserve"> Allied Market Research, 2017, accessed April 1, 2019</w:t>
      </w:r>
      <w:r w:rsidR="005D00D6">
        <w:t>,</w:t>
      </w:r>
      <w:r w:rsidR="00227E3B">
        <w:t xml:space="preserve"> </w:t>
      </w:r>
      <w:r w:rsidR="005D00D6" w:rsidRPr="00227E3B">
        <w:rPr>
          <w:rStyle w:val="Hyperlink"/>
          <w:color w:val="auto"/>
          <w:u w:val="none"/>
        </w:rPr>
        <w:t>www.alliedmarketresearch.com/solar-energy-market</w:t>
      </w:r>
      <w:r w:rsidR="005D00D6">
        <w:rPr>
          <w:rStyle w:val="Hyperlink"/>
          <w:color w:val="auto"/>
          <w:u w:val="none"/>
        </w:rPr>
        <w:t>.</w:t>
      </w:r>
    </w:p>
  </w:footnote>
  <w:footnote w:id="3">
    <w:p w14:paraId="1C9A337C" w14:textId="281CB92E" w:rsidR="00AC7965" w:rsidRPr="00AC7965" w:rsidRDefault="00AC7965" w:rsidP="00AC7965">
      <w:pPr>
        <w:pStyle w:val="Footnote"/>
      </w:pPr>
      <w:r w:rsidRPr="00AC7965">
        <w:rPr>
          <w:rStyle w:val="FootnoteReference"/>
        </w:rPr>
        <w:footnoteRef/>
      </w:r>
      <w:r w:rsidRPr="00AC7965">
        <w:t xml:space="preserve"> </w:t>
      </w:r>
      <w:r w:rsidR="00242C16">
        <w:t xml:space="preserve">“Top Solar Companies,” </w:t>
      </w:r>
      <w:r w:rsidR="00014C79" w:rsidRPr="00AC7965">
        <w:t>Solar Power Authority</w:t>
      </w:r>
      <w:r w:rsidRPr="00AC7965">
        <w:t xml:space="preserve">, accessed April 1, 2019, </w:t>
      </w:r>
      <w:r w:rsidR="00242C16" w:rsidRPr="00227E3B">
        <w:rPr>
          <w:rStyle w:val="Hyperlink"/>
          <w:color w:val="auto"/>
          <w:u w:val="none"/>
        </w:rPr>
        <w:t>www.solarpowerauthority.com/top-solar-companies</w:t>
      </w:r>
      <w:r w:rsidR="00242C16">
        <w:rPr>
          <w:rStyle w:val="Hyperlink"/>
          <w:color w:val="auto"/>
          <w:u w:val="none"/>
        </w:rPr>
        <w:t>.</w:t>
      </w:r>
    </w:p>
  </w:footnote>
  <w:footnote w:id="4">
    <w:p w14:paraId="73E4397A" w14:textId="3DCD66E3" w:rsidR="00AC7965" w:rsidRPr="00AC7965" w:rsidRDefault="00AC7965" w:rsidP="00AC7965">
      <w:pPr>
        <w:pStyle w:val="Footnote"/>
      </w:pPr>
      <w:r w:rsidRPr="00AC7965">
        <w:rPr>
          <w:rStyle w:val="FootnoteReference"/>
        </w:rPr>
        <w:footnoteRef/>
      </w:r>
      <w:r w:rsidRPr="00AC7965">
        <w:t xml:space="preserve"> </w:t>
      </w:r>
      <w:r w:rsidR="00242C16">
        <w:t>“</w:t>
      </w:r>
      <w:r w:rsidRPr="00AC7965">
        <w:t>Rise in Solar Schools Unlocks More Local Funding for Education,</w:t>
      </w:r>
      <w:r w:rsidR="00242C16">
        <w:t>”</w:t>
      </w:r>
      <w:r w:rsidRPr="00AC7965">
        <w:t xml:space="preserve"> Solar Novus Today, November 29, 2017, accessed April 1, 2019</w:t>
      </w:r>
      <w:r w:rsidR="00C041A3">
        <w:t>,</w:t>
      </w:r>
      <w:r w:rsidRPr="00AC7965">
        <w:t xml:space="preserve"> </w:t>
      </w:r>
      <w:r w:rsidR="00242C16" w:rsidRPr="00227E3B">
        <w:rPr>
          <w:rStyle w:val="Hyperlink"/>
          <w:color w:val="auto"/>
          <w:u w:val="none"/>
        </w:rPr>
        <w:t>www.solarnovus.com/rise-in-solar-schools-unlocks-more-local-funding-for-education_N11298.html</w:t>
      </w:r>
      <w:r w:rsidR="00242C16">
        <w:rPr>
          <w:rStyle w:val="Hyperlink"/>
          <w:color w:val="auto"/>
          <w:u w:val="none"/>
        </w:rPr>
        <w:t>.</w:t>
      </w:r>
    </w:p>
  </w:footnote>
  <w:footnote w:id="5">
    <w:p w14:paraId="157E0132" w14:textId="31149E1F" w:rsidR="00AC7965" w:rsidRPr="00B502E6" w:rsidRDefault="00AC7965" w:rsidP="00AC7965">
      <w:pPr>
        <w:pStyle w:val="Footnote"/>
        <w:rPr>
          <w:color w:val="0563C1"/>
          <w:spacing w:val="-4"/>
          <w:kern w:val="17"/>
          <w:u w:val="single"/>
        </w:rPr>
      </w:pPr>
      <w:r w:rsidRPr="00B502E6">
        <w:rPr>
          <w:rStyle w:val="FootnoteReference"/>
          <w:spacing w:val="-4"/>
          <w:kern w:val="17"/>
        </w:rPr>
        <w:footnoteRef/>
      </w:r>
      <w:r w:rsidRPr="00B502E6">
        <w:rPr>
          <w:spacing w:val="-4"/>
          <w:kern w:val="17"/>
        </w:rPr>
        <w:t xml:space="preserve"> </w:t>
      </w:r>
      <w:r w:rsidR="00242C16" w:rsidRPr="00B502E6">
        <w:rPr>
          <w:spacing w:val="-4"/>
          <w:kern w:val="17"/>
        </w:rPr>
        <w:t>“</w:t>
      </w:r>
      <w:r w:rsidRPr="00B502E6">
        <w:rPr>
          <w:spacing w:val="-4"/>
          <w:kern w:val="17"/>
        </w:rPr>
        <w:t xml:space="preserve">Common </w:t>
      </w:r>
      <w:r w:rsidR="00014C79" w:rsidRPr="00B502E6">
        <w:rPr>
          <w:spacing w:val="-4"/>
          <w:kern w:val="17"/>
        </w:rPr>
        <w:t>S</w:t>
      </w:r>
      <w:r w:rsidRPr="00B502E6">
        <w:rPr>
          <w:spacing w:val="-4"/>
          <w:kern w:val="17"/>
        </w:rPr>
        <w:t>izes of Solar Panels,</w:t>
      </w:r>
      <w:r w:rsidR="00242C16" w:rsidRPr="00B502E6">
        <w:rPr>
          <w:spacing w:val="-4"/>
          <w:kern w:val="17"/>
        </w:rPr>
        <w:t>”</w:t>
      </w:r>
      <w:r w:rsidRPr="00B502E6">
        <w:rPr>
          <w:spacing w:val="-4"/>
          <w:kern w:val="17"/>
        </w:rPr>
        <w:t xml:space="preserve"> </w:t>
      </w:r>
      <w:proofErr w:type="spellStart"/>
      <w:r w:rsidRPr="00B502E6">
        <w:rPr>
          <w:spacing w:val="-4"/>
          <w:kern w:val="17"/>
        </w:rPr>
        <w:t>Brightstar</w:t>
      </w:r>
      <w:proofErr w:type="spellEnd"/>
      <w:r w:rsidRPr="00B502E6">
        <w:rPr>
          <w:spacing w:val="-4"/>
          <w:kern w:val="17"/>
        </w:rPr>
        <w:t xml:space="preserve"> Solar, accessed April 1, 2019, </w:t>
      </w:r>
      <w:hyperlink r:id="rId1" w:history="1">
        <w:r w:rsidRPr="00B502E6">
          <w:rPr>
            <w:rStyle w:val="Hyperlink"/>
            <w:color w:val="auto"/>
            <w:spacing w:val="-4"/>
            <w:kern w:val="17"/>
            <w:u w:val="none"/>
          </w:rPr>
          <w:t>http://brightstarsolar.net/common-sizes-of-solar-panels</w:t>
        </w:r>
      </w:hyperlink>
      <w:r w:rsidR="00242C16" w:rsidRPr="00B502E6">
        <w:rPr>
          <w:rStyle w:val="Hyperlink"/>
          <w:color w:val="auto"/>
          <w:spacing w:val="-4"/>
          <w:kern w:val="17"/>
          <w:u w:val="none"/>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7F170889"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C37927">
      <w:rPr>
        <w:rFonts w:ascii="Arial" w:hAnsi="Arial"/>
        <w:b/>
        <w:noProof/>
      </w:rPr>
      <w:t>2</w:t>
    </w:r>
    <w:r>
      <w:rPr>
        <w:rFonts w:ascii="Arial" w:hAnsi="Arial"/>
        <w:b/>
      </w:rPr>
      <w:fldChar w:fldCharType="end"/>
    </w:r>
    <w:r>
      <w:rPr>
        <w:rFonts w:ascii="Arial" w:hAnsi="Arial"/>
        <w:b/>
      </w:rPr>
      <w:tab/>
    </w:r>
    <w:r w:rsidR="00C37927">
      <w:rPr>
        <w:rFonts w:ascii="Arial" w:hAnsi="Arial"/>
        <w:b/>
      </w:rPr>
      <w:t>9B19N</w:t>
    </w:r>
    <w:r w:rsidR="00F46C3F">
      <w:rPr>
        <w:rFonts w:ascii="Arial" w:hAnsi="Arial"/>
        <w:b/>
      </w:rPr>
      <w:t>017</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4C79"/>
    <w:rsid w:val="00016759"/>
    <w:rsid w:val="000216CE"/>
    <w:rsid w:val="00024ED4"/>
    <w:rsid w:val="00025DC7"/>
    <w:rsid w:val="00035F09"/>
    <w:rsid w:val="00044ECC"/>
    <w:rsid w:val="000531D3"/>
    <w:rsid w:val="0005646B"/>
    <w:rsid w:val="00056FF9"/>
    <w:rsid w:val="000615D1"/>
    <w:rsid w:val="0008102D"/>
    <w:rsid w:val="00086B26"/>
    <w:rsid w:val="00094C0E"/>
    <w:rsid w:val="000A146D"/>
    <w:rsid w:val="000A3FF9"/>
    <w:rsid w:val="000C7BF8"/>
    <w:rsid w:val="000D2A2F"/>
    <w:rsid w:val="000D7091"/>
    <w:rsid w:val="000F0C22"/>
    <w:rsid w:val="000F6B09"/>
    <w:rsid w:val="000F6FDC"/>
    <w:rsid w:val="00104567"/>
    <w:rsid w:val="00104916"/>
    <w:rsid w:val="00104AA7"/>
    <w:rsid w:val="001118F2"/>
    <w:rsid w:val="00120CA6"/>
    <w:rsid w:val="0012732D"/>
    <w:rsid w:val="00143F25"/>
    <w:rsid w:val="00152682"/>
    <w:rsid w:val="00154FC9"/>
    <w:rsid w:val="00167523"/>
    <w:rsid w:val="001901C0"/>
    <w:rsid w:val="0019241A"/>
    <w:rsid w:val="00192A18"/>
    <w:rsid w:val="001A22D1"/>
    <w:rsid w:val="001A752D"/>
    <w:rsid w:val="001A757E"/>
    <w:rsid w:val="001B5032"/>
    <w:rsid w:val="001C56E9"/>
    <w:rsid w:val="001C7777"/>
    <w:rsid w:val="001D344B"/>
    <w:rsid w:val="001E130E"/>
    <w:rsid w:val="001E364F"/>
    <w:rsid w:val="001F4222"/>
    <w:rsid w:val="00203AA1"/>
    <w:rsid w:val="00213E98"/>
    <w:rsid w:val="00214B96"/>
    <w:rsid w:val="00227E3B"/>
    <w:rsid w:val="00230150"/>
    <w:rsid w:val="0023081A"/>
    <w:rsid w:val="00233111"/>
    <w:rsid w:val="00242C16"/>
    <w:rsid w:val="00264016"/>
    <w:rsid w:val="0026513B"/>
    <w:rsid w:val="00265FA8"/>
    <w:rsid w:val="002B40FF"/>
    <w:rsid w:val="002C4E29"/>
    <w:rsid w:val="002F460C"/>
    <w:rsid w:val="002F48D6"/>
    <w:rsid w:val="00317391"/>
    <w:rsid w:val="00326216"/>
    <w:rsid w:val="00336580"/>
    <w:rsid w:val="00354899"/>
    <w:rsid w:val="00355FD6"/>
    <w:rsid w:val="00364A5C"/>
    <w:rsid w:val="00373FB1"/>
    <w:rsid w:val="00396C76"/>
    <w:rsid w:val="003B19CD"/>
    <w:rsid w:val="003B30D8"/>
    <w:rsid w:val="003B7EF2"/>
    <w:rsid w:val="003C2BFB"/>
    <w:rsid w:val="003C3FA4"/>
    <w:rsid w:val="003D0BA1"/>
    <w:rsid w:val="003E6C4F"/>
    <w:rsid w:val="003F2B0C"/>
    <w:rsid w:val="00406A94"/>
    <w:rsid w:val="004100F6"/>
    <w:rsid w:val="004105B2"/>
    <w:rsid w:val="0041145A"/>
    <w:rsid w:val="00412900"/>
    <w:rsid w:val="004174E8"/>
    <w:rsid w:val="004221E4"/>
    <w:rsid w:val="004273F8"/>
    <w:rsid w:val="004355A3"/>
    <w:rsid w:val="00446546"/>
    <w:rsid w:val="00452769"/>
    <w:rsid w:val="00454FA7"/>
    <w:rsid w:val="00457083"/>
    <w:rsid w:val="00465348"/>
    <w:rsid w:val="004948BD"/>
    <w:rsid w:val="004979A5"/>
    <w:rsid w:val="004A25E0"/>
    <w:rsid w:val="004B1CCB"/>
    <w:rsid w:val="004B632F"/>
    <w:rsid w:val="004D3FB1"/>
    <w:rsid w:val="004D6F21"/>
    <w:rsid w:val="004D73A5"/>
    <w:rsid w:val="005160F1"/>
    <w:rsid w:val="00524F2F"/>
    <w:rsid w:val="00527E5C"/>
    <w:rsid w:val="005320B0"/>
    <w:rsid w:val="00532CF5"/>
    <w:rsid w:val="005528CB"/>
    <w:rsid w:val="00566771"/>
    <w:rsid w:val="00581E2E"/>
    <w:rsid w:val="00584F15"/>
    <w:rsid w:val="0059514B"/>
    <w:rsid w:val="005A1B0F"/>
    <w:rsid w:val="005B4CE6"/>
    <w:rsid w:val="005B5EFE"/>
    <w:rsid w:val="005B7FA7"/>
    <w:rsid w:val="005D00D6"/>
    <w:rsid w:val="005D7DB1"/>
    <w:rsid w:val="005E5798"/>
    <w:rsid w:val="0061068E"/>
    <w:rsid w:val="006163F7"/>
    <w:rsid w:val="00617E84"/>
    <w:rsid w:val="00627C63"/>
    <w:rsid w:val="0063350B"/>
    <w:rsid w:val="00636E16"/>
    <w:rsid w:val="00652606"/>
    <w:rsid w:val="00673500"/>
    <w:rsid w:val="006946EE"/>
    <w:rsid w:val="006A58A9"/>
    <w:rsid w:val="006A606D"/>
    <w:rsid w:val="006B3463"/>
    <w:rsid w:val="006C0371"/>
    <w:rsid w:val="006C08B6"/>
    <w:rsid w:val="006C0B1A"/>
    <w:rsid w:val="006C1544"/>
    <w:rsid w:val="006C6065"/>
    <w:rsid w:val="006C7B3F"/>
    <w:rsid w:val="006C7F9F"/>
    <w:rsid w:val="006D40CF"/>
    <w:rsid w:val="006E2F6D"/>
    <w:rsid w:val="006E58F6"/>
    <w:rsid w:val="006E77E1"/>
    <w:rsid w:val="006F131D"/>
    <w:rsid w:val="006F2939"/>
    <w:rsid w:val="007051CE"/>
    <w:rsid w:val="00711642"/>
    <w:rsid w:val="0072303A"/>
    <w:rsid w:val="007507C6"/>
    <w:rsid w:val="00751E0B"/>
    <w:rsid w:val="00752BCD"/>
    <w:rsid w:val="00766DA1"/>
    <w:rsid w:val="00780D94"/>
    <w:rsid w:val="0078492E"/>
    <w:rsid w:val="007850BB"/>
    <w:rsid w:val="007866A6"/>
    <w:rsid w:val="00790444"/>
    <w:rsid w:val="007A130D"/>
    <w:rsid w:val="007D1A2D"/>
    <w:rsid w:val="007D32E6"/>
    <w:rsid w:val="007D4102"/>
    <w:rsid w:val="007E54A7"/>
    <w:rsid w:val="007F43B7"/>
    <w:rsid w:val="00812BA5"/>
    <w:rsid w:val="00821FFC"/>
    <w:rsid w:val="008271CA"/>
    <w:rsid w:val="00836557"/>
    <w:rsid w:val="008456EE"/>
    <w:rsid w:val="008467D5"/>
    <w:rsid w:val="008A4DC4"/>
    <w:rsid w:val="008B438C"/>
    <w:rsid w:val="008D06CA"/>
    <w:rsid w:val="008D3A46"/>
    <w:rsid w:val="008D70B4"/>
    <w:rsid w:val="008F2385"/>
    <w:rsid w:val="008F52B3"/>
    <w:rsid w:val="009067A4"/>
    <w:rsid w:val="00930885"/>
    <w:rsid w:val="00933D68"/>
    <w:rsid w:val="009340DB"/>
    <w:rsid w:val="0094618C"/>
    <w:rsid w:val="0095684B"/>
    <w:rsid w:val="00972498"/>
    <w:rsid w:val="0097481F"/>
    <w:rsid w:val="00974CC6"/>
    <w:rsid w:val="00976AD4"/>
    <w:rsid w:val="00995547"/>
    <w:rsid w:val="009A312F"/>
    <w:rsid w:val="009A5348"/>
    <w:rsid w:val="009A58EE"/>
    <w:rsid w:val="009B0AB7"/>
    <w:rsid w:val="009C6597"/>
    <w:rsid w:val="009C76D5"/>
    <w:rsid w:val="009E347C"/>
    <w:rsid w:val="009F7AA4"/>
    <w:rsid w:val="00A10AD7"/>
    <w:rsid w:val="00A323B0"/>
    <w:rsid w:val="00A3350A"/>
    <w:rsid w:val="00A559DB"/>
    <w:rsid w:val="00A569EA"/>
    <w:rsid w:val="00A604A0"/>
    <w:rsid w:val="00A676A0"/>
    <w:rsid w:val="00A91251"/>
    <w:rsid w:val="00AC7965"/>
    <w:rsid w:val="00AF35FC"/>
    <w:rsid w:val="00AF5556"/>
    <w:rsid w:val="00AF7AE5"/>
    <w:rsid w:val="00B03639"/>
    <w:rsid w:val="00B0652A"/>
    <w:rsid w:val="00B32A13"/>
    <w:rsid w:val="00B40937"/>
    <w:rsid w:val="00B423EF"/>
    <w:rsid w:val="00B453DE"/>
    <w:rsid w:val="00B502E6"/>
    <w:rsid w:val="00B62497"/>
    <w:rsid w:val="00B72597"/>
    <w:rsid w:val="00B87DC0"/>
    <w:rsid w:val="00B901F9"/>
    <w:rsid w:val="00B959F0"/>
    <w:rsid w:val="00BB1C31"/>
    <w:rsid w:val="00BC4D98"/>
    <w:rsid w:val="00BD0403"/>
    <w:rsid w:val="00BD6EFB"/>
    <w:rsid w:val="00BE3DF5"/>
    <w:rsid w:val="00BF5EAB"/>
    <w:rsid w:val="00C02410"/>
    <w:rsid w:val="00C041A3"/>
    <w:rsid w:val="00C152C9"/>
    <w:rsid w:val="00C1584D"/>
    <w:rsid w:val="00C15BE2"/>
    <w:rsid w:val="00C23EDB"/>
    <w:rsid w:val="00C3447F"/>
    <w:rsid w:val="00C37927"/>
    <w:rsid w:val="00C44714"/>
    <w:rsid w:val="00C67102"/>
    <w:rsid w:val="00C81491"/>
    <w:rsid w:val="00C81676"/>
    <w:rsid w:val="00C85C5D"/>
    <w:rsid w:val="00C92CC4"/>
    <w:rsid w:val="00CA0AFB"/>
    <w:rsid w:val="00CA2CE1"/>
    <w:rsid w:val="00CA3976"/>
    <w:rsid w:val="00CA50E3"/>
    <w:rsid w:val="00CA757B"/>
    <w:rsid w:val="00CB5267"/>
    <w:rsid w:val="00CC1787"/>
    <w:rsid w:val="00CC182C"/>
    <w:rsid w:val="00CD0824"/>
    <w:rsid w:val="00CD2908"/>
    <w:rsid w:val="00CD68FD"/>
    <w:rsid w:val="00D03A82"/>
    <w:rsid w:val="00D13667"/>
    <w:rsid w:val="00D15344"/>
    <w:rsid w:val="00D23F57"/>
    <w:rsid w:val="00D31BEC"/>
    <w:rsid w:val="00D63150"/>
    <w:rsid w:val="00D636BA"/>
    <w:rsid w:val="00D64A32"/>
    <w:rsid w:val="00D64EFC"/>
    <w:rsid w:val="00D75295"/>
    <w:rsid w:val="00D76CE9"/>
    <w:rsid w:val="00D935C8"/>
    <w:rsid w:val="00D96D0D"/>
    <w:rsid w:val="00D97F12"/>
    <w:rsid w:val="00DA6095"/>
    <w:rsid w:val="00DB076C"/>
    <w:rsid w:val="00DB42E7"/>
    <w:rsid w:val="00DC09D8"/>
    <w:rsid w:val="00DE01A6"/>
    <w:rsid w:val="00DE7A98"/>
    <w:rsid w:val="00DF32C2"/>
    <w:rsid w:val="00E15601"/>
    <w:rsid w:val="00E471A7"/>
    <w:rsid w:val="00E635CF"/>
    <w:rsid w:val="00E66E7F"/>
    <w:rsid w:val="00E90252"/>
    <w:rsid w:val="00EB1E3B"/>
    <w:rsid w:val="00EC6E0A"/>
    <w:rsid w:val="00ED4E18"/>
    <w:rsid w:val="00ED7922"/>
    <w:rsid w:val="00EE02C4"/>
    <w:rsid w:val="00EE1F37"/>
    <w:rsid w:val="00F006F2"/>
    <w:rsid w:val="00F0159C"/>
    <w:rsid w:val="00F105B7"/>
    <w:rsid w:val="00F120FC"/>
    <w:rsid w:val="00F13220"/>
    <w:rsid w:val="00F17A21"/>
    <w:rsid w:val="00F2456E"/>
    <w:rsid w:val="00F36FC2"/>
    <w:rsid w:val="00F37B27"/>
    <w:rsid w:val="00F4551B"/>
    <w:rsid w:val="00F46556"/>
    <w:rsid w:val="00F46C3F"/>
    <w:rsid w:val="00F50E91"/>
    <w:rsid w:val="00F56799"/>
    <w:rsid w:val="00F579CB"/>
    <w:rsid w:val="00F57D29"/>
    <w:rsid w:val="00F60786"/>
    <w:rsid w:val="00F91BC7"/>
    <w:rsid w:val="00F96201"/>
    <w:rsid w:val="00FA1BBC"/>
    <w:rsid w:val="00FD0B18"/>
    <w:rsid w:val="00FD2FAD"/>
    <w:rsid w:val="00FE3ECF"/>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s://www.alliedmarketresearch.com/press-release/solar-energy-market.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brightstarsolar.net/common-sizes-of-solar-panels/"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dk1">
                  <a:tint val="88500"/>
                </a:schemeClr>
              </a:solidFill>
              <a:ln w="9525">
                <a:solidFill>
                  <a:schemeClr val="dk1">
                    <a:tint val="88500"/>
                  </a:schemeClr>
                </a:solidFill>
              </a:ln>
              <a:effectLst/>
            </c:spPr>
          </c:marker>
          <c:dLbls>
            <c:dLbl>
              <c:idx val="0"/>
              <c:layout/>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A53F9660-B544-4AA9-8FC3-EF6E1AA7A5BE}" type="XVALUE">
                      <a:rPr lang="en-US"/>
                      <a:pPr>
                        <a:defRPr sz="900" b="0" i="0" u="none" strike="noStrike" kern="1200" baseline="0">
                          <a:solidFill>
                            <a:schemeClr val="tx1">
                              <a:lumMod val="75000"/>
                              <a:lumOff val="25000"/>
                            </a:schemeClr>
                          </a:solidFill>
                          <a:latin typeface="+mn-lt"/>
                          <a:ea typeface="+mn-ea"/>
                          <a:cs typeface="+mn-cs"/>
                        </a:defRPr>
                      </a:pPr>
                      <a:t>[X VALUE]</a:t>
                    </a:fld>
                    <a:r>
                      <a:rPr lang="en-US"/>
                      <a:t> units</a:t>
                    </a:r>
                    <a:r>
                      <a:rPr lang="en-US" baseline="0"/>
                      <a:t>, $</a:t>
                    </a:r>
                    <a:fld id="{455DA768-CE01-46D2-A40D-B43F54D7DC3E}" type="YVALUE">
                      <a:rPr lang="en-US" baseline="0"/>
                      <a:pPr>
                        <a:defRPr sz="900" b="0" i="0" u="none" strike="noStrike" kern="1200" baseline="0">
                          <a:solidFill>
                            <a:schemeClr val="tx1">
                              <a:lumMod val="75000"/>
                              <a:lumOff val="25000"/>
                            </a:schemeClr>
                          </a:solidFill>
                          <a:latin typeface="+mn-lt"/>
                          <a:ea typeface="+mn-ea"/>
                          <a:cs typeface="+mn-cs"/>
                        </a:defRPr>
                      </a:pPr>
                      <a:t>[Y VALUE]</a:t>
                    </a:fld>
                    <a:endParaRPr lang="en-US" baseline="0"/>
                  </a:p>
                </c:rich>
              </c:tx>
              <c:numFmt formatCode="#,##0" sourceLinked="0"/>
              <c:spPr>
                <a:noFill/>
                <a:ln>
                  <a:noFill/>
                </a:ln>
                <a:effectLst/>
              </c:spPr>
              <c:dLblPos val="t"/>
              <c:showLegendKey val="0"/>
              <c:showVal val="1"/>
              <c:showCatName val="1"/>
              <c:showSerName val="0"/>
              <c:showPercent val="0"/>
              <c:showBubbleSize val="0"/>
              <c:extLst>
                <c:ext xmlns:c15="http://schemas.microsoft.com/office/drawing/2012/chart" uri="{CE6537A1-D6FC-4f65-9D91-7224C49458BB}">
                  <c15:layout/>
                  <c15:dlblFieldTable/>
                  <c15:showDataLabelsRange val="0"/>
                </c:ext>
                <c:ext xmlns:c16="http://schemas.microsoft.com/office/drawing/2014/chart" uri="{C3380CC4-5D6E-409C-BE32-E72D297353CC}">
                  <c16:uniqueId val="{00000002-E75C-443E-B9D4-B8678503FC70}"/>
                </c:ext>
              </c:extLst>
            </c:dLbl>
            <c:dLbl>
              <c:idx val="1"/>
              <c:layout/>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3B1C67E6-15DF-455B-A1CE-DDDB4F6EB233}" type="XVALUE">
                      <a:rPr lang="en-US"/>
                      <a:pPr>
                        <a:defRPr sz="900" b="0" i="0" u="none" strike="noStrike" kern="1200" baseline="0">
                          <a:solidFill>
                            <a:schemeClr val="tx1">
                              <a:lumMod val="75000"/>
                              <a:lumOff val="25000"/>
                            </a:schemeClr>
                          </a:solidFill>
                          <a:latin typeface="+mn-lt"/>
                          <a:ea typeface="+mn-ea"/>
                          <a:cs typeface="+mn-cs"/>
                        </a:defRPr>
                      </a:pPr>
                      <a:t>[X VALUE]</a:t>
                    </a:fld>
                    <a:r>
                      <a:rPr lang="en-US"/>
                      <a:t> units</a:t>
                    </a:r>
                    <a:r>
                      <a:rPr lang="en-US" baseline="0"/>
                      <a:t>, $</a:t>
                    </a:r>
                    <a:fld id="{7D35466B-58F6-4E9A-8B19-55231690EB8F}" type="YVALUE">
                      <a:rPr lang="en-US" baseline="0"/>
                      <a:pPr>
                        <a:defRPr sz="900" b="0" i="0" u="none" strike="noStrike" kern="1200" baseline="0">
                          <a:solidFill>
                            <a:schemeClr val="tx1">
                              <a:lumMod val="75000"/>
                              <a:lumOff val="25000"/>
                            </a:schemeClr>
                          </a:solidFill>
                          <a:latin typeface="+mn-lt"/>
                          <a:ea typeface="+mn-ea"/>
                          <a:cs typeface="+mn-cs"/>
                        </a:defRPr>
                      </a:pPr>
                      <a:t>[Y VALUE]</a:t>
                    </a:fld>
                    <a:endParaRPr lang="en-US" baseline="0"/>
                  </a:p>
                </c:rich>
              </c:tx>
              <c:numFmt formatCode="#,##0" sourceLinked="0"/>
              <c:spPr>
                <a:noFill/>
                <a:ln>
                  <a:noFill/>
                </a:ln>
                <a:effectLst/>
              </c:spPr>
              <c:dLblPos val="t"/>
              <c:showLegendKey val="0"/>
              <c:showVal val="1"/>
              <c:showCatName val="1"/>
              <c:showSerName val="0"/>
              <c:showPercent val="0"/>
              <c:showBubbleSize val="0"/>
              <c:extLst>
                <c:ext xmlns:c15="http://schemas.microsoft.com/office/drawing/2012/chart" uri="{CE6537A1-D6FC-4f65-9D91-7224C49458BB}">
                  <c15:layout/>
                  <c15:dlblFieldTable/>
                  <c15:showDataLabelsRange val="0"/>
                </c:ext>
                <c:ext xmlns:c16="http://schemas.microsoft.com/office/drawing/2014/chart" uri="{C3380CC4-5D6E-409C-BE32-E72D297353CC}">
                  <c16:uniqueId val="{00000001-E75C-443E-B9D4-B8678503FC70}"/>
                </c:ext>
              </c:extLst>
            </c:dLbl>
            <c:dLbl>
              <c:idx val="2"/>
              <c:layout/>
              <c:tx>
                <c:rich>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fld id="{BD6EB741-019F-4349-A3F0-BE81F193504A}" type="XVALUE">
                      <a:rPr lang="en-US"/>
                      <a:pPr>
                        <a:defRPr sz="900" b="0" i="0" u="none" strike="noStrike" kern="1200" baseline="0">
                          <a:solidFill>
                            <a:schemeClr val="tx1">
                              <a:lumMod val="75000"/>
                              <a:lumOff val="25000"/>
                            </a:schemeClr>
                          </a:solidFill>
                          <a:latin typeface="+mn-lt"/>
                          <a:ea typeface="+mn-ea"/>
                          <a:cs typeface="+mn-cs"/>
                        </a:defRPr>
                      </a:pPr>
                      <a:t>[X VALUE]</a:t>
                    </a:fld>
                    <a:r>
                      <a:rPr lang="en-US"/>
                      <a:t> units</a:t>
                    </a:r>
                    <a:r>
                      <a:rPr lang="en-US" baseline="0"/>
                      <a:t>, $</a:t>
                    </a:r>
                    <a:fld id="{D8932D09-8067-460B-9B78-7120F9528CE4}" type="YVALUE">
                      <a:rPr lang="en-US" baseline="0"/>
                      <a:pPr>
                        <a:defRPr sz="900" b="0" i="0" u="none" strike="noStrike" kern="1200" baseline="0">
                          <a:solidFill>
                            <a:schemeClr val="tx1">
                              <a:lumMod val="75000"/>
                              <a:lumOff val="25000"/>
                            </a:schemeClr>
                          </a:solidFill>
                          <a:latin typeface="+mn-lt"/>
                          <a:ea typeface="+mn-ea"/>
                          <a:cs typeface="+mn-cs"/>
                        </a:defRPr>
                      </a:pPr>
                      <a:t>[Y VALUE]</a:t>
                    </a:fld>
                    <a:endParaRPr lang="en-US" baseline="0"/>
                  </a:p>
                </c:rich>
              </c:tx>
              <c:numFmt formatCode="#,##0" sourceLinked="0"/>
              <c:spPr>
                <a:noFill/>
                <a:ln>
                  <a:noFill/>
                </a:ln>
                <a:effectLst/>
              </c:spPr>
              <c:dLblPos val="t"/>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rect">
                      <a:avLst/>
                    </a:prstGeom>
                  </c15:spPr>
                  <c15:layout/>
                  <c15:dlblFieldTable/>
                  <c15:showDataLabelsRange val="0"/>
                </c:ext>
                <c:ext xmlns:c16="http://schemas.microsoft.com/office/drawing/2014/chart" uri="{C3380CC4-5D6E-409C-BE32-E72D297353CC}">
                  <c16:uniqueId val="{00000000-E75C-443E-B9D4-B8678503FC7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dk1">
                    <a:tint val="88500"/>
                  </a:schemeClr>
                </a:solidFill>
                <a:prstDash val="sysDot"/>
              </a:ln>
              <a:effectLst/>
            </c:spPr>
            <c:trendlineType val="linear"/>
            <c:dispRSqr val="0"/>
            <c:dispEq val="0"/>
          </c:trendline>
          <c:xVal>
            <c:numRef>
              <c:f>Solar!$A$2:$A$4</c:f>
              <c:numCache>
                <c:formatCode>General</c:formatCode>
                <c:ptCount val="3"/>
                <c:pt idx="0">
                  <c:v>540</c:v>
                </c:pt>
                <c:pt idx="1">
                  <c:v>420</c:v>
                </c:pt>
                <c:pt idx="2">
                  <c:v>300</c:v>
                </c:pt>
              </c:numCache>
            </c:numRef>
          </c:xVal>
          <c:yVal>
            <c:numRef>
              <c:f>Solar!$B$2:$B$4</c:f>
              <c:numCache>
                <c:formatCode>General</c:formatCode>
                <c:ptCount val="3"/>
                <c:pt idx="0">
                  <c:v>12000</c:v>
                </c:pt>
                <c:pt idx="1">
                  <c:v>13500</c:v>
                </c:pt>
                <c:pt idx="2">
                  <c:v>15000</c:v>
                </c:pt>
              </c:numCache>
            </c:numRef>
          </c:yVal>
          <c:smooth val="0"/>
          <c:extLst>
            <c:ext xmlns:c16="http://schemas.microsoft.com/office/drawing/2014/chart" uri="{C3380CC4-5D6E-409C-BE32-E72D297353CC}">
              <c16:uniqueId val="{00000001-C0BC-4E76-9A90-0AB70578C84E}"/>
            </c:ext>
          </c:extLst>
        </c:ser>
        <c:dLbls>
          <c:dLblPos val="t"/>
          <c:showLegendKey val="0"/>
          <c:showVal val="1"/>
          <c:showCatName val="0"/>
          <c:showSerName val="0"/>
          <c:showPercent val="0"/>
          <c:showBubbleSize val="0"/>
        </c:dLbls>
        <c:axId val="315217248"/>
        <c:axId val="315219600"/>
      </c:scatterChart>
      <c:valAx>
        <c:axId val="3152172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en-US" sz="1100" b="1"/>
                  <a:t>Quantity (Solar Units)</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219600"/>
        <c:crosses val="autoZero"/>
        <c:crossBetween val="midCat"/>
      </c:valAx>
      <c:valAx>
        <c:axId val="315219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en-US" sz="1100" b="1"/>
                  <a:t>Price per Installation (US$)</a:t>
                </a:r>
              </a:p>
            </c:rich>
          </c:tx>
          <c:layout/>
          <c:overlay val="0"/>
          <c:spPr>
            <a:noFill/>
            <a:ln>
              <a:noFill/>
            </a:ln>
            <a:effectLst/>
          </c:spPr>
        </c:title>
        <c:numFmt formatCode="#,##0" sourceLinked="0"/>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217248"/>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7ACBEA-33C5-473E-996C-978B3F29C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1027</Words>
  <Characters>5857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Martinali, Sara</cp:lastModifiedBy>
  <cp:revision>4</cp:revision>
  <cp:lastPrinted>2015-03-04T20:34:00Z</cp:lastPrinted>
  <dcterms:created xsi:type="dcterms:W3CDTF">2019-08-20T12:12:00Z</dcterms:created>
  <dcterms:modified xsi:type="dcterms:W3CDTF">2019-08-26T16:26:00Z</dcterms:modified>
</cp:coreProperties>
</file>