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D558C6" w14:textId="01567531" w:rsidR="009F67C0" w:rsidRPr="00A863DC" w:rsidRDefault="00A863DC" w:rsidP="00C02410">
      <w:pPr>
        <w:pBdr>
          <w:bottom w:val="single" w:sz="18" w:space="1" w:color="auto"/>
        </w:pBdr>
        <w:tabs>
          <w:tab w:val="left" w:pos="-1440"/>
          <w:tab w:val="left" w:pos="-720"/>
          <w:tab w:val="left" w:pos="1"/>
        </w:tabs>
        <w:jc w:val="both"/>
        <w:rPr>
          <w:rFonts w:ascii="Arial" w:hAnsi="Arial"/>
          <w:b/>
          <w:noProof/>
          <w:sz w:val="24"/>
          <w:lang w:val="en-CA" w:eastAsia="en-CA"/>
        </w:rPr>
      </w:pPr>
      <w:r w:rsidRPr="00A863DC">
        <w:rPr>
          <w:rFonts w:ascii="Arial" w:hAnsi="Arial"/>
          <w:b/>
          <w:noProof/>
          <w:sz w:val="24"/>
          <w:lang w:val="en-CA" w:eastAsia="en-CA"/>
        </w:rPr>
        <w:drawing>
          <wp:inline distT="0" distB="0" distL="0" distR="0" wp14:anchorId="0858A787" wp14:editId="4C1FA0C9">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35A347F9" w:rsidR="00C02410" w:rsidRPr="00A863DC" w:rsidRDefault="00751B30" w:rsidP="00C02410">
      <w:pPr>
        <w:pStyle w:val="ProductNumber"/>
        <w:rPr>
          <w:lang w:val="en-CA"/>
        </w:rPr>
      </w:pPr>
      <w:r w:rsidRPr="00A863DC">
        <w:rPr>
          <w:lang w:val="en-CA"/>
        </w:rPr>
        <w:t>9B19N</w:t>
      </w:r>
      <w:r w:rsidR="00A863DC">
        <w:rPr>
          <w:lang w:val="en-CA"/>
        </w:rPr>
        <w:t>018</w:t>
      </w:r>
    </w:p>
    <w:p w14:paraId="4E057522" w14:textId="7A113CB1" w:rsidR="00D75295" w:rsidRPr="00A863DC" w:rsidRDefault="00D75295" w:rsidP="00D75295">
      <w:pPr>
        <w:jc w:val="right"/>
        <w:rPr>
          <w:rFonts w:ascii="Arial" w:hAnsi="Arial"/>
          <w:b/>
          <w:lang w:val="en-CA"/>
        </w:rPr>
      </w:pPr>
    </w:p>
    <w:p w14:paraId="02524312" w14:textId="77777777" w:rsidR="001901C0" w:rsidRPr="00A863DC" w:rsidRDefault="001901C0" w:rsidP="00D75295">
      <w:pPr>
        <w:jc w:val="right"/>
        <w:rPr>
          <w:rFonts w:ascii="Arial" w:hAnsi="Arial"/>
          <w:b/>
          <w:lang w:val="en-CA"/>
        </w:rPr>
      </w:pPr>
    </w:p>
    <w:p w14:paraId="2F03D26A" w14:textId="3EE1B6C9" w:rsidR="00013360" w:rsidRPr="00A863DC" w:rsidRDefault="002C6D84" w:rsidP="00013360">
      <w:pPr>
        <w:pStyle w:val="CaseTitle"/>
        <w:spacing w:after="0" w:line="240" w:lineRule="auto"/>
        <w:rPr>
          <w:sz w:val="20"/>
          <w:szCs w:val="20"/>
          <w:lang w:val="en-CA"/>
        </w:rPr>
      </w:pPr>
      <w:r w:rsidRPr="00A863DC">
        <w:rPr>
          <w:lang w:val="en-CA"/>
        </w:rPr>
        <w:t>URBAN ROOTS</w:t>
      </w:r>
      <w:r w:rsidR="00CB6C95" w:rsidRPr="00A863DC">
        <w:rPr>
          <w:lang w:val="en-CA"/>
        </w:rPr>
        <w:t xml:space="preserve"> London</w:t>
      </w:r>
      <w:r w:rsidR="00956FE5" w:rsidRPr="00A863DC">
        <w:rPr>
          <w:lang w:val="en-CA"/>
        </w:rPr>
        <w:t xml:space="preserve">: </w:t>
      </w:r>
      <w:r w:rsidR="00CB6C95" w:rsidRPr="00A863DC">
        <w:rPr>
          <w:lang w:val="en-CA"/>
        </w:rPr>
        <w:t>a growing season</w:t>
      </w:r>
    </w:p>
    <w:p w14:paraId="40ABF6FD" w14:textId="77777777" w:rsidR="00CA3976" w:rsidRPr="00A863DC" w:rsidRDefault="00CA3976" w:rsidP="00013360">
      <w:pPr>
        <w:pStyle w:val="CaseTitle"/>
        <w:spacing w:after="0" w:line="240" w:lineRule="auto"/>
        <w:rPr>
          <w:sz w:val="20"/>
          <w:szCs w:val="20"/>
          <w:lang w:val="en-CA"/>
        </w:rPr>
      </w:pPr>
    </w:p>
    <w:p w14:paraId="202F1085" w14:textId="77777777" w:rsidR="00013360" w:rsidRPr="00A863DC" w:rsidRDefault="00013360" w:rsidP="00013360">
      <w:pPr>
        <w:pStyle w:val="CaseTitle"/>
        <w:spacing w:after="0" w:line="240" w:lineRule="auto"/>
        <w:rPr>
          <w:sz w:val="20"/>
          <w:szCs w:val="20"/>
          <w:lang w:val="en-CA"/>
        </w:rPr>
      </w:pPr>
    </w:p>
    <w:p w14:paraId="58B0C73F" w14:textId="575D7A71" w:rsidR="00086B26" w:rsidRPr="00A863DC" w:rsidRDefault="002C6D84" w:rsidP="00086B26">
      <w:pPr>
        <w:pStyle w:val="StyleCopyrightStatementAfter0ptBottomSinglesolidline1"/>
        <w:rPr>
          <w:lang w:val="en-CA"/>
        </w:rPr>
      </w:pPr>
      <w:r w:rsidRPr="00A863DC">
        <w:rPr>
          <w:lang w:val="en-CA"/>
        </w:rPr>
        <w:t>Natalie White wrote this case under the supervision of Julie Gosse</w:t>
      </w:r>
      <w:r w:rsidR="00ED7922" w:rsidRPr="00A863DC">
        <w:rPr>
          <w:rFonts w:cs="Arial"/>
          <w:szCs w:val="16"/>
          <w:lang w:val="en-CA"/>
        </w:rPr>
        <w:t xml:space="preserve"> </w:t>
      </w:r>
      <w:r w:rsidR="00086B26" w:rsidRPr="00A863DC">
        <w:rPr>
          <w:lang w:val="en-CA"/>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33D4AB39" w:rsidR="00086B26" w:rsidRPr="00A863DC" w:rsidRDefault="00086B26" w:rsidP="00086B26">
      <w:pPr>
        <w:pStyle w:val="StyleCopyrightStatementAfter0ptBottomSinglesolidline1"/>
        <w:rPr>
          <w:lang w:val="en-CA"/>
        </w:rPr>
      </w:pPr>
    </w:p>
    <w:p w14:paraId="0027F037" w14:textId="77777777" w:rsidR="00A863DC" w:rsidRPr="00A863DC" w:rsidRDefault="00A863DC" w:rsidP="00A863DC">
      <w:pPr>
        <w:pStyle w:val="StyleStyleCopyrightStatementAfter0ptBottomSinglesolid"/>
        <w:rPr>
          <w:rFonts w:cs="Arial"/>
          <w:color w:val="FFFFFF" w:themeColor="background1"/>
          <w:szCs w:val="16"/>
          <w:lang w:val="en-CA"/>
        </w:rPr>
      </w:pPr>
      <w:r w:rsidRPr="00A863DC">
        <w:rPr>
          <w:rFonts w:cs="Arial"/>
          <w:szCs w:val="16"/>
          <w:lang w:val="en-CA"/>
        </w:rPr>
        <w:t xml:space="preserve">This publication </w:t>
      </w:r>
      <w:proofErr w:type="gramStart"/>
      <w:r w:rsidRPr="00A863DC">
        <w:rPr>
          <w:rFonts w:cs="Arial"/>
          <w:szCs w:val="16"/>
          <w:lang w:val="en-CA"/>
        </w:rPr>
        <w:t>may not be transmitted, photocopied, digitized, or otherwise reproduced in any form or by any means without the permission of the copyright holder</w:t>
      </w:r>
      <w:proofErr w:type="gramEnd"/>
      <w:r w:rsidRPr="00A863DC">
        <w:rPr>
          <w:rFonts w:cs="Arial"/>
          <w:szCs w:val="16"/>
          <w:lang w:val="en-CA"/>
        </w:rPr>
        <w:t xml:space="preserve">. Reproduction of this material </w:t>
      </w:r>
      <w:proofErr w:type="gramStart"/>
      <w:r w:rsidRPr="00A863DC">
        <w:rPr>
          <w:rFonts w:cs="Arial"/>
          <w:szCs w:val="16"/>
          <w:lang w:val="en-CA"/>
        </w:rPr>
        <w:t>is not covered</w:t>
      </w:r>
      <w:proofErr w:type="gramEnd"/>
      <w:r w:rsidRPr="00A863DC">
        <w:rPr>
          <w:rFonts w:cs="Arial"/>
          <w:szCs w:val="16"/>
          <w:lang w:val="en-CA"/>
        </w:rPr>
        <w:t xml:space="preserve">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A863DC">
        <w:rPr>
          <w:rFonts w:cs="Arial"/>
          <w:color w:val="FFFFFF" w:themeColor="background1"/>
          <w:szCs w:val="16"/>
          <w:lang w:val="en-CA"/>
        </w:rPr>
        <w:t>i1v2e5y5pubs</w:t>
      </w:r>
    </w:p>
    <w:p w14:paraId="38E318FD" w14:textId="77777777" w:rsidR="00A863DC" w:rsidRPr="00A863DC" w:rsidRDefault="00A863DC" w:rsidP="00A863DC">
      <w:pPr>
        <w:pStyle w:val="StyleStyleCopyrightStatementAfter0ptBottomSinglesolid"/>
        <w:rPr>
          <w:rFonts w:cs="Arial"/>
          <w:color w:val="FFFFFF" w:themeColor="background1"/>
          <w:szCs w:val="16"/>
          <w:lang w:val="en-CA"/>
        </w:rPr>
      </w:pPr>
    </w:p>
    <w:p w14:paraId="3922E14F" w14:textId="5397453B" w:rsidR="00751E0B" w:rsidRPr="00A863DC" w:rsidRDefault="00A863DC" w:rsidP="00A323B0">
      <w:pPr>
        <w:pStyle w:val="StyleStyleCopyrightStatementAfter0ptBottomSinglesolid"/>
        <w:rPr>
          <w:rFonts w:cs="Arial"/>
          <w:color w:val="FFFFFF" w:themeColor="background1"/>
          <w:szCs w:val="16"/>
          <w:lang w:val="en-CA"/>
        </w:rPr>
      </w:pPr>
      <w:r w:rsidRPr="00A863DC">
        <w:rPr>
          <w:rFonts w:cs="Arial"/>
          <w:iCs w:val="0"/>
          <w:color w:val="auto"/>
          <w:szCs w:val="16"/>
          <w:lang w:val="en-CA"/>
        </w:rPr>
        <w:t>Copyright © 2019, Ivey Business School Foundation</w:t>
      </w:r>
      <w:r w:rsidR="00A323B0" w:rsidRPr="00A863DC">
        <w:rPr>
          <w:rFonts w:cs="Arial"/>
          <w:iCs w:val="0"/>
          <w:color w:val="auto"/>
          <w:szCs w:val="16"/>
          <w:lang w:val="en-CA"/>
        </w:rPr>
        <w:tab/>
      </w:r>
      <w:r w:rsidR="002C6D84" w:rsidRPr="00A863DC">
        <w:rPr>
          <w:rFonts w:cs="Arial"/>
          <w:iCs w:val="0"/>
          <w:color w:val="auto"/>
          <w:szCs w:val="16"/>
          <w:lang w:val="en-CA"/>
        </w:rPr>
        <w:t>Version: 2019-0</w:t>
      </w:r>
      <w:r w:rsidR="009F67C0" w:rsidRPr="00A863DC">
        <w:rPr>
          <w:rFonts w:cs="Arial"/>
          <w:iCs w:val="0"/>
          <w:color w:val="auto"/>
          <w:szCs w:val="16"/>
          <w:lang w:val="en-CA"/>
        </w:rPr>
        <w:t>9</w:t>
      </w:r>
      <w:r w:rsidR="002C6D84" w:rsidRPr="00A863DC">
        <w:rPr>
          <w:rFonts w:cs="Arial"/>
          <w:iCs w:val="0"/>
          <w:color w:val="auto"/>
          <w:szCs w:val="16"/>
          <w:lang w:val="en-CA"/>
        </w:rPr>
        <w:t>-</w:t>
      </w:r>
      <w:r w:rsidR="00D10996">
        <w:rPr>
          <w:rFonts w:cs="Arial"/>
          <w:iCs w:val="0"/>
          <w:color w:val="auto"/>
          <w:szCs w:val="16"/>
          <w:lang w:val="en-CA"/>
        </w:rPr>
        <w:t>13</w:t>
      </w:r>
    </w:p>
    <w:p w14:paraId="0A2A54E4" w14:textId="32ECB04C" w:rsidR="00751E0B" w:rsidRPr="00A863DC" w:rsidRDefault="00751E0B" w:rsidP="00751E0B">
      <w:pPr>
        <w:pStyle w:val="StyleCopyrightStatementAfter0ptBottomSinglesolidline1"/>
        <w:rPr>
          <w:rFonts w:ascii="Times New Roman" w:hAnsi="Times New Roman"/>
          <w:sz w:val="20"/>
          <w:lang w:val="en-CA"/>
        </w:rPr>
      </w:pPr>
    </w:p>
    <w:p w14:paraId="3D343338" w14:textId="77777777" w:rsidR="002C6D84" w:rsidRPr="00A863DC" w:rsidRDefault="002C6D84" w:rsidP="00751E0B">
      <w:pPr>
        <w:pStyle w:val="StyleCopyrightStatementAfter0ptBottomSinglesolidline1"/>
        <w:rPr>
          <w:rFonts w:ascii="Times New Roman" w:hAnsi="Times New Roman"/>
          <w:sz w:val="20"/>
          <w:lang w:val="en-CA"/>
        </w:rPr>
      </w:pPr>
    </w:p>
    <w:p w14:paraId="288FAD94" w14:textId="0C0CD72A" w:rsidR="002C6D84" w:rsidRPr="00A863DC" w:rsidRDefault="002C6D84" w:rsidP="002C6D84">
      <w:pPr>
        <w:pStyle w:val="BodyTextMain"/>
        <w:rPr>
          <w:lang w:val="en-CA"/>
        </w:rPr>
      </w:pPr>
      <w:r w:rsidRPr="00A863DC">
        <w:rPr>
          <w:lang w:val="en-CA"/>
        </w:rPr>
        <w:t>It was a clear</w:t>
      </w:r>
      <w:r w:rsidR="0095597C" w:rsidRPr="00A863DC">
        <w:rPr>
          <w:lang w:val="en-CA"/>
        </w:rPr>
        <w:t>, cold</w:t>
      </w:r>
      <w:r w:rsidRPr="00A863DC">
        <w:rPr>
          <w:lang w:val="en-CA"/>
        </w:rPr>
        <w:t xml:space="preserve"> </w:t>
      </w:r>
      <w:r w:rsidR="000D0427" w:rsidRPr="00A863DC">
        <w:rPr>
          <w:lang w:val="en-CA"/>
        </w:rPr>
        <w:t>winter</w:t>
      </w:r>
      <w:r w:rsidR="008A0B57" w:rsidRPr="00A863DC">
        <w:rPr>
          <w:lang w:val="en-CA"/>
        </w:rPr>
        <w:t xml:space="preserve"> </w:t>
      </w:r>
      <w:r w:rsidRPr="00A863DC">
        <w:rPr>
          <w:lang w:val="en-CA"/>
        </w:rPr>
        <w:t xml:space="preserve">morning when </w:t>
      </w:r>
      <w:proofErr w:type="spellStart"/>
      <w:r w:rsidRPr="00A863DC">
        <w:rPr>
          <w:lang w:val="en-CA"/>
        </w:rPr>
        <w:t>Sidrah</w:t>
      </w:r>
      <w:proofErr w:type="spellEnd"/>
      <w:r w:rsidRPr="00A863DC">
        <w:rPr>
          <w:lang w:val="en-CA"/>
        </w:rPr>
        <w:t xml:space="preserve"> Khan, account manager at VERGE Capital (VERGE), walked across a barren field, the glistening snow crunching beneath her feet. She stopped and looked around. A small sign, half-</w:t>
      </w:r>
      <w:r w:rsidR="00046BC4" w:rsidRPr="00A863DC">
        <w:rPr>
          <w:lang w:val="en-CA"/>
        </w:rPr>
        <w:t>cover</w:t>
      </w:r>
      <w:r w:rsidRPr="00A863DC">
        <w:rPr>
          <w:lang w:val="en-CA"/>
        </w:rPr>
        <w:t>ed in snow, told her that she was standing on land belonging to Urban Roots London (Urban Roots), a non-profit urban farm located in London, Ontario. Although the 2.5-acre</w:t>
      </w:r>
      <w:r w:rsidRPr="00A863DC">
        <w:rPr>
          <w:rStyle w:val="FootnoteReference"/>
          <w:lang w:val="en-CA"/>
        </w:rPr>
        <w:footnoteReference w:id="1"/>
      </w:r>
      <w:r w:rsidRPr="00A863DC">
        <w:rPr>
          <w:lang w:val="en-CA"/>
        </w:rPr>
        <w:t xml:space="preserve"> plot of land resembled a deserted field beside a busy road, she knew that only months earlier the land had been bursting with colourful and nourishing vegetables</w:t>
      </w:r>
      <w:r w:rsidR="000A4E8F" w:rsidRPr="00A863DC">
        <w:rPr>
          <w:lang w:val="en-CA"/>
        </w:rPr>
        <w:t xml:space="preserve"> and herbs</w:t>
      </w:r>
      <w:r w:rsidRPr="00A863DC">
        <w:rPr>
          <w:lang w:val="en-CA"/>
        </w:rPr>
        <w:t xml:space="preserve">. </w:t>
      </w:r>
    </w:p>
    <w:p w14:paraId="2B02C5A2" w14:textId="77777777" w:rsidR="002C6D84" w:rsidRPr="00A863DC" w:rsidRDefault="002C6D84" w:rsidP="002C6D84">
      <w:pPr>
        <w:pStyle w:val="BodyTextMain"/>
        <w:rPr>
          <w:lang w:val="en-CA"/>
        </w:rPr>
      </w:pPr>
    </w:p>
    <w:p w14:paraId="24649A8A" w14:textId="35588DFA" w:rsidR="002C6D84" w:rsidRPr="00A863DC" w:rsidRDefault="002C6D84" w:rsidP="002C6D84">
      <w:pPr>
        <w:pStyle w:val="BodyTextMain"/>
        <w:rPr>
          <w:spacing w:val="-2"/>
          <w:kern w:val="22"/>
          <w:lang w:val="en-CA"/>
        </w:rPr>
      </w:pPr>
      <w:r w:rsidRPr="00A863DC">
        <w:rPr>
          <w:spacing w:val="-2"/>
          <w:kern w:val="22"/>
          <w:lang w:val="en-CA"/>
        </w:rPr>
        <w:t>Khan had to make a decision within the next four hours. On behalf of Urban Roots</w:t>
      </w:r>
      <w:r w:rsidR="00FB03AD" w:rsidRPr="00A863DC">
        <w:rPr>
          <w:spacing w:val="-2"/>
          <w:kern w:val="22"/>
          <w:lang w:val="en-CA"/>
        </w:rPr>
        <w:t>’</w:t>
      </w:r>
      <w:r w:rsidRPr="00A863DC">
        <w:rPr>
          <w:spacing w:val="-2"/>
          <w:kern w:val="22"/>
          <w:lang w:val="en-CA"/>
        </w:rPr>
        <w:t xml:space="preserve"> </w:t>
      </w:r>
      <w:r w:rsidR="00FB03AD" w:rsidRPr="00A863DC">
        <w:rPr>
          <w:spacing w:val="-2"/>
          <w:kern w:val="22"/>
          <w:lang w:val="en-CA"/>
        </w:rPr>
        <w:t>board of directors</w:t>
      </w:r>
      <w:r w:rsidRPr="00A863DC">
        <w:rPr>
          <w:spacing w:val="-2"/>
          <w:kern w:val="22"/>
          <w:lang w:val="en-CA"/>
        </w:rPr>
        <w:t>, co-founder Richie Bloomfield had requested a long-term loan of CA$5,000</w:t>
      </w:r>
      <w:r w:rsidR="00FB74E3" w:rsidRPr="00A863DC">
        <w:rPr>
          <w:rStyle w:val="FootnoteReference"/>
          <w:spacing w:val="-2"/>
          <w:kern w:val="22"/>
          <w:lang w:val="en-CA"/>
        </w:rPr>
        <w:footnoteReference w:id="2"/>
      </w:r>
      <w:r w:rsidRPr="00A863DC">
        <w:rPr>
          <w:spacing w:val="-2"/>
          <w:kern w:val="22"/>
          <w:lang w:val="en-CA"/>
        </w:rPr>
        <w:t xml:space="preserve"> and a working capital loan with a $25,000 limit from VERGE. The </w:t>
      </w:r>
      <w:r w:rsidR="000D0427" w:rsidRPr="00A863DC">
        <w:rPr>
          <w:spacing w:val="-2"/>
          <w:kern w:val="22"/>
          <w:lang w:val="en-CA"/>
        </w:rPr>
        <w:t>b</w:t>
      </w:r>
      <w:r w:rsidRPr="00A863DC">
        <w:rPr>
          <w:spacing w:val="-2"/>
          <w:kern w:val="22"/>
          <w:lang w:val="en-CA"/>
        </w:rPr>
        <w:t>oard members hoped to use the funds to continue scaling Urban Roots for its third growing season. It was January 2019, and they h</w:t>
      </w:r>
      <w:bookmarkStart w:id="0" w:name="_GoBack"/>
      <w:bookmarkEnd w:id="0"/>
      <w:r w:rsidRPr="00A863DC">
        <w:rPr>
          <w:spacing w:val="-2"/>
          <w:kern w:val="22"/>
          <w:lang w:val="en-CA"/>
        </w:rPr>
        <w:t>oped to receive the financing as soon as possible.</w:t>
      </w:r>
    </w:p>
    <w:p w14:paraId="42896CEF" w14:textId="77777777" w:rsidR="002C6D84" w:rsidRPr="00A863DC" w:rsidRDefault="002C6D84" w:rsidP="002C6D84">
      <w:pPr>
        <w:pStyle w:val="BodyTextMain"/>
        <w:rPr>
          <w:lang w:val="en-CA"/>
        </w:rPr>
      </w:pPr>
    </w:p>
    <w:p w14:paraId="2D24EDA2" w14:textId="77777777" w:rsidR="002C6D84" w:rsidRPr="00A863DC" w:rsidRDefault="002C6D84" w:rsidP="002C6D84">
      <w:pPr>
        <w:pStyle w:val="BodyTextMain"/>
        <w:rPr>
          <w:lang w:val="en-CA"/>
        </w:rPr>
      </w:pPr>
    </w:p>
    <w:p w14:paraId="7CBD2D66" w14:textId="77777777" w:rsidR="002C6D84" w:rsidRPr="00A863DC" w:rsidRDefault="002C6D84" w:rsidP="00C7164D">
      <w:pPr>
        <w:pStyle w:val="Casehead1"/>
        <w:rPr>
          <w:lang w:val="en-CA"/>
        </w:rPr>
      </w:pPr>
      <w:r w:rsidRPr="00A863DC">
        <w:rPr>
          <w:lang w:val="en-CA"/>
        </w:rPr>
        <w:t>VERGE CAPITAL</w:t>
      </w:r>
    </w:p>
    <w:p w14:paraId="0083A230" w14:textId="77777777" w:rsidR="002C6D84" w:rsidRPr="00A863DC" w:rsidRDefault="002C6D84" w:rsidP="002C6D84">
      <w:pPr>
        <w:jc w:val="both"/>
        <w:outlineLvl w:val="0"/>
        <w:rPr>
          <w:sz w:val="22"/>
          <w:szCs w:val="22"/>
          <w:lang w:val="en-CA"/>
        </w:rPr>
      </w:pPr>
    </w:p>
    <w:p w14:paraId="54F1AFED" w14:textId="52B51AC8" w:rsidR="002C6D84" w:rsidRPr="00A863DC" w:rsidRDefault="002C6D84" w:rsidP="002C6D84">
      <w:pPr>
        <w:jc w:val="both"/>
        <w:rPr>
          <w:sz w:val="22"/>
          <w:szCs w:val="22"/>
          <w:lang w:val="en-CA"/>
        </w:rPr>
      </w:pPr>
      <w:r w:rsidRPr="00A863DC">
        <w:rPr>
          <w:sz w:val="22"/>
          <w:szCs w:val="22"/>
          <w:lang w:val="en-CA"/>
        </w:rPr>
        <w:t xml:space="preserve">VERGE was a social finance program that aimed to redirect financing from non-local, traditional investment portfolios to organizations in </w:t>
      </w:r>
      <w:r w:rsidR="00FB74E3" w:rsidRPr="00A863DC">
        <w:rPr>
          <w:sz w:val="22"/>
          <w:szCs w:val="22"/>
          <w:lang w:val="en-CA"/>
        </w:rPr>
        <w:t xml:space="preserve">southwestern </w:t>
      </w:r>
      <w:r w:rsidRPr="00A863DC">
        <w:rPr>
          <w:sz w:val="22"/>
          <w:szCs w:val="22"/>
          <w:lang w:val="en-CA"/>
        </w:rPr>
        <w:t xml:space="preserve">Ontario that tackled important community issues. VERGE provided loans to early-stage, high-growth social enterprises that were both financially feasible and </w:t>
      </w:r>
      <w:r w:rsidR="00D2603E" w:rsidRPr="00A863DC">
        <w:rPr>
          <w:sz w:val="22"/>
          <w:szCs w:val="22"/>
          <w:lang w:val="en-CA"/>
        </w:rPr>
        <w:t xml:space="preserve">that </w:t>
      </w:r>
      <w:r w:rsidRPr="00A863DC">
        <w:rPr>
          <w:sz w:val="22"/>
          <w:szCs w:val="22"/>
          <w:lang w:val="en-CA"/>
        </w:rPr>
        <w:t>had a significant impact on the community</w:t>
      </w:r>
      <w:r w:rsidR="00FB74E3" w:rsidRPr="00A863DC">
        <w:rPr>
          <w:sz w:val="22"/>
          <w:szCs w:val="22"/>
          <w:lang w:val="en-CA"/>
        </w:rPr>
        <w:t>.</w:t>
      </w:r>
      <w:r w:rsidR="00A57DFB" w:rsidRPr="00A863DC">
        <w:rPr>
          <w:rStyle w:val="FootnoteReference"/>
          <w:sz w:val="22"/>
          <w:szCs w:val="22"/>
          <w:lang w:val="en-CA"/>
        </w:rPr>
        <w:footnoteReference w:id="3"/>
      </w:r>
    </w:p>
    <w:p w14:paraId="56F7028B" w14:textId="77777777" w:rsidR="002C6D84" w:rsidRPr="00A863DC" w:rsidRDefault="002C6D84" w:rsidP="002C6D84">
      <w:pPr>
        <w:jc w:val="both"/>
        <w:outlineLvl w:val="0"/>
        <w:rPr>
          <w:sz w:val="22"/>
          <w:szCs w:val="22"/>
          <w:lang w:val="en-CA"/>
        </w:rPr>
      </w:pPr>
    </w:p>
    <w:p w14:paraId="5D2985EE" w14:textId="77777777" w:rsidR="002C6D84" w:rsidRPr="00A863DC" w:rsidRDefault="002C6D84" w:rsidP="002C6D84">
      <w:pPr>
        <w:jc w:val="both"/>
        <w:outlineLvl w:val="0"/>
        <w:rPr>
          <w:sz w:val="22"/>
          <w:szCs w:val="22"/>
          <w:lang w:val="en-CA"/>
        </w:rPr>
      </w:pPr>
    </w:p>
    <w:p w14:paraId="1D03E9D5" w14:textId="77777777" w:rsidR="002C6D84" w:rsidRPr="00A863DC" w:rsidRDefault="002C6D84" w:rsidP="002C6D84">
      <w:pPr>
        <w:jc w:val="both"/>
        <w:outlineLvl w:val="0"/>
        <w:rPr>
          <w:rFonts w:ascii="Arial" w:hAnsi="Arial" w:cs="Arial"/>
          <w:b/>
          <w:lang w:val="en-CA"/>
        </w:rPr>
      </w:pPr>
      <w:r w:rsidRPr="00A863DC">
        <w:rPr>
          <w:rStyle w:val="Casehead2Char"/>
          <w:lang w:val="en-CA"/>
        </w:rPr>
        <w:t>Food Deserts in London</w:t>
      </w:r>
      <w:r w:rsidRPr="00A863DC">
        <w:rPr>
          <w:rStyle w:val="FootnoteReference"/>
          <w:sz w:val="22"/>
          <w:szCs w:val="22"/>
          <w:lang w:val="en-CA"/>
        </w:rPr>
        <w:footnoteReference w:id="4"/>
      </w:r>
    </w:p>
    <w:p w14:paraId="3A2E5936" w14:textId="77777777" w:rsidR="002C6D84" w:rsidRPr="00A863DC" w:rsidRDefault="002C6D84" w:rsidP="002C6D84">
      <w:pPr>
        <w:jc w:val="both"/>
        <w:outlineLvl w:val="0"/>
        <w:rPr>
          <w:sz w:val="22"/>
          <w:szCs w:val="22"/>
          <w:lang w:val="en-CA"/>
        </w:rPr>
      </w:pPr>
    </w:p>
    <w:p w14:paraId="1F213560" w14:textId="41803F8E" w:rsidR="002C6D84" w:rsidRPr="00A863DC" w:rsidRDefault="002C6D84" w:rsidP="002C6D84">
      <w:pPr>
        <w:jc w:val="both"/>
        <w:rPr>
          <w:sz w:val="22"/>
          <w:szCs w:val="22"/>
          <w:lang w:val="en-CA"/>
        </w:rPr>
      </w:pPr>
      <w:r w:rsidRPr="00A863DC">
        <w:rPr>
          <w:sz w:val="22"/>
          <w:szCs w:val="22"/>
          <w:lang w:val="en-CA"/>
        </w:rPr>
        <w:t>A study published by Western University researchers Jason Gilliland and Kristian Larsen</w:t>
      </w:r>
      <w:r w:rsidR="00EC1027" w:rsidRPr="00A863DC">
        <w:rPr>
          <w:rStyle w:val="FootnoteReference"/>
          <w:sz w:val="22"/>
          <w:szCs w:val="22"/>
          <w:lang w:val="en-CA"/>
        </w:rPr>
        <w:footnoteReference w:id="5"/>
      </w:r>
      <w:r w:rsidRPr="00A863DC">
        <w:rPr>
          <w:sz w:val="22"/>
          <w:szCs w:val="22"/>
          <w:lang w:val="en-CA"/>
        </w:rPr>
        <w:t xml:space="preserve"> found that food deserts were a distinct problem in London, particularly in the eastern part of the city. The researchers </w:t>
      </w:r>
      <w:r w:rsidRPr="00A863DC">
        <w:rPr>
          <w:sz w:val="22"/>
          <w:szCs w:val="22"/>
          <w:lang w:val="en-CA"/>
        </w:rPr>
        <w:lastRenderedPageBreak/>
        <w:t xml:space="preserve">defined a </w:t>
      </w:r>
      <w:r w:rsidR="00D2603E" w:rsidRPr="00A863DC">
        <w:rPr>
          <w:sz w:val="22"/>
          <w:szCs w:val="22"/>
          <w:lang w:val="en-CA"/>
        </w:rPr>
        <w:t>“</w:t>
      </w:r>
      <w:r w:rsidRPr="00A863DC">
        <w:rPr>
          <w:sz w:val="22"/>
          <w:szCs w:val="22"/>
          <w:lang w:val="en-CA"/>
        </w:rPr>
        <w:t>food desert</w:t>
      </w:r>
      <w:r w:rsidR="00D2603E" w:rsidRPr="00A863DC">
        <w:rPr>
          <w:sz w:val="22"/>
          <w:szCs w:val="22"/>
          <w:lang w:val="en-CA"/>
        </w:rPr>
        <w:t>”</w:t>
      </w:r>
      <w:r w:rsidRPr="00A863DC">
        <w:rPr>
          <w:sz w:val="22"/>
          <w:szCs w:val="22"/>
          <w:lang w:val="en-CA"/>
        </w:rPr>
        <w:t xml:space="preserve"> as “a socially distressed neighbourhood with relatively low average household incomes and poor access to healthy and affordable food.” Food deserts created significant health and financial problems for residents, who </w:t>
      </w:r>
      <w:proofErr w:type="gramStart"/>
      <w:r w:rsidRPr="00A863DC">
        <w:rPr>
          <w:sz w:val="22"/>
          <w:szCs w:val="22"/>
          <w:lang w:val="en-CA"/>
        </w:rPr>
        <w:t>were forced</w:t>
      </w:r>
      <w:proofErr w:type="gramEnd"/>
      <w:r w:rsidRPr="00A863DC">
        <w:rPr>
          <w:sz w:val="22"/>
          <w:szCs w:val="22"/>
          <w:lang w:val="en-CA"/>
        </w:rPr>
        <w:t xml:space="preserve"> to shop for food at convenience stores. Food at convenience stores was on average 1.6 times more expensive than food at grocery stores</w:t>
      </w:r>
      <w:r w:rsidR="005842B3" w:rsidRPr="00A863DC">
        <w:rPr>
          <w:sz w:val="22"/>
          <w:szCs w:val="22"/>
          <w:lang w:val="en-CA"/>
        </w:rPr>
        <w:t xml:space="preserve"> and </w:t>
      </w:r>
      <w:r w:rsidRPr="00A863DC">
        <w:rPr>
          <w:sz w:val="22"/>
          <w:szCs w:val="22"/>
          <w:lang w:val="en-CA"/>
        </w:rPr>
        <w:t>significantly less nutritious. The researchers explained that food deserts particularly affected “single mothers who may not have the time to drive across town, people with mobility restrictions, and people for whom it would be very difficult to get on a bus with eight bags of groceries.”</w:t>
      </w:r>
    </w:p>
    <w:p w14:paraId="580965A9" w14:textId="77777777" w:rsidR="002C6D84" w:rsidRPr="00A863DC" w:rsidRDefault="002C6D84" w:rsidP="002C6D84">
      <w:pPr>
        <w:jc w:val="both"/>
        <w:rPr>
          <w:sz w:val="22"/>
          <w:szCs w:val="22"/>
          <w:lang w:val="en-CA"/>
        </w:rPr>
      </w:pPr>
    </w:p>
    <w:p w14:paraId="7B8DF0AA" w14:textId="77777777" w:rsidR="002C6D84" w:rsidRPr="00A863DC" w:rsidRDefault="002C6D84" w:rsidP="002C6D84">
      <w:pPr>
        <w:jc w:val="both"/>
        <w:rPr>
          <w:sz w:val="22"/>
          <w:szCs w:val="22"/>
          <w:lang w:val="en-CA"/>
        </w:rPr>
      </w:pPr>
    </w:p>
    <w:p w14:paraId="0F5695A8" w14:textId="77777777" w:rsidR="002C6D84" w:rsidRPr="00A863DC" w:rsidRDefault="002C6D84" w:rsidP="003E39C2">
      <w:pPr>
        <w:pStyle w:val="Casehead1"/>
        <w:rPr>
          <w:lang w:val="en-CA"/>
        </w:rPr>
      </w:pPr>
      <w:r w:rsidRPr="00A863DC">
        <w:rPr>
          <w:lang w:val="en-CA"/>
        </w:rPr>
        <w:t>URBAN ROOTS LONDON</w:t>
      </w:r>
    </w:p>
    <w:p w14:paraId="07B81717" w14:textId="77777777" w:rsidR="002C6D84" w:rsidRPr="00A863DC" w:rsidRDefault="002C6D84" w:rsidP="002C6D84">
      <w:pPr>
        <w:jc w:val="both"/>
        <w:outlineLvl w:val="0"/>
        <w:rPr>
          <w:sz w:val="22"/>
          <w:szCs w:val="22"/>
          <w:lang w:val="en-CA"/>
        </w:rPr>
      </w:pPr>
    </w:p>
    <w:p w14:paraId="3C5A84A7" w14:textId="5F147E58" w:rsidR="002C6D84" w:rsidRPr="00A863DC" w:rsidRDefault="002C6D84" w:rsidP="002C6D84">
      <w:pPr>
        <w:jc w:val="both"/>
        <w:rPr>
          <w:spacing w:val="-4"/>
          <w:kern w:val="22"/>
          <w:sz w:val="22"/>
          <w:szCs w:val="22"/>
          <w:lang w:val="en-CA"/>
        </w:rPr>
      </w:pPr>
      <w:r w:rsidRPr="00A863DC">
        <w:rPr>
          <w:spacing w:val="-4"/>
          <w:kern w:val="22"/>
          <w:sz w:val="22"/>
          <w:szCs w:val="22"/>
          <w:lang w:val="en-CA"/>
        </w:rPr>
        <w:t xml:space="preserve">Urban Roots </w:t>
      </w:r>
      <w:proofErr w:type="gramStart"/>
      <w:r w:rsidRPr="00A863DC">
        <w:rPr>
          <w:spacing w:val="-4"/>
          <w:kern w:val="22"/>
          <w:sz w:val="22"/>
          <w:szCs w:val="22"/>
          <w:lang w:val="en-CA"/>
        </w:rPr>
        <w:t>was founded</w:t>
      </w:r>
      <w:proofErr w:type="gramEnd"/>
      <w:r w:rsidRPr="00A863DC">
        <w:rPr>
          <w:spacing w:val="-4"/>
          <w:kern w:val="22"/>
          <w:sz w:val="22"/>
          <w:szCs w:val="22"/>
          <w:lang w:val="en-CA"/>
        </w:rPr>
        <w:t xml:space="preserve"> in June 2017 as a non-profit urban farm that supplied high-quality organic vegetables and herbs to individuals who otherwise were not able to enjoy them. Urban Roots truly was an urban farm. It was located beside a residential neighbourhood on a 2.5-acre plot of land on </w:t>
      </w:r>
      <w:proofErr w:type="spellStart"/>
      <w:r w:rsidRPr="00A863DC">
        <w:rPr>
          <w:spacing w:val="-4"/>
          <w:kern w:val="22"/>
          <w:sz w:val="22"/>
          <w:szCs w:val="22"/>
          <w:lang w:val="en-CA"/>
        </w:rPr>
        <w:t>Norlan</w:t>
      </w:r>
      <w:proofErr w:type="spellEnd"/>
      <w:r w:rsidRPr="00A863DC">
        <w:rPr>
          <w:spacing w:val="-4"/>
          <w:kern w:val="22"/>
          <w:sz w:val="22"/>
          <w:szCs w:val="22"/>
          <w:lang w:val="en-CA"/>
        </w:rPr>
        <w:t xml:space="preserve"> Avenue in southeast London, nestled between two of London’s busiest roads, Highbury Road and Hamilton Road. The land had not been in use for a long </w:t>
      </w:r>
      <w:proofErr w:type="gramStart"/>
      <w:r w:rsidRPr="00A863DC">
        <w:rPr>
          <w:spacing w:val="-4"/>
          <w:kern w:val="22"/>
          <w:sz w:val="22"/>
          <w:szCs w:val="22"/>
          <w:lang w:val="en-CA"/>
        </w:rPr>
        <w:t>period of time</w:t>
      </w:r>
      <w:proofErr w:type="gramEnd"/>
      <w:r w:rsidRPr="00A863DC">
        <w:rPr>
          <w:spacing w:val="-4"/>
          <w:kern w:val="22"/>
          <w:sz w:val="22"/>
          <w:szCs w:val="22"/>
          <w:lang w:val="en-CA"/>
        </w:rPr>
        <w:t>, and the owner had agreed to lease it to Urban Roots free of cost.</w:t>
      </w:r>
    </w:p>
    <w:p w14:paraId="779FD674" w14:textId="77777777" w:rsidR="002C6D84" w:rsidRPr="00A863DC" w:rsidRDefault="002C6D84" w:rsidP="002C6D84">
      <w:pPr>
        <w:jc w:val="both"/>
        <w:rPr>
          <w:sz w:val="22"/>
          <w:szCs w:val="22"/>
          <w:lang w:val="en-CA"/>
        </w:rPr>
      </w:pPr>
    </w:p>
    <w:p w14:paraId="49F30D89" w14:textId="77777777" w:rsidR="002C6D84" w:rsidRPr="00A863DC" w:rsidRDefault="002C6D84" w:rsidP="002C6D84">
      <w:pPr>
        <w:jc w:val="both"/>
        <w:rPr>
          <w:sz w:val="22"/>
          <w:szCs w:val="22"/>
          <w:lang w:val="en-CA"/>
        </w:rPr>
      </w:pPr>
    </w:p>
    <w:p w14:paraId="0C5B221B" w14:textId="77777777" w:rsidR="002C6D84" w:rsidRPr="00A863DC" w:rsidRDefault="002C6D84" w:rsidP="003E39C2">
      <w:pPr>
        <w:pStyle w:val="Casehead2"/>
        <w:rPr>
          <w:lang w:val="en-CA"/>
        </w:rPr>
      </w:pPr>
      <w:r w:rsidRPr="00A863DC">
        <w:rPr>
          <w:lang w:val="en-CA"/>
        </w:rPr>
        <w:t xml:space="preserve">The Board of Directors </w:t>
      </w:r>
    </w:p>
    <w:p w14:paraId="1F38176A" w14:textId="77777777" w:rsidR="002C6D84" w:rsidRPr="00A863DC" w:rsidRDefault="002C6D84" w:rsidP="002C6D84">
      <w:pPr>
        <w:jc w:val="both"/>
        <w:outlineLvl w:val="0"/>
        <w:rPr>
          <w:sz w:val="22"/>
          <w:szCs w:val="22"/>
          <w:lang w:val="en-CA"/>
        </w:rPr>
      </w:pPr>
    </w:p>
    <w:p w14:paraId="45E6FA6D" w14:textId="435B96DC" w:rsidR="002C6D84" w:rsidRPr="00A863DC" w:rsidRDefault="002C6D84" w:rsidP="002C6D84">
      <w:pPr>
        <w:jc w:val="both"/>
        <w:rPr>
          <w:spacing w:val="-4"/>
          <w:kern w:val="22"/>
          <w:sz w:val="22"/>
          <w:szCs w:val="22"/>
          <w:lang w:val="en-CA"/>
        </w:rPr>
      </w:pPr>
      <w:r w:rsidRPr="00A863DC">
        <w:rPr>
          <w:spacing w:val="-4"/>
          <w:kern w:val="22"/>
          <w:sz w:val="22"/>
          <w:szCs w:val="22"/>
          <w:lang w:val="en-CA"/>
        </w:rPr>
        <w:t xml:space="preserve">The </w:t>
      </w:r>
      <w:r w:rsidR="0095597C" w:rsidRPr="00A863DC">
        <w:rPr>
          <w:spacing w:val="-4"/>
          <w:kern w:val="22"/>
          <w:sz w:val="22"/>
          <w:szCs w:val="22"/>
          <w:lang w:val="en-CA"/>
        </w:rPr>
        <w:t>b</w:t>
      </w:r>
      <w:r w:rsidRPr="00A863DC">
        <w:rPr>
          <w:spacing w:val="-4"/>
          <w:kern w:val="22"/>
          <w:sz w:val="22"/>
          <w:szCs w:val="22"/>
          <w:lang w:val="en-CA"/>
        </w:rPr>
        <w:t xml:space="preserve">oard of </w:t>
      </w:r>
      <w:r w:rsidR="0095597C" w:rsidRPr="00A863DC">
        <w:rPr>
          <w:spacing w:val="-4"/>
          <w:kern w:val="22"/>
          <w:sz w:val="22"/>
          <w:szCs w:val="22"/>
          <w:lang w:val="en-CA"/>
        </w:rPr>
        <w:t>d</w:t>
      </w:r>
      <w:r w:rsidRPr="00A863DC">
        <w:rPr>
          <w:spacing w:val="-4"/>
          <w:kern w:val="22"/>
          <w:sz w:val="22"/>
          <w:szCs w:val="22"/>
          <w:lang w:val="en-CA"/>
        </w:rPr>
        <w:t xml:space="preserve">irectors consisted of six members: Richie Bloomfield, Heather Bracken, Graham Bracken, Jeremy </w:t>
      </w:r>
      <w:proofErr w:type="spellStart"/>
      <w:r w:rsidRPr="00A863DC">
        <w:rPr>
          <w:spacing w:val="-4"/>
          <w:kern w:val="22"/>
          <w:sz w:val="22"/>
          <w:szCs w:val="22"/>
          <w:lang w:val="en-CA"/>
        </w:rPr>
        <w:t>Horrell</w:t>
      </w:r>
      <w:proofErr w:type="spellEnd"/>
      <w:r w:rsidRPr="00A863DC">
        <w:rPr>
          <w:spacing w:val="-4"/>
          <w:kern w:val="22"/>
          <w:sz w:val="22"/>
          <w:szCs w:val="22"/>
          <w:lang w:val="en-CA"/>
        </w:rPr>
        <w:t xml:space="preserve">, Wendy Russell, and Jacob </w:t>
      </w:r>
      <w:proofErr w:type="spellStart"/>
      <w:r w:rsidRPr="00A863DC">
        <w:rPr>
          <w:spacing w:val="-4"/>
          <w:kern w:val="22"/>
          <w:sz w:val="22"/>
          <w:szCs w:val="22"/>
          <w:lang w:val="en-CA"/>
        </w:rPr>
        <w:t>Damstra</w:t>
      </w:r>
      <w:proofErr w:type="spellEnd"/>
      <w:r w:rsidRPr="00A863DC">
        <w:rPr>
          <w:spacing w:val="-4"/>
          <w:kern w:val="22"/>
          <w:sz w:val="22"/>
          <w:szCs w:val="22"/>
          <w:lang w:val="en-CA"/>
        </w:rPr>
        <w:t>. The members were all volunteers, each holding full-time jobs outside of Urban Roots</w:t>
      </w:r>
      <w:r w:rsidR="00236E6E" w:rsidRPr="00A863DC">
        <w:rPr>
          <w:spacing w:val="-4"/>
          <w:kern w:val="22"/>
          <w:sz w:val="22"/>
          <w:szCs w:val="22"/>
          <w:lang w:val="en-CA"/>
        </w:rPr>
        <w:t>.</w:t>
      </w:r>
      <w:r w:rsidR="00320B87" w:rsidRPr="00A863DC">
        <w:rPr>
          <w:spacing w:val="-4"/>
          <w:kern w:val="22"/>
          <w:sz w:val="22"/>
          <w:szCs w:val="22"/>
          <w:lang w:val="en-CA"/>
        </w:rPr>
        <w:t xml:space="preserve"> </w:t>
      </w:r>
      <w:r w:rsidR="00236E6E" w:rsidRPr="00A863DC">
        <w:rPr>
          <w:spacing w:val="-4"/>
          <w:kern w:val="22"/>
          <w:sz w:val="22"/>
          <w:szCs w:val="22"/>
          <w:lang w:val="en-CA"/>
        </w:rPr>
        <w:t>Each</w:t>
      </w:r>
      <w:r w:rsidRPr="00A863DC">
        <w:rPr>
          <w:spacing w:val="-4"/>
          <w:kern w:val="22"/>
          <w:sz w:val="22"/>
          <w:szCs w:val="22"/>
          <w:lang w:val="en-CA"/>
        </w:rPr>
        <w:t xml:space="preserve"> member devoted between five to 20 hours per week to working on the project.</w:t>
      </w:r>
    </w:p>
    <w:p w14:paraId="4921F4EC" w14:textId="77777777" w:rsidR="002C6D84" w:rsidRPr="00A863DC" w:rsidRDefault="002C6D84" w:rsidP="002C6D84">
      <w:pPr>
        <w:jc w:val="both"/>
        <w:rPr>
          <w:sz w:val="22"/>
          <w:szCs w:val="22"/>
          <w:lang w:val="en-CA"/>
        </w:rPr>
      </w:pPr>
    </w:p>
    <w:p w14:paraId="36BDECF5" w14:textId="3DA5C1FC" w:rsidR="002C6D84" w:rsidRPr="00A863DC" w:rsidRDefault="002C6D84" w:rsidP="002C6D84">
      <w:pPr>
        <w:jc w:val="both"/>
        <w:rPr>
          <w:sz w:val="22"/>
          <w:szCs w:val="22"/>
          <w:lang w:val="en-CA"/>
        </w:rPr>
      </w:pPr>
      <w:r w:rsidRPr="00A863DC">
        <w:rPr>
          <w:sz w:val="22"/>
          <w:szCs w:val="22"/>
          <w:lang w:val="en-CA"/>
        </w:rPr>
        <w:t xml:space="preserve">Although each member brought a unique set of skills to the project, they all shared a passion for the community and fresh, local food. Bloomfield was a business instructor at Huron University College, having taught both Business 1220E and Business 2257. Due to his background, Bloomfield was largely in charge of </w:t>
      </w:r>
      <w:r w:rsidR="00A514E0" w:rsidRPr="00A863DC">
        <w:rPr>
          <w:sz w:val="22"/>
          <w:szCs w:val="22"/>
          <w:lang w:val="en-CA"/>
        </w:rPr>
        <w:t>the non-profit’s</w:t>
      </w:r>
      <w:r w:rsidRPr="00A863DC">
        <w:rPr>
          <w:sz w:val="22"/>
          <w:szCs w:val="22"/>
          <w:lang w:val="en-CA"/>
        </w:rPr>
        <w:t xml:space="preserve"> financials. Bracken was a criminal </w:t>
      </w:r>
      <w:r w:rsidR="006F48EC" w:rsidRPr="00A863DC">
        <w:rPr>
          <w:sz w:val="22"/>
          <w:szCs w:val="22"/>
          <w:lang w:val="en-CA"/>
        </w:rPr>
        <w:t xml:space="preserve">defence </w:t>
      </w:r>
      <w:r w:rsidRPr="00A863DC">
        <w:rPr>
          <w:sz w:val="22"/>
          <w:szCs w:val="22"/>
          <w:lang w:val="en-CA"/>
        </w:rPr>
        <w:t>attorney concerned with community restoration. Bracken</w:t>
      </w:r>
      <w:r w:rsidR="00D2603E" w:rsidRPr="00A863DC">
        <w:rPr>
          <w:sz w:val="22"/>
          <w:szCs w:val="22"/>
          <w:lang w:val="en-CA"/>
        </w:rPr>
        <w:t>’s</w:t>
      </w:r>
      <w:r w:rsidRPr="00A863DC">
        <w:rPr>
          <w:sz w:val="22"/>
          <w:szCs w:val="22"/>
          <w:lang w:val="en-CA"/>
        </w:rPr>
        <w:t xml:space="preserve"> husband</w:t>
      </w:r>
      <w:r w:rsidR="003D3C57" w:rsidRPr="00A863DC">
        <w:rPr>
          <w:sz w:val="22"/>
          <w:szCs w:val="22"/>
          <w:lang w:val="en-CA"/>
        </w:rPr>
        <w:t>,</w:t>
      </w:r>
      <w:r w:rsidR="00266FA6" w:rsidRPr="00A863DC">
        <w:rPr>
          <w:sz w:val="22"/>
          <w:szCs w:val="22"/>
          <w:lang w:val="en-CA"/>
        </w:rPr>
        <w:t xml:space="preserve"> Graham</w:t>
      </w:r>
      <w:r w:rsidRPr="00A863DC">
        <w:rPr>
          <w:sz w:val="22"/>
          <w:szCs w:val="22"/>
          <w:lang w:val="en-CA"/>
        </w:rPr>
        <w:t xml:space="preserve">, was a writer whose work focused on problems </w:t>
      </w:r>
      <w:r w:rsidR="006F48EC" w:rsidRPr="00A863DC">
        <w:rPr>
          <w:sz w:val="22"/>
          <w:szCs w:val="22"/>
          <w:lang w:val="en-CA"/>
        </w:rPr>
        <w:t xml:space="preserve">related </w:t>
      </w:r>
      <w:r w:rsidRPr="00A863DC">
        <w:rPr>
          <w:sz w:val="22"/>
          <w:szCs w:val="22"/>
          <w:lang w:val="en-CA"/>
        </w:rPr>
        <w:t xml:space="preserve">to ecology and climate change. </w:t>
      </w:r>
      <w:proofErr w:type="spellStart"/>
      <w:r w:rsidRPr="00A863DC">
        <w:rPr>
          <w:sz w:val="22"/>
          <w:szCs w:val="22"/>
          <w:lang w:val="en-CA"/>
        </w:rPr>
        <w:t>Horrell</w:t>
      </w:r>
      <w:proofErr w:type="spellEnd"/>
      <w:r w:rsidRPr="00A863DC">
        <w:rPr>
          <w:sz w:val="22"/>
          <w:szCs w:val="22"/>
          <w:lang w:val="en-CA"/>
        </w:rPr>
        <w:t xml:space="preserve"> had worked in social services for 15 years and founded the Forest City Family Project. Russell was a professor of Global Studies at Huron University College. Finally, </w:t>
      </w:r>
      <w:proofErr w:type="spellStart"/>
      <w:r w:rsidRPr="00A863DC">
        <w:rPr>
          <w:sz w:val="22"/>
          <w:szCs w:val="22"/>
          <w:lang w:val="en-CA"/>
        </w:rPr>
        <w:t>Damstra</w:t>
      </w:r>
      <w:proofErr w:type="spellEnd"/>
      <w:r w:rsidRPr="00A863DC">
        <w:rPr>
          <w:sz w:val="22"/>
          <w:szCs w:val="22"/>
          <w:lang w:val="en-CA"/>
        </w:rPr>
        <w:t xml:space="preserve"> was a civil litigation and dispute resolution lawyer for </w:t>
      </w:r>
      <w:proofErr w:type="spellStart"/>
      <w:r w:rsidRPr="00A863DC">
        <w:rPr>
          <w:sz w:val="22"/>
          <w:szCs w:val="22"/>
          <w:lang w:val="en-CA"/>
        </w:rPr>
        <w:t>Lerners</w:t>
      </w:r>
      <w:proofErr w:type="spellEnd"/>
      <w:r w:rsidRPr="00A863DC">
        <w:rPr>
          <w:sz w:val="22"/>
          <w:szCs w:val="22"/>
          <w:lang w:val="en-CA"/>
        </w:rPr>
        <w:t xml:space="preserve"> LLP</w:t>
      </w:r>
      <w:r w:rsidR="00CA0FC5" w:rsidRPr="00A863DC">
        <w:rPr>
          <w:sz w:val="22"/>
          <w:szCs w:val="22"/>
          <w:lang w:val="en-CA"/>
        </w:rPr>
        <w:t>.</w:t>
      </w:r>
      <w:r w:rsidR="006A3F43" w:rsidRPr="00A863DC">
        <w:rPr>
          <w:rStyle w:val="FootnoteReference"/>
          <w:sz w:val="22"/>
          <w:szCs w:val="22"/>
          <w:lang w:val="en-CA"/>
        </w:rPr>
        <w:footnoteReference w:id="6"/>
      </w:r>
    </w:p>
    <w:p w14:paraId="2F384A12" w14:textId="77777777" w:rsidR="002C6D84" w:rsidRPr="00A863DC" w:rsidRDefault="002C6D84" w:rsidP="002C6D84">
      <w:pPr>
        <w:widowControl w:val="0"/>
        <w:autoSpaceDE w:val="0"/>
        <w:autoSpaceDN w:val="0"/>
        <w:adjustRightInd w:val="0"/>
        <w:jc w:val="both"/>
        <w:rPr>
          <w:color w:val="1A1A1A"/>
          <w:sz w:val="22"/>
          <w:szCs w:val="22"/>
          <w:lang w:val="en-CA"/>
        </w:rPr>
      </w:pPr>
    </w:p>
    <w:p w14:paraId="1D7E70EE" w14:textId="1B0FBD16" w:rsidR="002C6D84" w:rsidRPr="00A863DC" w:rsidRDefault="002C6D84" w:rsidP="002C6D84">
      <w:pPr>
        <w:widowControl w:val="0"/>
        <w:autoSpaceDE w:val="0"/>
        <w:autoSpaceDN w:val="0"/>
        <w:adjustRightInd w:val="0"/>
        <w:jc w:val="both"/>
        <w:rPr>
          <w:color w:val="1A1A1A"/>
          <w:sz w:val="22"/>
          <w:szCs w:val="22"/>
          <w:lang w:val="en-CA"/>
        </w:rPr>
      </w:pPr>
      <w:r w:rsidRPr="00A863DC">
        <w:rPr>
          <w:color w:val="000000"/>
          <w:sz w:val="22"/>
          <w:szCs w:val="22"/>
          <w:lang w:val="en-CA"/>
        </w:rPr>
        <w:t xml:space="preserve">Although the </w:t>
      </w:r>
      <w:r w:rsidR="00B45869" w:rsidRPr="00A863DC">
        <w:rPr>
          <w:color w:val="000000"/>
          <w:sz w:val="22"/>
          <w:szCs w:val="22"/>
          <w:lang w:val="en-CA"/>
        </w:rPr>
        <w:t>b</w:t>
      </w:r>
      <w:r w:rsidRPr="00A863DC">
        <w:rPr>
          <w:color w:val="000000"/>
          <w:sz w:val="22"/>
          <w:szCs w:val="22"/>
          <w:lang w:val="en-CA"/>
        </w:rPr>
        <w:t xml:space="preserve">oard had many goals for Urban Roots, their overarching goal was to </w:t>
      </w:r>
      <w:r w:rsidRPr="00A863DC">
        <w:rPr>
          <w:color w:val="1A1A1A"/>
          <w:sz w:val="22"/>
          <w:szCs w:val="22"/>
          <w:lang w:val="en-CA"/>
        </w:rPr>
        <w:t>open people’s minds to the possibilities of urban agriculture. Co-founder Graham Bracken explained:</w:t>
      </w:r>
      <w:r w:rsidR="0019622B" w:rsidRPr="00A863DC">
        <w:rPr>
          <w:color w:val="1A1A1A"/>
          <w:sz w:val="22"/>
          <w:szCs w:val="22"/>
          <w:lang w:val="en-CA"/>
        </w:rPr>
        <w:t xml:space="preserve"> </w:t>
      </w:r>
    </w:p>
    <w:p w14:paraId="16BF0C84" w14:textId="77777777" w:rsidR="002C6D84" w:rsidRPr="00A863DC" w:rsidRDefault="002C6D84" w:rsidP="002C6D84">
      <w:pPr>
        <w:widowControl w:val="0"/>
        <w:autoSpaceDE w:val="0"/>
        <w:autoSpaceDN w:val="0"/>
        <w:adjustRightInd w:val="0"/>
        <w:ind w:left="720"/>
        <w:jc w:val="both"/>
        <w:rPr>
          <w:color w:val="1A1A1A"/>
          <w:sz w:val="22"/>
          <w:szCs w:val="22"/>
          <w:lang w:val="en-CA"/>
        </w:rPr>
      </w:pPr>
    </w:p>
    <w:p w14:paraId="3A4FE451" w14:textId="4E1A6D8B" w:rsidR="002C6D84" w:rsidRPr="00A863DC" w:rsidRDefault="002C6D84" w:rsidP="002C6D84">
      <w:pPr>
        <w:pStyle w:val="BodyTextMain"/>
        <w:ind w:left="720"/>
        <w:rPr>
          <w:color w:val="000000"/>
          <w:spacing w:val="-2"/>
          <w:kern w:val="22"/>
          <w:lang w:val="en-CA"/>
        </w:rPr>
      </w:pPr>
      <w:r w:rsidRPr="00A863DC">
        <w:rPr>
          <w:spacing w:val="-2"/>
          <w:kern w:val="22"/>
          <w:lang w:val="en-CA"/>
        </w:rPr>
        <w:t xml:space="preserve">When people drive up Highbury and look out and see a small farm where there used to be just grass, we want them to go, “That's something we can do everywhere in the city.” Following that, you can see container planting in unused parking lots. You can see people's front yards, which are currently lawns, </w:t>
      </w:r>
      <w:proofErr w:type="gramStart"/>
      <w:r w:rsidRPr="00A863DC">
        <w:rPr>
          <w:spacing w:val="-2"/>
          <w:kern w:val="22"/>
          <w:lang w:val="en-CA"/>
        </w:rPr>
        <w:t>being turned</w:t>
      </w:r>
      <w:proofErr w:type="gramEnd"/>
      <w:r w:rsidRPr="00A863DC">
        <w:rPr>
          <w:spacing w:val="-2"/>
          <w:kern w:val="22"/>
          <w:lang w:val="en-CA"/>
        </w:rPr>
        <w:t xml:space="preserve"> into productive agriculture. You can see industrial rooftops turning into gardens.</w:t>
      </w:r>
      <w:r w:rsidR="0096598A" w:rsidRPr="00A863DC">
        <w:rPr>
          <w:rStyle w:val="FootnoteReference"/>
          <w:spacing w:val="-2"/>
          <w:kern w:val="22"/>
          <w:lang w:val="en-CA"/>
        </w:rPr>
        <w:footnoteReference w:id="7"/>
      </w:r>
    </w:p>
    <w:p w14:paraId="25F6D264" w14:textId="77777777" w:rsidR="002C6D84" w:rsidRPr="00A863DC" w:rsidRDefault="002C6D84" w:rsidP="002C6D84">
      <w:pPr>
        <w:jc w:val="both"/>
        <w:rPr>
          <w:sz w:val="22"/>
          <w:szCs w:val="22"/>
          <w:lang w:val="en-CA"/>
        </w:rPr>
      </w:pPr>
    </w:p>
    <w:p w14:paraId="08F20D70" w14:textId="77777777" w:rsidR="002C6D84" w:rsidRPr="00A863DC" w:rsidRDefault="002C6D84" w:rsidP="002C6D84">
      <w:pPr>
        <w:jc w:val="both"/>
        <w:rPr>
          <w:sz w:val="22"/>
          <w:szCs w:val="22"/>
          <w:lang w:val="en-CA"/>
        </w:rPr>
      </w:pPr>
    </w:p>
    <w:p w14:paraId="48FA43A0" w14:textId="77777777" w:rsidR="002C6D84" w:rsidRPr="00A863DC" w:rsidRDefault="002C6D84" w:rsidP="003E39C2">
      <w:pPr>
        <w:pStyle w:val="Casehead2"/>
        <w:rPr>
          <w:lang w:val="en-CA"/>
        </w:rPr>
      </w:pPr>
      <w:r w:rsidRPr="00A863DC">
        <w:rPr>
          <w:lang w:val="en-CA"/>
        </w:rPr>
        <w:t>The Model of Thirds</w:t>
      </w:r>
    </w:p>
    <w:p w14:paraId="440124F8" w14:textId="77777777" w:rsidR="002C6D84" w:rsidRPr="00A863DC" w:rsidRDefault="002C6D84" w:rsidP="002C6D84">
      <w:pPr>
        <w:jc w:val="both"/>
        <w:rPr>
          <w:sz w:val="22"/>
          <w:szCs w:val="22"/>
          <w:lang w:val="en-CA"/>
        </w:rPr>
      </w:pPr>
    </w:p>
    <w:p w14:paraId="7AF421BF" w14:textId="077355D6" w:rsidR="002C6D84" w:rsidRPr="00A863DC" w:rsidRDefault="002C6D84" w:rsidP="002C6D84">
      <w:pPr>
        <w:widowControl w:val="0"/>
        <w:autoSpaceDE w:val="0"/>
        <w:autoSpaceDN w:val="0"/>
        <w:adjustRightInd w:val="0"/>
        <w:jc w:val="both"/>
        <w:rPr>
          <w:color w:val="000000"/>
          <w:sz w:val="22"/>
          <w:szCs w:val="22"/>
          <w:lang w:val="en-CA"/>
        </w:rPr>
      </w:pPr>
      <w:r w:rsidRPr="00A863DC">
        <w:rPr>
          <w:color w:val="000000"/>
          <w:sz w:val="22"/>
          <w:szCs w:val="22"/>
          <w:lang w:val="en-CA"/>
        </w:rPr>
        <w:t xml:space="preserve">Bloomfield </w:t>
      </w:r>
      <w:proofErr w:type="gramStart"/>
      <w:r w:rsidRPr="00A863DC">
        <w:rPr>
          <w:color w:val="000000"/>
          <w:sz w:val="22"/>
          <w:szCs w:val="22"/>
          <w:lang w:val="en-CA"/>
        </w:rPr>
        <w:t>explained that</w:t>
      </w:r>
      <w:proofErr w:type="gramEnd"/>
      <w:r w:rsidRPr="00A863DC">
        <w:rPr>
          <w:color w:val="000000"/>
          <w:sz w:val="22"/>
          <w:szCs w:val="22"/>
          <w:lang w:val="en-CA"/>
        </w:rPr>
        <w:t xml:space="preserve"> “a lot of urban agriculture projects in the past have done amazing things, but have struggled to stay afloat once city funding dried up.” During the initial brainstorming for the project, </w:t>
      </w:r>
      <w:r w:rsidRPr="00A863DC">
        <w:rPr>
          <w:color w:val="000000"/>
          <w:sz w:val="22"/>
          <w:szCs w:val="22"/>
          <w:lang w:val="en-CA"/>
        </w:rPr>
        <w:lastRenderedPageBreak/>
        <w:t xml:space="preserve">the </w:t>
      </w:r>
      <w:r w:rsidR="000524B7" w:rsidRPr="00A863DC">
        <w:rPr>
          <w:color w:val="000000"/>
          <w:sz w:val="22"/>
          <w:szCs w:val="22"/>
          <w:lang w:val="en-CA"/>
        </w:rPr>
        <w:t>b</w:t>
      </w:r>
      <w:r w:rsidRPr="00A863DC">
        <w:rPr>
          <w:color w:val="000000"/>
          <w:sz w:val="22"/>
          <w:szCs w:val="22"/>
          <w:lang w:val="en-CA"/>
        </w:rPr>
        <w:t xml:space="preserve">oard members </w:t>
      </w:r>
      <w:proofErr w:type="gramStart"/>
      <w:r w:rsidRPr="00A863DC">
        <w:rPr>
          <w:color w:val="000000"/>
          <w:sz w:val="22"/>
          <w:szCs w:val="22"/>
          <w:lang w:val="en-CA"/>
        </w:rPr>
        <w:t xml:space="preserve">were all in </w:t>
      </w:r>
      <w:r w:rsidR="00DC47E6" w:rsidRPr="00A863DC">
        <w:rPr>
          <w:color w:val="000000"/>
          <w:sz w:val="22"/>
          <w:szCs w:val="22"/>
          <w:lang w:val="en-CA"/>
        </w:rPr>
        <w:t>agreement</w:t>
      </w:r>
      <w:proofErr w:type="gramEnd"/>
      <w:r w:rsidR="00DC47E6" w:rsidRPr="00A863DC">
        <w:rPr>
          <w:color w:val="000000"/>
          <w:sz w:val="22"/>
          <w:szCs w:val="22"/>
          <w:lang w:val="en-CA"/>
        </w:rPr>
        <w:t xml:space="preserve"> </w:t>
      </w:r>
      <w:r w:rsidRPr="00A863DC">
        <w:rPr>
          <w:color w:val="000000"/>
          <w:sz w:val="22"/>
          <w:szCs w:val="22"/>
          <w:lang w:val="en-CA"/>
        </w:rPr>
        <w:t xml:space="preserve">that they needed to rethink urban farming in order to be successful. For inspiration, some of the </w:t>
      </w:r>
      <w:r w:rsidR="000524B7" w:rsidRPr="00A863DC">
        <w:rPr>
          <w:color w:val="000000"/>
          <w:sz w:val="22"/>
          <w:szCs w:val="22"/>
          <w:lang w:val="en-CA"/>
        </w:rPr>
        <w:t>b</w:t>
      </w:r>
      <w:r w:rsidRPr="00A863DC">
        <w:rPr>
          <w:color w:val="000000"/>
          <w:sz w:val="22"/>
          <w:szCs w:val="22"/>
          <w:lang w:val="en-CA"/>
        </w:rPr>
        <w:t xml:space="preserve">oard members made trips to several </w:t>
      </w:r>
      <w:r w:rsidRPr="00A863DC">
        <w:rPr>
          <w:sz w:val="22"/>
          <w:szCs w:val="22"/>
          <w:lang w:val="en-CA"/>
        </w:rPr>
        <w:t xml:space="preserve">successful urban farms in Detroit, Michigan. Graham Bracken explained that the </w:t>
      </w:r>
      <w:r w:rsidR="000524B7" w:rsidRPr="00A863DC">
        <w:rPr>
          <w:sz w:val="22"/>
          <w:szCs w:val="22"/>
          <w:lang w:val="en-CA"/>
        </w:rPr>
        <w:t>b</w:t>
      </w:r>
      <w:r w:rsidRPr="00A863DC">
        <w:rPr>
          <w:sz w:val="22"/>
          <w:szCs w:val="22"/>
          <w:lang w:val="en-CA"/>
        </w:rPr>
        <w:t xml:space="preserve">oard members took the best parts of these models “and mashed them together.” The result was what the </w:t>
      </w:r>
      <w:r w:rsidR="000524B7" w:rsidRPr="00A863DC">
        <w:rPr>
          <w:sz w:val="22"/>
          <w:szCs w:val="22"/>
          <w:lang w:val="en-CA"/>
        </w:rPr>
        <w:t>b</w:t>
      </w:r>
      <w:r w:rsidRPr="00A863DC">
        <w:rPr>
          <w:sz w:val="22"/>
          <w:szCs w:val="22"/>
          <w:lang w:val="en-CA"/>
        </w:rPr>
        <w:t>oard called the “</w:t>
      </w:r>
      <w:r w:rsidR="003D3C57" w:rsidRPr="00A863DC">
        <w:rPr>
          <w:sz w:val="22"/>
          <w:szCs w:val="22"/>
          <w:lang w:val="en-CA"/>
        </w:rPr>
        <w:t>m</w:t>
      </w:r>
      <w:r w:rsidRPr="00A863DC">
        <w:rPr>
          <w:sz w:val="22"/>
          <w:szCs w:val="22"/>
          <w:lang w:val="en-CA"/>
        </w:rPr>
        <w:t xml:space="preserve">odel of </w:t>
      </w:r>
      <w:r w:rsidR="003D3C57" w:rsidRPr="00A863DC">
        <w:rPr>
          <w:sz w:val="22"/>
          <w:szCs w:val="22"/>
          <w:lang w:val="en-CA"/>
        </w:rPr>
        <w:t>t</w:t>
      </w:r>
      <w:r w:rsidRPr="00A863DC">
        <w:rPr>
          <w:sz w:val="22"/>
          <w:szCs w:val="22"/>
          <w:lang w:val="en-CA"/>
        </w:rPr>
        <w:t>hirds”</w:t>
      </w:r>
      <w:r w:rsidR="003D3C57" w:rsidRPr="00A863DC">
        <w:rPr>
          <w:rFonts w:eastAsia="Calibri"/>
          <w:lang w:val="en-CA"/>
        </w:rPr>
        <w:t>—</w:t>
      </w:r>
      <w:r w:rsidR="0015101B" w:rsidRPr="00A863DC">
        <w:rPr>
          <w:sz w:val="22"/>
          <w:szCs w:val="22"/>
          <w:lang w:val="en-CA"/>
        </w:rPr>
        <w:t>one-third</w:t>
      </w:r>
      <w:r w:rsidRPr="00A863DC">
        <w:rPr>
          <w:sz w:val="22"/>
          <w:szCs w:val="22"/>
          <w:lang w:val="en-CA"/>
        </w:rPr>
        <w:t xml:space="preserve"> of the harvest </w:t>
      </w:r>
      <w:proofErr w:type="gramStart"/>
      <w:r w:rsidRPr="00A863DC">
        <w:rPr>
          <w:sz w:val="22"/>
          <w:szCs w:val="22"/>
          <w:lang w:val="en-CA"/>
        </w:rPr>
        <w:t>was sold</w:t>
      </w:r>
      <w:proofErr w:type="gramEnd"/>
      <w:r w:rsidRPr="00A863DC">
        <w:rPr>
          <w:sz w:val="22"/>
          <w:szCs w:val="22"/>
          <w:lang w:val="en-CA"/>
        </w:rPr>
        <w:t xml:space="preserve"> at full</w:t>
      </w:r>
      <w:r w:rsidR="000524B7" w:rsidRPr="00A863DC">
        <w:rPr>
          <w:sz w:val="22"/>
          <w:szCs w:val="22"/>
          <w:lang w:val="en-CA"/>
        </w:rPr>
        <w:t xml:space="preserve"> </w:t>
      </w:r>
      <w:r w:rsidRPr="00A863DC">
        <w:rPr>
          <w:sz w:val="22"/>
          <w:szCs w:val="22"/>
          <w:lang w:val="en-CA"/>
        </w:rPr>
        <w:t xml:space="preserve">price (primarily to wholesale buyers), </w:t>
      </w:r>
      <w:r w:rsidR="0015101B" w:rsidRPr="00A863DC">
        <w:rPr>
          <w:sz w:val="22"/>
          <w:szCs w:val="22"/>
          <w:lang w:val="en-CA"/>
        </w:rPr>
        <w:t>one-third</w:t>
      </w:r>
      <w:r w:rsidRPr="00A863DC">
        <w:rPr>
          <w:sz w:val="22"/>
          <w:szCs w:val="22"/>
          <w:lang w:val="en-CA"/>
        </w:rPr>
        <w:t xml:space="preserve"> was sold at a discounted rate to community members, and </w:t>
      </w:r>
      <w:r w:rsidR="0015101B" w:rsidRPr="00A863DC">
        <w:rPr>
          <w:sz w:val="22"/>
          <w:szCs w:val="22"/>
          <w:lang w:val="en-CA"/>
        </w:rPr>
        <w:t>one-third</w:t>
      </w:r>
      <w:r w:rsidRPr="00A863DC">
        <w:rPr>
          <w:sz w:val="22"/>
          <w:szCs w:val="22"/>
          <w:lang w:val="en-CA"/>
        </w:rPr>
        <w:t xml:space="preserve"> was donated.</w:t>
      </w:r>
    </w:p>
    <w:p w14:paraId="02BF8C8F" w14:textId="77777777" w:rsidR="002C6D84" w:rsidRPr="00A863DC" w:rsidRDefault="002C6D84" w:rsidP="002C6D84">
      <w:pPr>
        <w:jc w:val="both"/>
        <w:rPr>
          <w:sz w:val="22"/>
          <w:szCs w:val="22"/>
          <w:lang w:val="en-CA"/>
        </w:rPr>
      </w:pPr>
    </w:p>
    <w:p w14:paraId="097FFA48" w14:textId="5A4F8AF1" w:rsidR="002C6D84" w:rsidRPr="00A863DC" w:rsidRDefault="002C6D84" w:rsidP="002C6D84">
      <w:pPr>
        <w:jc w:val="both"/>
        <w:rPr>
          <w:sz w:val="22"/>
          <w:szCs w:val="22"/>
          <w:lang w:val="en-CA"/>
        </w:rPr>
      </w:pPr>
      <w:r w:rsidRPr="00A863DC">
        <w:rPr>
          <w:sz w:val="22"/>
          <w:szCs w:val="22"/>
          <w:lang w:val="en-CA"/>
        </w:rPr>
        <w:t xml:space="preserve">The </w:t>
      </w:r>
      <w:r w:rsidR="00A31528" w:rsidRPr="00A863DC">
        <w:rPr>
          <w:sz w:val="22"/>
          <w:szCs w:val="22"/>
          <w:lang w:val="en-CA"/>
        </w:rPr>
        <w:t xml:space="preserve">board’s </w:t>
      </w:r>
      <w:r w:rsidRPr="00A863DC">
        <w:rPr>
          <w:sz w:val="22"/>
          <w:szCs w:val="22"/>
          <w:lang w:val="en-CA"/>
        </w:rPr>
        <w:t xml:space="preserve">mandate was to sell a </w:t>
      </w:r>
      <w:r w:rsidRPr="00A863DC">
        <w:rPr>
          <w:i/>
          <w:sz w:val="22"/>
          <w:szCs w:val="22"/>
          <w:lang w:val="en-CA"/>
        </w:rPr>
        <w:t>maximum</w:t>
      </w:r>
      <w:r w:rsidRPr="00A863DC">
        <w:rPr>
          <w:sz w:val="22"/>
          <w:szCs w:val="22"/>
          <w:lang w:val="en-CA"/>
        </w:rPr>
        <w:t xml:space="preserve"> of </w:t>
      </w:r>
      <w:r w:rsidR="00A31528" w:rsidRPr="00A863DC">
        <w:rPr>
          <w:sz w:val="22"/>
          <w:szCs w:val="22"/>
          <w:lang w:val="en-CA"/>
        </w:rPr>
        <w:t>one-third</w:t>
      </w:r>
      <w:r w:rsidRPr="00A863DC">
        <w:rPr>
          <w:sz w:val="22"/>
          <w:szCs w:val="22"/>
          <w:lang w:val="en-CA"/>
        </w:rPr>
        <w:t xml:space="preserve"> of its harvest at full price. Urban Roots sold most of this produce to wholesale buyers, but it also retailed a small portion. The wholesale buyers consisted largely of restaurants, including </w:t>
      </w:r>
      <w:r w:rsidR="00A31528" w:rsidRPr="00A863DC">
        <w:rPr>
          <w:sz w:val="22"/>
          <w:szCs w:val="22"/>
          <w:lang w:val="en-CA"/>
        </w:rPr>
        <w:t xml:space="preserve">the </w:t>
      </w:r>
      <w:r w:rsidRPr="00A863DC">
        <w:rPr>
          <w:sz w:val="22"/>
          <w:szCs w:val="22"/>
          <w:lang w:val="en-CA"/>
        </w:rPr>
        <w:t xml:space="preserve">Root Cellar, Black Trumpet, La </w:t>
      </w:r>
      <w:proofErr w:type="spellStart"/>
      <w:r w:rsidRPr="00A863DC">
        <w:rPr>
          <w:sz w:val="22"/>
          <w:szCs w:val="22"/>
          <w:lang w:val="en-CA"/>
        </w:rPr>
        <w:t>Noisette</w:t>
      </w:r>
      <w:proofErr w:type="spellEnd"/>
      <w:r w:rsidRPr="00A863DC">
        <w:rPr>
          <w:sz w:val="22"/>
          <w:szCs w:val="22"/>
          <w:lang w:val="en-CA"/>
        </w:rPr>
        <w:t xml:space="preserve"> Bakery, and Locomotive Espresso. The retail portion included selling directly to the end consumer at pop-up outdoor farmers’ markets around the city.</w:t>
      </w:r>
    </w:p>
    <w:p w14:paraId="0DB155B5" w14:textId="77777777" w:rsidR="002C6D84" w:rsidRPr="00A863DC" w:rsidRDefault="002C6D84" w:rsidP="002C6D84">
      <w:pPr>
        <w:jc w:val="both"/>
        <w:rPr>
          <w:sz w:val="22"/>
          <w:szCs w:val="22"/>
          <w:lang w:val="en-CA"/>
        </w:rPr>
      </w:pPr>
    </w:p>
    <w:p w14:paraId="6731B80A" w14:textId="2F41D5A4" w:rsidR="002C6D84" w:rsidRPr="00A863DC" w:rsidRDefault="002C6D84" w:rsidP="002C6D84">
      <w:pPr>
        <w:jc w:val="both"/>
        <w:rPr>
          <w:sz w:val="22"/>
          <w:szCs w:val="22"/>
          <w:lang w:val="en-CA"/>
        </w:rPr>
      </w:pPr>
      <w:r w:rsidRPr="00A863DC">
        <w:rPr>
          <w:sz w:val="22"/>
          <w:szCs w:val="22"/>
          <w:lang w:val="en-CA"/>
        </w:rPr>
        <w:t xml:space="preserve">The “affordable” third </w:t>
      </w:r>
      <w:proofErr w:type="gramStart"/>
      <w:r w:rsidRPr="00A863DC">
        <w:rPr>
          <w:sz w:val="22"/>
          <w:szCs w:val="22"/>
          <w:lang w:val="en-CA"/>
        </w:rPr>
        <w:t>was sold</w:t>
      </w:r>
      <w:proofErr w:type="gramEnd"/>
      <w:r w:rsidRPr="00A863DC">
        <w:rPr>
          <w:sz w:val="22"/>
          <w:szCs w:val="22"/>
          <w:lang w:val="en-CA"/>
        </w:rPr>
        <w:t xml:space="preserve"> at a discounted price to both community members and social enterprises. The </w:t>
      </w:r>
      <w:r w:rsidR="00B45869" w:rsidRPr="00A863DC">
        <w:rPr>
          <w:sz w:val="22"/>
          <w:szCs w:val="22"/>
          <w:lang w:val="en-CA"/>
        </w:rPr>
        <w:t>b</w:t>
      </w:r>
      <w:r w:rsidRPr="00A863DC">
        <w:rPr>
          <w:sz w:val="22"/>
          <w:szCs w:val="22"/>
          <w:lang w:val="en-CA"/>
        </w:rPr>
        <w:t>oard called sales to community members “</w:t>
      </w:r>
      <w:r w:rsidR="003D3C57" w:rsidRPr="00A863DC">
        <w:rPr>
          <w:sz w:val="22"/>
          <w:szCs w:val="22"/>
          <w:lang w:val="en-CA"/>
        </w:rPr>
        <w:t>f</w:t>
      </w:r>
      <w:r w:rsidRPr="00A863DC">
        <w:rPr>
          <w:sz w:val="22"/>
          <w:szCs w:val="22"/>
          <w:lang w:val="en-CA"/>
        </w:rPr>
        <w:t xml:space="preserve">arm </w:t>
      </w:r>
      <w:r w:rsidR="003D3C57" w:rsidRPr="00A863DC">
        <w:rPr>
          <w:sz w:val="22"/>
          <w:szCs w:val="22"/>
          <w:lang w:val="en-CA"/>
        </w:rPr>
        <w:t>g</w:t>
      </w:r>
      <w:r w:rsidRPr="00A863DC">
        <w:rPr>
          <w:sz w:val="22"/>
          <w:szCs w:val="22"/>
          <w:lang w:val="en-CA"/>
        </w:rPr>
        <w:t>ate” sales because they took place every week from the gate of the farm. The organization’s social</w:t>
      </w:r>
      <w:r w:rsidR="00C7164D" w:rsidRPr="00A863DC">
        <w:rPr>
          <w:sz w:val="22"/>
          <w:szCs w:val="22"/>
          <w:lang w:val="en-CA"/>
        </w:rPr>
        <w:t>-</w:t>
      </w:r>
      <w:r w:rsidRPr="00A863DC">
        <w:rPr>
          <w:sz w:val="22"/>
          <w:szCs w:val="22"/>
          <w:lang w:val="en-CA"/>
        </w:rPr>
        <w:t>enterprise partners included restaurants like Edgar and Joe’s and Growing Chefs</w:t>
      </w:r>
      <w:r w:rsidR="00C14E02" w:rsidRPr="00A863DC">
        <w:rPr>
          <w:sz w:val="22"/>
          <w:szCs w:val="22"/>
          <w:lang w:val="en-CA"/>
        </w:rPr>
        <w:t>.</w:t>
      </w:r>
      <w:r w:rsidRPr="00A863DC">
        <w:rPr>
          <w:sz w:val="22"/>
          <w:szCs w:val="22"/>
          <w:lang w:val="en-CA"/>
        </w:rPr>
        <w:t xml:space="preserve"> Urban Roots donated the remainder of its harvest to local organizations free of cost.</w:t>
      </w:r>
    </w:p>
    <w:p w14:paraId="796E4A88" w14:textId="77777777" w:rsidR="002C6D84" w:rsidRPr="00A863DC" w:rsidRDefault="002C6D84" w:rsidP="002C6D84">
      <w:pPr>
        <w:jc w:val="both"/>
        <w:rPr>
          <w:sz w:val="22"/>
          <w:szCs w:val="22"/>
          <w:lang w:val="en-CA"/>
        </w:rPr>
      </w:pPr>
    </w:p>
    <w:p w14:paraId="172E4556" w14:textId="09CC67D7" w:rsidR="002C6D84" w:rsidRPr="00A863DC" w:rsidRDefault="00A31528" w:rsidP="002C6D84">
      <w:pPr>
        <w:jc w:val="both"/>
        <w:rPr>
          <w:sz w:val="22"/>
          <w:szCs w:val="22"/>
          <w:lang w:val="en-CA"/>
        </w:rPr>
      </w:pPr>
      <w:r w:rsidRPr="00A863DC">
        <w:rPr>
          <w:sz w:val="22"/>
          <w:szCs w:val="22"/>
          <w:lang w:val="en-CA"/>
        </w:rPr>
        <w:t xml:space="preserve">In its first season, </w:t>
      </w:r>
      <w:r w:rsidR="002C6D84" w:rsidRPr="00A863DC">
        <w:rPr>
          <w:sz w:val="22"/>
          <w:szCs w:val="22"/>
          <w:lang w:val="en-CA"/>
        </w:rPr>
        <w:t xml:space="preserve">Urban Roots donated 40 per cent of its harvest to the Men’s Mission and Youth Opportunities Unlimited. In its second season, 12 per cent of its harvest </w:t>
      </w:r>
      <w:proofErr w:type="gramStart"/>
      <w:r w:rsidRPr="00A863DC">
        <w:rPr>
          <w:sz w:val="22"/>
          <w:szCs w:val="22"/>
          <w:lang w:val="en-CA"/>
        </w:rPr>
        <w:t>was sold</w:t>
      </w:r>
      <w:proofErr w:type="gramEnd"/>
      <w:r w:rsidRPr="00A863DC">
        <w:rPr>
          <w:sz w:val="22"/>
          <w:szCs w:val="22"/>
          <w:lang w:val="en-CA"/>
        </w:rPr>
        <w:t xml:space="preserve"> to wholesale buyers </w:t>
      </w:r>
      <w:r w:rsidR="002C6D84" w:rsidRPr="00A863DC">
        <w:rPr>
          <w:sz w:val="22"/>
          <w:szCs w:val="22"/>
          <w:lang w:val="en-CA"/>
        </w:rPr>
        <w:t xml:space="preserve">at </w:t>
      </w:r>
      <w:r w:rsidRPr="00A863DC">
        <w:rPr>
          <w:sz w:val="22"/>
          <w:szCs w:val="22"/>
          <w:lang w:val="en-CA"/>
        </w:rPr>
        <w:t xml:space="preserve">full price, </w:t>
      </w:r>
      <w:r w:rsidR="002C6D84" w:rsidRPr="00A863DC">
        <w:rPr>
          <w:sz w:val="22"/>
          <w:szCs w:val="22"/>
          <w:lang w:val="en-CA"/>
        </w:rPr>
        <w:t xml:space="preserve">32 per cent </w:t>
      </w:r>
      <w:r w:rsidRPr="00A863DC">
        <w:rPr>
          <w:sz w:val="22"/>
          <w:szCs w:val="22"/>
          <w:lang w:val="en-CA"/>
        </w:rPr>
        <w:t xml:space="preserve">was sold </w:t>
      </w:r>
      <w:r w:rsidR="002C6D84" w:rsidRPr="00A863DC">
        <w:rPr>
          <w:sz w:val="22"/>
          <w:szCs w:val="22"/>
          <w:lang w:val="en-CA"/>
        </w:rPr>
        <w:t xml:space="preserve">at a discounted price, and 56 per cent </w:t>
      </w:r>
      <w:r w:rsidRPr="00A863DC">
        <w:rPr>
          <w:sz w:val="22"/>
          <w:szCs w:val="22"/>
          <w:lang w:val="en-CA"/>
        </w:rPr>
        <w:t xml:space="preserve">was donated </w:t>
      </w:r>
      <w:r w:rsidR="002C6D84" w:rsidRPr="00A863DC">
        <w:rPr>
          <w:sz w:val="22"/>
          <w:szCs w:val="22"/>
          <w:lang w:val="en-CA"/>
        </w:rPr>
        <w:t>to the Hamilton Road Crouch Resource Centre, My Sister’s Place, and two local food banks</w:t>
      </w:r>
      <w:r w:rsidR="003D3C57" w:rsidRPr="00A863DC">
        <w:rPr>
          <w:sz w:val="22"/>
          <w:szCs w:val="22"/>
          <w:lang w:val="en-CA"/>
        </w:rPr>
        <w:t xml:space="preserve">, </w:t>
      </w:r>
      <w:r w:rsidR="002C6D84" w:rsidRPr="00A863DC">
        <w:rPr>
          <w:sz w:val="22"/>
          <w:szCs w:val="22"/>
          <w:lang w:val="en-CA"/>
        </w:rPr>
        <w:t>deliver</w:t>
      </w:r>
      <w:r w:rsidR="003D3C57" w:rsidRPr="00A863DC">
        <w:rPr>
          <w:sz w:val="22"/>
          <w:szCs w:val="22"/>
          <w:lang w:val="en-CA"/>
        </w:rPr>
        <w:t>ing</w:t>
      </w:r>
      <w:r w:rsidR="002C6D84" w:rsidRPr="00A863DC">
        <w:rPr>
          <w:sz w:val="22"/>
          <w:szCs w:val="22"/>
          <w:lang w:val="en-CA"/>
        </w:rPr>
        <w:t xml:space="preserve"> weekly shipments of fresh produce to these </w:t>
      </w:r>
      <w:r w:rsidR="003D3C57" w:rsidRPr="00A863DC">
        <w:rPr>
          <w:sz w:val="22"/>
          <w:szCs w:val="22"/>
          <w:lang w:val="en-CA"/>
        </w:rPr>
        <w:t xml:space="preserve">non-profit </w:t>
      </w:r>
      <w:r w:rsidR="002C6D84" w:rsidRPr="00A863DC">
        <w:rPr>
          <w:sz w:val="22"/>
          <w:szCs w:val="22"/>
          <w:lang w:val="en-CA"/>
        </w:rPr>
        <w:t>organizations.</w:t>
      </w:r>
    </w:p>
    <w:p w14:paraId="6526A684" w14:textId="77777777" w:rsidR="002C6D84" w:rsidRPr="00A863DC" w:rsidRDefault="002C6D84" w:rsidP="002C6D84">
      <w:pPr>
        <w:widowControl w:val="0"/>
        <w:autoSpaceDE w:val="0"/>
        <w:autoSpaceDN w:val="0"/>
        <w:adjustRightInd w:val="0"/>
        <w:jc w:val="both"/>
        <w:rPr>
          <w:color w:val="000000"/>
          <w:sz w:val="22"/>
          <w:szCs w:val="22"/>
          <w:lang w:val="en-CA"/>
        </w:rPr>
      </w:pPr>
    </w:p>
    <w:p w14:paraId="16CF1196" w14:textId="0A204DD8" w:rsidR="002C6D84" w:rsidRPr="00A863DC" w:rsidRDefault="002C6D84" w:rsidP="002C6D84">
      <w:pPr>
        <w:widowControl w:val="0"/>
        <w:autoSpaceDE w:val="0"/>
        <w:autoSpaceDN w:val="0"/>
        <w:adjustRightInd w:val="0"/>
        <w:jc w:val="both"/>
        <w:rPr>
          <w:color w:val="000000"/>
          <w:sz w:val="22"/>
          <w:szCs w:val="22"/>
          <w:lang w:val="en-CA"/>
        </w:rPr>
      </w:pPr>
      <w:r w:rsidRPr="00A863DC">
        <w:rPr>
          <w:color w:val="000000"/>
          <w:sz w:val="22"/>
          <w:szCs w:val="22"/>
          <w:lang w:val="en-CA"/>
        </w:rPr>
        <w:t xml:space="preserve">The </w:t>
      </w:r>
      <w:r w:rsidR="00B45869" w:rsidRPr="00A863DC">
        <w:rPr>
          <w:color w:val="000000"/>
          <w:sz w:val="22"/>
          <w:szCs w:val="22"/>
          <w:lang w:val="en-CA"/>
        </w:rPr>
        <w:t>b</w:t>
      </w:r>
      <w:r w:rsidRPr="00A863DC">
        <w:rPr>
          <w:color w:val="000000"/>
          <w:sz w:val="22"/>
          <w:szCs w:val="22"/>
          <w:lang w:val="en-CA"/>
        </w:rPr>
        <w:t>oard members’ long-term financial objective was to be</w:t>
      </w:r>
      <w:r w:rsidR="000E0EF4" w:rsidRPr="00A863DC">
        <w:rPr>
          <w:color w:val="000000"/>
          <w:sz w:val="22"/>
          <w:szCs w:val="22"/>
          <w:lang w:val="en-CA"/>
        </w:rPr>
        <w:t>come</w:t>
      </w:r>
      <w:r w:rsidRPr="00A863DC">
        <w:rPr>
          <w:color w:val="000000"/>
          <w:sz w:val="22"/>
          <w:szCs w:val="22"/>
          <w:lang w:val="en-CA"/>
        </w:rPr>
        <w:t xml:space="preserve"> self-sustaining</w:t>
      </w:r>
      <w:r w:rsidR="003D3C57" w:rsidRPr="00A863DC">
        <w:rPr>
          <w:rFonts w:eastAsia="Calibri"/>
          <w:lang w:val="en-CA"/>
        </w:rPr>
        <w:t>—</w:t>
      </w:r>
      <w:r w:rsidRPr="00A863DC">
        <w:rPr>
          <w:color w:val="000000"/>
          <w:sz w:val="22"/>
          <w:szCs w:val="22"/>
          <w:lang w:val="en-CA"/>
        </w:rPr>
        <w:t xml:space="preserve">they aimed to cover Urban Roots’ operating costs through crop sales. If they proved that this unique system worked, the </w:t>
      </w:r>
      <w:r w:rsidR="00C7164D" w:rsidRPr="00A863DC">
        <w:rPr>
          <w:color w:val="000000"/>
          <w:sz w:val="22"/>
          <w:szCs w:val="22"/>
          <w:lang w:val="en-CA"/>
        </w:rPr>
        <w:t>b</w:t>
      </w:r>
      <w:r w:rsidRPr="00A863DC">
        <w:rPr>
          <w:color w:val="000000"/>
          <w:sz w:val="22"/>
          <w:szCs w:val="22"/>
          <w:lang w:val="en-CA"/>
        </w:rPr>
        <w:t xml:space="preserve">oard hoped that others could use the model to start urban farms in their own communities. The </w:t>
      </w:r>
      <w:r w:rsidR="00C7164D" w:rsidRPr="00A863DC">
        <w:rPr>
          <w:color w:val="000000"/>
          <w:sz w:val="22"/>
          <w:szCs w:val="22"/>
          <w:lang w:val="en-CA"/>
        </w:rPr>
        <w:t>b</w:t>
      </w:r>
      <w:r w:rsidRPr="00A863DC">
        <w:rPr>
          <w:color w:val="000000"/>
          <w:sz w:val="22"/>
          <w:szCs w:val="22"/>
          <w:lang w:val="en-CA"/>
        </w:rPr>
        <w:t>oard also planned to help start at least two other urban farms in London.</w:t>
      </w:r>
    </w:p>
    <w:p w14:paraId="20E27618" w14:textId="77777777" w:rsidR="002C6D84" w:rsidRPr="00A863DC" w:rsidRDefault="002C6D84" w:rsidP="002C6D84">
      <w:pPr>
        <w:jc w:val="both"/>
        <w:outlineLvl w:val="0"/>
        <w:rPr>
          <w:sz w:val="22"/>
          <w:szCs w:val="22"/>
          <w:lang w:val="en-CA"/>
        </w:rPr>
      </w:pPr>
    </w:p>
    <w:p w14:paraId="2AD93EF4" w14:textId="77777777" w:rsidR="002C6D84" w:rsidRPr="00A863DC" w:rsidRDefault="002C6D84" w:rsidP="002C6D84">
      <w:pPr>
        <w:jc w:val="both"/>
        <w:outlineLvl w:val="0"/>
        <w:rPr>
          <w:sz w:val="22"/>
          <w:szCs w:val="22"/>
          <w:lang w:val="en-CA"/>
        </w:rPr>
      </w:pPr>
    </w:p>
    <w:p w14:paraId="6B50CE03" w14:textId="77777777" w:rsidR="002C6D84" w:rsidRPr="00A863DC" w:rsidRDefault="002C6D84" w:rsidP="003E39C2">
      <w:pPr>
        <w:pStyle w:val="Casehead2"/>
        <w:rPr>
          <w:lang w:val="en-CA"/>
        </w:rPr>
      </w:pPr>
      <w:r w:rsidRPr="00A863DC">
        <w:rPr>
          <w:lang w:val="en-CA"/>
        </w:rPr>
        <w:t>The First Two Years of Operations</w:t>
      </w:r>
    </w:p>
    <w:p w14:paraId="15FC2BD9" w14:textId="77777777" w:rsidR="002C6D84" w:rsidRPr="00A863DC" w:rsidRDefault="002C6D84" w:rsidP="002C6D84">
      <w:pPr>
        <w:jc w:val="both"/>
        <w:rPr>
          <w:sz w:val="22"/>
          <w:szCs w:val="22"/>
          <w:lang w:val="en-CA"/>
        </w:rPr>
      </w:pPr>
    </w:p>
    <w:p w14:paraId="062AE6E6" w14:textId="5BB07D15" w:rsidR="002C6D84" w:rsidRPr="00A863DC" w:rsidRDefault="002C6D84" w:rsidP="00A863DC">
      <w:pPr>
        <w:pStyle w:val="BodyTextMain"/>
        <w:rPr>
          <w:i/>
          <w:color w:val="000000" w:themeColor="text1"/>
          <w:spacing w:val="-2"/>
          <w:kern w:val="22"/>
          <w:lang w:val="en-CA"/>
        </w:rPr>
      </w:pPr>
      <w:r w:rsidRPr="00A863DC">
        <w:rPr>
          <w:spacing w:val="-2"/>
          <w:kern w:val="22"/>
          <w:lang w:val="en-CA"/>
        </w:rPr>
        <w:t xml:space="preserve">The </w:t>
      </w:r>
      <w:r w:rsidR="003614D1" w:rsidRPr="00A863DC">
        <w:rPr>
          <w:spacing w:val="-2"/>
          <w:kern w:val="22"/>
          <w:lang w:val="en-CA"/>
        </w:rPr>
        <w:t>b</w:t>
      </w:r>
      <w:r w:rsidRPr="00A863DC">
        <w:rPr>
          <w:spacing w:val="-2"/>
          <w:kern w:val="22"/>
          <w:lang w:val="en-CA"/>
        </w:rPr>
        <w:t xml:space="preserve">oard began planting the first seeds for Urban Roots in June 2017, which was late into the growing season by most farmers’ standards. Urban Roots’ first year of operations was a pilot year to see if the project could be feasible. The </w:t>
      </w:r>
      <w:r w:rsidR="003614D1" w:rsidRPr="00A863DC">
        <w:rPr>
          <w:spacing w:val="-2"/>
          <w:kern w:val="22"/>
          <w:lang w:val="en-CA"/>
        </w:rPr>
        <w:t>b</w:t>
      </w:r>
      <w:r w:rsidRPr="00A863DC">
        <w:rPr>
          <w:spacing w:val="-2"/>
          <w:kern w:val="22"/>
          <w:lang w:val="en-CA"/>
        </w:rPr>
        <w:t>oard harvested a quarter of an acre of land, generating approximately $500 in revenue from crop sales (see Exhibits 1</w:t>
      </w:r>
      <w:r w:rsidR="00A31528" w:rsidRPr="00A863DC">
        <w:rPr>
          <w:spacing w:val="-2"/>
          <w:kern w:val="22"/>
          <w:lang w:val="en-CA"/>
        </w:rPr>
        <w:t>–</w:t>
      </w:r>
      <w:r w:rsidRPr="00A863DC">
        <w:rPr>
          <w:spacing w:val="-2"/>
          <w:kern w:val="22"/>
          <w:lang w:val="en-CA"/>
        </w:rPr>
        <w:t xml:space="preserve">5). Reassured by the farm’s success in 2017, the </w:t>
      </w:r>
      <w:r w:rsidR="003614D1" w:rsidRPr="00A863DC">
        <w:rPr>
          <w:spacing w:val="-2"/>
          <w:kern w:val="22"/>
          <w:lang w:val="en-CA"/>
        </w:rPr>
        <w:t>b</w:t>
      </w:r>
      <w:r w:rsidRPr="00A863DC">
        <w:rPr>
          <w:spacing w:val="-2"/>
          <w:kern w:val="22"/>
          <w:lang w:val="en-CA"/>
        </w:rPr>
        <w:t>oard members significantly expanded operations in 2018</w:t>
      </w:r>
      <w:r w:rsidR="00A31528" w:rsidRPr="00A863DC">
        <w:rPr>
          <w:spacing w:val="-2"/>
          <w:kern w:val="22"/>
          <w:lang w:val="en-CA"/>
        </w:rPr>
        <w:t>;</w:t>
      </w:r>
      <w:r w:rsidRPr="00A863DC">
        <w:rPr>
          <w:spacing w:val="-2"/>
          <w:kern w:val="22"/>
          <w:lang w:val="en-CA"/>
        </w:rPr>
        <w:t xml:space="preserve"> </w:t>
      </w:r>
      <w:r w:rsidR="00A31528" w:rsidRPr="00A863DC">
        <w:rPr>
          <w:spacing w:val="-2"/>
          <w:kern w:val="22"/>
          <w:lang w:val="en-CA"/>
        </w:rPr>
        <w:t>this</w:t>
      </w:r>
      <w:r w:rsidRPr="00A863DC">
        <w:rPr>
          <w:spacing w:val="-2"/>
          <w:kern w:val="22"/>
          <w:lang w:val="en-CA"/>
        </w:rPr>
        <w:t xml:space="preserve"> time, they began planting in May, </w:t>
      </w:r>
      <w:r w:rsidR="00BD3B1F" w:rsidRPr="00A863DC">
        <w:rPr>
          <w:spacing w:val="-2"/>
          <w:kern w:val="22"/>
          <w:lang w:val="en-CA"/>
        </w:rPr>
        <w:t xml:space="preserve">planting and </w:t>
      </w:r>
      <w:r w:rsidRPr="00A863DC">
        <w:rPr>
          <w:spacing w:val="-2"/>
          <w:kern w:val="22"/>
          <w:lang w:val="en-CA"/>
        </w:rPr>
        <w:t xml:space="preserve">harvesting approximately one acre of land. The first harvest occurred shortly after planting, and harvesting continued until late October. </w:t>
      </w:r>
      <w:r w:rsidRPr="00A863DC">
        <w:rPr>
          <w:color w:val="000000" w:themeColor="text1"/>
          <w:spacing w:val="-2"/>
          <w:kern w:val="22"/>
          <w:lang w:val="en-CA"/>
        </w:rPr>
        <w:t>From April to October</w:t>
      </w:r>
      <w:r w:rsidR="003614D1" w:rsidRPr="00A863DC">
        <w:rPr>
          <w:color w:val="000000" w:themeColor="text1"/>
          <w:spacing w:val="-2"/>
          <w:kern w:val="22"/>
          <w:lang w:val="en-CA"/>
        </w:rPr>
        <w:t xml:space="preserve"> 2018</w:t>
      </w:r>
      <w:r w:rsidRPr="00A863DC">
        <w:rPr>
          <w:color w:val="000000" w:themeColor="text1"/>
          <w:spacing w:val="-2"/>
          <w:kern w:val="22"/>
          <w:lang w:val="en-CA"/>
        </w:rPr>
        <w:t xml:space="preserve">, Urban Roots required $10,000 </w:t>
      </w:r>
      <w:r w:rsidR="00A863DC" w:rsidRPr="00A863DC">
        <w:rPr>
          <w:color w:val="000000" w:themeColor="text1"/>
          <w:spacing w:val="-2"/>
          <w:kern w:val="22"/>
          <w:lang w:val="en-CA"/>
        </w:rPr>
        <w:t>more to</w:t>
      </w:r>
      <w:r w:rsidRPr="00A863DC">
        <w:rPr>
          <w:color w:val="000000" w:themeColor="text1"/>
          <w:spacing w:val="-2"/>
          <w:kern w:val="22"/>
          <w:lang w:val="en-CA"/>
        </w:rPr>
        <w:t xml:space="preserve"> cover increased expenses</w:t>
      </w:r>
      <w:r w:rsidRPr="00A863DC">
        <w:rPr>
          <w:i/>
          <w:color w:val="000000" w:themeColor="text1"/>
          <w:spacing w:val="-2"/>
          <w:kern w:val="22"/>
          <w:lang w:val="en-CA"/>
        </w:rPr>
        <w:t>.</w:t>
      </w:r>
    </w:p>
    <w:p w14:paraId="36E8A879" w14:textId="77777777" w:rsidR="002C6D84" w:rsidRPr="00A863DC" w:rsidRDefault="002C6D84" w:rsidP="002C6D84">
      <w:pPr>
        <w:jc w:val="both"/>
        <w:rPr>
          <w:sz w:val="22"/>
          <w:szCs w:val="22"/>
          <w:lang w:val="en-CA"/>
        </w:rPr>
      </w:pPr>
      <w:r w:rsidRPr="00A863DC" w:rsidDel="00141EEE">
        <w:rPr>
          <w:rStyle w:val="CommentReference"/>
          <w:lang w:val="en-CA"/>
        </w:rPr>
        <w:t xml:space="preserve"> </w:t>
      </w:r>
    </w:p>
    <w:p w14:paraId="1693F629" w14:textId="074F1DD0" w:rsidR="002C6D84" w:rsidRPr="00A863DC" w:rsidRDefault="002C6D84" w:rsidP="002C6D84">
      <w:pPr>
        <w:widowControl w:val="0"/>
        <w:autoSpaceDE w:val="0"/>
        <w:autoSpaceDN w:val="0"/>
        <w:adjustRightInd w:val="0"/>
        <w:jc w:val="both"/>
        <w:rPr>
          <w:sz w:val="22"/>
          <w:szCs w:val="22"/>
          <w:lang w:val="en-CA"/>
        </w:rPr>
      </w:pPr>
      <w:r w:rsidRPr="00A863DC">
        <w:rPr>
          <w:sz w:val="22"/>
          <w:szCs w:val="22"/>
          <w:lang w:val="en-CA"/>
        </w:rPr>
        <w:t xml:space="preserve">The </w:t>
      </w:r>
      <w:r w:rsidR="003614D1" w:rsidRPr="00A863DC">
        <w:rPr>
          <w:sz w:val="22"/>
          <w:szCs w:val="22"/>
          <w:lang w:val="en-CA"/>
        </w:rPr>
        <w:t>b</w:t>
      </w:r>
      <w:r w:rsidRPr="00A863DC">
        <w:rPr>
          <w:sz w:val="22"/>
          <w:szCs w:val="22"/>
          <w:lang w:val="en-CA"/>
        </w:rPr>
        <w:t xml:space="preserve">oard </w:t>
      </w:r>
      <w:proofErr w:type="gramStart"/>
      <w:r w:rsidRPr="00A863DC">
        <w:rPr>
          <w:sz w:val="22"/>
          <w:szCs w:val="22"/>
          <w:lang w:val="en-CA"/>
        </w:rPr>
        <w:t>was humbled</w:t>
      </w:r>
      <w:proofErr w:type="gramEnd"/>
      <w:r w:rsidRPr="00A863DC">
        <w:rPr>
          <w:sz w:val="22"/>
          <w:szCs w:val="22"/>
          <w:lang w:val="en-CA"/>
        </w:rPr>
        <w:t xml:space="preserve"> by the amount of support that Urban Roots received from the community. The organization </w:t>
      </w:r>
      <w:proofErr w:type="gramStart"/>
      <w:r w:rsidRPr="00A863DC">
        <w:rPr>
          <w:sz w:val="22"/>
          <w:szCs w:val="22"/>
          <w:lang w:val="en-CA"/>
        </w:rPr>
        <w:t>was featured</w:t>
      </w:r>
      <w:proofErr w:type="gramEnd"/>
      <w:r w:rsidRPr="00A863DC">
        <w:rPr>
          <w:sz w:val="22"/>
          <w:szCs w:val="22"/>
          <w:lang w:val="en-CA"/>
        </w:rPr>
        <w:t xml:space="preserve"> in articles for both local and national news outlets, including the </w:t>
      </w:r>
      <w:r w:rsidRPr="00A863DC">
        <w:rPr>
          <w:i/>
          <w:sz w:val="22"/>
          <w:szCs w:val="22"/>
          <w:lang w:val="en-CA"/>
        </w:rPr>
        <w:t>London Free Press</w:t>
      </w:r>
      <w:r w:rsidRPr="00A863DC">
        <w:rPr>
          <w:sz w:val="22"/>
          <w:szCs w:val="22"/>
          <w:lang w:val="en-CA"/>
        </w:rPr>
        <w:t xml:space="preserve">, the </w:t>
      </w:r>
      <w:r w:rsidRPr="00A863DC">
        <w:rPr>
          <w:i/>
          <w:sz w:val="22"/>
          <w:szCs w:val="22"/>
          <w:lang w:val="en-CA"/>
        </w:rPr>
        <w:t>Western Gazette</w:t>
      </w:r>
      <w:r w:rsidRPr="00A863DC">
        <w:rPr>
          <w:sz w:val="22"/>
          <w:szCs w:val="22"/>
          <w:lang w:val="en-CA"/>
        </w:rPr>
        <w:t>, and CBC News</w:t>
      </w:r>
      <w:r w:rsidR="00A514E0" w:rsidRPr="00A863DC">
        <w:rPr>
          <w:sz w:val="22"/>
          <w:szCs w:val="22"/>
          <w:lang w:val="en-CA"/>
        </w:rPr>
        <w:t>.</w:t>
      </w:r>
      <w:r w:rsidR="00EA4746" w:rsidRPr="00A863DC">
        <w:rPr>
          <w:rStyle w:val="FootnoteReference"/>
          <w:sz w:val="22"/>
          <w:szCs w:val="22"/>
          <w:lang w:val="en-CA"/>
        </w:rPr>
        <w:footnoteReference w:id="8"/>
      </w:r>
      <w:r w:rsidRPr="00A863DC">
        <w:rPr>
          <w:sz w:val="22"/>
          <w:szCs w:val="22"/>
          <w:lang w:val="en-CA"/>
        </w:rPr>
        <w:t xml:space="preserve"> In addition, several local radio shows interviewed </w:t>
      </w:r>
      <w:r w:rsidR="003614D1" w:rsidRPr="00A863DC">
        <w:rPr>
          <w:sz w:val="22"/>
          <w:szCs w:val="22"/>
          <w:lang w:val="en-CA"/>
        </w:rPr>
        <w:t>b</w:t>
      </w:r>
      <w:r w:rsidRPr="00A863DC">
        <w:rPr>
          <w:sz w:val="22"/>
          <w:szCs w:val="22"/>
          <w:lang w:val="en-CA"/>
        </w:rPr>
        <w:t xml:space="preserve">oard members. During one of these radio interviews, Bloomfield shared that the power box for the farm’s solar-powered electric fence </w:t>
      </w:r>
      <w:proofErr w:type="gramStart"/>
      <w:r w:rsidRPr="00A863DC">
        <w:rPr>
          <w:sz w:val="22"/>
          <w:szCs w:val="22"/>
          <w:lang w:val="en-CA"/>
        </w:rPr>
        <w:t>had been stolen</w:t>
      </w:r>
      <w:proofErr w:type="gramEnd"/>
      <w:r w:rsidRPr="00A863DC">
        <w:rPr>
          <w:sz w:val="22"/>
          <w:szCs w:val="22"/>
          <w:lang w:val="en-CA"/>
        </w:rPr>
        <w:t xml:space="preserve"> twice. Following the interview, a kind-hearted listener donated a power box to Urban Roots.</w:t>
      </w:r>
    </w:p>
    <w:p w14:paraId="45575252" w14:textId="77777777" w:rsidR="002C6D84" w:rsidRPr="00A863DC" w:rsidRDefault="002C6D84" w:rsidP="002C6D84">
      <w:pPr>
        <w:widowControl w:val="0"/>
        <w:autoSpaceDE w:val="0"/>
        <w:autoSpaceDN w:val="0"/>
        <w:adjustRightInd w:val="0"/>
        <w:jc w:val="both"/>
        <w:rPr>
          <w:sz w:val="22"/>
          <w:szCs w:val="22"/>
          <w:lang w:val="en-CA"/>
        </w:rPr>
      </w:pPr>
    </w:p>
    <w:p w14:paraId="41FDDBF2" w14:textId="0DB54094" w:rsidR="002C6D84" w:rsidRPr="00A863DC" w:rsidRDefault="002C6D84" w:rsidP="002C6D84">
      <w:pPr>
        <w:jc w:val="both"/>
        <w:rPr>
          <w:sz w:val="22"/>
          <w:szCs w:val="22"/>
          <w:lang w:val="en-CA"/>
        </w:rPr>
      </w:pPr>
      <w:r w:rsidRPr="00A863DC">
        <w:rPr>
          <w:sz w:val="22"/>
          <w:szCs w:val="22"/>
          <w:lang w:val="en-CA"/>
        </w:rPr>
        <w:lastRenderedPageBreak/>
        <w:t xml:space="preserve">Urban Roots had a large team of </w:t>
      </w:r>
      <w:proofErr w:type="gramStart"/>
      <w:r w:rsidRPr="00A863DC">
        <w:rPr>
          <w:sz w:val="22"/>
          <w:szCs w:val="22"/>
          <w:lang w:val="en-CA"/>
        </w:rPr>
        <w:t>volunteers</w:t>
      </w:r>
      <w:proofErr w:type="gramEnd"/>
      <w:r w:rsidRPr="00A863DC">
        <w:rPr>
          <w:sz w:val="22"/>
          <w:szCs w:val="22"/>
          <w:lang w:val="en-CA"/>
        </w:rPr>
        <w:t xml:space="preserve"> who gave their spare time to help plant rows of beets, prepare vegetable beds, or pull out what felt like endless amounts of thistles. The farm held three drop-in volunteer evenings per week and</w:t>
      </w:r>
      <w:r w:rsidR="00B56313" w:rsidRPr="00A863DC">
        <w:rPr>
          <w:sz w:val="22"/>
          <w:szCs w:val="22"/>
          <w:lang w:val="en-CA"/>
        </w:rPr>
        <w:t xml:space="preserve"> </w:t>
      </w:r>
      <w:r w:rsidRPr="00A863DC">
        <w:rPr>
          <w:sz w:val="22"/>
          <w:szCs w:val="22"/>
          <w:lang w:val="en-CA"/>
        </w:rPr>
        <w:t>ad-hoc volunteer sessions for large groups of people (e.g.</w:t>
      </w:r>
      <w:r w:rsidR="001C149C" w:rsidRPr="00A863DC">
        <w:rPr>
          <w:sz w:val="22"/>
          <w:szCs w:val="22"/>
          <w:lang w:val="en-CA"/>
        </w:rPr>
        <w:t>,</w:t>
      </w:r>
      <w:r w:rsidRPr="00A863DC">
        <w:rPr>
          <w:sz w:val="22"/>
          <w:szCs w:val="22"/>
          <w:lang w:val="en-CA"/>
        </w:rPr>
        <w:t xml:space="preserve"> student field trips, groups of teachers, </w:t>
      </w:r>
      <w:r w:rsidR="00A863DC" w:rsidRPr="00A863DC">
        <w:rPr>
          <w:sz w:val="22"/>
          <w:szCs w:val="22"/>
          <w:lang w:val="en-CA"/>
        </w:rPr>
        <w:t>kids’</w:t>
      </w:r>
      <w:r w:rsidR="00B56313" w:rsidRPr="00A863DC">
        <w:rPr>
          <w:sz w:val="22"/>
          <w:szCs w:val="22"/>
          <w:lang w:val="en-CA"/>
        </w:rPr>
        <w:t xml:space="preserve"> </w:t>
      </w:r>
      <w:r w:rsidRPr="00A863DC">
        <w:rPr>
          <w:sz w:val="22"/>
          <w:szCs w:val="22"/>
          <w:lang w:val="en-CA"/>
        </w:rPr>
        <w:t xml:space="preserve">summer camps). The </w:t>
      </w:r>
      <w:r w:rsidR="003614D1" w:rsidRPr="00A863DC">
        <w:rPr>
          <w:sz w:val="22"/>
          <w:szCs w:val="22"/>
          <w:lang w:val="en-CA"/>
        </w:rPr>
        <w:t>b</w:t>
      </w:r>
      <w:r w:rsidRPr="00A863DC">
        <w:rPr>
          <w:sz w:val="22"/>
          <w:szCs w:val="22"/>
          <w:lang w:val="en-CA"/>
        </w:rPr>
        <w:t xml:space="preserve">oard budgeted a small amount of money for refreshments for volunteers and </w:t>
      </w:r>
      <w:r w:rsidR="003614D1" w:rsidRPr="00A863DC">
        <w:rPr>
          <w:sz w:val="22"/>
          <w:szCs w:val="22"/>
          <w:lang w:val="en-CA"/>
        </w:rPr>
        <w:t xml:space="preserve">held </w:t>
      </w:r>
      <w:r w:rsidRPr="00A863DC">
        <w:rPr>
          <w:sz w:val="22"/>
          <w:szCs w:val="22"/>
          <w:lang w:val="en-CA"/>
        </w:rPr>
        <w:t xml:space="preserve">an annual Volunteer Appreciation Day. </w:t>
      </w:r>
    </w:p>
    <w:p w14:paraId="42EBA9AE" w14:textId="77777777" w:rsidR="002C6D84" w:rsidRPr="00A863DC" w:rsidRDefault="002C6D84" w:rsidP="002C6D84">
      <w:pPr>
        <w:widowControl w:val="0"/>
        <w:autoSpaceDE w:val="0"/>
        <w:autoSpaceDN w:val="0"/>
        <w:adjustRightInd w:val="0"/>
        <w:jc w:val="both"/>
        <w:rPr>
          <w:sz w:val="22"/>
          <w:szCs w:val="22"/>
          <w:lang w:val="en-CA"/>
        </w:rPr>
      </w:pPr>
    </w:p>
    <w:p w14:paraId="65D95F16" w14:textId="23A0B129" w:rsidR="002C6D84" w:rsidRPr="00A863DC" w:rsidRDefault="002C6D84" w:rsidP="002C6D84">
      <w:pPr>
        <w:widowControl w:val="0"/>
        <w:autoSpaceDE w:val="0"/>
        <w:autoSpaceDN w:val="0"/>
        <w:adjustRightInd w:val="0"/>
        <w:jc w:val="both"/>
        <w:rPr>
          <w:sz w:val="22"/>
          <w:szCs w:val="22"/>
          <w:lang w:val="en-CA"/>
        </w:rPr>
      </w:pPr>
      <w:r w:rsidRPr="00A863DC">
        <w:rPr>
          <w:sz w:val="22"/>
          <w:szCs w:val="22"/>
          <w:lang w:val="en-CA"/>
        </w:rPr>
        <w:t>Urban Roots was the grateful recipient of countless donations of both farm equipment and money.</w:t>
      </w:r>
      <w:r w:rsidRPr="00A863DC">
        <w:rPr>
          <w:rStyle w:val="FootnoteReference"/>
          <w:sz w:val="22"/>
          <w:szCs w:val="22"/>
          <w:lang w:val="en-CA"/>
        </w:rPr>
        <w:footnoteReference w:id="9"/>
      </w:r>
      <w:r w:rsidRPr="00A863DC">
        <w:rPr>
          <w:sz w:val="22"/>
          <w:szCs w:val="22"/>
          <w:lang w:val="en-CA"/>
        </w:rPr>
        <w:t xml:space="preserve"> While Urban Roots collected monetary donations through several different methods, some individuals donated via </w:t>
      </w:r>
      <w:r w:rsidR="00977CC1" w:rsidRPr="00A863DC">
        <w:rPr>
          <w:sz w:val="22"/>
          <w:szCs w:val="22"/>
          <w:lang w:val="en-CA"/>
        </w:rPr>
        <w:t>the</w:t>
      </w:r>
      <w:r w:rsidRPr="00A863DC">
        <w:rPr>
          <w:sz w:val="22"/>
          <w:szCs w:val="22"/>
          <w:lang w:val="en-CA"/>
        </w:rPr>
        <w:t xml:space="preserve"> online donation platform </w:t>
      </w:r>
      <w:proofErr w:type="spellStart"/>
      <w:r w:rsidR="00B56313" w:rsidRPr="00A863DC">
        <w:rPr>
          <w:sz w:val="22"/>
          <w:szCs w:val="22"/>
          <w:lang w:val="en-CA"/>
        </w:rPr>
        <w:t>GoFundMe</w:t>
      </w:r>
      <w:proofErr w:type="spellEnd"/>
      <w:r w:rsidR="00B56313" w:rsidRPr="00A863DC">
        <w:rPr>
          <w:sz w:val="22"/>
          <w:szCs w:val="22"/>
          <w:lang w:val="en-CA"/>
        </w:rPr>
        <w:t>.</w:t>
      </w:r>
    </w:p>
    <w:p w14:paraId="5F21B7E4" w14:textId="77777777" w:rsidR="002C6D84" w:rsidRPr="00A863DC" w:rsidRDefault="002C6D84" w:rsidP="002C6D84">
      <w:pPr>
        <w:widowControl w:val="0"/>
        <w:autoSpaceDE w:val="0"/>
        <w:autoSpaceDN w:val="0"/>
        <w:adjustRightInd w:val="0"/>
        <w:jc w:val="both"/>
        <w:rPr>
          <w:sz w:val="22"/>
          <w:szCs w:val="22"/>
          <w:lang w:val="en-CA"/>
        </w:rPr>
      </w:pPr>
    </w:p>
    <w:p w14:paraId="2B988B0F" w14:textId="05F212BA" w:rsidR="002C6D84" w:rsidRPr="00A863DC" w:rsidRDefault="002C6D84" w:rsidP="002C6D84">
      <w:pPr>
        <w:widowControl w:val="0"/>
        <w:autoSpaceDE w:val="0"/>
        <w:autoSpaceDN w:val="0"/>
        <w:adjustRightInd w:val="0"/>
        <w:jc w:val="both"/>
        <w:rPr>
          <w:sz w:val="22"/>
          <w:szCs w:val="22"/>
          <w:lang w:val="en-CA"/>
        </w:rPr>
      </w:pPr>
      <w:r w:rsidRPr="00A863DC">
        <w:rPr>
          <w:sz w:val="22"/>
          <w:szCs w:val="22"/>
          <w:lang w:val="en-CA"/>
        </w:rPr>
        <w:t>In September of 2017 and 2018, Urban Roots held an annual fundraising event</w:t>
      </w:r>
      <w:r w:rsidR="00441025" w:rsidRPr="00A863DC">
        <w:rPr>
          <w:sz w:val="22"/>
          <w:szCs w:val="22"/>
          <w:lang w:val="en-CA"/>
        </w:rPr>
        <w:t xml:space="preserve"> that</w:t>
      </w:r>
      <w:r w:rsidRPr="00A863DC">
        <w:rPr>
          <w:sz w:val="22"/>
          <w:szCs w:val="22"/>
          <w:lang w:val="en-CA"/>
        </w:rPr>
        <w:t xml:space="preserve"> </w:t>
      </w:r>
      <w:r w:rsidR="003614D1" w:rsidRPr="00A863DC">
        <w:rPr>
          <w:sz w:val="22"/>
          <w:szCs w:val="22"/>
          <w:lang w:val="en-CA"/>
        </w:rPr>
        <w:t xml:space="preserve">the board </w:t>
      </w:r>
      <w:r w:rsidRPr="00A863DC">
        <w:rPr>
          <w:sz w:val="22"/>
          <w:szCs w:val="22"/>
          <w:lang w:val="en-CA"/>
        </w:rPr>
        <w:t xml:space="preserve">called </w:t>
      </w:r>
      <w:r w:rsidR="00441025" w:rsidRPr="00A863DC">
        <w:rPr>
          <w:sz w:val="22"/>
          <w:szCs w:val="22"/>
          <w:lang w:val="en-CA"/>
        </w:rPr>
        <w:t>“</w:t>
      </w:r>
      <w:r w:rsidRPr="00A863DC">
        <w:rPr>
          <w:sz w:val="22"/>
          <w:szCs w:val="22"/>
          <w:lang w:val="en-CA"/>
        </w:rPr>
        <w:t>the Harvest Dinner</w:t>
      </w:r>
      <w:r w:rsidR="00A514E0" w:rsidRPr="00A863DC">
        <w:rPr>
          <w:sz w:val="22"/>
          <w:szCs w:val="22"/>
          <w:lang w:val="en-CA"/>
        </w:rPr>
        <w:t>.</w:t>
      </w:r>
      <w:r w:rsidR="00441025" w:rsidRPr="00A863DC">
        <w:rPr>
          <w:sz w:val="22"/>
          <w:szCs w:val="22"/>
          <w:lang w:val="en-CA"/>
        </w:rPr>
        <w:t>”</w:t>
      </w:r>
      <w:r w:rsidR="00EA4746" w:rsidRPr="00A863DC">
        <w:rPr>
          <w:rStyle w:val="FootnoteReference"/>
          <w:sz w:val="22"/>
          <w:szCs w:val="22"/>
          <w:lang w:val="en-CA"/>
        </w:rPr>
        <w:footnoteReference w:id="10"/>
      </w:r>
      <w:r w:rsidRPr="00A863DC">
        <w:rPr>
          <w:sz w:val="22"/>
          <w:szCs w:val="22"/>
          <w:lang w:val="en-CA"/>
        </w:rPr>
        <w:t xml:space="preserve"> </w:t>
      </w:r>
      <w:r w:rsidR="00A514E0" w:rsidRPr="00A863DC">
        <w:rPr>
          <w:sz w:val="22"/>
          <w:szCs w:val="22"/>
          <w:lang w:val="en-CA"/>
        </w:rPr>
        <w:t>For</w:t>
      </w:r>
      <w:r w:rsidRPr="00A863DC">
        <w:rPr>
          <w:sz w:val="22"/>
          <w:szCs w:val="22"/>
          <w:lang w:val="en-CA"/>
        </w:rPr>
        <w:t xml:space="preserve"> $100 per person, attendees </w:t>
      </w:r>
      <w:proofErr w:type="gramStart"/>
      <w:r w:rsidRPr="00A863DC">
        <w:rPr>
          <w:sz w:val="22"/>
          <w:szCs w:val="22"/>
          <w:lang w:val="en-CA"/>
        </w:rPr>
        <w:t>were treated</w:t>
      </w:r>
      <w:proofErr w:type="gramEnd"/>
      <w:r w:rsidRPr="00A863DC">
        <w:rPr>
          <w:sz w:val="22"/>
          <w:szCs w:val="22"/>
          <w:lang w:val="en-CA"/>
        </w:rPr>
        <w:t xml:space="preserve"> to a delicious meal featuring fresh Urban Roots produce prepared </w:t>
      </w:r>
      <w:r w:rsidR="00956FE5" w:rsidRPr="00A863DC">
        <w:rPr>
          <w:sz w:val="22"/>
          <w:szCs w:val="22"/>
          <w:lang w:val="en-CA"/>
        </w:rPr>
        <w:t>by the chefs behind the popular restaurants Wolfe of Wortley, Early Bird, and Los Lobos</w:t>
      </w:r>
      <w:r w:rsidRPr="00A863DC">
        <w:rPr>
          <w:sz w:val="22"/>
          <w:szCs w:val="22"/>
          <w:lang w:val="en-CA"/>
        </w:rPr>
        <w:t>). The event sold out both years, with 75 attendees in 2017 and 150 attendees in 2018.</w:t>
      </w:r>
    </w:p>
    <w:p w14:paraId="161B8123" w14:textId="77777777" w:rsidR="002C6D84" w:rsidRPr="00A863DC" w:rsidRDefault="002C6D84" w:rsidP="002C6D84">
      <w:pPr>
        <w:widowControl w:val="0"/>
        <w:autoSpaceDE w:val="0"/>
        <w:autoSpaceDN w:val="0"/>
        <w:adjustRightInd w:val="0"/>
        <w:jc w:val="both"/>
        <w:rPr>
          <w:sz w:val="22"/>
          <w:szCs w:val="22"/>
          <w:lang w:val="en-CA"/>
        </w:rPr>
      </w:pPr>
    </w:p>
    <w:p w14:paraId="3835E884" w14:textId="7893C3DA" w:rsidR="002C6D84" w:rsidRPr="00A863DC" w:rsidRDefault="002C6D84" w:rsidP="002C6D84">
      <w:pPr>
        <w:widowControl w:val="0"/>
        <w:autoSpaceDE w:val="0"/>
        <w:autoSpaceDN w:val="0"/>
        <w:adjustRightInd w:val="0"/>
        <w:jc w:val="both"/>
        <w:rPr>
          <w:sz w:val="22"/>
          <w:szCs w:val="22"/>
          <w:lang w:val="en-CA"/>
        </w:rPr>
      </w:pPr>
      <w:r w:rsidRPr="00A863DC">
        <w:rPr>
          <w:sz w:val="22"/>
          <w:szCs w:val="22"/>
          <w:lang w:val="en-CA"/>
        </w:rPr>
        <w:t>Urban Roots engaged with the community through holding various other events, including a community barbeque and a summer solstice party. In April 2018, Urban Roots received the “Food Champion</w:t>
      </w:r>
      <w:r w:rsidR="003614D1" w:rsidRPr="00A863DC">
        <w:rPr>
          <w:sz w:val="22"/>
          <w:szCs w:val="22"/>
          <w:lang w:val="en-CA"/>
        </w:rPr>
        <w:t>”</w:t>
      </w:r>
      <w:r w:rsidRPr="00A863DC">
        <w:rPr>
          <w:sz w:val="22"/>
          <w:szCs w:val="22"/>
          <w:lang w:val="en-CA"/>
        </w:rPr>
        <w:t xml:space="preserve"> </w:t>
      </w:r>
      <w:r w:rsidR="003614D1" w:rsidRPr="00A863DC">
        <w:rPr>
          <w:sz w:val="22"/>
          <w:szCs w:val="22"/>
          <w:lang w:val="en-CA"/>
        </w:rPr>
        <w:t>a</w:t>
      </w:r>
      <w:r w:rsidRPr="00A863DC">
        <w:rPr>
          <w:sz w:val="22"/>
          <w:szCs w:val="22"/>
          <w:lang w:val="en-CA"/>
        </w:rPr>
        <w:t>ward from the Middlesex London Food Policy Council in recognition for its contributions toward improving London’s food system.</w:t>
      </w:r>
    </w:p>
    <w:p w14:paraId="0725F0C4" w14:textId="77777777" w:rsidR="002C6D84" w:rsidRPr="00A863DC" w:rsidRDefault="002C6D84" w:rsidP="002C6D84">
      <w:pPr>
        <w:widowControl w:val="0"/>
        <w:autoSpaceDE w:val="0"/>
        <w:autoSpaceDN w:val="0"/>
        <w:adjustRightInd w:val="0"/>
        <w:jc w:val="both"/>
        <w:rPr>
          <w:sz w:val="22"/>
          <w:szCs w:val="22"/>
          <w:lang w:val="en-CA"/>
        </w:rPr>
      </w:pPr>
    </w:p>
    <w:p w14:paraId="55923664" w14:textId="77777777" w:rsidR="002C6D84" w:rsidRPr="00A863DC" w:rsidRDefault="002C6D84" w:rsidP="002C6D84">
      <w:pPr>
        <w:widowControl w:val="0"/>
        <w:autoSpaceDE w:val="0"/>
        <w:autoSpaceDN w:val="0"/>
        <w:adjustRightInd w:val="0"/>
        <w:jc w:val="both"/>
        <w:rPr>
          <w:sz w:val="22"/>
          <w:szCs w:val="22"/>
          <w:lang w:val="en-CA"/>
        </w:rPr>
      </w:pPr>
    </w:p>
    <w:p w14:paraId="653D7417" w14:textId="77777777" w:rsidR="002C6D84" w:rsidRPr="00A863DC" w:rsidRDefault="002C6D84" w:rsidP="002C6D84">
      <w:pPr>
        <w:jc w:val="both"/>
        <w:outlineLvl w:val="0"/>
        <w:rPr>
          <w:rFonts w:ascii="Arial" w:hAnsi="Arial" w:cs="Arial"/>
          <w:b/>
          <w:lang w:val="en-CA"/>
        </w:rPr>
      </w:pPr>
      <w:r w:rsidRPr="00A863DC">
        <w:rPr>
          <w:rFonts w:ascii="Arial" w:hAnsi="Arial" w:cs="Arial"/>
          <w:b/>
          <w:lang w:val="en-CA"/>
        </w:rPr>
        <w:t>THE 2019 SEASON</w:t>
      </w:r>
    </w:p>
    <w:p w14:paraId="019B876D" w14:textId="77777777" w:rsidR="002C6D84" w:rsidRPr="00A863DC" w:rsidRDefault="002C6D84" w:rsidP="002C6D84">
      <w:pPr>
        <w:widowControl w:val="0"/>
        <w:autoSpaceDE w:val="0"/>
        <w:autoSpaceDN w:val="0"/>
        <w:adjustRightInd w:val="0"/>
        <w:jc w:val="both"/>
        <w:rPr>
          <w:sz w:val="22"/>
          <w:szCs w:val="22"/>
          <w:lang w:val="en-CA"/>
        </w:rPr>
      </w:pPr>
    </w:p>
    <w:p w14:paraId="46A717BF" w14:textId="66B93C25" w:rsidR="002C6D84" w:rsidRPr="00A863DC" w:rsidRDefault="002C6D84" w:rsidP="002C6D84">
      <w:pPr>
        <w:widowControl w:val="0"/>
        <w:autoSpaceDE w:val="0"/>
        <w:autoSpaceDN w:val="0"/>
        <w:adjustRightInd w:val="0"/>
        <w:jc w:val="both"/>
        <w:rPr>
          <w:color w:val="000000"/>
          <w:sz w:val="22"/>
          <w:szCs w:val="22"/>
          <w:lang w:val="en-CA"/>
        </w:rPr>
      </w:pPr>
      <w:proofErr w:type="gramStart"/>
      <w:r w:rsidRPr="00A863DC">
        <w:rPr>
          <w:sz w:val="22"/>
          <w:szCs w:val="22"/>
          <w:lang w:val="en-CA"/>
        </w:rPr>
        <w:t xml:space="preserve">Having enjoyed great success in 2018, the </w:t>
      </w:r>
      <w:r w:rsidR="003614D1" w:rsidRPr="00A863DC">
        <w:rPr>
          <w:sz w:val="22"/>
          <w:szCs w:val="22"/>
          <w:lang w:val="en-CA"/>
        </w:rPr>
        <w:t>b</w:t>
      </w:r>
      <w:r w:rsidRPr="00A863DC">
        <w:rPr>
          <w:sz w:val="22"/>
          <w:szCs w:val="22"/>
          <w:lang w:val="en-CA"/>
        </w:rPr>
        <w:t>oard wished to further scale operations in 2019 and explore different funding options.</w:t>
      </w:r>
      <w:proofErr w:type="gramEnd"/>
      <w:r w:rsidRPr="00A863DC">
        <w:rPr>
          <w:sz w:val="22"/>
          <w:szCs w:val="22"/>
          <w:lang w:val="en-CA"/>
        </w:rPr>
        <w:t xml:space="preserve"> The </w:t>
      </w:r>
      <w:r w:rsidR="003614D1" w:rsidRPr="00A863DC">
        <w:rPr>
          <w:sz w:val="22"/>
          <w:szCs w:val="22"/>
          <w:lang w:val="en-CA"/>
        </w:rPr>
        <w:t>b</w:t>
      </w:r>
      <w:r w:rsidRPr="00A863DC">
        <w:rPr>
          <w:sz w:val="22"/>
          <w:szCs w:val="22"/>
          <w:lang w:val="en-CA"/>
        </w:rPr>
        <w:t xml:space="preserve">oard was requesting a $5,000 long-term loan and a working capital loan with a $25,000 limit from VERGE. The long-term loan </w:t>
      </w:r>
      <w:proofErr w:type="gramStart"/>
      <w:r w:rsidRPr="00A863DC">
        <w:rPr>
          <w:sz w:val="22"/>
          <w:szCs w:val="22"/>
          <w:lang w:val="en-CA"/>
        </w:rPr>
        <w:t>would be repaid</w:t>
      </w:r>
      <w:proofErr w:type="gramEnd"/>
      <w:r w:rsidRPr="00A863DC">
        <w:rPr>
          <w:sz w:val="22"/>
          <w:szCs w:val="22"/>
          <w:lang w:val="en-CA"/>
        </w:rPr>
        <w:t xml:space="preserve"> over five years at an annual interest rate of two per cent. The </w:t>
      </w:r>
      <w:r w:rsidR="003614D1" w:rsidRPr="00A863DC">
        <w:rPr>
          <w:sz w:val="22"/>
          <w:szCs w:val="22"/>
          <w:lang w:val="en-CA"/>
        </w:rPr>
        <w:t>b</w:t>
      </w:r>
      <w:r w:rsidRPr="00A863DC">
        <w:rPr>
          <w:sz w:val="22"/>
          <w:szCs w:val="22"/>
          <w:lang w:val="en-CA"/>
        </w:rPr>
        <w:t xml:space="preserve">oard planned to use the long-term loan to purchase water tanks and fixtures. </w:t>
      </w:r>
      <w:r w:rsidR="003D3C57" w:rsidRPr="00A863DC">
        <w:rPr>
          <w:sz w:val="22"/>
          <w:szCs w:val="22"/>
          <w:lang w:val="en-CA"/>
        </w:rPr>
        <w:t>T</w:t>
      </w:r>
      <w:r w:rsidRPr="00A863DC">
        <w:rPr>
          <w:sz w:val="22"/>
          <w:szCs w:val="22"/>
          <w:lang w:val="en-CA"/>
        </w:rPr>
        <w:t xml:space="preserve">he </w:t>
      </w:r>
      <w:r w:rsidR="003614D1" w:rsidRPr="00A863DC">
        <w:rPr>
          <w:sz w:val="22"/>
          <w:szCs w:val="22"/>
          <w:lang w:val="en-CA"/>
        </w:rPr>
        <w:t>b</w:t>
      </w:r>
      <w:r w:rsidRPr="00A863DC">
        <w:rPr>
          <w:sz w:val="22"/>
          <w:szCs w:val="22"/>
          <w:lang w:val="en-CA"/>
        </w:rPr>
        <w:t xml:space="preserve">oard was </w:t>
      </w:r>
      <w:r w:rsidR="003D3C57" w:rsidRPr="00A863DC">
        <w:rPr>
          <w:sz w:val="22"/>
          <w:szCs w:val="22"/>
          <w:lang w:val="en-CA"/>
        </w:rPr>
        <w:t>also</w:t>
      </w:r>
      <w:r w:rsidRPr="00A863DC">
        <w:rPr>
          <w:sz w:val="22"/>
          <w:szCs w:val="22"/>
          <w:lang w:val="en-CA"/>
        </w:rPr>
        <w:t xml:space="preserve"> in the process of applying for several grants from the federal and provincial governments. </w:t>
      </w:r>
      <w:r w:rsidR="000E0EF4" w:rsidRPr="00A863DC">
        <w:rPr>
          <w:sz w:val="22"/>
          <w:szCs w:val="22"/>
          <w:lang w:val="en-CA"/>
        </w:rPr>
        <w:t>The members were</w:t>
      </w:r>
      <w:r w:rsidRPr="00A863DC">
        <w:rPr>
          <w:sz w:val="22"/>
          <w:szCs w:val="22"/>
          <w:lang w:val="en-CA"/>
        </w:rPr>
        <w:t xml:space="preserve"> confident that at least some of these applications would be successful and that Urban Roots would receive between $50,000 </w:t>
      </w:r>
      <w:r w:rsidR="00BA471C" w:rsidRPr="00A863DC">
        <w:rPr>
          <w:sz w:val="22"/>
          <w:szCs w:val="22"/>
          <w:lang w:val="en-CA"/>
        </w:rPr>
        <w:t>and</w:t>
      </w:r>
      <w:r w:rsidRPr="00A863DC">
        <w:rPr>
          <w:sz w:val="22"/>
          <w:szCs w:val="22"/>
          <w:lang w:val="en-CA"/>
        </w:rPr>
        <w:t xml:space="preserve"> $75,000 in grants for 2019. The </w:t>
      </w:r>
      <w:r w:rsidR="000E0EF4" w:rsidRPr="00A863DC">
        <w:rPr>
          <w:sz w:val="22"/>
          <w:szCs w:val="22"/>
          <w:lang w:val="en-CA"/>
        </w:rPr>
        <w:t>b</w:t>
      </w:r>
      <w:r w:rsidRPr="00A863DC">
        <w:rPr>
          <w:sz w:val="22"/>
          <w:szCs w:val="22"/>
          <w:lang w:val="en-CA"/>
        </w:rPr>
        <w:t>oard would use this funding to purchase $50,000 in fixed assets, including a tractor, an irrigation system, fencing, cold storage for food, and more farm tools.</w:t>
      </w:r>
      <w:r w:rsidRPr="00A863DC">
        <w:rPr>
          <w:rStyle w:val="FootnoteReference"/>
          <w:sz w:val="22"/>
          <w:szCs w:val="22"/>
          <w:lang w:val="en-CA"/>
        </w:rPr>
        <w:footnoteReference w:id="11"/>
      </w:r>
      <w:r w:rsidRPr="00A863DC">
        <w:rPr>
          <w:sz w:val="22"/>
          <w:szCs w:val="22"/>
          <w:lang w:val="en-CA"/>
        </w:rPr>
        <w:t xml:space="preserve"> </w:t>
      </w:r>
      <w:r w:rsidRPr="00A863DC">
        <w:rPr>
          <w:color w:val="000000"/>
          <w:sz w:val="22"/>
          <w:szCs w:val="22"/>
          <w:lang w:val="en-CA"/>
        </w:rPr>
        <w:t>Urban Roots would begin to use the new assets when the planting season began.</w:t>
      </w:r>
    </w:p>
    <w:p w14:paraId="1346C83E" w14:textId="77777777" w:rsidR="002C6D84" w:rsidRPr="00A863DC" w:rsidRDefault="002C6D84" w:rsidP="002C6D84">
      <w:pPr>
        <w:widowControl w:val="0"/>
        <w:autoSpaceDE w:val="0"/>
        <w:autoSpaceDN w:val="0"/>
        <w:adjustRightInd w:val="0"/>
        <w:jc w:val="both"/>
        <w:rPr>
          <w:sz w:val="22"/>
          <w:szCs w:val="22"/>
          <w:lang w:val="en-CA"/>
        </w:rPr>
      </w:pPr>
      <w:r w:rsidRPr="00A863DC">
        <w:rPr>
          <w:color w:val="000000"/>
          <w:sz w:val="22"/>
          <w:szCs w:val="22"/>
          <w:lang w:val="en-CA"/>
        </w:rPr>
        <w:t xml:space="preserve"> </w:t>
      </w:r>
    </w:p>
    <w:p w14:paraId="1D7CA6E7" w14:textId="5E48C639" w:rsidR="002C6D84" w:rsidRPr="00A863DC" w:rsidRDefault="002C6D84" w:rsidP="002C6D84">
      <w:pPr>
        <w:widowControl w:val="0"/>
        <w:autoSpaceDE w:val="0"/>
        <w:autoSpaceDN w:val="0"/>
        <w:adjustRightInd w:val="0"/>
        <w:jc w:val="both"/>
        <w:rPr>
          <w:sz w:val="22"/>
          <w:szCs w:val="22"/>
          <w:lang w:val="en-CA"/>
        </w:rPr>
      </w:pPr>
      <w:r w:rsidRPr="00A863DC">
        <w:rPr>
          <w:sz w:val="22"/>
          <w:szCs w:val="22"/>
          <w:lang w:val="en-CA"/>
        </w:rPr>
        <w:t xml:space="preserve">To help with her decision, Khan decided to create financial projections for the 2019 season. She wished to create her projected statement of earnings using </w:t>
      </w:r>
      <w:r w:rsidR="000E0EF4" w:rsidRPr="00A863DC">
        <w:rPr>
          <w:sz w:val="22"/>
          <w:szCs w:val="22"/>
          <w:lang w:val="en-CA"/>
        </w:rPr>
        <w:t>four</w:t>
      </w:r>
      <w:r w:rsidR="00AB5539" w:rsidRPr="00A863DC">
        <w:rPr>
          <w:sz w:val="22"/>
          <w:szCs w:val="22"/>
          <w:lang w:val="en-CA"/>
        </w:rPr>
        <w:t xml:space="preserve"> </w:t>
      </w:r>
      <w:r w:rsidRPr="00A863DC">
        <w:rPr>
          <w:sz w:val="22"/>
          <w:szCs w:val="22"/>
          <w:lang w:val="en-CA"/>
        </w:rPr>
        <w:t>revenue streams</w:t>
      </w:r>
      <w:r w:rsidR="00AB5539" w:rsidRPr="00A863DC">
        <w:rPr>
          <w:rFonts w:eastAsia="Calibri"/>
          <w:lang w:val="en-CA"/>
        </w:rPr>
        <w:t>—</w:t>
      </w:r>
      <w:r w:rsidR="000E0EF4" w:rsidRPr="00A863DC">
        <w:rPr>
          <w:sz w:val="22"/>
          <w:szCs w:val="22"/>
          <w:lang w:val="en-CA"/>
        </w:rPr>
        <w:t xml:space="preserve">the </w:t>
      </w:r>
      <w:r w:rsidR="00983E60" w:rsidRPr="00A863DC">
        <w:rPr>
          <w:sz w:val="22"/>
          <w:szCs w:val="22"/>
          <w:lang w:val="en-CA"/>
        </w:rPr>
        <w:t xml:space="preserve">crop </w:t>
      </w:r>
      <w:r w:rsidR="000E0EF4" w:rsidRPr="00A863DC">
        <w:rPr>
          <w:sz w:val="22"/>
          <w:szCs w:val="22"/>
          <w:lang w:val="en-CA"/>
        </w:rPr>
        <w:t>sales</w:t>
      </w:r>
      <w:r w:rsidRPr="00A863DC">
        <w:rPr>
          <w:sz w:val="22"/>
          <w:szCs w:val="22"/>
          <w:lang w:val="en-CA"/>
        </w:rPr>
        <w:t xml:space="preserve">, </w:t>
      </w:r>
      <w:r w:rsidR="000E0EF4" w:rsidRPr="00A863DC">
        <w:rPr>
          <w:sz w:val="22"/>
          <w:szCs w:val="22"/>
          <w:lang w:val="en-CA"/>
        </w:rPr>
        <w:t xml:space="preserve">the </w:t>
      </w:r>
      <w:r w:rsidRPr="00A863DC">
        <w:rPr>
          <w:sz w:val="22"/>
          <w:szCs w:val="22"/>
          <w:lang w:val="en-CA"/>
        </w:rPr>
        <w:t>Harvest Dinner, corporate sponsorship</w:t>
      </w:r>
      <w:r w:rsidR="00AB5539" w:rsidRPr="00A863DC">
        <w:rPr>
          <w:sz w:val="22"/>
          <w:szCs w:val="22"/>
          <w:lang w:val="en-CA"/>
        </w:rPr>
        <w:t>s</w:t>
      </w:r>
      <w:r w:rsidRPr="00A863DC">
        <w:rPr>
          <w:sz w:val="22"/>
          <w:szCs w:val="22"/>
          <w:lang w:val="en-CA"/>
        </w:rPr>
        <w:t>, and potential grant revenue</w:t>
      </w:r>
      <w:r w:rsidR="00AB5539" w:rsidRPr="00A863DC">
        <w:rPr>
          <w:sz w:val="22"/>
          <w:szCs w:val="22"/>
          <w:lang w:val="en-CA"/>
        </w:rPr>
        <w:t>s</w:t>
      </w:r>
      <w:r w:rsidRPr="00A863DC">
        <w:rPr>
          <w:sz w:val="22"/>
          <w:szCs w:val="22"/>
          <w:lang w:val="en-CA"/>
        </w:rPr>
        <w:t xml:space="preserve">. Khan </w:t>
      </w:r>
      <w:r w:rsidR="00AB5539" w:rsidRPr="00A863DC">
        <w:rPr>
          <w:sz w:val="22"/>
          <w:szCs w:val="22"/>
          <w:lang w:val="en-CA"/>
        </w:rPr>
        <w:t>intended</w:t>
      </w:r>
      <w:r w:rsidRPr="00A863DC">
        <w:rPr>
          <w:sz w:val="22"/>
          <w:szCs w:val="22"/>
          <w:lang w:val="en-CA"/>
        </w:rPr>
        <w:t xml:space="preserve"> to exclude the personal donations</w:t>
      </w:r>
      <w:r w:rsidR="00AB5539" w:rsidRPr="00A863DC">
        <w:rPr>
          <w:sz w:val="22"/>
          <w:szCs w:val="22"/>
          <w:lang w:val="en-CA"/>
        </w:rPr>
        <w:t xml:space="preserve"> stream</w:t>
      </w:r>
      <w:r w:rsidRPr="00A863DC">
        <w:rPr>
          <w:sz w:val="22"/>
          <w:szCs w:val="22"/>
          <w:lang w:val="en-CA"/>
        </w:rPr>
        <w:t xml:space="preserve"> because it was harder to predict.</w:t>
      </w:r>
    </w:p>
    <w:p w14:paraId="521B9E1F" w14:textId="77777777" w:rsidR="002C6D84" w:rsidRPr="00A863DC" w:rsidRDefault="002C6D84" w:rsidP="002C6D84">
      <w:pPr>
        <w:widowControl w:val="0"/>
        <w:autoSpaceDE w:val="0"/>
        <w:autoSpaceDN w:val="0"/>
        <w:adjustRightInd w:val="0"/>
        <w:jc w:val="both"/>
        <w:rPr>
          <w:sz w:val="22"/>
          <w:szCs w:val="22"/>
          <w:lang w:val="en-CA"/>
        </w:rPr>
      </w:pPr>
    </w:p>
    <w:p w14:paraId="088DD991" w14:textId="7287D56D" w:rsidR="002C6D84" w:rsidRPr="00A863DC" w:rsidRDefault="002C6D84" w:rsidP="003E39C2">
      <w:pPr>
        <w:pStyle w:val="BodyTextMain"/>
        <w:rPr>
          <w:lang w:val="en-CA"/>
        </w:rPr>
      </w:pPr>
      <w:r w:rsidRPr="00A863DC">
        <w:rPr>
          <w:lang w:val="en-CA"/>
        </w:rPr>
        <w:t xml:space="preserve">In 2019, the </w:t>
      </w:r>
      <w:r w:rsidR="000E0EF4" w:rsidRPr="00A863DC">
        <w:rPr>
          <w:lang w:val="en-CA"/>
        </w:rPr>
        <w:t>b</w:t>
      </w:r>
      <w:r w:rsidRPr="00A863DC">
        <w:rPr>
          <w:lang w:val="en-CA"/>
        </w:rPr>
        <w:t xml:space="preserve">oard members planned to harvest one acre of land again, as they did in 2018. Nonetheless, Bloomfield anticipated crop revenue growth to be high. He predicted that crop sales would grow by 200 per cent in a low scenario and 400 per cent in a high scenario. He explained to Khan that this revenue growth </w:t>
      </w:r>
      <w:proofErr w:type="gramStart"/>
      <w:r w:rsidRPr="00A863DC">
        <w:rPr>
          <w:lang w:val="en-CA"/>
        </w:rPr>
        <w:t>would be driven</w:t>
      </w:r>
      <w:proofErr w:type="gramEnd"/>
      <w:r w:rsidRPr="00A863DC">
        <w:rPr>
          <w:lang w:val="en-CA"/>
        </w:rPr>
        <w:t xml:space="preserve"> by increasing the crop yield. This increase would be achieved through optimizing land use and extending the growing season (starting earlier and ending later</w:t>
      </w:r>
      <w:r w:rsidR="00375C06" w:rsidRPr="00A863DC">
        <w:rPr>
          <w:lang w:val="en-CA"/>
        </w:rPr>
        <w:t>, as the board members planned to begin planting at the beginning of April in 2019</w:t>
      </w:r>
      <w:r w:rsidRPr="00A863DC">
        <w:rPr>
          <w:lang w:val="en-CA"/>
        </w:rPr>
        <w:t xml:space="preserve">). He also communicated the </w:t>
      </w:r>
      <w:r w:rsidR="000E0EF4" w:rsidRPr="00A863DC">
        <w:rPr>
          <w:lang w:val="en-CA"/>
        </w:rPr>
        <w:t>b</w:t>
      </w:r>
      <w:r w:rsidRPr="00A863DC">
        <w:rPr>
          <w:lang w:val="en-CA"/>
        </w:rPr>
        <w:t xml:space="preserve">oard’s wish to grow revenues by increasing the percentage of the </w:t>
      </w:r>
      <w:r w:rsidR="00EB0B19" w:rsidRPr="00A863DC">
        <w:rPr>
          <w:lang w:val="en-CA"/>
        </w:rPr>
        <w:t>produce</w:t>
      </w:r>
      <w:r w:rsidRPr="00A863DC">
        <w:rPr>
          <w:lang w:val="en-CA"/>
        </w:rPr>
        <w:t xml:space="preserve"> sold at wholesale. </w:t>
      </w:r>
    </w:p>
    <w:p w14:paraId="6013BDC4" w14:textId="77777777" w:rsidR="007C37B2" w:rsidRPr="00A863DC" w:rsidRDefault="007C37B2" w:rsidP="003E39C2">
      <w:pPr>
        <w:pStyle w:val="BodyTextMain"/>
        <w:rPr>
          <w:lang w:val="en-CA"/>
        </w:rPr>
      </w:pPr>
    </w:p>
    <w:p w14:paraId="696BED20" w14:textId="39427B58" w:rsidR="002C6D84" w:rsidRPr="00A863DC" w:rsidRDefault="002C6D84" w:rsidP="003E39C2">
      <w:pPr>
        <w:pStyle w:val="BodyTextMain"/>
        <w:rPr>
          <w:lang w:val="en-CA"/>
        </w:rPr>
      </w:pPr>
      <w:r w:rsidRPr="00A863DC">
        <w:rPr>
          <w:lang w:val="en-CA"/>
        </w:rPr>
        <w:lastRenderedPageBreak/>
        <w:t>For these reasons, Bloomfield</w:t>
      </w:r>
      <w:r w:rsidR="009B186C" w:rsidRPr="00A863DC">
        <w:rPr>
          <w:lang w:val="en-CA"/>
        </w:rPr>
        <w:t xml:space="preserve"> </w:t>
      </w:r>
      <w:r w:rsidRPr="00A863DC">
        <w:rPr>
          <w:lang w:val="en-CA"/>
        </w:rPr>
        <w:t xml:space="preserve">estimated that the Harvest Dinner fundraising would grow by 25 per cent in a low scenario. In a high scenario, he forecasted that it would grow by 107 per cent, the same growth rate as 2017 to 2018. In the low scenario, Bloomfield believed that the </w:t>
      </w:r>
      <w:r w:rsidR="009B186C" w:rsidRPr="00A863DC">
        <w:rPr>
          <w:lang w:val="en-CA"/>
        </w:rPr>
        <w:t>b</w:t>
      </w:r>
      <w:r w:rsidRPr="00A863DC">
        <w:rPr>
          <w:lang w:val="en-CA"/>
        </w:rPr>
        <w:t xml:space="preserve">oard could maintain expenses associated with the Harvest Dinner </w:t>
      </w:r>
      <w:r w:rsidR="009B186C" w:rsidRPr="00A863DC">
        <w:rPr>
          <w:lang w:val="en-CA"/>
        </w:rPr>
        <w:t xml:space="preserve">at </w:t>
      </w:r>
      <w:r w:rsidRPr="00A863DC">
        <w:rPr>
          <w:lang w:val="en-CA"/>
        </w:rPr>
        <w:t>the same dollar</w:t>
      </w:r>
      <w:r w:rsidR="009B186C" w:rsidRPr="00A863DC">
        <w:rPr>
          <w:lang w:val="en-CA"/>
        </w:rPr>
        <w:t xml:space="preserve"> amount</w:t>
      </w:r>
      <w:r w:rsidRPr="00A863DC">
        <w:rPr>
          <w:lang w:val="en-CA"/>
        </w:rPr>
        <w:t xml:space="preserve"> as 2018. In the high scenario, Bloomfield anticipated spending $1,000 more than last year. He </w:t>
      </w:r>
      <w:r w:rsidR="009B186C" w:rsidRPr="00A863DC">
        <w:rPr>
          <w:lang w:val="en-CA"/>
        </w:rPr>
        <w:t xml:space="preserve">also </w:t>
      </w:r>
      <w:r w:rsidRPr="00A863DC">
        <w:rPr>
          <w:lang w:val="en-CA"/>
        </w:rPr>
        <w:t>believed that the 2018 corporate sponsorship dollar amount would double in both the low and high scenarios.</w:t>
      </w:r>
    </w:p>
    <w:p w14:paraId="6C74C5E1" w14:textId="77777777" w:rsidR="002C6D84" w:rsidRPr="00A863DC" w:rsidRDefault="002C6D84" w:rsidP="002C6D84">
      <w:pPr>
        <w:jc w:val="both"/>
        <w:rPr>
          <w:iCs/>
          <w:sz w:val="22"/>
          <w:szCs w:val="22"/>
          <w:lang w:val="en-CA"/>
        </w:rPr>
      </w:pPr>
    </w:p>
    <w:p w14:paraId="56D84019" w14:textId="1710189D" w:rsidR="002C6D84" w:rsidRPr="00A863DC" w:rsidRDefault="002C6D84" w:rsidP="002C6D84">
      <w:pPr>
        <w:jc w:val="both"/>
        <w:rPr>
          <w:color w:val="000000"/>
          <w:sz w:val="22"/>
          <w:szCs w:val="22"/>
          <w:lang w:val="en-CA"/>
        </w:rPr>
      </w:pPr>
      <w:r w:rsidRPr="00A863DC">
        <w:rPr>
          <w:iCs/>
          <w:sz w:val="22"/>
          <w:szCs w:val="22"/>
          <w:lang w:val="en-CA"/>
        </w:rPr>
        <w:t xml:space="preserve">Because </w:t>
      </w:r>
      <w:proofErr w:type="gramStart"/>
      <w:r w:rsidRPr="00A863DC">
        <w:rPr>
          <w:iCs/>
          <w:sz w:val="22"/>
          <w:szCs w:val="22"/>
          <w:lang w:val="en-CA"/>
        </w:rPr>
        <w:t>clean-up</w:t>
      </w:r>
      <w:proofErr w:type="gramEnd"/>
      <w:r w:rsidRPr="00A863DC">
        <w:rPr>
          <w:iCs/>
          <w:sz w:val="22"/>
          <w:szCs w:val="22"/>
          <w:lang w:val="en-CA"/>
        </w:rPr>
        <w:t xml:space="preserve"> and maintenance expenses were tied to crop operations, Bloomfield estimated that they would be the same per cent of crop revenues as </w:t>
      </w:r>
      <w:r w:rsidR="007C37B2" w:rsidRPr="00A863DC">
        <w:rPr>
          <w:iCs/>
          <w:sz w:val="22"/>
          <w:szCs w:val="22"/>
          <w:lang w:val="en-CA"/>
        </w:rPr>
        <w:t xml:space="preserve">in </w:t>
      </w:r>
      <w:r w:rsidRPr="00A863DC">
        <w:rPr>
          <w:iCs/>
          <w:sz w:val="22"/>
          <w:szCs w:val="22"/>
          <w:lang w:val="en-CA"/>
        </w:rPr>
        <w:t>2018. He expected to spend $3,000 on equipment and market rental in a low scenario and $4,000 in a high scenario.</w:t>
      </w:r>
      <w:r w:rsidRPr="00A863DC">
        <w:rPr>
          <w:color w:val="000000"/>
          <w:sz w:val="22"/>
          <w:szCs w:val="22"/>
          <w:lang w:val="en-CA"/>
        </w:rPr>
        <w:t xml:space="preserve"> Fuel costs </w:t>
      </w:r>
      <w:proofErr w:type="gramStart"/>
      <w:r w:rsidRPr="00A863DC">
        <w:rPr>
          <w:color w:val="000000"/>
          <w:sz w:val="22"/>
          <w:szCs w:val="22"/>
          <w:lang w:val="en-CA"/>
        </w:rPr>
        <w:t>were related</w:t>
      </w:r>
      <w:proofErr w:type="gramEnd"/>
      <w:r w:rsidRPr="00A863DC">
        <w:rPr>
          <w:color w:val="000000"/>
          <w:sz w:val="22"/>
          <w:szCs w:val="22"/>
          <w:lang w:val="en-CA"/>
        </w:rPr>
        <w:t xml:space="preserve"> to equipment and market rental. Bloomfield projected fuel costs to be the same per cent of equipment and market rental costs as it was in 2018. He anticipated general and administrative expenses to be $1,000. </w:t>
      </w:r>
    </w:p>
    <w:p w14:paraId="411FE68F" w14:textId="77777777" w:rsidR="002C6D84" w:rsidRPr="00A863DC" w:rsidRDefault="002C6D84" w:rsidP="002C6D84">
      <w:pPr>
        <w:jc w:val="both"/>
        <w:rPr>
          <w:color w:val="000000"/>
          <w:sz w:val="22"/>
          <w:szCs w:val="22"/>
          <w:lang w:val="en-CA"/>
        </w:rPr>
      </w:pPr>
    </w:p>
    <w:p w14:paraId="7FDCCFDE" w14:textId="1DE7AA4E" w:rsidR="002C6D84" w:rsidRPr="00A863DC" w:rsidRDefault="002C6D84" w:rsidP="002C6D84">
      <w:pPr>
        <w:jc w:val="both"/>
        <w:rPr>
          <w:sz w:val="22"/>
          <w:szCs w:val="22"/>
          <w:lang w:val="en-CA"/>
        </w:rPr>
      </w:pPr>
      <w:r w:rsidRPr="00A863DC">
        <w:rPr>
          <w:sz w:val="22"/>
          <w:szCs w:val="22"/>
          <w:lang w:val="en-CA"/>
        </w:rPr>
        <w:t xml:space="preserve">Expanding the </w:t>
      </w:r>
      <w:r w:rsidR="007C37B2" w:rsidRPr="00A863DC">
        <w:rPr>
          <w:sz w:val="22"/>
          <w:szCs w:val="22"/>
          <w:lang w:val="en-CA"/>
        </w:rPr>
        <w:t xml:space="preserve">business’s </w:t>
      </w:r>
      <w:r w:rsidRPr="00A863DC">
        <w:rPr>
          <w:sz w:val="22"/>
          <w:szCs w:val="22"/>
          <w:lang w:val="en-CA"/>
        </w:rPr>
        <w:t xml:space="preserve">asset base would increase </w:t>
      </w:r>
      <w:r w:rsidR="00EB0B19" w:rsidRPr="00A863DC">
        <w:rPr>
          <w:sz w:val="22"/>
          <w:szCs w:val="22"/>
          <w:lang w:val="en-CA"/>
        </w:rPr>
        <w:t>its</w:t>
      </w:r>
      <w:r w:rsidRPr="00A863DC">
        <w:rPr>
          <w:sz w:val="22"/>
          <w:szCs w:val="22"/>
          <w:lang w:val="en-CA"/>
        </w:rPr>
        <w:t xml:space="preserve"> liability exposure. As a result, Urban Roots’ insurance broker predicted an additional premium of $200 per annum. Naturally, an increase in the crop volume would require a rise in</w:t>
      </w:r>
      <w:r w:rsidR="009B186C" w:rsidRPr="00A863DC">
        <w:rPr>
          <w:sz w:val="22"/>
          <w:szCs w:val="22"/>
          <w:lang w:val="en-CA"/>
        </w:rPr>
        <w:t xml:space="preserve"> both</w:t>
      </w:r>
      <w:r w:rsidRPr="00A863DC">
        <w:rPr>
          <w:sz w:val="22"/>
          <w:szCs w:val="22"/>
          <w:lang w:val="en-CA"/>
        </w:rPr>
        <w:t xml:space="preserve"> the seeds</w:t>
      </w:r>
      <w:r w:rsidR="00EB0B19" w:rsidRPr="00A863DC">
        <w:rPr>
          <w:sz w:val="22"/>
          <w:szCs w:val="22"/>
          <w:lang w:val="en-CA"/>
        </w:rPr>
        <w:t>-</w:t>
      </w:r>
      <w:r w:rsidRPr="00A863DC">
        <w:rPr>
          <w:sz w:val="22"/>
          <w:szCs w:val="22"/>
          <w:lang w:val="en-CA"/>
        </w:rPr>
        <w:t>and</w:t>
      </w:r>
      <w:r w:rsidR="003A1E33" w:rsidRPr="00A863DC">
        <w:rPr>
          <w:sz w:val="22"/>
          <w:szCs w:val="22"/>
          <w:lang w:val="en-CA"/>
        </w:rPr>
        <w:t>-</w:t>
      </w:r>
      <w:r w:rsidRPr="00A863DC">
        <w:rPr>
          <w:sz w:val="22"/>
          <w:szCs w:val="22"/>
          <w:lang w:val="en-CA"/>
        </w:rPr>
        <w:t>seedlings expense and the supplies</w:t>
      </w:r>
      <w:r w:rsidR="003A1E33" w:rsidRPr="00A863DC">
        <w:rPr>
          <w:sz w:val="22"/>
          <w:szCs w:val="22"/>
          <w:lang w:val="en-CA"/>
        </w:rPr>
        <w:t>-</w:t>
      </w:r>
      <w:r w:rsidRPr="00A863DC">
        <w:rPr>
          <w:sz w:val="22"/>
          <w:szCs w:val="22"/>
          <w:lang w:val="en-CA"/>
        </w:rPr>
        <w:t>and</w:t>
      </w:r>
      <w:r w:rsidR="003A1E33" w:rsidRPr="00A863DC">
        <w:rPr>
          <w:sz w:val="22"/>
          <w:szCs w:val="22"/>
          <w:lang w:val="en-CA"/>
        </w:rPr>
        <w:t>-</w:t>
      </w:r>
      <w:r w:rsidRPr="00A863DC">
        <w:rPr>
          <w:sz w:val="22"/>
          <w:szCs w:val="22"/>
          <w:lang w:val="en-CA"/>
        </w:rPr>
        <w:t>small</w:t>
      </w:r>
      <w:r w:rsidR="003A1E33" w:rsidRPr="00A863DC">
        <w:rPr>
          <w:sz w:val="22"/>
          <w:szCs w:val="22"/>
          <w:lang w:val="en-CA"/>
        </w:rPr>
        <w:t>-</w:t>
      </w:r>
      <w:r w:rsidRPr="00A863DC">
        <w:rPr>
          <w:sz w:val="22"/>
          <w:szCs w:val="22"/>
          <w:lang w:val="en-CA"/>
        </w:rPr>
        <w:t>tools expense. In the low scenario, Bloomfield projected the seeds</w:t>
      </w:r>
      <w:r w:rsidR="003A1E33" w:rsidRPr="00A863DC">
        <w:rPr>
          <w:sz w:val="22"/>
          <w:szCs w:val="22"/>
          <w:lang w:val="en-CA"/>
        </w:rPr>
        <w:t>-</w:t>
      </w:r>
      <w:r w:rsidRPr="00A863DC">
        <w:rPr>
          <w:sz w:val="22"/>
          <w:szCs w:val="22"/>
          <w:lang w:val="en-CA"/>
        </w:rPr>
        <w:t>and</w:t>
      </w:r>
      <w:r w:rsidR="003A1E33" w:rsidRPr="00A863DC">
        <w:rPr>
          <w:sz w:val="22"/>
          <w:szCs w:val="22"/>
          <w:lang w:val="en-CA"/>
        </w:rPr>
        <w:t>-</w:t>
      </w:r>
      <w:r w:rsidRPr="00A863DC">
        <w:rPr>
          <w:sz w:val="22"/>
          <w:szCs w:val="22"/>
          <w:lang w:val="en-CA"/>
        </w:rPr>
        <w:t>seedlings expense to be $4,000 and the supplies</w:t>
      </w:r>
      <w:r w:rsidR="003A1E33" w:rsidRPr="00A863DC">
        <w:rPr>
          <w:sz w:val="22"/>
          <w:szCs w:val="22"/>
          <w:lang w:val="en-CA"/>
        </w:rPr>
        <w:t>-</w:t>
      </w:r>
      <w:r w:rsidRPr="00A863DC">
        <w:rPr>
          <w:sz w:val="22"/>
          <w:szCs w:val="22"/>
          <w:lang w:val="en-CA"/>
        </w:rPr>
        <w:t>and</w:t>
      </w:r>
      <w:r w:rsidR="003A1E33" w:rsidRPr="00A863DC">
        <w:rPr>
          <w:sz w:val="22"/>
          <w:szCs w:val="22"/>
          <w:lang w:val="en-CA"/>
        </w:rPr>
        <w:t>-</w:t>
      </w:r>
      <w:r w:rsidRPr="00A863DC">
        <w:rPr>
          <w:sz w:val="22"/>
          <w:szCs w:val="22"/>
          <w:lang w:val="en-CA"/>
        </w:rPr>
        <w:t>small</w:t>
      </w:r>
      <w:r w:rsidR="003A1E33" w:rsidRPr="00A863DC">
        <w:rPr>
          <w:sz w:val="22"/>
          <w:szCs w:val="22"/>
          <w:lang w:val="en-CA"/>
        </w:rPr>
        <w:t>-</w:t>
      </w:r>
      <w:r w:rsidRPr="00A863DC">
        <w:rPr>
          <w:sz w:val="22"/>
          <w:szCs w:val="22"/>
          <w:lang w:val="en-CA"/>
        </w:rPr>
        <w:t xml:space="preserve">tools expense to be $2,600. In the high scenario, Bloomfield expected each expense to increase by an additional $1,000 from the low scenario’s forecasts. The </w:t>
      </w:r>
      <w:r w:rsidR="009B186C" w:rsidRPr="00A863DC">
        <w:rPr>
          <w:sz w:val="22"/>
          <w:szCs w:val="22"/>
          <w:lang w:val="en-CA"/>
        </w:rPr>
        <w:t>b</w:t>
      </w:r>
      <w:r w:rsidRPr="00A863DC">
        <w:rPr>
          <w:sz w:val="22"/>
          <w:szCs w:val="22"/>
          <w:lang w:val="en-CA"/>
        </w:rPr>
        <w:t xml:space="preserve">oard agreed to increase the volunteer budget to $1,500 in 2019. In addition, the </w:t>
      </w:r>
      <w:r w:rsidR="009B186C" w:rsidRPr="00A863DC">
        <w:rPr>
          <w:sz w:val="22"/>
          <w:szCs w:val="22"/>
          <w:lang w:val="en-CA"/>
        </w:rPr>
        <w:t>b</w:t>
      </w:r>
      <w:r w:rsidRPr="00A863DC">
        <w:rPr>
          <w:sz w:val="22"/>
          <w:szCs w:val="22"/>
          <w:lang w:val="en-CA"/>
        </w:rPr>
        <w:t xml:space="preserve">oard planned to hire several student interns in 2019 to help with a variety of tasks involving both farm work and administrative work. The </w:t>
      </w:r>
      <w:r w:rsidR="009B186C" w:rsidRPr="00A863DC">
        <w:rPr>
          <w:sz w:val="22"/>
          <w:szCs w:val="22"/>
          <w:lang w:val="en-CA"/>
        </w:rPr>
        <w:t>b</w:t>
      </w:r>
      <w:r w:rsidRPr="00A863DC">
        <w:rPr>
          <w:sz w:val="22"/>
          <w:szCs w:val="22"/>
          <w:lang w:val="en-CA"/>
        </w:rPr>
        <w:t xml:space="preserve">oard agreed to budget a maximum of $40,000 for these students’ wages. Bloomfield predicted that interest expenses would total $200. He expected the rest of the expenses to remain the same dollar </w:t>
      </w:r>
      <w:r w:rsidR="005469E7" w:rsidRPr="00A863DC">
        <w:rPr>
          <w:sz w:val="22"/>
          <w:szCs w:val="22"/>
          <w:lang w:val="en-CA"/>
        </w:rPr>
        <w:t xml:space="preserve">amounts </w:t>
      </w:r>
      <w:r w:rsidRPr="00A863DC">
        <w:rPr>
          <w:sz w:val="22"/>
          <w:szCs w:val="22"/>
          <w:lang w:val="en-CA"/>
        </w:rPr>
        <w:t xml:space="preserve">as </w:t>
      </w:r>
      <w:r w:rsidR="007C37B2" w:rsidRPr="00A863DC">
        <w:rPr>
          <w:sz w:val="22"/>
          <w:szCs w:val="22"/>
          <w:lang w:val="en-CA"/>
        </w:rPr>
        <w:t xml:space="preserve">in </w:t>
      </w:r>
      <w:r w:rsidRPr="00A863DC">
        <w:rPr>
          <w:sz w:val="22"/>
          <w:szCs w:val="22"/>
          <w:lang w:val="en-CA"/>
        </w:rPr>
        <w:t>2018.</w:t>
      </w:r>
    </w:p>
    <w:p w14:paraId="551F6245" w14:textId="77777777" w:rsidR="002C6D84" w:rsidRPr="00A863DC" w:rsidRDefault="002C6D84" w:rsidP="002C6D84">
      <w:pPr>
        <w:jc w:val="both"/>
        <w:rPr>
          <w:sz w:val="22"/>
          <w:szCs w:val="22"/>
          <w:lang w:val="en-CA"/>
        </w:rPr>
      </w:pPr>
    </w:p>
    <w:p w14:paraId="3009DD30" w14:textId="77777777" w:rsidR="002C6D84" w:rsidRPr="00A863DC" w:rsidRDefault="002C6D84" w:rsidP="002C6D84">
      <w:pPr>
        <w:jc w:val="both"/>
        <w:rPr>
          <w:sz w:val="22"/>
          <w:szCs w:val="22"/>
          <w:lang w:val="en-CA"/>
        </w:rPr>
      </w:pPr>
    </w:p>
    <w:p w14:paraId="05775867" w14:textId="77777777" w:rsidR="002C6D84" w:rsidRPr="00A863DC" w:rsidRDefault="002C6D84" w:rsidP="002C6D84">
      <w:pPr>
        <w:jc w:val="both"/>
        <w:outlineLvl w:val="0"/>
        <w:rPr>
          <w:rFonts w:ascii="Arial" w:hAnsi="Arial" w:cs="Arial"/>
          <w:b/>
          <w:lang w:val="en-CA"/>
        </w:rPr>
      </w:pPr>
      <w:r w:rsidRPr="00A863DC">
        <w:rPr>
          <w:rFonts w:ascii="Arial" w:hAnsi="Arial" w:cs="Arial"/>
          <w:b/>
          <w:lang w:val="en-CA"/>
        </w:rPr>
        <w:t>Sensitivity</w:t>
      </w:r>
    </w:p>
    <w:p w14:paraId="4E87125A" w14:textId="77777777" w:rsidR="002C6D84" w:rsidRPr="00A863DC" w:rsidRDefault="002C6D84" w:rsidP="002C6D84">
      <w:pPr>
        <w:jc w:val="both"/>
        <w:rPr>
          <w:sz w:val="22"/>
          <w:szCs w:val="22"/>
          <w:lang w:val="en-CA"/>
        </w:rPr>
      </w:pPr>
    </w:p>
    <w:p w14:paraId="2ED7E39C" w14:textId="24EE4F8D" w:rsidR="002C6D84" w:rsidRPr="00A863DC" w:rsidRDefault="002C6D84" w:rsidP="002C6D84">
      <w:pPr>
        <w:jc w:val="both"/>
        <w:rPr>
          <w:sz w:val="22"/>
          <w:szCs w:val="22"/>
          <w:lang w:val="en-CA"/>
        </w:rPr>
      </w:pPr>
      <w:r w:rsidRPr="00A863DC">
        <w:rPr>
          <w:sz w:val="22"/>
          <w:szCs w:val="22"/>
          <w:lang w:val="en-CA"/>
        </w:rPr>
        <w:t>After completing her financial projections, Khan wished to perform a sensitivity analysis on a select revenue stream</w:t>
      </w:r>
      <w:r w:rsidRPr="00A863DC">
        <w:rPr>
          <w:color w:val="000000"/>
          <w:sz w:val="22"/>
          <w:szCs w:val="22"/>
          <w:lang w:val="en-CA"/>
        </w:rPr>
        <w:t xml:space="preserve">. The revenue stream that was </w:t>
      </w:r>
      <w:r w:rsidRPr="00A863DC">
        <w:rPr>
          <w:sz w:val="22"/>
          <w:szCs w:val="22"/>
          <w:lang w:val="en-CA"/>
        </w:rPr>
        <w:t xml:space="preserve">of most interest to Khan was crop revenue, largely because of the </w:t>
      </w:r>
      <w:r w:rsidR="009B186C" w:rsidRPr="00A863DC">
        <w:rPr>
          <w:sz w:val="22"/>
          <w:szCs w:val="22"/>
          <w:lang w:val="en-CA"/>
        </w:rPr>
        <w:t>b</w:t>
      </w:r>
      <w:r w:rsidRPr="00A863DC">
        <w:rPr>
          <w:sz w:val="22"/>
          <w:szCs w:val="22"/>
          <w:lang w:val="en-CA"/>
        </w:rPr>
        <w:t xml:space="preserve">oard’s long-term objective to cover its operating costs with </w:t>
      </w:r>
      <w:r w:rsidR="00F020B9" w:rsidRPr="00A863DC">
        <w:rPr>
          <w:sz w:val="22"/>
          <w:szCs w:val="22"/>
          <w:lang w:val="en-CA"/>
        </w:rPr>
        <w:t>the farm’s</w:t>
      </w:r>
      <w:r w:rsidRPr="00A863DC">
        <w:rPr>
          <w:sz w:val="22"/>
          <w:szCs w:val="22"/>
          <w:lang w:val="en-CA"/>
        </w:rPr>
        <w:t xml:space="preserve"> crop revenue. </w:t>
      </w:r>
    </w:p>
    <w:p w14:paraId="2B439424" w14:textId="77777777" w:rsidR="002C6D84" w:rsidRPr="00A863DC" w:rsidRDefault="002C6D84" w:rsidP="002C6D84">
      <w:pPr>
        <w:jc w:val="both"/>
        <w:rPr>
          <w:sz w:val="22"/>
          <w:szCs w:val="22"/>
          <w:lang w:val="en-CA"/>
        </w:rPr>
      </w:pPr>
    </w:p>
    <w:p w14:paraId="5A96F2F5" w14:textId="77777777" w:rsidR="002C6D84" w:rsidRPr="00A863DC" w:rsidRDefault="002C6D84" w:rsidP="002C6D84">
      <w:pPr>
        <w:jc w:val="both"/>
        <w:rPr>
          <w:sz w:val="22"/>
          <w:szCs w:val="22"/>
          <w:lang w:val="en-CA"/>
        </w:rPr>
      </w:pPr>
      <w:r w:rsidRPr="00A863DC">
        <w:rPr>
          <w:sz w:val="22"/>
          <w:szCs w:val="22"/>
          <w:lang w:val="en-CA"/>
        </w:rPr>
        <w:t xml:space="preserve">Bloomfield had projected that crop revenue would grow by 200 per cent in the low scenario. </w:t>
      </w:r>
      <w:r w:rsidRPr="00A863DC">
        <w:rPr>
          <w:color w:val="000000"/>
          <w:sz w:val="22"/>
          <w:szCs w:val="22"/>
          <w:lang w:val="en-CA"/>
        </w:rPr>
        <w:t xml:space="preserve">Wishing to test an even lower scenario, Khan decided to </w:t>
      </w:r>
      <w:r w:rsidRPr="00A863DC">
        <w:rPr>
          <w:sz w:val="22"/>
          <w:szCs w:val="22"/>
          <w:lang w:val="en-CA"/>
        </w:rPr>
        <w:t xml:space="preserve">test a </w:t>
      </w:r>
      <w:r w:rsidRPr="00A863DC">
        <w:rPr>
          <w:color w:val="000000"/>
          <w:sz w:val="22"/>
          <w:szCs w:val="22"/>
          <w:lang w:val="en-CA"/>
        </w:rPr>
        <w:t>growth rate of 100 per cent</w:t>
      </w:r>
      <w:r w:rsidRPr="00A863DC">
        <w:rPr>
          <w:sz w:val="22"/>
          <w:szCs w:val="22"/>
          <w:lang w:val="en-CA"/>
        </w:rPr>
        <w:t>, with all other factors remaining the same.</w:t>
      </w:r>
    </w:p>
    <w:p w14:paraId="6BF37E96" w14:textId="77777777" w:rsidR="002C6D84" w:rsidRPr="00A863DC" w:rsidRDefault="002C6D84" w:rsidP="002C6D84">
      <w:pPr>
        <w:jc w:val="both"/>
        <w:rPr>
          <w:sz w:val="22"/>
          <w:szCs w:val="22"/>
          <w:lang w:val="en-CA"/>
        </w:rPr>
      </w:pPr>
    </w:p>
    <w:p w14:paraId="774C3BAC" w14:textId="77777777" w:rsidR="002C6D84" w:rsidRPr="00A863DC" w:rsidRDefault="002C6D84" w:rsidP="002C6D84">
      <w:pPr>
        <w:jc w:val="both"/>
        <w:rPr>
          <w:sz w:val="22"/>
          <w:szCs w:val="22"/>
          <w:lang w:val="en-CA"/>
        </w:rPr>
      </w:pPr>
    </w:p>
    <w:p w14:paraId="429A2700" w14:textId="77777777" w:rsidR="002C6D84" w:rsidRPr="00A863DC" w:rsidRDefault="002C6D84" w:rsidP="003E39C2">
      <w:pPr>
        <w:pStyle w:val="Casehead1"/>
        <w:rPr>
          <w:iCs/>
          <w:sz w:val="22"/>
          <w:szCs w:val="22"/>
          <w:lang w:val="en-CA"/>
        </w:rPr>
      </w:pPr>
      <w:r w:rsidRPr="00A863DC">
        <w:rPr>
          <w:lang w:val="en-CA"/>
        </w:rPr>
        <w:t>DECISION</w:t>
      </w:r>
    </w:p>
    <w:p w14:paraId="2ED70C09" w14:textId="77777777" w:rsidR="002C6D84" w:rsidRPr="00A863DC" w:rsidRDefault="002C6D84" w:rsidP="002C6D84">
      <w:pPr>
        <w:jc w:val="both"/>
        <w:rPr>
          <w:iCs/>
          <w:sz w:val="22"/>
          <w:szCs w:val="22"/>
          <w:lang w:val="en-CA"/>
        </w:rPr>
      </w:pPr>
    </w:p>
    <w:p w14:paraId="0AF5715E" w14:textId="77777777" w:rsidR="002C6D84" w:rsidRPr="00A863DC" w:rsidRDefault="002C6D84" w:rsidP="002C6D84">
      <w:pPr>
        <w:jc w:val="both"/>
        <w:rPr>
          <w:spacing w:val="-4"/>
          <w:kern w:val="22"/>
          <w:sz w:val="22"/>
          <w:szCs w:val="22"/>
          <w:lang w:val="en-CA"/>
        </w:rPr>
      </w:pPr>
      <w:r w:rsidRPr="00A863DC">
        <w:rPr>
          <w:spacing w:val="-4"/>
          <w:kern w:val="22"/>
          <w:sz w:val="22"/>
          <w:szCs w:val="22"/>
          <w:lang w:val="en-CA"/>
        </w:rPr>
        <w:t xml:space="preserve">As Khan continued her winter walk, she mulled over the analysis that had to </w:t>
      </w:r>
      <w:proofErr w:type="gramStart"/>
      <w:r w:rsidRPr="00A863DC">
        <w:rPr>
          <w:spacing w:val="-4"/>
          <w:kern w:val="22"/>
          <w:sz w:val="22"/>
          <w:szCs w:val="22"/>
          <w:lang w:val="en-CA"/>
        </w:rPr>
        <w:t>be done</w:t>
      </w:r>
      <w:proofErr w:type="gramEnd"/>
      <w:r w:rsidRPr="00A863DC">
        <w:rPr>
          <w:spacing w:val="-4"/>
          <w:kern w:val="22"/>
          <w:sz w:val="22"/>
          <w:szCs w:val="22"/>
          <w:lang w:val="en-CA"/>
        </w:rPr>
        <w:t xml:space="preserve"> within the next four hours. She knew that she needed to consider both Urban Roots’ financial feasibility and its social impact in her decision. </w:t>
      </w:r>
    </w:p>
    <w:p w14:paraId="050ACA31" w14:textId="77777777" w:rsidR="002C6D84" w:rsidRPr="00A863DC" w:rsidRDefault="002C6D84" w:rsidP="002C6D84">
      <w:pPr>
        <w:pStyle w:val="BodyTextMain"/>
        <w:rPr>
          <w:lang w:val="en-CA"/>
        </w:rPr>
      </w:pPr>
    </w:p>
    <w:p w14:paraId="09FB5F45" w14:textId="0B9F1C68" w:rsidR="002C6D84" w:rsidRPr="00A863DC" w:rsidRDefault="002C6D84" w:rsidP="002C6D84">
      <w:pPr>
        <w:pStyle w:val="BodyTextMain"/>
        <w:rPr>
          <w:lang w:val="en-CA"/>
        </w:rPr>
      </w:pPr>
      <w:r w:rsidRPr="00A863DC">
        <w:rPr>
          <w:lang w:val="en-CA"/>
        </w:rPr>
        <w:t xml:space="preserve">This </w:t>
      </w:r>
      <w:proofErr w:type="gramStart"/>
      <w:r w:rsidRPr="00A863DC">
        <w:rPr>
          <w:lang w:val="en-CA"/>
        </w:rPr>
        <w:t>was work that</w:t>
      </w:r>
      <w:proofErr w:type="gramEnd"/>
      <w:r w:rsidRPr="00A863DC">
        <w:rPr>
          <w:lang w:val="en-CA"/>
        </w:rPr>
        <w:t xml:space="preserve"> could not be completed on an empty stomach. She quickened her pace as she walked toward home. </w:t>
      </w:r>
      <w:r w:rsidR="003A1E33" w:rsidRPr="00A863DC">
        <w:rPr>
          <w:lang w:val="en-CA"/>
        </w:rPr>
        <w:t>A s</w:t>
      </w:r>
      <w:r w:rsidRPr="00A863DC">
        <w:rPr>
          <w:lang w:val="en-CA"/>
        </w:rPr>
        <w:t>hort</w:t>
      </w:r>
      <w:r w:rsidR="003A1E33" w:rsidRPr="00A863DC">
        <w:rPr>
          <w:lang w:val="en-CA"/>
        </w:rPr>
        <w:t xml:space="preserve"> while</w:t>
      </w:r>
      <w:r w:rsidRPr="00A863DC">
        <w:rPr>
          <w:lang w:val="en-CA"/>
        </w:rPr>
        <w:t xml:space="preserve"> later, sitting in front of a steaming bowl of vegetable soup, Khan pulled out the Urban Roots file and began her final analysis.</w:t>
      </w:r>
    </w:p>
    <w:p w14:paraId="2C183161" w14:textId="51C9A268" w:rsidR="002C6D84" w:rsidRPr="00A863DC" w:rsidRDefault="002C6D84">
      <w:pPr>
        <w:spacing w:after="200" w:line="276" w:lineRule="auto"/>
        <w:rPr>
          <w:rFonts w:ascii="Arial" w:hAnsi="Arial" w:cs="Arial"/>
          <w:b/>
          <w:caps/>
          <w:lang w:val="en-CA"/>
        </w:rPr>
      </w:pPr>
      <w:r w:rsidRPr="00A863DC">
        <w:rPr>
          <w:lang w:val="en-CA"/>
        </w:rPr>
        <w:br w:type="page"/>
      </w:r>
    </w:p>
    <w:p w14:paraId="76F331A5" w14:textId="6AE86B39" w:rsidR="002C6D84" w:rsidRPr="00A863DC" w:rsidRDefault="002C6D84" w:rsidP="003E39C2">
      <w:pPr>
        <w:pStyle w:val="ExhibitHeading"/>
        <w:rPr>
          <w:lang w:val="en-CA"/>
        </w:rPr>
      </w:pPr>
      <w:r w:rsidRPr="00A863DC">
        <w:rPr>
          <w:lang w:val="en-CA"/>
        </w:rPr>
        <w:lastRenderedPageBreak/>
        <w:t>Exhibit 1: STATEMENT OF EARNINGS For the years ending December 31</w:t>
      </w:r>
      <w:r w:rsidR="0076060E" w:rsidRPr="00A863DC">
        <w:rPr>
          <w:lang w:val="en-CA"/>
        </w:rPr>
        <w:t xml:space="preserve"> (CA$)</w:t>
      </w:r>
    </w:p>
    <w:p w14:paraId="6AC47682" w14:textId="77777777" w:rsidR="002C6D84" w:rsidRPr="00A863DC" w:rsidRDefault="002C6D84" w:rsidP="002C6D84">
      <w:pPr>
        <w:pStyle w:val="ExhibitText"/>
        <w:rPr>
          <w:lang w:val="en-CA"/>
        </w:rPr>
      </w:pPr>
    </w:p>
    <w:tbl>
      <w:tblPr>
        <w:tblW w:w="43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7"/>
        <w:gridCol w:w="1348"/>
        <w:gridCol w:w="1260"/>
        <w:gridCol w:w="1260"/>
        <w:gridCol w:w="1260"/>
      </w:tblGrid>
      <w:tr w:rsidR="002C6D84" w:rsidRPr="00A863DC" w14:paraId="09F1609B" w14:textId="77777777" w:rsidTr="009F67C0">
        <w:trPr>
          <w:trHeight w:val="280"/>
          <w:jc w:val="center"/>
        </w:trPr>
        <w:tc>
          <w:tcPr>
            <w:tcW w:w="1833" w:type="pct"/>
            <w:shd w:val="clear" w:color="auto" w:fill="auto"/>
            <w:noWrap/>
            <w:vAlign w:val="bottom"/>
            <w:hideMark/>
          </w:tcPr>
          <w:p w14:paraId="2E770625" w14:textId="77777777" w:rsidR="002C6D84" w:rsidRPr="00A863DC" w:rsidRDefault="002C6D84" w:rsidP="003614D1">
            <w:pPr>
              <w:rPr>
                <w:rFonts w:ascii="Arial" w:hAnsi="Arial" w:cs="Arial"/>
                <w:lang w:val="en-CA"/>
              </w:rPr>
            </w:pPr>
          </w:p>
        </w:tc>
        <w:tc>
          <w:tcPr>
            <w:tcW w:w="1611" w:type="pct"/>
            <w:gridSpan w:val="2"/>
            <w:shd w:val="clear" w:color="auto" w:fill="auto"/>
            <w:noWrap/>
            <w:vAlign w:val="center"/>
            <w:hideMark/>
          </w:tcPr>
          <w:p w14:paraId="27338412" w14:textId="77777777" w:rsidR="002C6D84" w:rsidRPr="00A863DC" w:rsidRDefault="002C6D84" w:rsidP="00B2313A">
            <w:pPr>
              <w:jc w:val="center"/>
              <w:rPr>
                <w:rFonts w:ascii="Arial" w:hAnsi="Arial" w:cs="Arial"/>
                <w:b/>
                <w:bCs/>
                <w:lang w:val="en-CA"/>
              </w:rPr>
            </w:pPr>
            <w:r w:rsidRPr="00A863DC">
              <w:rPr>
                <w:rFonts w:ascii="Arial" w:hAnsi="Arial" w:cs="Arial"/>
                <w:b/>
                <w:bCs/>
                <w:lang w:val="en-CA"/>
              </w:rPr>
              <w:t>2018</w:t>
            </w:r>
          </w:p>
        </w:tc>
        <w:tc>
          <w:tcPr>
            <w:tcW w:w="1557" w:type="pct"/>
            <w:gridSpan w:val="2"/>
            <w:shd w:val="clear" w:color="auto" w:fill="auto"/>
            <w:noWrap/>
            <w:vAlign w:val="center"/>
            <w:hideMark/>
          </w:tcPr>
          <w:p w14:paraId="7E5E7D14" w14:textId="77777777" w:rsidR="002C6D84" w:rsidRPr="00A863DC" w:rsidRDefault="002C6D84">
            <w:pPr>
              <w:jc w:val="center"/>
              <w:rPr>
                <w:rFonts w:ascii="Arial" w:hAnsi="Arial" w:cs="Arial"/>
                <w:b/>
                <w:bCs/>
                <w:lang w:val="en-CA"/>
              </w:rPr>
            </w:pPr>
            <w:r w:rsidRPr="00A863DC">
              <w:rPr>
                <w:rFonts w:ascii="Arial" w:hAnsi="Arial" w:cs="Arial"/>
                <w:b/>
                <w:bCs/>
                <w:lang w:val="en-CA"/>
              </w:rPr>
              <w:t>2017</w:t>
            </w:r>
          </w:p>
        </w:tc>
      </w:tr>
      <w:tr w:rsidR="002C6D84" w:rsidRPr="00A863DC" w14:paraId="332FDB73" w14:textId="77777777" w:rsidTr="009F67C0">
        <w:trPr>
          <w:trHeight w:val="300"/>
          <w:jc w:val="center"/>
        </w:trPr>
        <w:tc>
          <w:tcPr>
            <w:tcW w:w="5000" w:type="pct"/>
            <w:gridSpan w:val="5"/>
            <w:shd w:val="clear" w:color="auto" w:fill="auto"/>
            <w:noWrap/>
            <w:vAlign w:val="center"/>
            <w:hideMark/>
          </w:tcPr>
          <w:p w14:paraId="2F74E988" w14:textId="19AA3821" w:rsidR="002C6D84" w:rsidRPr="00A863DC" w:rsidRDefault="002C6D84" w:rsidP="00B2313A">
            <w:pPr>
              <w:rPr>
                <w:rFonts w:ascii="Arial" w:hAnsi="Arial" w:cs="Arial"/>
                <w:lang w:val="en-CA"/>
              </w:rPr>
            </w:pPr>
            <w:r w:rsidRPr="00A863DC">
              <w:rPr>
                <w:rFonts w:ascii="Arial" w:hAnsi="Arial" w:cs="Arial"/>
                <w:b/>
                <w:bCs/>
                <w:lang w:val="en-CA"/>
              </w:rPr>
              <w:t>Revenue</w:t>
            </w:r>
          </w:p>
        </w:tc>
      </w:tr>
      <w:tr w:rsidR="002C6D84" w:rsidRPr="00A863DC" w14:paraId="45A5C87F" w14:textId="77777777" w:rsidTr="009F67C0">
        <w:trPr>
          <w:trHeight w:val="300"/>
          <w:jc w:val="center"/>
        </w:trPr>
        <w:tc>
          <w:tcPr>
            <w:tcW w:w="1833" w:type="pct"/>
            <w:shd w:val="clear" w:color="auto" w:fill="auto"/>
            <w:noWrap/>
            <w:vAlign w:val="center"/>
            <w:hideMark/>
          </w:tcPr>
          <w:p w14:paraId="5760A856" w14:textId="57AA2F62" w:rsidR="002C6D84" w:rsidRPr="00A863DC" w:rsidRDefault="002C6D84" w:rsidP="00B2313A">
            <w:pPr>
              <w:rPr>
                <w:rFonts w:ascii="Arial" w:hAnsi="Arial" w:cs="Arial"/>
                <w:lang w:val="en-CA"/>
              </w:rPr>
            </w:pPr>
            <w:r w:rsidRPr="00A863DC">
              <w:rPr>
                <w:rFonts w:ascii="Arial" w:hAnsi="Arial" w:cs="Arial"/>
                <w:lang w:val="en-CA"/>
              </w:rPr>
              <w:t>Crop</w:t>
            </w:r>
          </w:p>
        </w:tc>
        <w:tc>
          <w:tcPr>
            <w:tcW w:w="833" w:type="pct"/>
            <w:shd w:val="clear" w:color="auto" w:fill="auto"/>
            <w:noWrap/>
            <w:vAlign w:val="center"/>
            <w:hideMark/>
          </w:tcPr>
          <w:p w14:paraId="3226C7DB" w14:textId="196AED50" w:rsidR="002C6D84" w:rsidRPr="00A863DC" w:rsidRDefault="002C6D84">
            <w:pPr>
              <w:jc w:val="right"/>
              <w:rPr>
                <w:rFonts w:ascii="Arial" w:hAnsi="Arial" w:cs="Arial"/>
                <w:lang w:val="en-CA"/>
              </w:rPr>
            </w:pPr>
            <w:r w:rsidRPr="00A863DC">
              <w:rPr>
                <w:rFonts w:ascii="Arial" w:hAnsi="Arial" w:cs="Arial"/>
                <w:lang w:val="en-CA"/>
              </w:rPr>
              <w:t xml:space="preserve"> 5,250 </w:t>
            </w:r>
          </w:p>
        </w:tc>
        <w:tc>
          <w:tcPr>
            <w:tcW w:w="778" w:type="pct"/>
            <w:shd w:val="clear" w:color="auto" w:fill="auto"/>
            <w:noWrap/>
            <w:vAlign w:val="center"/>
            <w:hideMark/>
          </w:tcPr>
          <w:p w14:paraId="14CDE385" w14:textId="77777777" w:rsidR="002C6D84" w:rsidRPr="00A863DC" w:rsidRDefault="002C6D84">
            <w:pPr>
              <w:jc w:val="right"/>
              <w:rPr>
                <w:rFonts w:ascii="Arial" w:hAnsi="Arial" w:cs="Arial"/>
                <w:lang w:val="en-CA"/>
              </w:rPr>
            </w:pPr>
            <w:r w:rsidRPr="00A863DC">
              <w:rPr>
                <w:rFonts w:ascii="Arial" w:hAnsi="Arial" w:cs="Arial"/>
                <w:lang w:val="en-CA"/>
              </w:rPr>
              <w:t>10.6%</w:t>
            </w:r>
          </w:p>
        </w:tc>
        <w:tc>
          <w:tcPr>
            <w:tcW w:w="778" w:type="pct"/>
            <w:shd w:val="clear" w:color="auto" w:fill="auto"/>
            <w:noWrap/>
            <w:vAlign w:val="center"/>
            <w:hideMark/>
          </w:tcPr>
          <w:p w14:paraId="399E1951" w14:textId="361EDAB3" w:rsidR="002C6D84" w:rsidRPr="00A863DC" w:rsidRDefault="002C6D84">
            <w:pPr>
              <w:jc w:val="right"/>
              <w:rPr>
                <w:rFonts w:ascii="Arial" w:hAnsi="Arial" w:cs="Arial"/>
                <w:lang w:val="en-CA"/>
              </w:rPr>
            </w:pPr>
            <w:r w:rsidRPr="00A863DC">
              <w:rPr>
                <w:rFonts w:ascii="Arial" w:hAnsi="Arial" w:cs="Arial"/>
                <w:lang w:val="en-CA"/>
              </w:rPr>
              <w:t xml:space="preserve">524 </w:t>
            </w:r>
          </w:p>
        </w:tc>
        <w:tc>
          <w:tcPr>
            <w:tcW w:w="778" w:type="pct"/>
            <w:shd w:val="clear" w:color="auto" w:fill="auto"/>
            <w:noWrap/>
            <w:vAlign w:val="center"/>
            <w:hideMark/>
          </w:tcPr>
          <w:p w14:paraId="013E1484" w14:textId="77777777" w:rsidR="002C6D84" w:rsidRPr="00A863DC" w:rsidRDefault="002C6D84">
            <w:pPr>
              <w:jc w:val="right"/>
              <w:rPr>
                <w:rFonts w:ascii="Arial" w:hAnsi="Arial" w:cs="Arial"/>
                <w:color w:val="000000"/>
                <w:lang w:val="en-CA"/>
              </w:rPr>
            </w:pPr>
            <w:r w:rsidRPr="00A863DC">
              <w:rPr>
                <w:rFonts w:ascii="Arial" w:hAnsi="Arial" w:cs="Arial"/>
                <w:color w:val="000000"/>
                <w:lang w:val="en-CA"/>
              </w:rPr>
              <w:t>3.6%</w:t>
            </w:r>
          </w:p>
        </w:tc>
      </w:tr>
      <w:tr w:rsidR="002C6D84" w:rsidRPr="00A863DC" w14:paraId="51BB2C37" w14:textId="77777777" w:rsidTr="009F67C0">
        <w:trPr>
          <w:trHeight w:val="300"/>
          <w:jc w:val="center"/>
        </w:trPr>
        <w:tc>
          <w:tcPr>
            <w:tcW w:w="1833" w:type="pct"/>
            <w:shd w:val="clear" w:color="auto" w:fill="auto"/>
            <w:noWrap/>
            <w:vAlign w:val="center"/>
            <w:hideMark/>
          </w:tcPr>
          <w:p w14:paraId="7BA62879" w14:textId="36E89553" w:rsidR="002C6D84" w:rsidRPr="00A863DC" w:rsidRDefault="002C6D84" w:rsidP="00B2313A">
            <w:pPr>
              <w:rPr>
                <w:rFonts w:ascii="Arial" w:hAnsi="Arial" w:cs="Arial"/>
                <w:lang w:val="en-CA"/>
              </w:rPr>
            </w:pPr>
            <w:r w:rsidRPr="00A863DC">
              <w:rPr>
                <w:rFonts w:ascii="Arial" w:hAnsi="Arial" w:cs="Arial"/>
                <w:lang w:val="en-CA"/>
              </w:rPr>
              <w:t xml:space="preserve">Harvest Dinner </w:t>
            </w:r>
          </w:p>
        </w:tc>
        <w:tc>
          <w:tcPr>
            <w:tcW w:w="833" w:type="pct"/>
            <w:shd w:val="clear" w:color="auto" w:fill="auto"/>
            <w:noWrap/>
            <w:vAlign w:val="center"/>
            <w:hideMark/>
          </w:tcPr>
          <w:p w14:paraId="306B9D7F" w14:textId="0620530D" w:rsidR="002C6D84" w:rsidRPr="00A863DC" w:rsidRDefault="002C6D84">
            <w:pPr>
              <w:jc w:val="right"/>
              <w:rPr>
                <w:rFonts w:ascii="Arial" w:hAnsi="Arial" w:cs="Arial"/>
                <w:lang w:val="en-CA"/>
              </w:rPr>
            </w:pPr>
            <w:r w:rsidRPr="00A863DC">
              <w:rPr>
                <w:rFonts w:ascii="Arial" w:hAnsi="Arial" w:cs="Arial"/>
                <w:lang w:val="en-CA"/>
              </w:rPr>
              <w:t xml:space="preserve">16,091 </w:t>
            </w:r>
          </w:p>
        </w:tc>
        <w:tc>
          <w:tcPr>
            <w:tcW w:w="778" w:type="pct"/>
            <w:shd w:val="clear" w:color="auto" w:fill="auto"/>
            <w:noWrap/>
            <w:vAlign w:val="center"/>
            <w:hideMark/>
          </w:tcPr>
          <w:p w14:paraId="2B85EE93" w14:textId="77777777" w:rsidR="002C6D84" w:rsidRPr="00A863DC" w:rsidRDefault="002C6D84">
            <w:pPr>
              <w:jc w:val="right"/>
              <w:rPr>
                <w:rFonts w:ascii="Arial" w:hAnsi="Arial" w:cs="Arial"/>
                <w:lang w:val="en-CA"/>
              </w:rPr>
            </w:pPr>
            <w:r w:rsidRPr="00A863DC">
              <w:rPr>
                <w:rFonts w:ascii="Arial" w:hAnsi="Arial" w:cs="Arial"/>
                <w:lang w:val="en-CA"/>
              </w:rPr>
              <w:t>32.4%</w:t>
            </w:r>
          </w:p>
        </w:tc>
        <w:tc>
          <w:tcPr>
            <w:tcW w:w="778" w:type="pct"/>
            <w:shd w:val="clear" w:color="auto" w:fill="auto"/>
            <w:noWrap/>
            <w:vAlign w:val="center"/>
            <w:hideMark/>
          </w:tcPr>
          <w:p w14:paraId="4C1E4449" w14:textId="101EA4FC" w:rsidR="002C6D84" w:rsidRPr="00A863DC" w:rsidRDefault="002C6D84">
            <w:pPr>
              <w:jc w:val="right"/>
              <w:rPr>
                <w:rFonts w:ascii="Arial" w:hAnsi="Arial" w:cs="Arial"/>
                <w:lang w:val="en-CA"/>
              </w:rPr>
            </w:pPr>
            <w:r w:rsidRPr="00A863DC">
              <w:rPr>
                <w:rFonts w:ascii="Arial" w:hAnsi="Arial" w:cs="Arial"/>
                <w:lang w:val="en-CA"/>
              </w:rPr>
              <w:t xml:space="preserve">7,781 </w:t>
            </w:r>
          </w:p>
        </w:tc>
        <w:tc>
          <w:tcPr>
            <w:tcW w:w="778" w:type="pct"/>
            <w:shd w:val="clear" w:color="auto" w:fill="auto"/>
            <w:noWrap/>
            <w:vAlign w:val="center"/>
            <w:hideMark/>
          </w:tcPr>
          <w:p w14:paraId="402E77EA" w14:textId="77777777" w:rsidR="002C6D84" w:rsidRPr="00A863DC" w:rsidRDefault="002C6D84">
            <w:pPr>
              <w:jc w:val="right"/>
              <w:rPr>
                <w:rFonts w:ascii="Arial" w:hAnsi="Arial" w:cs="Arial"/>
                <w:color w:val="000000"/>
                <w:lang w:val="en-CA"/>
              </w:rPr>
            </w:pPr>
            <w:r w:rsidRPr="00A863DC">
              <w:rPr>
                <w:rFonts w:ascii="Arial" w:hAnsi="Arial" w:cs="Arial"/>
                <w:color w:val="000000"/>
                <w:lang w:val="en-CA"/>
              </w:rPr>
              <w:t>53.0%</w:t>
            </w:r>
          </w:p>
        </w:tc>
      </w:tr>
      <w:tr w:rsidR="002C6D84" w:rsidRPr="00A863DC" w14:paraId="68ACA9AB" w14:textId="77777777" w:rsidTr="009F67C0">
        <w:trPr>
          <w:trHeight w:val="300"/>
          <w:jc w:val="center"/>
        </w:trPr>
        <w:tc>
          <w:tcPr>
            <w:tcW w:w="1833" w:type="pct"/>
            <w:shd w:val="clear" w:color="auto" w:fill="auto"/>
            <w:noWrap/>
            <w:vAlign w:val="center"/>
            <w:hideMark/>
          </w:tcPr>
          <w:p w14:paraId="43FEA1F6" w14:textId="13B57004" w:rsidR="002C6D84" w:rsidRPr="00A863DC" w:rsidRDefault="002C6D84" w:rsidP="00B2313A">
            <w:pPr>
              <w:rPr>
                <w:rFonts w:ascii="Arial" w:hAnsi="Arial" w:cs="Arial"/>
                <w:lang w:val="en-CA"/>
              </w:rPr>
            </w:pPr>
            <w:r w:rsidRPr="00A863DC">
              <w:rPr>
                <w:rFonts w:ascii="Arial" w:hAnsi="Arial" w:cs="Arial"/>
                <w:lang w:val="en-CA"/>
              </w:rPr>
              <w:t>Personal donations</w:t>
            </w:r>
          </w:p>
        </w:tc>
        <w:tc>
          <w:tcPr>
            <w:tcW w:w="833" w:type="pct"/>
            <w:shd w:val="clear" w:color="auto" w:fill="auto"/>
            <w:noWrap/>
            <w:vAlign w:val="center"/>
            <w:hideMark/>
          </w:tcPr>
          <w:p w14:paraId="1A982214" w14:textId="5C2BA576" w:rsidR="002C6D84" w:rsidRPr="00A863DC" w:rsidRDefault="002C6D84">
            <w:pPr>
              <w:jc w:val="right"/>
              <w:rPr>
                <w:rFonts w:ascii="Arial" w:hAnsi="Arial" w:cs="Arial"/>
                <w:lang w:val="en-CA"/>
              </w:rPr>
            </w:pPr>
            <w:r w:rsidRPr="00A863DC">
              <w:rPr>
                <w:rFonts w:ascii="Arial" w:hAnsi="Arial" w:cs="Arial"/>
                <w:lang w:val="en-CA"/>
              </w:rPr>
              <w:t xml:space="preserve">22,868 </w:t>
            </w:r>
          </w:p>
        </w:tc>
        <w:tc>
          <w:tcPr>
            <w:tcW w:w="778" w:type="pct"/>
            <w:shd w:val="clear" w:color="auto" w:fill="auto"/>
            <w:noWrap/>
            <w:vAlign w:val="center"/>
            <w:hideMark/>
          </w:tcPr>
          <w:p w14:paraId="59600639" w14:textId="77777777" w:rsidR="002C6D84" w:rsidRPr="00A863DC" w:rsidRDefault="002C6D84">
            <w:pPr>
              <w:jc w:val="right"/>
              <w:rPr>
                <w:rFonts w:ascii="Arial" w:hAnsi="Arial" w:cs="Arial"/>
                <w:lang w:val="en-CA"/>
              </w:rPr>
            </w:pPr>
            <w:r w:rsidRPr="00A863DC">
              <w:rPr>
                <w:rFonts w:ascii="Arial" w:hAnsi="Arial" w:cs="Arial"/>
                <w:lang w:val="en-CA"/>
              </w:rPr>
              <w:t>46.0%</w:t>
            </w:r>
          </w:p>
        </w:tc>
        <w:tc>
          <w:tcPr>
            <w:tcW w:w="778" w:type="pct"/>
            <w:shd w:val="clear" w:color="auto" w:fill="auto"/>
            <w:noWrap/>
            <w:vAlign w:val="center"/>
            <w:hideMark/>
          </w:tcPr>
          <w:p w14:paraId="53DB91F2" w14:textId="02AC0495" w:rsidR="002C6D84" w:rsidRPr="00A863DC" w:rsidRDefault="002C6D84">
            <w:pPr>
              <w:jc w:val="right"/>
              <w:rPr>
                <w:rFonts w:ascii="Arial" w:hAnsi="Arial" w:cs="Arial"/>
                <w:lang w:val="en-CA"/>
              </w:rPr>
            </w:pPr>
            <w:r w:rsidRPr="00A863DC">
              <w:rPr>
                <w:rFonts w:ascii="Arial" w:hAnsi="Arial" w:cs="Arial"/>
                <w:lang w:val="en-CA"/>
              </w:rPr>
              <w:t xml:space="preserve">3,876 </w:t>
            </w:r>
          </w:p>
        </w:tc>
        <w:tc>
          <w:tcPr>
            <w:tcW w:w="778" w:type="pct"/>
            <w:shd w:val="clear" w:color="auto" w:fill="auto"/>
            <w:noWrap/>
            <w:vAlign w:val="center"/>
            <w:hideMark/>
          </w:tcPr>
          <w:p w14:paraId="297AD791" w14:textId="77777777" w:rsidR="002C6D84" w:rsidRPr="00A863DC" w:rsidRDefault="002C6D84">
            <w:pPr>
              <w:jc w:val="right"/>
              <w:rPr>
                <w:rFonts w:ascii="Arial" w:hAnsi="Arial" w:cs="Arial"/>
                <w:color w:val="000000"/>
                <w:lang w:val="en-CA"/>
              </w:rPr>
            </w:pPr>
            <w:r w:rsidRPr="00A863DC">
              <w:rPr>
                <w:rFonts w:ascii="Arial" w:hAnsi="Arial" w:cs="Arial"/>
                <w:color w:val="000000"/>
                <w:lang w:val="en-CA"/>
              </w:rPr>
              <w:t>26.4%</w:t>
            </w:r>
          </w:p>
        </w:tc>
      </w:tr>
      <w:tr w:rsidR="002C6D84" w:rsidRPr="00A863DC" w14:paraId="48163FA3" w14:textId="77777777" w:rsidTr="009F67C0">
        <w:trPr>
          <w:trHeight w:val="300"/>
          <w:jc w:val="center"/>
        </w:trPr>
        <w:tc>
          <w:tcPr>
            <w:tcW w:w="1833" w:type="pct"/>
            <w:shd w:val="clear" w:color="auto" w:fill="auto"/>
            <w:noWrap/>
            <w:vAlign w:val="center"/>
            <w:hideMark/>
          </w:tcPr>
          <w:p w14:paraId="71068C0A" w14:textId="3296FB48" w:rsidR="002C6D84" w:rsidRPr="00A863DC" w:rsidRDefault="002C6D84" w:rsidP="00B2313A">
            <w:pPr>
              <w:rPr>
                <w:rFonts w:ascii="Arial" w:hAnsi="Arial" w:cs="Arial"/>
                <w:lang w:val="en-CA"/>
              </w:rPr>
            </w:pPr>
            <w:r w:rsidRPr="00A863DC">
              <w:rPr>
                <w:rFonts w:ascii="Arial" w:hAnsi="Arial" w:cs="Arial"/>
                <w:lang w:val="en-CA"/>
              </w:rPr>
              <w:t xml:space="preserve">Corporate sponsorship </w:t>
            </w:r>
          </w:p>
        </w:tc>
        <w:tc>
          <w:tcPr>
            <w:tcW w:w="833" w:type="pct"/>
            <w:shd w:val="clear" w:color="auto" w:fill="auto"/>
            <w:noWrap/>
            <w:vAlign w:val="center"/>
            <w:hideMark/>
          </w:tcPr>
          <w:p w14:paraId="2337595D" w14:textId="2B4E2C5A" w:rsidR="002C6D84" w:rsidRPr="00A863DC" w:rsidRDefault="002C6D84">
            <w:pPr>
              <w:jc w:val="right"/>
              <w:rPr>
                <w:rFonts w:ascii="Arial" w:hAnsi="Arial" w:cs="Arial"/>
                <w:lang w:val="en-CA"/>
              </w:rPr>
            </w:pPr>
            <w:r w:rsidRPr="00A863DC">
              <w:rPr>
                <w:rFonts w:ascii="Arial" w:hAnsi="Arial" w:cs="Arial"/>
                <w:lang w:val="en-CA"/>
              </w:rPr>
              <w:t xml:space="preserve">5,500 </w:t>
            </w:r>
          </w:p>
        </w:tc>
        <w:tc>
          <w:tcPr>
            <w:tcW w:w="778" w:type="pct"/>
            <w:shd w:val="clear" w:color="auto" w:fill="auto"/>
            <w:noWrap/>
            <w:vAlign w:val="center"/>
            <w:hideMark/>
          </w:tcPr>
          <w:p w14:paraId="1D6C16D6" w14:textId="77777777" w:rsidR="002C6D84" w:rsidRPr="00A863DC" w:rsidRDefault="002C6D84">
            <w:pPr>
              <w:jc w:val="right"/>
              <w:rPr>
                <w:rFonts w:ascii="Arial" w:hAnsi="Arial" w:cs="Arial"/>
                <w:lang w:val="en-CA"/>
              </w:rPr>
            </w:pPr>
            <w:r w:rsidRPr="00A863DC">
              <w:rPr>
                <w:rFonts w:ascii="Arial" w:hAnsi="Arial" w:cs="Arial"/>
                <w:lang w:val="en-CA"/>
              </w:rPr>
              <w:t>11.1%</w:t>
            </w:r>
          </w:p>
        </w:tc>
        <w:tc>
          <w:tcPr>
            <w:tcW w:w="778" w:type="pct"/>
            <w:shd w:val="clear" w:color="auto" w:fill="auto"/>
            <w:noWrap/>
            <w:vAlign w:val="center"/>
            <w:hideMark/>
          </w:tcPr>
          <w:p w14:paraId="56B4BF3F" w14:textId="1C3881FA" w:rsidR="002C6D84" w:rsidRPr="00A863DC" w:rsidRDefault="002C6D84">
            <w:pPr>
              <w:jc w:val="right"/>
              <w:rPr>
                <w:rFonts w:ascii="Arial" w:hAnsi="Arial" w:cs="Arial"/>
                <w:lang w:val="en-CA"/>
              </w:rPr>
            </w:pPr>
            <w:r w:rsidRPr="00A863DC">
              <w:rPr>
                <w:rFonts w:ascii="Arial" w:hAnsi="Arial" w:cs="Arial"/>
                <w:lang w:val="en-CA"/>
              </w:rPr>
              <w:t xml:space="preserve">2,500 </w:t>
            </w:r>
          </w:p>
        </w:tc>
        <w:tc>
          <w:tcPr>
            <w:tcW w:w="778" w:type="pct"/>
            <w:shd w:val="clear" w:color="auto" w:fill="auto"/>
            <w:noWrap/>
            <w:vAlign w:val="center"/>
            <w:hideMark/>
          </w:tcPr>
          <w:p w14:paraId="6F19B3DE" w14:textId="77777777" w:rsidR="002C6D84" w:rsidRPr="00A863DC" w:rsidRDefault="002C6D84">
            <w:pPr>
              <w:jc w:val="right"/>
              <w:rPr>
                <w:rFonts w:ascii="Arial" w:hAnsi="Arial" w:cs="Arial"/>
                <w:color w:val="000000"/>
                <w:lang w:val="en-CA"/>
              </w:rPr>
            </w:pPr>
            <w:r w:rsidRPr="00A863DC">
              <w:rPr>
                <w:rFonts w:ascii="Arial" w:hAnsi="Arial" w:cs="Arial"/>
                <w:color w:val="000000"/>
                <w:lang w:val="en-CA"/>
              </w:rPr>
              <w:t>17.0%</w:t>
            </w:r>
          </w:p>
        </w:tc>
      </w:tr>
      <w:tr w:rsidR="002C6D84" w:rsidRPr="00A863DC" w14:paraId="15AD375C" w14:textId="77777777" w:rsidTr="009F67C0">
        <w:trPr>
          <w:trHeight w:val="300"/>
          <w:jc w:val="center"/>
        </w:trPr>
        <w:tc>
          <w:tcPr>
            <w:tcW w:w="1833" w:type="pct"/>
            <w:shd w:val="clear" w:color="auto" w:fill="auto"/>
            <w:noWrap/>
            <w:vAlign w:val="center"/>
            <w:hideMark/>
          </w:tcPr>
          <w:p w14:paraId="189430F3" w14:textId="77777777" w:rsidR="002C6D84" w:rsidRPr="00A863DC" w:rsidRDefault="002C6D84" w:rsidP="00B2313A">
            <w:pPr>
              <w:rPr>
                <w:rFonts w:ascii="Arial" w:hAnsi="Arial" w:cs="Arial"/>
                <w:bCs/>
                <w:lang w:val="en-CA"/>
              </w:rPr>
            </w:pPr>
            <w:r w:rsidRPr="00A863DC">
              <w:rPr>
                <w:rFonts w:ascii="Arial" w:hAnsi="Arial" w:cs="Arial"/>
                <w:bCs/>
                <w:lang w:val="en-CA"/>
              </w:rPr>
              <w:t>Total revenue</w:t>
            </w:r>
          </w:p>
        </w:tc>
        <w:tc>
          <w:tcPr>
            <w:tcW w:w="833" w:type="pct"/>
            <w:shd w:val="clear" w:color="auto" w:fill="auto"/>
            <w:noWrap/>
            <w:vAlign w:val="center"/>
            <w:hideMark/>
          </w:tcPr>
          <w:p w14:paraId="0826A0DD" w14:textId="58B8C730" w:rsidR="002C6D84" w:rsidRPr="00A863DC" w:rsidRDefault="002C6D84">
            <w:pPr>
              <w:jc w:val="right"/>
              <w:rPr>
                <w:rFonts w:ascii="Arial" w:hAnsi="Arial" w:cs="Arial"/>
                <w:lang w:val="en-CA"/>
              </w:rPr>
            </w:pPr>
            <w:r w:rsidRPr="00A863DC">
              <w:rPr>
                <w:rFonts w:ascii="Arial" w:hAnsi="Arial" w:cs="Arial"/>
                <w:lang w:val="en-CA"/>
              </w:rPr>
              <w:t xml:space="preserve"> 49,709 </w:t>
            </w:r>
          </w:p>
        </w:tc>
        <w:tc>
          <w:tcPr>
            <w:tcW w:w="778" w:type="pct"/>
            <w:shd w:val="clear" w:color="auto" w:fill="auto"/>
            <w:noWrap/>
            <w:vAlign w:val="center"/>
            <w:hideMark/>
          </w:tcPr>
          <w:p w14:paraId="4CF5F5CE" w14:textId="77777777" w:rsidR="002C6D84" w:rsidRPr="00A863DC" w:rsidRDefault="002C6D84">
            <w:pPr>
              <w:jc w:val="right"/>
              <w:rPr>
                <w:rFonts w:ascii="Arial" w:hAnsi="Arial" w:cs="Arial"/>
                <w:lang w:val="en-CA"/>
              </w:rPr>
            </w:pPr>
            <w:r w:rsidRPr="00A863DC">
              <w:rPr>
                <w:rFonts w:ascii="Arial" w:hAnsi="Arial" w:cs="Arial"/>
                <w:lang w:val="en-CA"/>
              </w:rPr>
              <w:t>100.0%</w:t>
            </w:r>
          </w:p>
        </w:tc>
        <w:tc>
          <w:tcPr>
            <w:tcW w:w="778" w:type="pct"/>
            <w:shd w:val="clear" w:color="auto" w:fill="auto"/>
            <w:noWrap/>
            <w:vAlign w:val="center"/>
            <w:hideMark/>
          </w:tcPr>
          <w:p w14:paraId="12E3D088" w14:textId="43BE6530" w:rsidR="002C6D84" w:rsidRPr="00A863DC" w:rsidRDefault="002C6D84">
            <w:pPr>
              <w:jc w:val="right"/>
              <w:rPr>
                <w:rFonts w:ascii="Arial" w:hAnsi="Arial" w:cs="Arial"/>
                <w:lang w:val="en-CA"/>
              </w:rPr>
            </w:pPr>
            <w:r w:rsidRPr="00A863DC">
              <w:rPr>
                <w:rFonts w:ascii="Arial" w:hAnsi="Arial" w:cs="Arial"/>
                <w:lang w:val="en-CA"/>
              </w:rPr>
              <w:t xml:space="preserve">14,681 </w:t>
            </w:r>
          </w:p>
        </w:tc>
        <w:tc>
          <w:tcPr>
            <w:tcW w:w="778" w:type="pct"/>
            <w:shd w:val="clear" w:color="auto" w:fill="auto"/>
            <w:noWrap/>
            <w:vAlign w:val="center"/>
            <w:hideMark/>
          </w:tcPr>
          <w:p w14:paraId="48C3AC13" w14:textId="77777777" w:rsidR="002C6D84" w:rsidRPr="00A863DC" w:rsidRDefault="002C6D84">
            <w:pPr>
              <w:jc w:val="right"/>
              <w:rPr>
                <w:rFonts w:ascii="Arial" w:hAnsi="Arial" w:cs="Arial"/>
                <w:lang w:val="en-CA"/>
              </w:rPr>
            </w:pPr>
            <w:r w:rsidRPr="00A863DC">
              <w:rPr>
                <w:rFonts w:ascii="Arial" w:hAnsi="Arial" w:cs="Arial"/>
                <w:lang w:val="en-CA"/>
              </w:rPr>
              <w:t>100.0%</w:t>
            </w:r>
          </w:p>
        </w:tc>
      </w:tr>
      <w:tr w:rsidR="002C6D84" w:rsidRPr="00A863DC" w14:paraId="62E92178" w14:textId="77777777" w:rsidTr="009F67C0">
        <w:trPr>
          <w:trHeight w:val="300"/>
          <w:jc w:val="center"/>
        </w:trPr>
        <w:tc>
          <w:tcPr>
            <w:tcW w:w="5000" w:type="pct"/>
            <w:gridSpan w:val="5"/>
            <w:shd w:val="clear" w:color="auto" w:fill="auto"/>
            <w:noWrap/>
            <w:vAlign w:val="center"/>
            <w:hideMark/>
          </w:tcPr>
          <w:p w14:paraId="305FB680" w14:textId="7A3CB9BA" w:rsidR="002C6D84" w:rsidRPr="00A863DC" w:rsidRDefault="002C6D84" w:rsidP="00B2313A">
            <w:pPr>
              <w:rPr>
                <w:rFonts w:ascii="Arial" w:hAnsi="Arial" w:cs="Arial"/>
                <w:lang w:val="en-CA"/>
              </w:rPr>
            </w:pPr>
            <w:r w:rsidRPr="00A863DC">
              <w:rPr>
                <w:rFonts w:ascii="Arial" w:hAnsi="Arial" w:cs="Arial"/>
                <w:b/>
                <w:bCs/>
                <w:color w:val="000000"/>
                <w:lang w:val="en-CA"/>
              </w:rPr>
              <w:t xml:space="preserve">Operating </w:t>
            </w:r>
            <w:r w:rsidR="00BA471C" w:rsidRPr="00A863DC">
              <w:rPr>
                <w:rFonts w:ascii="Arial" w:hAnsi="Arial" w:cs="Arial"/>
                <w:b/>
                <w:bCs/>
                <w:color w:val="000000"/>
                <w:lang w:val="en-CA"/>
              </w:rPr>
              <w:t>e</w:t>
            </w:r>
            <w:r w:rsidRPr="00A863DC">
              <w:rPr>
                <w:rFonts w:ascii="Arial" w:hAnsi="Arial" w:cs="Arial"/>
                <w:b/>
                <w:bCs/>
                <w:color w:val="000000"/>
                <w:lang w:val="en-CA"/>
              </w:rPr>
              <w:t>xpenses¹</w:t>
            </w:r>
          </w:p>
        </w:tc>
      </w:tr>
      <w:tr w:rsidR="002C6D84" w:rsidRPr="00A863DC" w14:paraId="78B693D1" w14:textId="77777777" w:rsidTr="009F67C0">
        <w:trPr>
          <w:trHeight w:val="300"/>
          <w:jc w:val="center"/>
        </w:trPr>
        <w:tc>
          <w:tcPr>
            <w:tcW w:w="1833" w:type="pct"/>
            <w:shd w:val="clear" w:color="auto" w:fill="auto"/>
            <w:noWrap/>
            <w:vAlign w:val="center"/>
            <w:hideMark/>
          </w:tcPr>
          <w:p w14:paraId="6E39FF49" w14:textId="6532CAFA" w:rsidR="002C6D84" w:rsidRPr="00A863DC" w:rsidRDefault="002C6D84" w:rsidP="00B2313A">
            <w:pPr>
              <w:rPr>
                <w:rFonts w:ascii="Arial" w:hAnsi="Arial" w:cs="Arial"/>
                <w:lang w:val="en-CA"/>
              </w:rPr>
            </w:pPr>
            <w:r w:rsidRPr="00A863DC">
              <w:rPr>
                <w:rFonts w:ascii="Arial" w:hAnsi="Arial" w:cs="Arial"/>
                <w:lang w:val="en-CA"/>
              </w:rPr>
              <w:t xml:space="preserve">Clean-up &amp; maintenance </w:t>
            </w:r>
          </w:p>
        </w:tc>
        <w:tc>
          <w:tcPr>
            <w:tcW w:w="833" w:type="pct"/>
            <w:shd w:val="clear" w:color="auto" w:fill="auto"/>
            <w:noWrap/>
            <w:vAlign w:val="center"/>
            <w:hideMark/>
          </w:tcPr>
          <w:p w14:paraId="4203961F" w14:textId="06AE05DE" w:rsidR="002C6D84" w:rsidRPr="00A863DC" w:rsidRDefault="002C6D84">
            <w:pPr>
              <w:jc w:val="right"/>
              <w:rPr>
                <w:rFonts w:ascii="Arial" w:hAnsi="Arial" w:cs="Arial"/>
                <w:lang w:val="en-CA"/>
              </w:rPr>
            </w:pPr>
            <w:r w:rsidRPr="00A863DC">
              <w:rPr>
                <w:rFonts w:ascii="Arial" w:hAnsi="Arial" w:cs="Arial"/>
                <w:lang w:val="en-CA"/>
              </w:rPr>
              <w:t xml:space="preserve">580 </w:t>
            </w:r>
          </w:p>
        </w:tc>
        <w:tc>
          <w:tcPr>
            <w:tcW w:w="778" w:type="pct"/>
            <w:shd w:val="clear" w:color="auto" w:fill="auto"/>
            <w:noWrap/>
            <w:vAlign w:val="center"/>
            <w:hideMark/>
          </w:tcPr>
          <w:p w14:paraId="1EA2EDD1" w14:textId="77777777" w:rsidR="002C6D84" w:rsidRPr="00A863DC" w:rsidRDefault="002C6D84">
            <w:pPr>
              <w:jc w:val="right"/>
              <w:rPr>
                <w:rFonts w:ascii="Arial" w:hAnsi="Arial" w:cs="Arial"/>
                <w:lang w:val="en-CA"/>
              </w:rPr>
            </w:pPr>
            <w:r w:rsidRPr="00A863DC">
              <w:rPr>
                <w:rFonts w:ascii="Arial" w:hAnsi="Arial" w:cs="Arial"/>
                <w:lang w:val="en-CA"/>
              </w:rPr>
              <w:t>1.2%</w:t>
            </w:r>
          </w:p>
        </w:tc>
        <w:tc>
          <w:tcPr>
            <w:tcW w:w="778" w:type="pct"/>
            <w:shd w:val="clear" w:color="auto" w:fill="auto"/>
            <w:noWrap/>
            <w:vAlign w:val="center"/>
            <w:hideMark/>
          </w:tcPr>
          <w:p w14:paraId="6B8A3A7F" w14:textId="5D23BB56" w:rsidR="002C6D84" w:rsidRPr="00A863DC" w:rsidRDefault="002C6D84">
            <w:pPr>
              <w:jc w:val="right"/>
              <w:rPr>
                <w:rFonts w:ascii="Arial" w:hAnsi="Arial" w:cs="Arial"/>
                <w:lang w:val="en-CA"/>
              </w:rPr>
            </w:pPr>
            <w:r w:rsidRPr="00A863DC">
              <w:rPr>
                <w:rFonts w:ascii="Arial" w:hAnsi="Arial" w:cs="Arial"/>
                <w:lang w:val="en-CA"/>
              </w:rPr>
              <w:t xml:space="preserve">441 </w:t>
            </w:r>
          </w:p>
        </w:tc>
        <w:tc>
          <w:tcPr>
            <w:tcW w:w="778" w:type="pct"/>
            <w:shd w:val="clear" w:color="auto" w:fill="auto"/>
            <w:noWrap/>
            <w:vAlign w:val="center"/>
            <w:hideMark/>
          </w:tcPr>
          <w:p w14:paraId="30F31698" w14:textId="77777777" w:rsidR="002C6D84" w:rsidRPr="00A863DC" w:rsidRDefault="002C6D84">
            <w:pPr>
              <w:jc w:val="right"/>
              <w:rPr>
                <w:rFonts w:ascii="Arial" w:hAnsi="Arial" w:cs="Arial"/>
                <w:lang w:val="en-CA"/>
              </w:rPr>
            </w:pPr>
            <w:r w:rsidRPr="00A863DC">
              <w:rPr>
                <w:rFonts w:ascii="Arial" w:hAnsi="Arial" w:cs="Arial"/>
                <w:lang w:val="en-CA"/>
              </w:rPr>
              <w:t>3.0%</w:t>
            </w:r>
          </w:p>
        </w:tc>
      </w:tr>
      <w:tr w:rsidR="002C6D84" w:rsidRPr="00A863DC" w14:paraId="0F51882D" w14:textId="77777777" w:rsidTr="009F67C0">
        <w:trPr>
          <w:trHeight w:val="300"/>
          <w:jc w:val="center"/>
        </w:trPr>
        <w:tc>
          <w:tcPr>
            <w:tcW w:w="1833" w:type="pct"/>
            <w:shd w:val="clear" w:color="auto" w:fill="auto"/>
            <w:noWrap/>
            <w:vAlign w:val="center"/>
            <w:hideMark/>
          </w:tcPr>
          <w:p w14:paraId="4A94770D" w14:textId="68A1C025" w:rsidR="002C6D84" w:rsidRPr="00A863DC" w:rsidRDefault="002C6D84" w:rsidP="00B2313A">
            <w:pPr>
              <w:rPr>
                <w:rFonts w:ascii="Arial" w:hAnsi="Arial" w:cs="Arial"/>
                <w:lang w:val="en-CA"/>
              </w:rPr>
            </w:pPr>
            <w:r w:rsidRPr="00A863DC">
              <w:rPr>
                <w:rFonts w:ascii="Arial" w:hAnsi="Arial" w:cs="Arial"/>
                <w:lang w:val="en-CA"/>
              </w:rPr>
              <w:t>Depreciation</w:t>
            </w:r>
          </w:p>
        </w:tc>
        <w:tc>
          <w:tcPr>
            <w:tcW w:w="833" w:type="pct"/>
            <w:shd w:val="clear" w:color="auto" w:fill="auto"/>
            <w:noWrap/>
            <w:vAlign w:val="center"/>
            <w:hideMark/>
          </w:tcPr>
          <w:p w14:paraId="3CA8107B" w14:textId="332E54EE" w:rsidR="002C6D84" w:rsidRPr="00A863DC" w:rsidRDefault="002C6D84">
            <w:pPr>
              <w:jc w:val="right"/>
              <w:rPr>
                <w:rFonts w:ascii="Arial" w:hAnsi="Arial" w:cs="Arial"/>
                <w:color w:val="000000"/>
                <w:lang w:val="en-CA"/>
              </w:rPr>
            </w:pPr>
            <w:r w:rsidRPr="00A863DC">
              <w:rPr>
                <w:rFonts w:ascii="Arial" w:hAnsi="Arial" w:cs="Arial"/>
                <w:color w:val="000000"/>
                <w:lang w:val="en-CA"/>
              </w:rPr>
              <w:t xml:space="preserve">1,470 </w:t>
            </w:r>
          </w:p>
        </w:tc>
        <w:tc>
          <w:tcPr>
            <w:tcW w:w="778" w:type="pct"/>
            <w:shd w:val="clear" w:color="auto" w:fill="auto"/>
            <w:noWrap/>
            <w:vAlign w:val="center"/>
            <w:hideMark/>
          </w:tcPr>
          <w:p w14:paraId="168D0199" w14:textId="77777777" w:rsidR="002C6D84" w:rsidRPr="00A863DC" w:rsidRDefault="002C6D84">
            <w:pPr>
              <w:jc w:val="right"/>
              <w:rPr>
                <w:rFonts w:ascii="Arial" w:hAnsi="Arial" w:cs="Arial"/>
                <w:lang w:val="en-CA"/>
              </w:rPr>
            </w:pPr>
            <w:r w:rsidRPr="00A863DC">
              <w:rPr>
                <w:rFonts w:ascii="Arial" w:hAnsi="Arial" w:cs="Arial"/>
                <w:lang w:val="en-CA"/>
              </w:rPr>
              <w:t>3.0%</w:t>
            </w:r>
          </w:p>
        </w:tc>
        <w:tc>
          <w:tcPr>
            <w:tcW w:w="778" w:type="pct"/>
            <w:shd w:val="clear" w:color="auto" w:fill="auto"/>
            <w:noWrap/>
            <w:vAlign w:val="center"/>
            <w:hideMark/>
          </w:tcPr>
          <w:p w14:paraId="3A8305ED" w14:textId="59ECBC60" w:rsidR="002C6D84" w:rsidRPr="00A863DC" w:rsidRDefault="002C6D84">
            <w:pPr>
              <w:jc w:val="right"/>
              <w:rPr>
                <w:rFonts w:ascii="Arial" w:hAnsi="Arial" w:cs="Arial"/>
                <w:color w:val="000000"/>
                <w:lang w:val="en-CA"/>
              </w:rPr>
            </w:pPr>
            <w:r w:rsidRPr="00A863DC">
              <w:rPr>
                <w:rFonts w:ascii="Arial" w:hAnsi="Arial" w:cs="Arial"/>
                <w:color w:val="000000"/>
                <w:lang w:val="en-CA"/>
              </w:rPr>
              <w:t xml:space="preserve">566 </w:t>
            </w:r>
          </w:p>
        </w:tc>
        <w:tc>
          <w:tcPr>
            <w:tcW w:w="778" w:type="pct"/>
            <w:shd w:val="clear" w:color="auto" w:fill="auto"/>
            <w:noWrap/>
            <w:vAlign w:val="center"/>
            <w:hideMark/>
          </w:tcPr>
          <w:p w14:paraId="4F87298B" w14:textId="77777777" w:rsidR="002C6D84" w:rsidRPr="00A863DC" w:rsidRDefault="002C6D84">
            <w:pPr>
              <w:jc w:val="right"/>
              <w:rPr>
                <w:rFonts w:ascii="Arial" w:hAnsi="Arial" w:cs="Arial"/>
                <w:lang w:val="en-CA"/>
              </w:rPr>
            </w:pPr>
            <w:r w:rsidRPr="00A863DC">
              <w:rPr>
                <w:rFonts w:ascii="Arial" w:hAnsi="Arial" w:cs="Arial"/>
                <w:lang w:val="en-CA"/>
              </w:rPr>
              <w:t>3.9%</w:t>
            </w:r>
          </w:p>
        </w:tc>
      </w:tr>
      <w:tr w:rsidR="002C6D84" w:rsidRPr="00A863DC" w14:paraId="476A245A" w14:textId="77777777" w:rsidTr="009F67C0">
        <w:trPr>
          <w:trHeight w:val="300"/>
          <w:jc w:val="center"/>
        </w:trPr>
        <w:tc>
          <w:tcPr>
            <w:tcW w:w="1833" w:type="pct"/>
            <w:shd w:val="clear" w:color="auto" w:fill="auto"/>
            <w:noWrap/>
            <w:vAlign w:val="center"/>
            <w:hideMark/>
          </w:tcPr>
          <w:p w14:paraId="02D617B1" w14:textId="205537CA" w:rsidR="002C6D84" w:rsidRPr="00A863DC" w:rsidRDefault="002C6D84" w:rsidP="00B2313A">
            <w:pPr>
              <w:rPr>
                <w:rFonts w:ascii="Arial" w:hAnsi="Arial" w:cs="Arial"/>
                <w:lang w:val="en-CA"/>
              </w:rPr>
            </w:pPr>
            <w:r w:rsidRPr="00A863DC">
              <w:rPr>
                <w:rFonts w:ascii="Arial" w:hAnsi="Arial" w:cs="Arial"/>
                <w:lang w:val="en-CA"/>
              </w:rPr>
              <w:t>Equipment &amp; market rental</w:t>
            </w:r>
          </w:p>
        </w:tc>
        <w:tc>
          <w:tcPr>
            <w:tcW w:w="833" w:type="pct"/>
            <w:shd w:val="clear" w:color="auto" w:fill="auto"/>
            <w:noWrap/>
            <w:vAlign w:val="center"/>
            <w:hideMark/>
          </w:tcPr>
          <w:p w14:paraId="6A579E11" w14:textId="137D05D5" w:rsidR="002C6D84" w:rsidRPr="00A863DC" w:rsidRDefault="002C6D84">
            <w:pPr>
              <w:jc w:val="right"/>
              <w:rPr>
                <w:rFonts w:ascii="Arial" w:hAnsi="Arial" w:cs="Arial"/>
                <w:lang w:val="en-CA"/>
              </w:rPr>
            </w:pPr>
            <w:r w:rsidRPr="00A863DC">
              <w:rPr>
                <w:rFonts w:ascii="Arial" w:hAnsi="Arial" w:cs="Arial"/>
                <w:lang w:val="en-CA"/>
              </w:rPr>
              <w:t xml:space="preserve">2,000 </w:t>
            </w:r>
          </w:p>
        </w:tc>
        <w:tc>
          <w:tcPr>
            <w:tcW w:w="778" w:type="pct"/>
            <w:shd w:val="clear" w:color="auto" w:fill="auto"/>
            <w:noWrap/>
            <w:vAlign w:val="center"/>
            <w:hideMark/>
          </w:tcPr>
          <w:p w14:paraId="3E57D7EE" w14:textId="77777777" w:rsidR="002C6D84" w:rsidRPr="00A863DC" w:rsidRDefault="002C6D84">
            <w:pPr>
              <w:jc w:val="right"/>
              <w:rPr>
                <w:rFonts w:ascii="Arial" w:hAnsi="Arial" w:cs="Arial"/>
                <w:lang w:val="en-CA"/>
              </w:rPr>
            </w:pPr>
            <w:r w:rsidRPr="00A863DC">
              <w:rPr>
                <w:rFonts w:ascii="Arial" w:hAnsi="Arial" w:cs="Arial"/>
                <w:lang w:val="en-CA"/>
              </w:rPr>
              <w:t>4.0%</w:t>
            </w:r>
          </w:p>
        </w:tc>
        <w:tc>
          <w:tcPr>
            <w:tcW w:w="778" w:type="pct"/>
            <w:shd w:val="clear" w:color="auto" w:fill="auto"/>
            <w:noWrap/>
            <w:vAlign w:val="center"/>
            <w:hideMark/>
          </w:tcPr>
          <w:p w14:paraId="4B03A991" w14:textId="6A039706" w:rsidR="002C6D84" w:rsidRPr="00A863DC" w:rsidRDefault="002C6D84">
            <w:pPr>
              <w:jc w:val="right"/>
              <w:rPr>
                <w:rFonts w:ascii="Arial" w:hAnsi="Arial" w:cs="Arial"/>
                <w:lang w:val="en-CA"/>
              </w:rPr>
            </w:pPr>
            <w:r w:rsidRPr="00A863DC">
              <w:rPr>
                <w:rFonts w:ascii="Arial" w:hAnsi="Arial" w:cs="Arial"/>
                <w:lang w:val="en-CA"/>
              </w:rPr>
              <w:t xml:space="preserve">700 </w:t>
            </w:r>
          </w:p>
        </w:tc>
        <w:tc>
          <w:tcPr>
            <w:tcW w:w="778" w:type="pct"/>
            <w:shd w:val="clear" w:color="auto" w:fill="auto"/>
            <w:noWrap/>
            <w:vAlign w:val="center"/>
            <w:hideMark/>
          </w:tcPr>
          <w:p w14:paraId="668CECED" w14:textId="77777777" w:rsidR="002C6D84" w:rsidRPr="00A863DC" w:rsidRDefault="002C6D84">
            <w:pPr>
              <w:jc w:val="right"/>
              <w:rPr>
                <w:rFonts w:ascii="Arial" w:hAnsi="Arial" w:cs="Arial"/>
                <w:lang w:val="en-CA"/>
              </w:rPr>
            </w:pPr>
            <w:r w:rsidRPr="00A863DC">
              <w:rPr>
                <w:rFonts w:ascii="Arial" w:hAnsi="Arial" w:cs="Arial"/>
                <w:lang w:val="en-CA"/>
              </w:rPr>
              <w:t>4.8%</w:t>
            </w:r>
          </w:p>
        </w:tc>
      </w:tr>
      <w:tr w:rsidR="002C6D84" w:rsidRPr="00A863DC" w14:paraId="1D2B2247" w14:textId="77777777" w:rsidTr="009F67C0">
        <w:trPr>
          <w:trHeight w:val="300"/>
          <w:jc w:val="center"/>
        </w:trPr>
        <w:tc>
          <w:tcPr>
            <w:tcW w:w="1833" w:type="pct"/>
            <w:shd w:val="clear" w:color="auto" w:fill="auto"/>
            <w:noWrap/>
            <w:vAlign w:val="center"/>
            <w:hideMark/>
          </w:tcPr>
          <w:p w14:paraId="2794991E" w14:textId="004A0CE4" w:rsidR="002C6D84" w:rsidRPr="00A863DC" w:rsidRDefault="002C6D84" w:rsidP="00B2313A">
            <w:pPr>
              <w:rPr>
                <w:rFonts w:ascii="Arial" w:hAnsi="Arial" w:cs="Arial"/>
                <w:lang w:val="en-CA"/>
              </w:rPr>
            </w:pPr>
            <w:r w:rsidRPr="00A863DC">
              <w:rPr>
                <w:rFonts w:ascii="Arial" w:hAnsi="Arial" w:cs="Arial"/>
                <w:lang w:val="en-CA"/>
              </w:rPr>
              <w:t>Fuel</w:t>
            </w:r>
          </w:p>
        </w:tc>
        <w:tc>
          <w:tcPr>
            <w:tcW w:w="833" w:type="pct"/>
            <w:shd w:val="clear" w:color="auto" w:fill="auto"/>
            <w:noWrap/>
            <w:vAlign w:val="center"/>
            <w:hideMark/>
          </w:tcPr>
          <w:p w14:paraId="0AC2C97A" w14:textId="26C5AD74" w:rsidR="002C6D84" w:rsidRPr="00A863DC" w:rsidRDefault="002C6D84">
            <w:pPr>
              <w:jc w:val="right"/>
              <w:rPr>
                <w:rFonts w:ascii="Arial" w:hAnsi="Arial" w:cs="Arial"/>
                <w:lang w:val="en-CA"/>
              </w:rPr>
            </w:pPr>
            <w:r w:rsidRPr="00A863DC">
              <w:rPr>
                <w:rFonts w:ascii="Arial" w:hAnsi="Arial" w:cs="Arial"/>
                <w:lang w:val="en-CA"/>
              </w:rPr>
              <w:t xml:space="preserve">745 </w:t>
            </w:r>
          </w:p>
        </w:tc>
        <w:tc>
          <w:tcPr>
            <w:tcW w:w="778" w:type="pct"/>
            <w:shd w:val="clear" w:color="auto" w:fill="auto"/>
            <w:noWrap/>
            <w:vAlign w:val="center"/>
            <w:hideMark/>
          </w:tcPr>
          <w:p w14:paraId="6DB7FBEC" w14:textId="77777777" w:rsidR="002C6D84" w:rsidRPr="00A863DC" w:rsidRDefault="002C6D84">
            <w:pPr>
              <w:jc w:val="right"/>
              <w:rPr>
                <w:rFonts w:ascii="Arial" w:hAnsi="Arial" w:cs="Arial"/>
                <w:lang w:val="en-CA"/>
              </w:rPr>
            </w:pPr>
            <w:r w:rsidRPr="00A863DC">
              <w:rPr>
                <w:rFonts w:ascii="Arial" w:hAnsi="Arial" w:cs="Arial"/>
                <w:lang w:val="en-CA"/>
              </w:rPr>
              <w:t>1.5%</w:t>
            </w:r>
          </w:p>
        </w:tc>
        <w:tc>
          <w:tcPr>
            <w:tcW w:w="778" w:type="pct"/>
            <w:shd w:val="clear" w:color="auto" w:fill="auto"/>
            <w:noWrap/>
            <w:vAlign w:val="center"/>
            <w:hideMark/>
          </w:tcPr>
          <w:p w14:paraId="46488C30" w14:textId="089C00AE" w:rsidR="002C6D84" w:rsidRPr="00A863DC" w:rsidRDefault="002C6D84">
            <w:pPr>
              <w:jc w:val="right"/>
              <w:rPr>
                <w:rFonts w:ascii="Arial" w:hAnsi="Arial" w:cs="Arial"/>
                <w:lang w:val="en-CA"/>
              </w:rPr>
            </w:pPr>
            <w:r w:rsidRPr="00A863DC">
              <w:rPr>
                <w:rFonts w:ascii="Arial" w:hAnsi="Arial" w:cs="Arial"/>
                <w:lang w:val="en-CA"/>
              </w:rPr>
              <w:t xml:space="preserve">237 </w:t>
            </w:r>
          </w:p>
        </w:tc>
        <w:tc>
          <w:tcPr>
            <w:tcW w:w="778" w:type="pct"/>
            <w:shd w:val="clear" w:color="auto" w:fill="auto"/>
            <w:noWrap/>
            <w:vAlign w:val="center"/>
            <w:hideMark/>
          </w:tcPr>
          <w:p w14:paraId="6836E63A" w14:textId="77777777" w:rsidR="002C6D84" w:rsidRPr="00A863DC" w:rsidRDefault="002C6D84">
            <w:pPr>
              <w:jc w:val="right"/>
              <w:rPr>
                <w:rFonts w:ascii="Arial" w:hAnsi="Arial" w:cs="Arial"/>
                <w:lang w:val="en-CA"/>
              </w:rPr>
            </w:pPr>
            <w:r w:rsidRPr="00A863DC">
              <w:rPr>
                <w:rFonts w:ascii="Arial" w:hAnsi="Arial" w:cs="Arial"/>
                <w:lang w:val="en-CA"/>
              </w:rPr>
              <w:t>1.6%</w:t>
            </w:r>
          </w:p>
        </w:tc>
      </w:tr>
      <w:tr w:rsidR="002C6D84" w:rsidRPr="00A863DC" w14:paraId="77536ED9" w14:textId="77777777" w:rsidTr="009F67C0">
        <w:trPr>
          <w:trHeight w:val="300"/>
          <w:jc w:val="center"/>
        </w:trPr>
        <w:tc>
          <w:tcPr>
            <w:tcW w:w="1833" w:type="pct"/>
            <w:shd w:val="clear" w:color="auto" w:fill="auto"/>
            <w:noWrap/>
            <w:vAlign w:val="center"/>
            <w:hideMark/>
          </w:tcPr>
          <w:p w14:paraId="0947D527" w14:textId="33DD2566" w:rsidR="002C6D84" w:rsidRPr="00A863DC" w:rsidRDefault="002C6D84" w:rsidP="00B2313A">
            <w:pPr>
              <w:rPr>
                <w:rFonts w:ascii="Arial" w:hAnsi="Arial" w:cs="Arial"/>
                <w:lang w:val="en-CA"/>
              </w:rPr>
            </w:pPr>
            <w:r w:rsidRPr="00A863DC">
              <w:rPr>
                <w:rFonts w:ascii="Arial" w:hAnsi="Arial" w:cs="Arial"/>
                <w:lang w:val="en-CA"/>
              </w:rPr>
              <w:t xml:space="preserve">General &amp; administrative </w:t>
            </w:r>
          </w:p>
        </w:tc>
        <w:tc>
          <w:tcPr>
            <w:tcW w:w="833" w:type="pct"/>
            <w:shd w:val="clear" w:color="auto" w:fill="auto"/>
            <w:noWrap/>
            <w:vAlign w:val="center"/>
            <w:hideMark/>
          </w:tcPr>
          <w:p w14:paraId="23C8E980" w14:textId="63D2B5E7" w:rsidR="002C6D84" w:rsidRPr="00A863DC" w:rsidRDefault="002C6D84">
            <w:pPr>
              <w:jc w:val="right"/>
              <w:rPr>
                <w:rFonts w:ascii="Arial" w:hAnsi="Arial" w:cs="Arial"/>
                <w:lang w:val="en-CA"/>
              </w:rPr>
            </w:pPr>
            <w:r w:rsidRPr="00A863DC">
              <w:rPr>
                <w:rFonts w:ascii="Arial" w:hAnsi="Arial" w:cs="Arial"/>
                <w:lang w:val="en-CA"/>
              </w:rPr>
              <w:t xml:space="preserve">635 </w:t>
            </w:r>
          </w:p>
        </w:tc>
        <w:tc>
          <w:tcPr>
            <w:tcW w:w="778" w:type="pct"/>
            <w:shd w:val="clear" w:color="auto" w:fill="auto"/>
            <w:noWrap/>
            <w:vAlign w:val="center"/>
            <w:hideMark/>
          </w:tcPr>
          <w:p w14:paraId="6DB28D0B" w14:textId="77777777" w:rsidR="002C6D84" w:rsidRPr="00A863DC" w:rsidRDefault="002C6D84">
            <w:pPr>
              <w:jc w:val="right"/>
              <w:rPr>
                <w:rFonts w:ascii="Arial" w:hAnsi="Arial" w:cs="Arial"/>
                <w:lang w:val="en-CA"/>
              </w:rPr>
            </w:pPr>
            <w:r w:rsidRPr="00A863DC">
              <w:rPr>
                <w:rFonts w:ascii="Arial" w:hAnsi="Arial" w:cs="Arial"/>
                <w:lang w:val="en-CA"/>
              </w:rPr>
              <w:t>1.3%</w:t>
            </w:r>
          </w:p>
        </w:tc>
        <w:tc>
          <w:tcPr>
            <w:tcW w:w="778" w:type="pct"/>
            <w:shd w:val="clear" w:color="auto" w:fill="auto"/>
            <w:noWrap/>
            <w:vAlign w:val="center"/>
            <w:hideMark/>
          </w:tcPr>
          <w:p w14:paraId="75D9CC04" w14:textId="25993C95" w:rsidR="002C6D84" w:rsidRPr="00A863DC" w:rsidRDefault="002C6D84">
            <w:pPr>
              <w:jc w:val="right"/>
              <w:rPr>
                <w:rFonts w:ascii="Arial" w:hAnsi="Arial" w:cs="Arial"/>
                <w:lang w:val="en-CA"/>
              </w:rPr>
            </w:pPr>
            <w:r w:rsidRPr="00A863DC">
              <w:rPr>
                <w:rFonts w:ascii="Arial" w:hAnsi="Arial" w:cs="Arial"/>
                <w:lang w:val="en-CA"/>
              </w:rPr>
              <w:t xml:space="preserve">121 </w:t>
            </w:r>
          </w:p>
        </w:tc>
        <w:tc>
          <w:tcPr>
            <w:tcW w:w="778" w:type="pct"/>
            <w:shd w:val="clear" w:color="auto" w:fill="auto"/>
            <w:noWrap/>
            <w:vAlign w:val="center"/>
            <w:hideMark/>
          </w:tcPr>
          <w:p w14:paraId="3F749A62" w14:textId="77777777" w:rsidR="002C6D84" w:rsidRPr="00A863DC" w:rsidRDefault="002C6D84">
            <w:pPr>
              <w:jc w:val="right"/>
              <w:rPr>
                <w:rFonts w:ascii="Arial" w:hAnsi="Arial" w:cs="Arial"/>
                <w:lang w:val="en-CA"/>
              </w:rPr>
            </w:pPr>
            <w:r w:rsidRPr="00A863DC">
              <w:rPr>
                <w:rFonts w:ascii="Arial" w:hAnsi="Arial" w:cs="Arial"/>
                <w:lang w:val="en-CA"/>
              </w:rPr>
              <w:t>0.8%</w:t>
            </w:r>
          </w:p>
        </w:tc>
      </w:tr>
      <w:tr w:rsidR="002C6D84" w:rsidRPr="00A863DC" w14:paraId="06E43769" w14:textId="77777777" w:rsidTr="009F67C0">
        <w:trPr>
          <w:trHeight w:val="300"/>
          <w:jc w:val="center"/>
        </w:trPr>
        <w:tc>
          <w:tcPr>
            <w:tcW w:w="1833" w:type="pct"/>
            <w:shd w:val="clear" w:color="auto" w:fill="auto"/>
            <w:noWrap/>
            <w:vAlign w:val="center"/>
            <w:hideMark/>
          </w:tcPr>
          <w:p w14:paraId="189C681E" w14:textId="45F09817" w:rsidR="002C6D84" w:rsidRPr="00A863DC" w:rsidRDefault="002C6D84" w:rsidP="00B2313A">
            <w:pPr>
              <w:rPr>
                <w:rFonts w:ascii="Arial" w:hAnsi="Arial" w:cs="Arial"/>
                <w:lang w:val="en-CA"/>
              </w:rPr>
            </w:pPr>
            <w:r w:rsidRPr="00A863DC">
              <w:rPr>
                <w:rFonts w:ascii="Arial" w:hAnsi="Arial" w:cs="Arial"/>
                <w:lang w:val="en-CA"/>
              </w:rPr>
              <w:t>Harvest Dinner</w:t>
            </w:r>
          </w:p>
        </w:tc>
        <w:tc>
          <w:tcPr>
            <w:tcW w:w="833" w:type="pct"/>
            <w:shd w:val="clear" w:color="auto" w:fill="auto"/>
            <w:noWrap/>
            <w:vAlign w:val="center"/>
            <w:hideMark/>
          </w:tcPr>
          <w:p w14:paraId="43530A7C" w14:textId="3E5567EA" w:rsidR="002C6D84" w:rsidRPr="00A863DC" w:rsidRDefault="002C6D84">
            <w:pPr>
              <w:jc w:val="right"/>
              <w:rPr>
                <w:rFonts w:ascii="Arial" w:hAnsi="Arial" w:cs="Arial"/>
                <w:lang w:val="en-CA"/>
              </w:rPr>
            </w:pPr>
            <w:r w:rsidRPr="00A863DC">
              <w:rPr>
                <w:rFonts w:ascii="Arial" w:hAnsi="Arial" w:cs="Arial"/>
                <w:lang w:val="en-CA"/>
              </w:rPr>
              <w:t xml:space="preserve">8,890 </w:t>
            </w:r>
          </w:p>
        </w:tc>
        <w:tc>
          <w:tcPr>
            <w:tcW w:w="778" w:type="pct"/>
            <w:shd w:val="clear" w:color="auto" w:fill="auto"/>
            <w:noWrap/>
            <w:vAlign w:val="center"/>
            <w:hideMark/>
          </w:tcPr>
          <w:p w14:paraId="63C60ABD" w14:textId="77777777" w:rsidR="002C6D84" w:rsidRPr="00A863DC" w:rsidRDefault="002C6D84">
            <w:pPr>
              <w:jc w:val="right"/>
              <w:rPr>
                <w:rFonts w:ascii="Arial" w:hAnsi="Arial" w:cs="Arial"/>
                <w:lang w:val="en-CA"/>
              </w:rPr>
            </w:pPr>
            <w:r w:rsidRPr="00A863DC">
              <w:rPr>
                <w:rFonts w:ascii="Arial" w:hAnsi="Arial" w:cs="Arial"/>
                <w:lang w:val="en-CA"/>
              </w:rPr>
              <w:t>17.9%</w:t>
            </w:r>
          </w:p>
        </w:tc>
        <w:tc>
          <w:tcPr>
            <w:tcW w:w="778" w:type="pct"/>
            <w:shd w:val="clear" w:color="auto" w:fill="auto"/>
            <w:noWrap/>
            <w:vAlign w:val="center"/>
            <w:hideMark/>
          </w:tcPr>
          <w:p w14:paraId="3F96F0BE" w14:textId="6D8043F0" w:rsidR="002C6D84" w:rsidRPr="00A863DC" w:rsidRDefault="002C6D84">
            <w:pPr>
              <w:jc w:val="right"/>
              <w:rPr>
                <w:rFonts w:ascii="Arial" w:hAnsi="Arial" w:cs="Arial"/>
                <w:lang w:val="en-CA"/>
              </w:rPr>
            </w:pPr>
            <w:r w:rsidRPr="00A863DC">
              <w:rPr>
                <w:rFonts w:ascii="Arial" w:hAnsi="Arial" w:cs="Arial"/>
                <w:lang w:val="en-CA"/>
              </w:rPr>
              <w:t xml:space="preserve">6,651 </w:t>
            </w:r>
          </w:p>
        </w:tc>
        <w:tc>
          <w:tcPr>
            <w:tcW w:w="778" w:type="pct"/>
            <w:shd w:val="clear" w:color="auto" w:fill="auto"/>
            <w:noWrap/>
            <w:vAlign w:val="center"/>
            <w:hideMark/>
          </w:tcPr>
          <w:p w14:paraId="1C9E7B13" w14:textId="77777777" w:rsidR="002C6D84" w:rsidRPr="00A863DC" w:rsidRDefault="002C6D84">
            <w:pPr>
              <w:jc w:val="right"/>
              <w:rPr>
                <w:rFonts w:ascii="Arial" w:hAnsi="Arial" w:cs="Arial"/>
                <w:lang w:val="en-CA"/>
              </w:rPr>
            </w:pPr>
            <w:r w:rsidRPr="00A863DC">
              <w:rPr>
                <w:rFonts w:ascii="Arial" w:hAnsi="Arial" w:cs="Arial"/>
                <w:lang w:val="en-CA"/>
              </w:rPr>
              <w:t>45.3%</w:t>
            </w:r>
          </w:p>
        </w:tc>
      </w:tr>
      <w:tr w:rsidR="002C6D84" w:rsidRPr="00A863DC" w14:paraId="083D2E71" w14:textId="77777777" w:rsidTr="009F67C0">
        <w:trPr>
          <w:trHeight w:val="300"/>
          <w:jc w:val="center"/>
        </w:trPr>
        <w:tc>
          <w:tcPr>
            <w:tcW w:w="1833" w:type="pct"/>
            <w:shd w:val="clear" w:color="auto" w:fill="auto"/>
            <w:noWrap/>
            <w:vAlign w:val="center"/>
            <w:hideMark/>
          </w:tcPr>
          <w:p w14:paraId="1CA8DCD5" w14:textId="3A079102" w:rsidR="002C6D84" w:rsidRPr="00A863DC" w:rsidRDefault="002C6D84" w:rsidP="00B2313A">
            <w:pPr>
              <w:rPr>
                <w:rFonts w:ascii="Arial" w:hAnsi="Arial" w:cs="Arial"/>
                <w:lang w:val="en-CA"/>
              </w:rPr>
            </w:pPr>
            <w:r w:rsidRPr="00A863DC">
              <w:rPr>
                <w:rFonts w:ascii="Arial" w:hAnsi="Arial" w:cs="Arial"/>
                <w:lang w:val="en-CA"/>
              </w:rPr>
              <w:t>Insurance</w:t>
            </w:r>
          </w:p>
        </w:tc>
        <w:tc>
          <w:tcPr>
            <w:tcW w:w="833" w:type="pct"/>
            <w:shd w:val="clear" w:color="auto" w:fill="auto"/>
            <w:noWrap/>
            <w:vAlign w:val="center"/>
            <w:hideMark/>
          </w:tcPr>
          <w:p w14:paraId="152C91C0" w14:textId="6CBB3669" w:rsidR="002C6D84" w:rsidRPr="00A863DC" w:rsidRDefault="002C6D84">
            <w:pPr>
              <w:jc w:val="right"/>
              <w:rPr>
                <w:rFonts w:ascii="Arial" w:hAnsi="Arial" w:cs="Arial"/>
                <w:lang w:val="en-CA"/>
              </w:rPr>
            </w:pPr>
            <w:r w:rsidRPr="00A863DC">
              <w:rPr>
                <w:rFonts w:ascii="Arial" w:hAnsi="Arial" w:cs="Arial"/>
                <w:lang w:val="en-CA"/>
              </w:rPr>
              <w:t xml:space="preserve">1,000 </w:t>
            </w:r>
          </w:p>
        </w:tc>
        <w:tc>
          <w:tcPr>
            <w:tcW w:w="778" w:type="pct"/>
            <w:shd w:val="clear" w:color="auto" w:fill="auto"/>
            <w:noWrap/>
            <w:vAlign w:val="center"/>
            <w:hideMark/>
          </w:tcPr>
          <w:p w14:paraId="69E03955" w14:textId="77777777" w:rsidR="002C6D84" w:rsidRPr="00A863DC" w:rsidRDefault="002C6D84">
            <w:pPr>
              <w:jc w:val="right"/>
              <w:rPr>
                <w:rFonts w:ascii="Arial" w:hAnsi="Arial" w:cs="Arial"/>
                <w:lang w:val="en-CA"/>
              </w:rPr>
            </w:pPr>
            <w:r w:rsidRPr="00A863DC">
              <w:rPr>
                <w:rFonts w:ascii="Arial" w:hAnsi="Arial" w:cs="Arial"/>
                <w:lang w:val="en-CA"/>
              </w:rPr>
              <w:t>2.0%</w:t>
            </w:r>
          </w:p>
        </w:tc>
        <w:tc>
          <w:tcPr>
            <w:tcW w:w="778" w:type="pct"/>
            <w:shd w:val="clear" w:color="auto" w:fill="auto"/>
            <w:noWrap/>
            <w:vAlign w:val="center"/>
            <w:hideMark/>
          </w:tcPr>
          <w:p w14:paraId="5A044FC3" w14:textId="02B5D58F" w:rsidR="002C6D84" w:rsidRPr="00A863DC" w:rsidRDefault="002C6D84">
            <w:pPr>
              <w:jc w:val="right"/>
              <w:rPr>
                <w:rFonts w:ascii="Arial" w:hAnsi="Arial" w:cs="Arial"/>
                <w:lang w:val="en-CA"/>
              </w:rPr>
            </w:pPr>
            <w:r w:rsidRPr="00A863DC">
              <w:rPr>
                <w:rFonts w:ascii="Arial" w:hAnsi="Arial" w:cs="Arial"/>
                <w:lang w:val="en-CA"/>
              </w:rPr>
              <w:t xml:space="preserve">800 </w:t>
            </w:r>
          </w:p>
        </w:tc>
        <w:tc>
          <w:tcPr>
            <w:tcW w:w="778" w:type="pct"/>
            <w:shd w:val="clear" w:color="auto" w:fill="auto"/>
            <w:noWrap/>
            <w:vAlign w:val="center"/>
            <w:hideMark/>
          </w:tcPr>
          <w:p w14:paraId="7274DC87" w14:textId="77777777" w:rsidR="002C6D84" w:rsidRPr="00A863DC" w:rsidRDefault="002C6D84">
            <w:pPr>
              <w:jc w:val="right"/>
              <w:rPr>
                <w:rFonts w:ascii="Arial" w:hAnsi="Arial" w:cs="Arial"/>
                <w:lang w:val="en-CA"/>
              </w:rPr>
            </w:pPr>
            <w:r w:rsidRPr="00A863DC">
              <w:rPr>
                <w:rFonts w:ascii="Arial" w:hAnsi="Arial" w:cs="Arial"/>
                <w:lang w:val="en-CA"/>
              </w:rPr>
              <w:t>5.4%</w:t>
            </w:r>
          </w:p>
        </w:tc>
      </w:tr>
      <w:tr w:rsidR="002C6D84" w:rsidRPr="00A863DC" w14:paraId="3D866F59" w14:textId="77777777" w:rsidTr="009F67C0">
        <w:trPr>
          <w:trHeight w:val="300"/>
          <w:jc w:val="center"/>
        </w:trPr>
        <w:tc>
          <w:tcPr>
            <w:tcW w:w="1833" w:type="pct"/>
            <w:shd w:val="clear" w:color="auto" w:fill="auto"/>
            <w:noWrap/>
            <w:vAlign w:val="center"/>
            <w:hideMark/>
          </w:tcPr>
          <w:p w14:paraId="513D75B6" w14:textId="4F52CDB8" w:rsidR="002C6D84" w:rsidRPr="00A863DC" w:rsidRDefault="002C6D84" w:rsidP="00B2313A">
            <w:pPr>
              <w:rPr>
                <w:rFonts w:ascii="Arial" w:hAnsi="Arial" w:cs="Arial"/>
                <w:lang w:val="en-CA"/>
              </w:rPr>
            </w:pPr>
            <w:r w:rsidRPr="00A863DC">
              <w:rPr>
                <w:rFonts w:ascii="Arial" w:hAnsi="Arial" w:cs="Arial"/>
                <w:lang w:val="en-CA"/>
              </w:rPr>
              <w:t>Legal fees</w:t>
            </w:r>
          </w:p>
        </w:tc>
        <w:tc>
          <w:tcPr>
            <w:tcW w:w="833" w:type="pct"/>
            <w:shd w:val="clear" w:color="auto" w:fill="auto"/>
            <w:noWrap/>
            <w:vAlign w:val="center"/>
            <w:hideMark/>
          </w:tcPr>
          <w:p w14:paraId="3DD9B530" w14:textId="14CE6F9F" w:rsidR="002C6D84" w:rsidRPr="00A863DC" w:rsidRDefault="002C6D84">
            <w:pPr>
              <w:jc w:val="right"/>
              <w:rPr>
                <w:rFonts w:ascii="Arial" w:hAnsi="Arial" w:cs="Arial"/>
                <w:lang w:val="en-CA"/>
              </w:rPr>
            </w:pPr>
            <w:r w:rsidRPr="00A863DC">
              <w:rPr>
                <w:rFonts w:ascii="Arial" w:hAnsi="Arial" w:cs="Arial"/>
                <w:lang w:val="en-CA"/>
              </w:rPr>
              <w:t xml:space="preserve">450 </w:t>
            </w:r>
          </w:p>
        </w:tc>
        <w:tc>
          <w:tcPr>
            <w:tcW w:w="778" w:type="pct"/>
            <w:shd w:val="clear" w:color="auto" w:fill="auto"/>
            <w:noWrap/>
            <w:vAlign w:val="center"/>
            <w:hideMark/>
          </w:tcPr>
          <w:p w14:paraId="6408C5C2" w14:textId="77777777" w:rsidR="002C6D84" w:rsidRPr="00A863DC" w:rsidRDefault="002C6D84">
            <w:pPr>
              <w:jc w:val="right"/>
              <w:rPr>
                <w:rFonts w:ascii="Arial" w:hAnsi="Arial" w:cs="Arial"/>
                <w:lang w:val="en-CA"/>
              </w:rPr>
            </w:pPr>
            <w:r w:rsidRPr="00A863DC">
              <w:rPr>
                <w:rFonts w:ascii="Arial" w:hAnsi="Arial" w:cs="Arial"/>
                <w:lang w:val="en-CA"/>
              </w:rPr>
              <w:t>0.9%</w:t>
            </w:r>
          </w:p>
        </w:tc>
        <w:tc>
          <w:tcPr>
            <w:tcW w:w="778" w:type="pct"/>
            <w:shd w:val="clear" w:color="auto" w:fill="auto"/>
            <w:noWrap/>
            <w:vAlign w:val="center"/>
            <w:hideMark/>
          </w:tcPr>
          <w:p w14:paraId="3F977CB7" w14:textId="4E9CE1BB" w:rsidR="002C6D84" w:rsidRPr="00A863DC" w:rsidRDefault="002C6D84">
            <w:pPr>
              <w:jc w:val="right"/>
              <w:rPr>
                <w:rFonts w:ascii="Arial" w:hAnsi="Arial" w:cs="Arial"/>
                <w:lang w:val="en-CA"/>
              </w:rPr>
            </w:pPr>
            <w:r w:rsidRPr="00A863DC">
              <w:rPr>
                <w:rFonts w:ascii="Arial" w:hAnsi="Arial" w:cs="Arial"/>
                <w:lang w:val="en-CA"/>
              </w:rPr>
              <w:t xml:space="preserve">335 </w:t>
            </w:r>
          </w:p>
        </w:tc>
        <w:tc>
          <w:tcPr>
            <w:tcW w:w="778" w:type="pct"/>
            <w:shd w:val="clear" w:color="auto" w:fill="auto"/>
            <w:noWrap/>
            <w:vAlign w:val="center"/>
            <w:hideMark/>
          </w:tcPr>
          <w:p w14:paraId="31985F22" w14:textId="77777777" w:rsidR="002C6D84" w:rsidRPr="00A863DC" w:rsidRDefault="002C6D84">
            <w:pPr>
              <w:jc w:val="right"/>
              <w:rPr>
                <w:rFonts w:ascii="Arial" w:hAnsi="Arial" w:cs="Arial"/>
                <w:lang w:val="en-CA"/>
              </w:rPr>
            </w:pPr>
            <w:r w:rsidRPr="00A863DC">
              <w:rPr>
                <w:rFonts w:ascii="Arial" w:hAnsi="Arial" w:cs="Arial"/>
                <w:lang w:val="en-CA"/>
              </w:rPr>
              <w:t>2.3%</w:t>
            </w:r>
          </w:p>
        </w:tc>
      </w:tr>
      <w:tr w:rsidR="002C6D84" w:rsidRPr="00A863DC" w14:paraId="6521A350" w14:textId="77777777" w:rsidTr="009F67C0">
        <w:trPr>
          <w:trHeight w:val="300"/>
          <w:jc w:val="center"/>
        </w:trPr>
        <w:tc>
          <w:tcPr>
            <w:tcW w:w="1833" w:type="pct"/>
            <w:shd w:val="clear" w:color="auto" w:fill="auto"/>
            <w:noWrap/>
            <w:vAlign w:val="center"/>
            <w:hideMark/>
          </w:tcPr>
          <w:p w14:paraId="340679E0" w14:textId="36AAFD70" w:rsidR="002C6D84" w:rsidRPr="00A863DC" w:rsidRDefault="002C6D84" w:rsidP="00B2313A">
            <w:pPr>
              <w:rPr>
                <w:rFonts w:ascii="Arial" w:hAnsi="Arial" w:cs="Arial"/>
                <w:lang w:val="en-CA"/>
              </w:rPr>
            </w:pPr>
            <w:r w:rsidRPr="00A863DC">
              <w:rPr>
                <w:rFonts w:ascii="Arial" w:hAnsi="Arial" w:cs="Arial"/>
                <w:lang w:val="en-CA"/>
              </w:rPr>
              <w:t>Media &amp; advertising</w:t>
            </w:r>
          </w:p>
        </w:tc>
        <w:tc>
          <w:tcPr>
            <w:tcW w:w="833" w:type="pct"/>
            <w:shd w:val="clear" w:color="auto" w:fill="auto"/>
            <w:noWrap/>
            <w:vAlign w:val="center"/>
            <w:hideMark/>
          </w:tcPr>
          <w:p w14:paraId="777E5DBD" w14:textId="738CB1E6" w:rsidR="002C6D84" w:rsidRPr="00A863DC" w:rsidRDefault="002C6D84">
            <w:pPr>
              <w:jc w:val="right"/>
              <w:rPr>
                <w:rFonts w:ascii="Arial" w:hAnsi="Arial" w:cs="Arial"/>
                <w:lang w:val="en-CA"/>
              </w:rPr>
            </w:pPr>
            <w:r w:rsidRPr="00A863DC">
              <w:rPr>
                <w:rFonts w:ascii="Arial" w:hAnsi="Arial" w:cs="Arial"/>
                <w:lang w:val="en-CA"/>
              </w:rPr>
              <w:t xml:space="preserve">825 </w:t>
            </w:r>
          </w:p>
        </w:tc>
        <w:tc>
          <w:tcPr>
            <w:tcW w:w="778" w:type="pct"/>
            <w:shd w:val="clear" w:color="auto" w:fill="auto"/>
            <w:noWrap/>
            <w:vAlign w:val="center"/>
            <w:hideMark/>
          </w:tcPr>
          <w:p w14:paraId="45DF13EC" w14:textId="77777777" w:rsidR="002C6D84" w:rsidRPr="00A863DC" w:rsidRDefault="002C6D84">
            <w:pPr>
              <w:jc w:val="right"/>
              <w:rPr>
                <w:rFonts w:ascii="Arial" w:hAnsi="Arial" w:cs="Arial"/>
                <w:lang w:val="en-CA"/>
              </w:rPr>
            </w:pPr>
            <w:r w:rsidRPr="00A863DC">
              <w:rPr>
                <w:rFonts w:ascii="Arial" w:hAnsi="Arial" w:cs="Arial"/>
                <w:lang w:val="en-CA"/>
              </w:rPr>
              <w:t>1.7%</w:t>
            </w:r>
          </w:p>
        </w:tc>
        <w:tc>
          <w:tcPr>
            <w:tcW w:w="778" w:type="pct"/>
            <w:shd w:val="clear" w:color="auto" w:fill="auto"/>
            <w:noWrap/>
            <w:vAlign w:val="center"/>
            <w:hideMark/>
          </w:tcPr>
          <w:p w14:paraId="1A0C0CBE" w14:textId="7791C521" w:rsidR="002C6D84" w:rsidRPr="00A863DC" w:rsidRDefault="002C6D84">
            <w:pPr>
              <w:jc w:val="right"/>
              <w:rPr>
                <w:rFonts w:ascii="Arial" w:hAnsi="Arial" w:cs="Arial"/>
                <w:lang w:val="en-CA"/>
              </w:rPr>
            </w:pPr>
            <w:r w:rsidRPr="00A863DC">
              <w:rPr>
                <w:rFonts w:ascii="Arial" w:hAnsi="Arial" w:cs="Arial"/>
                <w:lang w:val="en-CA"/>
              </w:rPr>
              <w:t xml:space="preserve">731 </w:t>
            </w:r>
          </w:p>
        </w:tc>
        <w:tc>
          <w:tcPr>
            <w:tcW w:w="778" w:type="pct"/>
            <w:shd w:val="clear" w:color="auto" w:fill="auto"/>
            <w:noWrap/>
            <w:vAlign w:val="center"/>
            <w:hideMark/>
          </w:tcPr>
          <w:p w14:paraId="5B519DDA" w14:textId="77777777" w:rsidR="002C6D84" w:rsidRPr="00A863DC" w:rsidRDefault="002C6D84">
            <w:pPr>
              <w:jc w:val="right"/>
              <w:rPr>
                <w:rFonts w:ascii="Arial" w:hAnsi="Arial" w:cs="Arial"/>
                <w:lang w:val="en-CA"/>
              </w:rPr>
            </w:pPr>
            <w:r w:rsidRPr="00A863DC">
              <w:rPr>
                <w:rFonts w:ascii="Arial" w:hAnsi="Arial" w:cs="Arial"/>
                <w:lang w:val="en-CA"/>
              </w:rPr>
              <w:t>5.0%</w:t>
            </w:r>
          </w:p>
        </w:tc>
      </w:tr>
      <w:tr w:rsidR="002C6D84" w:rsidRPr="00A863DC" w14:paraId="3B69714E" w14:textId="77777777" w:rsidTr="009F67C0">
        <w:trPr>
          <w:trHeight w:val="300"/>
          <w:jc w:val="center"/>
        </w:trPr>
        <w:tc>
          <w:tcPr>
            <w:tcW w:w="1833" w:type="pct"/>
            <w:shd w:val="clear" w:color="auto" w:fill="auto"/>
            <w:noWrap/>
            <w:vAlign w:val="center"/>
            <w:hideMark/>
          </w:tcPr>
          <w:p w14:paraId="7EDE2FE3" w14:textId="4357359E" w:rsidR="002C6D84" w:rsidRPr="00A863DC" w:rsidRDefault="002C6D84" w:rsidP="00B2313A">
            <w:pPr>
              <w:rPr>
                <w:rFonts w:ascii="Arial" w:hAnsi="Arial" w:cs="Arial"/>
                <w:lang w:val="en-CA"/>
              </w:rPr>
            </w:pPr>
            <w:r w:rsidRPr="00A863DC">
              <w:rPr>
                <w:rFonts w:ascii="Arial" w:hAnsi="Arial" w:cs="Arial"/>
                <w:lang w:val="en-CA"/>
              </w:rPr>
              <w:t xml:space="preserve">Seeds </w:t>
            </w:r>
            <w:r w:rsidR="007C37B2" w:rsidRPr="00A863DC">
              <w:rPr>
                <w:rFonts w:ascii="Arial" w:hAnsi="Arial" w:cs="Arial"/>
                <w:lang w:val="en-CA"/>
              </w:rPr>
              <w:t>&amp;</w:t>
            </w:r>
            <w:r w:rsidRPr="00A863DC">
              <w:rPr>
                <w:rFonts w:ascii="Arial" w:hAnsi="Arial" w:cs="Arial"/>
                <w:lang w:val="en-CA"/>
              </w:rPr>
              <w:t xml:space="preserve"> seedlings </w:t>
            </w:r>
          </w:p>
        </w:tc>
        <w:tc>
          <w:tcPr>
            <w:tcW w:w="833" w:type="pct"/>
            <w:shd w:val="clear" w:color="auto" w:fill="auto"/>
            <w:noWrap/>
            <w:vAlign w:val="center"/>
            <w:hideMark/>
          </w:tcPr>
          <w:p w14:paraId="2CE0035D" w14:textId="65234D75" w:rsidR="002C6D84" w:rsidRPr="00A863DC" w:rsidRDefault="002C6D84">
            <w:pPr>
              <w:jc w:val="right"/>
              <w:rPr>
                <w:rFonts w:ascii="Arial" w:hAnsi="Arial" w:cs="Arial"/>
                <w:lang w:val="en-CA"/>
              </w:rPr>
            </w:pPr>
            <w:r w:rsidRPr="00A863DC">
              <w:rPr>
                <w:rFonts w:ascii="Arial" w:hAnsi="Arial" w:cs="Arial"/>
                <w:lang w:val="en-CA"/>
              </w:rPr>
              <w:t xml:space="preserve">2,750 </w:t>
            </w:r>
          </w:p>
        </w:tc>
        <w:tc>
          <w:tcPr>
            <w:tcW w:w="778" w:type="pct"/>
            <w:shd w:val="clear" w:color="auto" w:fill="auto"/>
            <w:noWrap/>
            <w:vAlign w:val="center"/>
            <w:hideMark/>
          </w:tcPr>
          <w:p w14:paraId="28EDCFD8" w14:textId="77777777" w:rsidR="002C6D84" w:rsidRPr="00A863DC" w:rsidRDefault="002C6D84">
            <w:pPr>
              <w:jc w:val="right"/>
              <w:rPr>
                <w:rFonts w:ascii="Arial" w:hAnsi="Arial" w:cs="Arial"/>
                <w:lang w:val="en-CA"/>
              </w:rPr>
            </w:pPr>
            <w:r w:rsidRPr="00A863DC">
              <w:rPr>
                <w:rFonts w:ascii="Arial" w:hAnsi="Arial" w:cs="Arial"/>
                <w:lang w:val="en-CA"/>
              </w:rPr>
              <w:t>5.5%</w:t>
            </w:r>
          </w:p>
        </w:tc>
        <w:tc>
          <w:tcPr>
            <w:tcW w:w="778" w:type="pct"/>
            <w:shd w:val="clear" w:color="auto" w:fill="auto"/>
            <w:noWrap/>
            <w:vAlign w:val="center"/>
            <w:hideMark/>
          </w:tcPr>
          <w:p w14:paraId="464B48C4" w14:textId="2E447781" w:rsidR="002C6D84" w:rsidRPr="00A863DC" w:rsidRDefault="002C6D84">
            <w:pPr>
              <w:jc w:val="right"/>
              <w:rPr>
                <w:rFonts w:ascii="Arial" w:hAnsi="Arial" w:cs="Arial"/>
                <w:lang w:val="en-CA"/>
              </w:rPr>
            </w:pPr>
            <w:r w:rsidRPr="00A863DC">
              <w:rPr>
                <w:rFonts w:ascii="Arial" w:hAnsi="Arial" w:cs="Arial"/>
                <w:lang w:val="en-CA"/>
              </w:rPr>
              <w:t xml:space="preserve">592 </w:t>
            </w:r>
          </w:p>
        </w:tc>
        <w:tc>
          <w:tcPr>
            <w:tcW w:w="778" w:type="pct"/>
            <w:shd w:val="clear" w:color="auto" w:fill="auto"/>
            <w:noWrap/>
            <w:vAlign w:val="center"/>
            <w:hideMark/>
          </w:tcPr>
          <w:p w14:paraId="513362FD" w14:textId="77777777" w:rsidR="002C6D84" w:rsidRPr="00A863DC" w:rsidRDefault="002C6D84">
            <w:pPr>
              <w:jc w:val="right"/>
              <w:rPr>
                <w:rFonts w:ascii="Arial" w:hAnsi="Arial" w:cs="Arial"/>
                <w:lang w:val="en-CA"/>
              </w:rPr>
            </w:pPr>
            <w:r w:rsidRPr="00A863DC">
              <w:rPr>
                <w:rFonts w:ascii="Arial" w:hAnsi="Arial" w:cs="Arial"/>
                <w:lang w:val="en-CA"/>
              </w:rPr>
              <w:t>4.0%</w:t>
            </w:r>
          </w:p>
        </w:tc>
      </w:tr>
      <w:tr w:rsidR="002C6D84" w:rsidRPr="00A863DC" w14:paraId="647E6B15" w14:textId="77777777" w:rsidTr="009F67C0">
        <w:trPr>
          <w:trHeight w:val="300"/>
          <w:jc w:val="center"/>
        </w:trPr>
        <w:tc>
          <w:tcPr>
            <w:tcW w:w="1833" w:type="pct"/>
            <w:shd w:val="clear" w:color="auto" w:fill="auto"/>
            <w:noWrap/>
            <w:vAlign w:val="center"/>
            <w:hideMark/>
          </w:tcPr>
          <w:p w14:paraId="65CFDE16" w14:textId="03B0C04D" w:rsidR="002C6D84" w:rsidRPr="00A863DC" w:rsidRDefault="002C6D84" w:rsidP="00B2313A">
            <w:pPr>
              <w:rPr>
                <w:rFonts w:ascii="Arial" w:hAnsi="Arial" w:cs="Arial"/>
                <w:lang w:val="en-CA"/>
              </w:rPr>
            </w:pPr>
            <w:r w:rsidRPr="00A863DC">
              <w:rPr>
                <w:rFonts w:ascii="Arial" w:hAnsi="Arial" w:cs="Arial"/>
                <w:lang w:val="en-CA"/>
              </w:rPr>
              <w:t>Supplies &amp; small tools</w:t>
            </w:r>
          </w:p>
        </w:tc>
        <w:tc>
          <w:tcPr>
            <w:tcW w:w="833" w:type="pct"/>
            <w:shd w:val="clear" w:color="auto" w:fill="auto"/>
            <w:noWrap/>
            <w:vAlign w:val="center"/>
            <w:hideMark/>
          </w:tcPr>
          <w:p w14:paraId="7287D545" w14:textId="165F7053" w:rsidR="002C6D84" w:rsidRPr="00A863DC" w:rsidRDefault="002C6D84">
            <w:pPr>
              <w:jc w:val="right"/>
              <w:rPr>
                <w:rFonts w:ascii="Arial" w:hAnsi="Arial" w:cs="Arial"/>
                <w:lang w:val="en-CA"/>
              </w:rPr>
            </w:pPr>
            <w:r w:rsidRPr="00A863DC">
              <w:rPr>
                <w:rFonts w:ascii="Arial" w:hAnsi="Arial" w:cs="Arial"/>
                <w:lang w:val="en-CA"/>
              </w:rPr>
              <w:t xml:space="preserve">1,345 </w:t>
            </w:r>
          </w:p>
        </w:tc>
        <w:tc>
          <w:tcPr>
            <w:tcW w:w="778" w:type="pct"/>
            <w:shd w:val="clear" w:color="auto" w:fill="auto"/>
            <w:noWrap/>
            <w:vAlign w:val="center"/>
            <w:hideMark/>
          </w:tcPr>
          <w:p w14:paraId="600DABC1" w14:textId="77777777" w:rsidR="002C6D84" w:rsidRPr="00A863DC" w:rsidRDefault="002C6D84">
            <w:pPr>
              <w:jc w:val="right"/>
              <w:rPr>
                <w:rFonts w:ascii="Arial" w:hAnsi="Arial" w:cs="Arial"/>
                <w:lang w:val="en-CA"/>
              </w:rPr>
            </w:pPr>
            <w:r w:rsidRPr="00A863DC">
              <w:rPr>
                <w:rFonts w:ascii="Arial" w:hAnsi="Arial" w:cs="Arial"/>
                <w:lang w:val="en-CA"/>
              </w:rPr>
              <w:t>2.7%</w:t>
            </w:r>
          </w:p>
        </w:tc>
        <w:tc>
          <w:tcPr>
            <w:tcW w:w="778" w:type="pct"/>
            <w:shd w:val="clear" w:color="auto" w:fill="auto"/>
            <w:noWrap/>
            <w:vAlign w:val="center"/>
            <w:hideMark/>
          </w:tcPr>
          <w:p w14:paraId="0782F657" w14:textId="32C5249D" w:rsidR="002C6D84" w:rsidRPr="00A863DC" w:rsidRDefault="002C6D84">
            <w:pPr>
              <w:jc w:val="right"/>
              <w:rPr>
                <w:rFonts w:ascii="Arial" w:hAnsi="Arial" w:cs="Arial"/>
                <w:lang w:val="en-CA"/>
              </w:rPr>
            </w:pPr>
          </w:p>
        </w:tc>
        <w:tc>
          <w:tcPr>
            <w:tcW w:w="778" w:type="pct"/>
            <w:shd w:val="clear" w:color="auto" w:fill="auto"/>
            <w:noWrap/>
            <w:vAlign w:val="center"/>
            <w:hideMark/>
          </w:tcPr>
          <w:p w14:paraId="4631184F" w14:textId="77777777" w:rsidR="002C6D84" w:rsidRPr="00A863DC" w:rsidRDefault="002C6D84">
            <w:pPr>
              <w:jc w:val="right"/>
              <w:rPr>
                <w:rFonts w:ascii="Arial" w:hAnsi="Arial" w:cs="Arial"/>
                <w:lang w:val="en-CA"/>
              </w:rPr>
            </w:pPr>
            <w:r w:rsidRPr="00A863DC">
              <w:rPr>
                <w:rFonts w:ascii="Arial" w:hAnsi="Arial" w:cs="Arial"/>
                <w:lang w:val="en-CA"/>
              </w:rPr>
              <w:t>0.0%</w:t>
            </w:r>
          </w:p>
        </w:tc>
      </w:tr>
      <w:tr w:rsidR="002C6D84" w:rsidRPr="00A863DC" w14:paraId="71A64E2F" w14:textId="77777777" w:rsidTr="009F67C0">
        <w:trPr>
          <w:trHeight w:val="300"/>
          <w:jc w:val="center"/>
        </w:trPr>
        <w:tc>
          <w:tcPr>
            <w:tcW w:w="1833" w:type="pct"/>
            <w:shd w:val="clear" w:color="auto" w:fill="auto"/>
            <w:noWrap/>
            <w:vAlign w:val="center"/>
            <w:hideMark/>
          </w:tcPr>
          <w:p w14:paraId="66929382" w14:textId="2ECDEB8B" w:rsidR="002C6D84" w:rsidRPr="00A863DC" w:rsidRDefault="002C6D84" w:rsidP="00B2313A">
            <w:pPr>
              <w:rPr>
                <w:rFonts w:ascii="Arial" w:hAnsi="Arial" w:cs="Arial"/>
                <w:lang w:val="en-CA"/>
              </w:rPr>
            </w:pPr>
            <w:r w:rsidRPr="00A863DC">
              <w:rPr>
                <w:rFonts w:ascii="Arial" w:hAnsi="Arial" w:cs="Arial"/>
                <w:lang w:val="en-CA"/>
              </w:rPr>
              <w:t>Volunteers</w:t>
            </w:r>
          </w:p>
        </w:tc>
        <w:tc>
          <w:tcPr>
            <w:tcW w:w="833" w:type="pct"/>
            <w:shd w:val="clear" w:color="auto" w:fill="auto"/>
            <w:noWrap/>
            <w:vAlign w:val="center"/>
            <w:hideMark/>
          </w:tcPr>
          <w:p w14:paraId="2031BD31" w14:textId="13A954BA" w:rsidR="002C6D84" w:rsidRPr="00A863DC" w:rsidRDefault="002C6D84">
            <w:pPr>
              <w:jc w:val="right"/>
              <w:rPr>
                <w:rFonts w:ascii="Arial" w:hAnsi="Arial" w:cs="Arial"/>
                <w:color w:val="000000"/>
                <w:lang w:val="en-CA"/>
              </w:rPr>
            </w:pPr>
            <w:r w:rsidRPr="00A863DC">
              <w:rPr>
                <w:rFonts w:ascii="Arial" w:hAnsi="Arial" w:cs="Arial"/>
                <w:color w:val="000000"/>
                <w:lang w:val="en-CA"/>
              </w:rPr>
              <w:t xml:space="preserve">455 </w:t>
            </w:r>
          </w:p>
        </w:tc>
        <w:tc>
          <w:tcPr>
            <w:tcW w:w="778" w:type="pct"/>
            <w:shd w:val="clear" w:color="auto" w:fill="auto"/>
            <w:noWrap/>
            <w:vAlign w:val="center"/>
            <w:hideMark/>
          </w:tcPr>
          <w:p w14:paraId="2F33C7E9" w14:textId="77777777" w:rsidR="002C6D84" w:rsidRPr="00A863DC" w:rsidRDefault="002C6D84">
            <w:pPr>
              <w:jc w:val="right"/>
              <w:rPr>
                <w:rFonts w:ascii="Arial" w:hAnsi="Arial" w:cs="Arial"/>
                <w:lang w:val="en-CA"/>
              </w:rPr>
            </w:pPr>
            <w:r w:rsidRPr="00A863DC">
              <w:rPr>
                <w:rFonts w:ascii="Arial" w:hAnsi="Arial" w:cs="Arial"/>
                <w:lang w:val="en-CA"/>
              </w:rPr>
              <w:t>0.9%</w:t>
            </w:r>
          </w:p>
        </w:tc>
        <w:tc>
          <w:tcPr>
            <w:tcW w:w="778" w:type="pct"/>
            <w:shd w:val="clear" w:color="auto" w:fill="auto"/>
            <w:noWrap/>
            <w:vAlign w:val="center"/>
            <w:hideMark/>
          </w:tcPr>
          <w:p w14:paraId="7088F794" w14:textId="62241446" w:rsidR="002C6D84" w:rsidRPr="00A863DC" w:rsidRDefault="002C6D84">
            <w:pPr>
              <w:jc w:val="right"/>
              <w:rPr>
                <w:rFonts w:ascii="Arial" w:hAnsi="Arial" w:cs="Arial"/>
                <w:color w:val="000000"/>
                <w:lang w:val="en-CA"/>
              </w:rPr>
            </w:pPr>
            <w:r w:rsidRPr="00A863DC">
              <w:rPr>
                <w:rFonts w:ascii="Arial" w:hAnsi="Arial" w:cs="Arial"/>
                <w:color w:val="000000"/>
                <w:lang w:val="en-CA"/>
              </w:rPr>
              <w:t xml:space="preserve">133 </w:t>
            </w:r>
          </w:p>
        </w:tc>
        <w:tc>
          <w:tcPr>
            <w:tcW w:w="778" w:type="pct"/>
            <w:shd w:val="clear" w:color="auto" w:fill="auto"/>
            <w:noWrap/>
            <w:vAlign w:val="center"/>
            <w:hideMark/>
          </w:tcPr>
          <w:p w14:paraId="518EE2F9" w14:textId="77777777" w:rsidR="002C6D84" w:rsidRPr="00A863DC" w:rsidRDefault="002C6D84">
            <w:pPr>
              <w:jc w:val="right"/>
              <w:rPr>
                <w:rFonts w:ascii="Arial" w:hAnsi="Arial" w:cs="Arial"/>
                <w:lang w:val="en-CA"/>
              </w:rPr>
            </w:pPr>
            <w:r w:rsidRPr="00A863DC">
              <w:rPr>
                <w:rFonts w:ascii="Arial" w:hAnsi="Arial" w:cs="Arial"/>
                <w:lang w:val="en-CA"/>
              </w:rPr>
              <w:t>0.9%</w:t>
            </w:r>
          </w:p>
        </w:tc>
      </w:tr>
      <w:tr w:rsidR="002C6D84" w:rsidRPr="00A863DC" w14:paraId="6BFE4DCB" w14:textId="77777777" w:rsidTr="009F67C0">
        <w:trPr>
          <w:trHeight w:val="300"/>
          <w:jc w:val="center"/>
        </w:trPr>
        <w:tc>
          <w:tcPr>
            <w:tcW w:w="1833" w:type="pct"/>
            <w:shd w:val="clear" w:color="auto" w:fill="auto"/>
            <w:noWrap/>
            <w:vAlign w:val="center"/>
            <w:hideMark/>
          </w:tcPr>
          <w:p w14:paraId="14125837" w14:textId="77777777" w:rsidR="002C6D84" w:rsidRPr="00A863DC" w:rsidRDefault="002C6D84" w:rsidP="00B2313A">
            <w:pPr>
              <w:rPr>
                <w:rFonts w:ascii="Arial" w:hAnsi="Arial" w:cs="Arial"/>
                <w:bCs/>
                <w:lang w:val="en-CA"/>
              </w:rPr>
            </w:pPr>
            <w:r w:rsidRPr="00A863DC">
              <w:rPr>
                <w:rFonts w:ascii="Arial" w:hAnsi="Arial" w:cs="Arial"/>
                <w:bCs/>
                <w:lang w:val="en-CA"/>
              </w:rPr>
              <w:t>Total operating expenses</w:t>
            </w:r>
          </w:p>
        </w:tc>
        <w:tc>
          <w:tcPr>
            <w:tcW w:w="833" w:type="pct"/>
            <w:shd w:val="clear" w:color="auto" w:fill="auto"/>
            <w:noWrap/>
            <w:vAlign w:val="center"/>
            <w:hideMark/>
          </w:tcPr>
          <w:p w14:paraId="1ECEE244" w14:textId="4EADFB1E" w:rsidR="002C6D84" w:rsidRPr="00A863DC" w:rsidRDefault="002C6D84">
            <w:pPr>
              <w:jc w:val="right"/>
              <w:rPr>
                <w:rFonts w:ascii="Arial" w:hAnsi="Arial" w:cs="Arial"/>
                <w:color w:val="000000"/>
                <w:lang w:val="en-CA"/>
              </w:rPr>
            </w:pPr>
            <w:r w:rsidRPr="00A863DC">
              <w:rPr>
                <w:rFonts w:ascii="Arial" w:hAnsi="Arial" w:cs="Arial"/>
                <w:color w:val="000000"/>
                <w:lang w:val="en-CA"/>
              </w:rPr>
              <w:t xml:space="preserve">21,145 </w:t>
            </w:r>
          </w:p>
        </w:tc>
        <w:tc>
          <w:tcPr>
            <w:tcW w:w="778" w:type="pct"/>
            <w:shd w:val="clear" w:color="auto" w:fill="auto"/>
            <w:noWrap/>
            <w:vAlign w:val="center"/>
            <w:hideMark/>
          </w:tcPr>
          <w:p w14:paraId="01CB0B98" w14:textId="77777777" w:rsidR="002C6D84" w:rsidRPr="00A863DC" w:rsidRDefault="002C6D84">
            <w:pPr>
              <w:jc w:val="right"/>
              <w:rPr>
                <w:rFonts w:ascii="Arial" w:hAnsi="Arial" w:cs="Arial"/>
                <w:lang w:val="en-CA"/>
              </w:rPr>
            </w:pPr>
            <w:r w:rsidRPr="00A863DC">
              <w:rPr>
                <w:rFonts w:ascii="Arial" w:hAnsi="Arial" w:cs="Arial"/>
                <w:lang w:val="en-CA"/>
              </w:rPr>
              <w:t>42.5%</w:t>
            </w:r>
          </w:p>
        </w:tc>
        <w:tc>
          <w:tcPr>
            <w:tcW w:w="778" w:type="pct"/>
            <w:shd w:val="clear" w:color="auto" w:fill="auto"/>
            <w:noWrap/>
            <w:vAlign w:val="center"/>
            <w:hideMark/>
          </w:tcPr>
          <w:p w14:paraId="6588853B" w14:textId="038783EC" w:rsidR="002C6D84" w:rsidRPr="00A863DC" w:rsidRDefault="002C6D84">
            <w:pPr>
              <w:jc w:val="right"/>
              <w:rPr>
                <w:rFonts w:ascii="Arial" w:hAnsi="Arial" w:cs="Arial"/>
                <w:color w:val="000000"/>
                <w:lang w:val="en-CA"/>
              </w:rPr>
            </w:pPr>
            <w:r w:rsidRPr="00A863DC">
              <w:rPr>
                <w:rFonts w:ascii="Arial" w:hAnsi="Arial" w:cs="Arial"/>
                <w:color w:val="000000"/>
                <w:lang w:val="en-CA"/>
              </w:rPr>
              <w:t xml:space="preserve">11,307 </w:t>
            </w:r>
          </w:p>
        </w:tc>
        <w:tc>
          <w:tcPr>
            <w:tcW w:w="778" w:type="pct"/>
            <w:shd w:val="clear" w:color="auto" w:fill="auto"/>
            <w:noWrap/>
            <w:vAlign w:val="center"/>
            <w:hideMark/>
          </w:tcPr>
          <w:p w14:paraId="416C1F6C" w14:textId="77777777" w:rsidR="002C6D84" w:rsidRPr="00A863DC" w:rsidRDefault="002C6D84">
            <w:pPr>
              <w:jc w:val="right"/>
              <w:rPr>
                <w:rFonts w:ascii="Arial" w:hAnsi="Arial" w:cs="Arial"/>
                <w:lang w:val="en-CA"/>
              </w:rPr>
            </w:pPr>
            <w:r w:rsidRPr="00A863DC">
              <w:rPr>
                <w:rFonts w:ascii="Arial" w:hAnsi="Arial" w:cs="Arial"/>
                <w:lang w:val="en-CA"/>
              </w:rPr>
              <w:t>77.0%</w:t>
            </w:r>
          </w:p>
        </w:tc>
      </w:tr>
      <w:tr w:rsidR="002C6D84" w:rsidRPr="00A863DC" w14:paraId="0A9F0B68" w14:textId="77777777" w:rsidTr="009F67C0">
        <w:trPr>
          <w:trHeight w:val="320"/>
          <w:jc w:val="center"/>
        </w:trPr>
        <w:tc>
          <w:tcPr>
            <w:tcW w:w="1833" w:type="pct"/>
            <w:shd w:val="clear" w:color="auto" w:fill="auto"/>
            <w:noWrap/>
            <w:vAlign w:val="center"/>
            <w:hideMark/>
          </w:tcPr>
          <w:p w14:paraId="2A8CBD0B" w14:textId="77777777" w:rsidR="002C6D84" w:rsidRPr="00A863DC" w:rsidRDefault="002C6D84" w:rsidP="00B2313A">
            <w:pPr>
              <w:rPr>
                <w:rFonts w:ascii="Arial" w:hAnsi="Arial" w:cs="Arial"/>
                <w:bCs/>
                <w:lang w:val="en-CA"/>
              </w:rPr>
            </w:pPr>
            <w:r w:rsidRPr="00A863DC">
              <w:rPr>
                <w:rFonts w:ascii="Arial" w:hAnsi="Arial" w:cs="Arial"/>
                <w:bCs/>
                <w:lang w:val="en-CA"/>
              </w:rPr>
              <w:t xml:space="preserve">Net earnings </w:t>
            </w:r>
          </w:p>
        </w:tc>
        <w:tc>
          <w:tcPr>
            <w:tcW w:w="833" w:type="pct"/>
            <w:shd w:val="clear" w:color="auto" w:fill="auto"/>
            <w:noWrap/>
            <w:vAlign w:val="center"/>
            <w:hideMark/>
          </w:tcPr>
          <w:p w14:paraId="743D0D09" w14:textId="00DC95EF" w:rsidR="002C6D84" w:rsidRPr="00A863DC" w:rsidRDefault="002C6D84">
            <w:pPr>
              <w:jc w:val="right"/>
              <w:rPr>
                <w:rFonts w:ascii="Arial" w:hAnsi="Arial" w:cs="Arial"/>
                <w:lang w:val="en-CA"/>
              </w:rPr>
            </w:pPr>
            <w:r w:rsidRPr="00A863DC">
              <w:rPr>
                <w:rFonts w:ascii="Arial" w:hAnsi="Arial" w:cs="Arial"/>
                <w:lang w:val="en-CA"/>
              </w:rPr>
              <w:t xml:space="preserve">28,564 </w:t>
            </w:r>
          </w:p>
        </w:tc>
        <w:tc>
          <w:tcPr>
            <w:tcW w:w="778" w:type="pct"/>
            <w:shd w:val="clear" w:color="auto" w:fill="auto"/>
            <w:noWrap/>
            <w:vAlign w:val="center"/>
            <w:hideMark/>
          </w:tcPr>
          <w:p w14:paraId="6529FB64" w14:textId="77777777" w:rsidR="002C6D84" w:rsidRPr="00A863DC" w:rsidRDefault="002C6D84">
            <w:pPr>
              <w:jc w:val="right"/>
              <w:rPr>
                <w:rFonts w:ascii="Arial" w:hAnsi="Arial" w:cs="Arial"/>
                <w:lang w:val="en-CA"/>
              </w:rPr>
            </w:pPr>
            <w:r w:rsidRPr="00A863DC">
              <w:rPr>
                <w:rFonts w:ascii="Arial" w:hAnsi="Arial" w:cs="Arial"/>
                <w:lang w:val="en-CA"/>
              </w:rPr>
              <w:t>57.5%</w:t>
            </w:r>
          </w:p>
        </w:tc>
        <w:tc>
          <w:tcPr>
            <w:tcW w:w="778" w:type="pct"/>
            <w:shd w:val="clear" w:color="auto" w:fill="auto"/>
            <w:noWrap/>
            <w:vAlign w:val="center"/>
            <w:hideMark/>
          </w:tcPr>
          <w:p w14:paraId="169E258A" w14:textId="297090D9" w:rsidR="002C6D84" w:rsidRPr="00A863DC" w:rsidRDefault="002C6D84">
            <w:pPr>
              <w:jc w:val="right"/>
              <w:rPr>
                <w:rFonts w:ascii="Arial" w:hAnsi="Arial" w:cs="Arial"/>
                <w:lang w:val="en-CA"/>
              </w:rPr>
            </w:pPr>
            <w:r w:rsidRPr="00A863DC">
              <w:rPr>
                <w:rFonts w:ascii="Arial" w:hAnsi="Arial" w:cs="Arial"/>
                <w:lang w:val="en-CA"/>
              </w:rPr>
              <w:t xml:space="preserve">3,374 </w:t>
            </w:r>
          </w:p>
        </w:tc>
        <w:tc>
          <w:tcPr>
            <w:tcW w:w="778" w:type="pct"/>
            <w:shd w:val="clear" w:color="auto" w:fill="auto"/>
            <w:noWrap/>
            <w:vAlign w:val="center"/>
            <w:hideMark/>
          </w:tcPr>
          <w:p w14:paraId="4C12DC6C" w14:textId="77777777" w:rsidR="002C6D84" w:rsidRPr="00A863DC" w:rsidRDefault="002C6D84">
            <w:pPr>
              <w:jc w:val="right"/>
              <w:rPr>
                <w:rFonts w:ascii="Arial" w:hAnsi="Arial" w:cs="Arial"/>
                <w:lang w:val="en-CA"/>
              </w:rPr>
            </w:pPr>
            <w:r w:rsidRPr="00A863DC">
              <w:rPr>
                <w:rFonts w:ascii="Arial" w:hAnsi="Arial" w:cs="Arial"/>
                <w:lang w:val="en-CA"/>
              </w:rPr>
              <w:t>23.0%</w:t>
            </w:r>
          </w:p>
        </w:tc>
      </w:tr>
      <w:tr w:rsidR="002C6D84" w:rsidRPr="00A863DC" w14:paraId="238B8EBD" w14:textId="77777777" w:rsidTr="009F67C0">
        <w:trPr>
          <w:trHeight w:val="280"/>
          <w:jc w:val="center"/>
        </w:trPr>
        <w:tc>
          <w:tcPr>
            <w:tcW w:w="4222" w:type="pct"/>
            <w:gridSpan w:val="4"/>
            <w:shd w:val="clear" w:color="auto" w:fill="auto"/>
            <w:noWrap/>
            <w:vAlign w:val="center"/>
            <w:hideMark/>
          </w:tcPr>
          <w:p w14:paraId="091C2739" w14:textId="2CD1F55C" w:rsidR="002C6D84" w:rsidRPr="00A863DC" w:rsidRDefault="002C6D84" w:rsidP="00B2313A">
            <w:pPr>
              <w:rPr>
                <w:rFonts w:ascii="Arial" w:hAnsi="Arial" w:cs="Arial"/>
                <w:color w:val="000000"/>
                <w:lang w:val="en-CA"/>
              </w:rPr>
            </w:pPr>
            <w:r w:rsidRPr="00A863DC">
              <w:rPr>
                <w:rFonts w:ascii="Arial" w:hAnsi="Arial" w:cs="Arial"/>
                <w:color w:val="000000"/>
                <w:lang w:val="en-CA"/>
              </w:rPr>
              <w:t xml:space="preserve">¹All expense ratios </w:t>
            </w:r>
            <w:proofErr w:type="gramStart"/>
            <w:r w:rsidRPr="00A863DC">
              <w:rPr>
                <w:rFonts w:ascii="Arial" w:hAnsi="Arial" w:cs="Arial"/>
                <w:color w:val="000000"/>
                <w:lang w:val="en-CA"/>
              </w:rPr>
              <w:t>were calculated</w:t>
            </w:r>
            <w:proofErr w:type="gramEnd"/>
            <w:r w:rsidRPr="00A863DC">
              <w:rPr>
                <w:rFonts w:ascii="Arial" w:hAnsi="Arial" w:cs="Arial"/>
                <w:color w:val="000000"/>
                <w:lang w:val="en-CA"/>
              </w:rPr>
              <w:t xml:space="preserve"> as a per cent of total revenue.</w:t>
            </w:r>
          </w:p>
        </w:tc>
        <w:tc>
          <w:tcPr>
            <w:tcW w:w="778" w:type="pct"/>
            <w:shd w:val="clear" w:color="auto" w:fill="auto"/>
            <w:noWrap/>
            <w:vAlign w:val="bottom"/>
            <w:hideMark/>
          </w:tcPr>
          <w:p w14:paraId="18197433" w14:textId="77777777" w:rsidR="002C6D84" w:rsidRPr="00A863DC" w:rsidRDefault="002C6D84" w:rsidP="003614D1">
            <w:pPr>
              <w:rPr>
                <w:rFonts w:ascii="Arial" w:hAnsi="Arial" w:cs="Arial"/>
                <w:color w:val="000000"/>
                <w:lang w:val="en-CA"/>
              </w:rPr>
            </w:pPr>
          </w:p>
        </w:tc>
      </w:tr>
    </w:tbl>
    <w:p w14:paraId="3BEFA3B4" w14:textId="77777777" w:rsidR="002C6D84" w:rsidRPr="00A863DC" w:rsidRDefault="002C6D84" w:rsidP="002C6D84">
      <w:pPr>
        <w:pStyle w:val="ExhibitText"/>
        <w:rPr>
          <w:lang w:val="en-CA"/>
        </w:rPr>
      </w:pPr>
    </w:p>
    <w:p w14:paraId="01BE4FCC" w14:textId="3BD9FBE2" w:rsidR="000207BD" w:rsidRPr="00A863DC" w:rsidRDefault="000207BD" w:rsidP="003E39C2">
      <w:pPr>
        <w:pStyle w:val="Footnote"/>
        <w:rPr>
          <w:lang w:val="en-CA"/>
        </w:rPr>
      </w:pPr>
      <w:r w:rsidRPr="00A863DC">
        <w:rPr>
          <w:lang w:val="en-CA"/>
        </w:rPr>
        <w:t>Source: Company files.</w:t>
      </w:r>
    </w:p>
    <w:p w14:paraId="73680F52" w14:textId="77777777" w:rsidR="002C6D84" w:rsidRPr="00A863DC" w:rsidRDefault="002C6D84" w:rsidP="002C6D84">
      <w:pPr>
        <w:pStyle w:val="ExhibitText"/>
        <w:rPr>
          <w:lang w:val="en-CA"/>
        </w:rPr>
      </w:pPr>
    </w:p>
    <w:p w14:paraId="59FE8874" w14:textId="77777777" w:rsidR="000207BD" w:rsidRPr="00A863DC" w:rsidRDefault="000207BD" w:rsidP="002C6D84">
      <w:pPr>
        <w:pStyle w:val="casehead10"/>
        <w:jc w:val="center"/>
        <w:rPr>
          <w:lang w:val="en-CA"/>
        </w:rPr>
      </w:pPr>
    </w:p>
    <w:p w14:paraId="55CB44E9" w14:textId="5B57EC6E" w:rsidR="002C6D84" w:rsidRPr="00A863DC" w:rsidRDefault="002C6D84" w:rsidP="003E39C2">
      <w:pPr>
        <w:pStyle w:val="ExhibitHeading"/>
        <w:rPr>
          <w:lang w:val="en-CA"/>
        </w:rPr>
      </w:pPr>
      <w:r w:rsidRPr="00A863DC">
        <w:rPr>
          <w:lang w:val="en-CA"/>
        </w:rPr>
        <w:t>Exhibit 2: STATEMENT OF RETAINED EARNINGS For the years ending December 31</w:t>
      </w:r>
      <w:r w:rsidR="0076060E" w:rsidRPr="00A863DC">
        <w:rPr>
          <w:lang w:val="en-CA"/>
        </w:rPr>
        <w:t xml:space="preserve"> (CA$)</w:t>
      </w:r>
    </w:p>
    <w:p w14:paraId="721F945B" w14:textId="77777777" w:rsidR="002C6D84" w:rsidRPr="00A863DC" w:rsidRDefault="002C6D84" w:rsidP="002C6D84">
      <w:pPr>
        <w:pStyle w:val="ExhibitText"/>
        <w:rPr>
          <w:lang w:val="en-CA"/>
        </w:rPr>
      </w:pPr>
    </w:p>
    <w:tbl>
      <w:tblPr>
        <w:tblW w:w="28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1350"/>
        <w:gridCol w:w="1260"/>
      </w:tblGrid>
      <w:tr w:rsidR="002C6D84" w:rsidRPr="00A863DC" w14:paraId="3C736967" w14:textId="77777777" w:rsidTr="00C14E02">
        <w:trPr>
          <w:trHeight w:val="206"/>
          <w:jc w:val="center"/>
        </w:trPr>
        <w:tc>
          <w:tcPr>
            <w:tcW w:w="2581" w:type="pct"/>
            <w:shd w:val="clear" w:color="auto" w:fill="auto"/>
            <w:noWrap/>
            <w:vAlign w:val="bottom"/>
            <w:hideMark/>
          </w:tcPr>
          <w:p w14:paraId="408B4E9C" w14:textId="77777777" w:rsidR="002C6D84" w:rsidRPr="00A863DC" w:rsidRDefault="002C6D84" w:rsidP="003614D1">
            <w:pPr>
              <w:spacing w:after="200" w:line="276" w:lineRule="auto"/>
              <w:rPr>
                <w:rFonts w:ascii="Arial" w:hAnsi="Arial" w:cs="Arial"/>
                <w:lang w:val="en-CA"/>
              </w:rPr>
            </w:pPr>
          </w:p>
        </w:tc>
        <w:tc>
          <w:tcPr>
            <w:tcW w:w="1251" w:type="pct"/>
            <w:shd w:val="clear" w:color="auto" w:fill="auto"/>
            <w:noWrap/>
            <w:vAlign w:val="bottom"/>
            <w:hideMark/>
          </w:tcPr>
          <w:p w14:paraId="3B5391B6" w14:textId="77777777" w:rsidR="002C6D84" w:rsidRPr="00A863DC" w:rsidRDefault="002C6D84" w:rsidP="003614D1">
            <w:pPr>
              <w:tabs>
                <w:tab w:val="left" w:pos="618"/>
                <w:tab w:val="right" w:pos="1608"/>
              </w:tabs>
              <w:jc w:val="center"/>
              <w:rPr>
                <w:rFonts w:ascii="Arial" w:hAnsi="Arial" w:cs="Arial"/>
                <w:b/>
                <w:bCs/>
                <w:color w:val="000000"/>
                <w:lang w:val="en-CA"/>
              </w:rPr>
            </w:pPr>
            <w:r w:rsidRPr="00A863DC">
              <w:rPr>
                <w:rFonts w:ascii="Arial" w:hAnsi="Arial" w:cs="Arial"/>
                <w:b/>
                <w:bCs/>
                <w:color w:val="000000"/>
                <w:lang w:val="en-CA"/>
              </w:rPr>
              <w:t>2018</w:t>
            </w:r>
          </w:p>
        </w:tc>
        <w:tc>
          <w:tcPr>
            <w:tcW w:w="1168" w:type="pct"/>
            <w:shd w:val="clear" w:color="auto" w:fill="auto"/>
            <w:noWrap/>
            <w:vAlign w:val="bottom"/>
            <w:hideMark/>
          </w:tcPr>
          <w:p w14:paraId="614558FA" w14:textId="77777777" w:rsidR="002C6D84" w:rsidRPr="00A863DC" w:rsidRDefault="002C6D84" w:rsidP="003614D1">
            <w:pPr>
              <w:tabs>
                <w:tab w:val="left" w:pos="594"/>
                <w:tab w:val="right" w:pos="1494"/>
              </w:tabs>
              <w:jc w:val="center"/>
              <w:rPr>
                <w:rFonts w:ascii="Arial" w:hAnsi="Arial" w:cs="Arial"/>
                <w:b/>
                <w:bCs/>
                <w:color w:val="000000"/>
                <w:lang w:val="en-CA"/>
              </w:rPr>
            </w:pPr>
            <w:r w:rsidRPr="00A863DC">
              <w:rPr>
                <w:rFonts w:ascii="Arial" w:hAnsi="Arial" w:cs="Arial"/>
                <w:b/>
                <w:bCs/>
                <w:color w:val="000000"/>
                <w:lang w:val="en-CA"/>
              </w:rPr>
              <w:t>2017</w:t>
            </w:r>
          </w:p>
        </w:tc>
      </w:tr>
      <w:tr w:rsidR="002C6D84" w:rsidRPr="00A863DC" w14:paraId="5FE08B93" w14:textId="77777777" w:rsidTr="009F67C0">
        <w:trPr>
          <w:trHeight w:val="300"/>
          <w:jc w:val="center"/>
        </w:trPr>
        <w:tc>
          <w:tcPr>
            <w:tcW w:w="2581" w:type="pct"/>
            <w:shd w:val="clear" w:color="auto" w:fill="auto"/>
            <w:noWrap/>
            <w:vAlign w:val="center"/>
            <w:hideMark/>
          </w:tcPr>
          <w:p w14:paraId="329F748D" w14:textId="77777777" w:rsidR="002C6D84" w:rsidRPr="00A863DC" w:rsidRDefault="002C6D84" w:rsidP="00B2313A">
            <w:pPr>
              <w:rPr>
                <w:rFonts w:ascii="Arial" w:hAnsi="Arial" w:cs="Arial"/>
                <w:color w:val="000000"/>
                <w:lang w:val="en-CA"/>
              </w:rPr>
            </w:pPr>
            <w:r w:rsidRPr="00A863DC">
              <w:rPr>
                <w:rFonts w:ascii="Arial" w:hAnsi="Arial" w:cs="Arial"/>
                <w:color w:val="000000"/>
                <w:lang w:val="en-CA"/>
              </w:rPr>
              <w:t>Beginning retained earnings</w:t>
            </w:r>
          </w:p>
        </w:tc>
        <w:tc>
          <w:tcPr>
            <w:tcW w:w="1251" w:type="pct"/>
            <w:shd w:val="clear" w:color="auto" w:fill="auto"/>
            <w:noWrap/>
            <w:vAlign w:val="center"/>
            <w:hideMark/>
          </w:tcPr>
          <w:p w14:paraId="2A4720C9" w14:textId="5E718FF3" w:rsidR="002C6D84" w:rsidRPr="00A863DC" w:rsidRDefault="002C6D84">
            <w:pPr>
              <w:tabs>
                <w:tab w:val="left" w:pos="618"/>
                <w:tab w:val="right" w:pos="1608"/>
              </w:tabs>
              <w:jc w:val="right"/>
              <w:rPr>
                <w:rFonts w:ascii="Arial" w:hAnsi="Arial" w:cs="Arial"/>
                <w:color w:val="000000"/>
                <w:lang w:val="en-CA"/>
              </w:rPr>
            </w:pPr>
            <w:r w:rsidRPr="00A863DC">
              <w:rPr>
                <w:rFonts w:ascii="Arial" w:hAnsi="Arial" w:cs="Arial"/>
                <w:color w:val="000000"/>
                <w:lang w:val="en-CA"/>
              </w:rPr>
              <w:t>3,374</w:t>
            </w:r>
          </w:p>
        </w:tc>
        <w:tc>
          <w:tcPr>
            <w:tcW w:w="1168" w:type="pct"/>
            <w:shd w:val="clear" w:color="auto" w:fill="auto"/>
            <w:noWrap/>
            <w:vAlign w:val="center"/>
            <w:hideMark/>
          </w:tcPr>
          <w:p w14:paraId="6EDE43EB" w14:textId="501A79F8" w:rsidR="002C6D84" w:rsidRPr="00A863DC" w:rsidRDefault="002C6D84">
            <w:pPr>
              <w:tabs>
                <w:tab w:val="left" w:pos="594"/>
                <w:tab w:val="right" w:pos="1494"/>
              </w:tabs>
              <w:jc w:val="right"/>
              <w:rPr>
                <w:rFonts w:ascii="Arial" w:hAnsi="Arial" w:cs="Arial"/>
                <w:color w:val="000000"/>
                <w:lang w:val="en-CA"/>
              </w:rPr>
            </w:pPr>
          </w:p>
        </w:tc>
      </w:tr>
      <w:tr w:rsidR="002C6D84" w:rsidRPr="00A863DC" w14:paraId="7A844A34" w14:textId="77777777" w:rsidTr="009F67C0">
        <w:trPr>
          <w:trHeight w:val="300"/>
          <w:jc w:val="center"/>
        </w:trPr>
        <w:tc>
          <w:tcPr>
            <w:tcW w:w="2581" w:type="pct"/>
            <w:shd w:val="clear" w:color="auto" w:fill="auto"/>
            <w:noWrap/>
            <w:vAlign w:val="center"/>
            <w:hideMark/>
          </w:tcPr>
          <w:p w14:paraId="44577452" w14:textId="77777777" w:rsidR="002C6D84" w:rsidRPr="00A863DC" w:rsidRDefault="002C6D84" w:rsidP="00B2313A">
            <w:pPr>
              <w:rPr>
                <w:rFonts w:ascii="Arial" w:hAnsi="Arial" w:cs="Arial"/>
                <w:color w:val="000000"/>
                <w:lang w:val="en-CA"/>
              </w:rPr>
            </w:pPr>
            <w:r w:rsidRPr="00A863DC">
              <w:rPr>
                <w:rFonts w:ascii="Arial" w:hAnsi="Arial" w:cs="Arial"/>
                <w:color w:val="000000"/>
                <w:lang w:val="en-CA"/>
              </w:rPr>
              <w:t>Net income</w:t>
            </w:r>
          </w:p>
        </w:tc>
        <w:tc>
          <w:tcPr>
            <w:tcW w:w="1251" w:type="pct"/>
            <w:shd w:val="clear" w:color="auto" w:fill="auto"/>
            <w:noWrap/>
            <w:vAlign w:val="center"/>
            <w:hideMark/>
          </w:tcPr>
          <w:p w14:paraId="6A165989" w14:textId="3EC68D57" w:rsidR="002C6D84" w:rsidRPr="00A863DC" w:rsidRDefault="002C6D84">
            <w:pPr>
              <w:tabs>
                <w:tab w:val="left" w:pos="618"/>
                <w:tab w:val="right" w:pos="1608"/>
              </w:tabs>
              <w:jc w:val="right"/>
              <w:rPr>
                <w:rFonts w:ascii="Arial" w:hAnsi="Arial" w:cs="Arial"/>
                <w:color w:val="000000"/>
                <w:lang w:val="en-CA"/>
              </w:rPr>
            </w:pPr>
            <w:r w:rsidRPr="00A863DC">
              <w:rPr>
                <w:rFonts w:ascii="Arial" w:hAnsi="Arial" w:cs="Arial"/>
                <w:color w:val="000000"/>
                <w:lang w:val="en-CA"/>
              </w:rPr>
              <w:t>28,564</w:t>
            </w:r>
          </w:p>
        </w:tc>
        <w:tc>
          <w:tcPr>
            <w:tcW w:w="1168" w:type="pct"/>
            <w:shd w:val="clear" w:color="auto" w:fill="auto"/>
            <w:noWrap/>
            <w:vAlign w:val="center"/>
            <w:hideMark/>
          </w:tcPr>
          <w:p w14:paraId="1E108328" w14:textId="458A913B" w:rsidR="002C6D84" w:rsidRPr="00A863DC" w:rsidRDefault="002C6D84">
            <w:pPr>
              <w:tabs>
                <w:tab w:val="left" w:pos="594"/>
                <w:tab w:val="right" w:pos="1494"/>
              </w:tabs>
              <w:jc w:val="right"/>
              <w:rPr>
                <w:rFonts w:ascii="Arial" w:hAnsi="Arial" w:cs="Arial"/>
                <w:color w:val="000000"/>
                <w:lang w:val="en-CA"/>
              </w:rPr>
            </w:pPr>
            <w:r w:rsidRPr="00A863DC">
              <w:rPr>
                <w:rFonts w:ascii="Arial" w:hAnsi="Arial" w:cs="Arial"/>
                <w:color w:val="000000"/>
                <w:lang w:val="en-CA"/>
              </w:rPr>
              <w:t>3,374</w:t>
            </w:r>
          </w:p>
        </w:tc>
      </w:tr>
      <w:tr w:rsidR="002C6D84" w:rsidRPr="00A863DC" w14:paraId="1DC9D2C4" w14:textId="77777777" w:rsidTr="009F67C0">
        <w:trPr>
          <w:trHeight w:val="300"/>
          <w:jc w:val="center"/>
        </w:trPr>
        <w:tc>
          <w:tcPr>
            <w:tcW w:w="2581" w:type="pct"/>
            <w:shd w:val="clear" w:color="auto" w:fill="auto"/>
            <w:noWrap/>
            <w:vAlign w:val="center"/>
            <w:hideMark/>
          </w:tcPr>
          <w:p w14:paraId="401FA154" w14:textId="77777777" w:rsidR="002C6D84" w:rsidRPr="00A863DC" w:rsidRDefault="002C6D84" w:rsidP="00B2313A">
            <w:pPr>
              <w:rPr>
                <w:rFonts w:ascii="Arial" w:hAnsi="Arial" w:cs="Arial"/>
                <w:color w:val="000000"/>
                <w:lang w:val="en-CA"/>
              </w:rPr>
            </w:pPr>
            <w:r w:rsidRPr="00A863DC">
              <w:rPr>
                <w:rFonts w:ascii="Arial" w:hAnsi="Arial" w:cs="Arial"/>
                <w:color w:val="000000"/>
                <w:lang w:val="en-CA"/>
              </w:rPr>
              <w:t>Ending retained earnings</w:t>
            </w:r>
          </w:p>
        </w:tc>
        <w:tc>
          <w:tcPr>
            <w:tcW w:w="1251" w:type="pct"/>
            <w:shd w:val="clear" w:color="auto" w:fill="auto"/>
            <w:noWrap/>
            <w:vAlign w:val="center"/>
            <w:hideMark/>
          </w:tcPr>
          <w:p w14:paraId="187CF7D9" w14:textId="7E5352DB" w:rsidR="002C6D84" w:rsidRPr="00A863DC" w:rsidRDefault="002C6D84">
            <w:pPr>
              <w:tabs>
                <w:tab w:val="left" w:pos="618"/>
                <w:tab w:val="right" w:pos="1608"/>
              </w:tabs>
              <w:jc w:val="right"/>
              <w:rPr>
                <w:rFonts w:ascii="Arial" w:hAnsi="Arial" w:cs="Arial"/>
                <w:color w:val="000000"/>
                <w:lang w:val="en-CA"/>
              </w:rPr>
            </w:pPr>
            <w:r w:rsidRPr="00A863DC">
              <w:rPr>
                <w:rFonts w:ascii="Arial" w:hAnsi="Arial" w:cs="Arial"/>
                <w:color w:val="000000"/>
                <w:lang w:val="en-CA"/>
              </w:rPr>
              <w:t>31,938</w:t>
            </w:r>
          </w:p>
        </w:tc>
        <w:tc>
          <w:tcPr>
            <w:tcW w:w="1168" w:type="pct"/>
            <w:shd w:val="clear" w:color="auto" w:fill="auto"/>
            <w:noWrap/>
            <w:vAlign w:val="center"/>
            <w:hideMark/>
          </w:tcPr>
          <w:p w14:paraId="778E0103" w14:textId="5D9EA01B" w:rsidR="002C6D84" w:rsidRPr="00A863DC" w:rsidRDefault="002C6D84">
            <w:pPr>
              <w:tabs>
                <w:tab w:val="left" w:pos="594"/>
                <w:tab w:val="right" w:pos="1494"/>
              </w:tabs>
              <w:jc w:val="right"/>
              <w:rPr>
                <w:rFonts w:ascii="Arial" w:hAnsi="Arial" w:cs="Arial"/>
                <w:color w:val="000000"/>
                <w:lang w:val="en-CA"/>
              </w:rPr>
            </w:pPr>
            <w:r w:rsidRPr="00A863DC">
              <w:rPr>
                <w:rFonts w:ascii="Arial" w:hAnsi="Arial" w:cs="Arial"/>
                <w:color w:val="000000"/>
                <w:lang w:val="en-CA"/>
              </w:rPr>
              <w:t>3,374</w:t>
            </w:r>
          </w:p>
        </w:tc>
      </w:tr>
    </w:tbl>
    <w:p w14:paraId="62A77AA6" w14:textId="77777777" w:rsidR="002C6D84" w:rsidRPr="00A863DC" w:rsidRDefault="002C6D84" w:rsidP="002C6D84">
      <w:pPr>
        <w:pStyle w:val="ExhibitText"/>
        <w:rPr>
          <w:lang w:val="en-CA"/>
        </w:rPr>
      </w:pPr>
    </w:p>
    <w:p w14:paraId="4E191D27" w14:textId="054B27FA" w:rsidR="002C6D84" w:rsidRPr="00A863DC" w:rsidRDefault="002C6D84" w:rsidP="002C6D84">
      <w:pPr>
        <w:pStyle w:val="Footnote"/>
        <w:rPr>
          <w:lang w:val="en-CA"/>
        </w:rPr>
      </w:pPr>
      <w:r w:rsidRPr="00A863DC">
        <w:rPr>
          <w:lang w:val="en-CA"/>
        </w:rPr>
        <w:t>Source: Company files.</w:t>
      </w:r>
    </w:p>
    <w:p w14:paraId="34803BC2" w14:textId="77777777" w:rsidR="002C6D84" w:rsidRPr="00A863DC" w:rsidRDefault="002C6D84" w:rsidP="002C6D84">
      <w:pPr>
        <w:pStyle w:val="BodyText"/>
        <w:rPr>
          <w:lang w:val="en-CA"/>
        </w:rPr>
      </w:pPr>
    </w:p>
    <w:p w14:paraId="19517E5A" w14:textId="683D522D" w:rsidR="002C6D84" w:rsidRPr="00A863DC" w:rsidRDefault="002C6D84" w:rsidP="003E39C2">
      <w:pPr>
        <w:pStyle w:val="ExhibitHeading"/>
        <w:rPr>
          <w:lang w:val="en-CA"/>
        </w:rPr>
      </w:pPr>
      <w:r w:rsidRPr="00A863DC">
        <w:rPr>
          <w:lang w:val="en-CA"/>
        </w:rPr>
        <w:br w:type="column"/>
      </w:r>
      <w:r w:rsidRPr="00A863DC">
        <w:rPr>
          <w:lang w:val="en-CA"/>
        </w:rPr>
        <w:lastRenderedPageBreak/>
        <w:t>Exhibit 3: BALANCE SHEET As at December 31</w:t>
      </w:r>
      <w:r w:rsidR="0076060E" w:rsidRPr="00A863DC">
        <w:rPr>
          <w:lang w:val="en-CA"/>
        </w:rPr>
        <w:t xml:space="preserve"> (CA</w:t>
      </w:r>
      <w:r w:rsidR="006359AF" w:rsidRPr="00A863DC">
        <w:rPr>
          <w:lang w:val="en-CA"/>
        </w:rPr>
        <w:t>$</w:t>
      </w:r>
      <w:r w:rsidR="0076060E" w:rsidRPr="00A863DC">
        <w:rPr>
          <w:lang w:val="en-CA"/>
        </w:rPr>
        <w:t>)</w:t>
      </w:r>
    </w:p>
    <w:p w14:paraId="666914AA" w14:textId="77777777" w:rsidR="002C6D84" w:rsidRPr="00A863DC" w:rsidRDefault="002C6D84" w:rsidP="002C6D84">
      <w:pPr>
        <w:pStyle w:val="ExhibitText"/>
        <w:rPr>
          <w:lang w:val="en-CA"/>
        </w:rPr>
      </w:pPr>
    </w:p>
    <w:tbl>
      <w:tblPr>
        <w:tblW w:w="36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5"/>
        <w:gridCol w:w="1169"/>
        <w:gridCol w:w="1081"/>
      </w:tblGrid>
      <w:tr w:rsidR="00797F67" w:rsidRPr="00A863DC" w14:paraId="59CC8AA9" w14:textId="77777777" w:rsidTr="000A0D8D">
        <w:trPr>
          <w:trHeight w:val="280"/>
          <w:jc w:val="center"/>
        </w:trPr>
        <w:tc>
          <w:tcPr>
            <w:tcW w:w="3354" w:type="pct"/>
            <w:shd w:val="clear" w:color="auto" w:fill="auto"/>
            <w:noWrap/>
            <w:vAlign w:val="bottom"/>
            <w:hideMark/>
          </w:tcPr>
          <w:p w14:paraId="14C2AAEC" w14:textId="77777777" w:rsidR="00797F67" w:rsidRPr="00A863DC" w:rsidRDefault="00797F67" w:rsidP="003614D1">
            <w:pPr>
              <w:rPr>
                <w:rFonts w:ascii="Arial" w:hAnsi="Arial" w:cs="Arial"/>
                <w:lang w:val="en-CA"/>
              </w:rPr>
            </w:pPr>
          </w:p>
        </w:tc>
        <w:tc>
          <w:tcPr>
            <w:tcW w:w="855" w:type="pct"/>
            <w:shd w:val="clear" w:color="auto" w:fill="auto"/>
            <w:noWrap/>
            <w:vAlign w:val="center"/>
            <w:hideMark/>
          </w:tcPr>
          <w:p w14:paraId="0B23ECFD" w14:textId="77777777" w:rsidR="00797F67" w:rsidRPr="00A863DC" w:rsidRDefault="00797F67" w:rsidP="003614D1">
            <w:pPr>
              <w:jc w:val="center"/>
              <w:rPr>
                <w:rFonts w:ascii="Arial" w:hAnsi="Arial" w:cs="Arial"/>
                <w:b/>
                <w:bCs/>
                <w:lang w:val="en-CA"/>
              </w:rPr>
            </w:pPr>
            <w:r w:rsidRPr="00A863DC">
              <w:rPr>
                <w:rFonts w:ascii="Arial" w:hAnsi="Arial" w:cs="Arial"/>
                <w:b/>
                <w:bCs/>
                <w:lang w:val="en-CA"/>
              </w:rPr>
              <w:t>2018</w:t>
            </w:r>
          </w:p>
        </w:tc>
        <w:tc>
          <w:tcPr>
            <w:tcW w:w="791" w:type="pct"/>
            <w:shd w:val="clear" w:color="auto" w:fill="auto"/>
            <w:noWrap/>
            <w:vAlign w:val="center"/>
            <w:hideMark/>
          </w:tcPr>
          <w:p w14:paraId="7C4763CC" w14:textId="77777777" w:rsidR="00797F67" w:rsidRPr="00A863DC" w:rsidRDefault="00797F67" w:rsidP="003614D1">
            <w:pPr>
              <w:jc w:val="center"/>
              <w:rPr>
                <w:rFonts w:ascii="Arial" w:hAnsi="Arial" w:cs="Arial"/>
                <w:b/>
                <w:bCs/>
                <w:lang w:val="en-CA"/>
              </w:rPr>
            </w:pPr>
            <w:r w:rsidRPr="00A863DC">
              <w:rPr>
                <w:rFonts w:ascii="Arial" w:hAnsi="Arial" w:cs="Arial"/>
                <w:b/>
                <w:bCs/>
                <w:lang w:val="en-CA"/>
              </w:rPr>
              <w:t>2017</w:t>
            </w:r>
          </w:p>
        </w:tc>
      </w:tr>
      <w:tr w:rsidR="00797F67" w:rsidRPr="00A863DC" w14:paraId="082B0DDC" w14:textId="77777777" w:rsidTr="009F67C0">
        <w:trPr>
          <w:trHeight w:val="280"/>
          <w:jc w:val="center"/>
        </w:trPr>
        <w:tc>
          <w:tcPr>
            <w:tcW w:w="5000" w:type="pct"/>
            <w:gridSpan w:val="3"/>
            <w:shd w:val="clear" w:color="auto" w:fill="auto"/>
            <w:noWrap/>
            <w:vAlign w:val="center"/>
            <w:hideMark/>
          </w:tcPr>
          <w:p w14:paraId="790677B3" w14:textId="29711216" w:rsidR="00797F67" w:rsidRPr="00A863DC" w:rsidRDefault="00797F67" w:rsidP="00B2313A">
            <w:pPr>
              <w:rPr>
                <w:rFonts w:ascii="Arial" w:hAnsi="Arial" w:cs="Arial"/>
                <w:lang w:val="en-CA"/>
              </w:rPr>
            </w:pPr>
            <w:r w:rsidRPr="00A863DC">
              <w:rPr>
                <w:rFonts w:ascii="Arial" w:hAnsi="Arial" w:cs="Arial"/>
                <w:b/>
                <w:bCs/>
                <w:lang w:val="en-CA"/>
              </w:rPr>
              <w:t>A</w:t>
            </w:r>
            <w:r w:rsidR="00BA471C" w:rsidRPr="00A863DC">
              <w:rPr>
                <w:rFonts w:ascii="Arial" w:hAnsi="Arial" w:cs="Arial"/>
                <w:b/>
                <w:bCs/>
                <w:lang w:val="en-CA"/>
              </w:rPr>
              <w:t>ssets</w:t>
            </w:r>
          </w:p>
        </w:tc>
      </w:tr>
      <w:tr w:rsidR="00797F67" w:rsidRPr="00A863DC" w14:paraId="708ED52A" w14:textId="77777777" w:rsidTr="009F67C0">
        <w:trPr>
          <w:trHeight w:val="300"/>
          <w:jc w:val="center"/>
        </w:trPr>
        <w:tc>
          <w:tcPr>
            <w:tcW w:w="5000" w:type="pct"/>
            <w:gridSpan w:val="3"/>
            <w:shd w:val="clear" w:color="auto" w:fill="auto"/>
            <w:noWrap/>
            <w:vAlign w:val="center"/>
            <w:hideMark/>
          </w:tcPr>
          <w:p w14:paraId="6CD2DDAB" w14:textId="3DD513BE" w:rsidR="00797F67" w:rsidRPr="00A863DC" w:rsidRDefault="00797F67" w:rsidP="00B2313A">
            <w:pPr>
              <w:rPr>
                <w:rFonts w:ascii="Arial" w:hAnsi="Arial" w:cs="Arial"/>
                <w:lang w:val="en-CA"/>
              </w:rPr>
            </w:pPr>
            <w:r w:rsidRPr="00A863DC">
              <w:rPr>
                <w:rFonts w:ascii="Arial" w:hAnsi="Arial" w:cs="Arial"/>
                <w:b/>
                <w:bCs/>
                <w:lang w:val="en-CA"/>
              </w:rPr>
              <w:t>Current assets</w:t>
            </w:r>
          </w:p>
        </w:tc>
      </w:tr>
      <w:tr w:rsidR="00797F67" w:rsidRPr="00A863DC" w14:paraId="2B869BF4" w14:textId="77777777" w:rsidTr="009F67C0">
        <w:trPr>
          <w:trHeight w:val="280"/>
          <w:jc w:val="center"/>
        </w:trPr>
        <w:tc>
          <w:tcPr>
            <w:tcW w:w="3354" w:type="pct"/>
            <w:shd w:val="clear" w:color="auto" w:fill="auto"/>
            <w:noWrap/>
            <w:vAlign w:val="center"/>
            <w:hideMark/>
          </w:tcPr>
          <w:p w14:paraId="0C418146" w14:textId="0DBE974D" w:rsidR="00797F67" w:rsidRPr="00A863DC" w:rsidRDefault="00797F67" w:rsidP="00B2313A">
            <w:pPr>
              <w:tabs>
                <w:tab w:val="left" w:pos="342"/>
                <w:tab w:val="right" w:pos="1242"/>
              </w:tabs>
              <w:rPr>
                <w:rFonts w:ascii="Arial" w:hAnsi="Arial" w:cs="Arial"/>
                <w:lang w:val="en-CA"/>
              </w:rPr>
            </w:pPr>
            <w:r w:rsidRPr="00A863DC">
              <w:rPr>
                <w:rFonts w:ascii="Arial" w:hAnsi="Arial" w:cs="Arial"/>
                <w:lang w:val="en-CA"/>
              </w:rPr>
              <w:t>Cash</w:t>
            </w:r>
          </w:p>
        </w:tc>
        <w:tc>
          <w:tcPr>
            <w:tcW w:w="855" w:type="pct"/>
            <w:shd w:val="clear" w:color="auto" w:fill="auto"/>
            <w:noWrap/>
            <w:vAlign w:val="center"/>
            <w:hideMark/>
          </w:tcPr>
          <w:p w14:paraId="48090F54" w14:textId="71CFAD81" w:rsidR="00797F67" w:rsidRPr="00A863DC" w:rsidRDefault="00797F67">
            <w:pPr>
              <w:tabs>
                <w:tab w:val="left" w:pos="342"/>
                <w:tab w:val="right" w:pos="1242"/>
              </w:tabs>
              <w:jc w:val="right"/>
              <w:rPr>
                <w:rFonts w:ascii="Arial" w:hAnsi="Arial" w:cs="Arial"/>
                <w:lang w:val="en-CA"/>
              </w:rPr>
            </w:pPr>
            <w:r w:rsidRPr="00A863DC">
              <w:rPr>
                <w:rFonts w:ascii="Arial" w:hAnsi="Arial" w:cs="Arial"/>
                <w:lang w:val="en-CA"/>
              </w:rPr>
              <w:t>22,334</w:t>
            </w:r>
          </w:p>
        </w:tc>
        <w:tc>
          <w:tcPr>
            <w:tcW w:w="791" w:type="pct"/>
            <w:shd w:val="clear" w:color="auto" w:fill="auto"/>
            <w:noWrap/>
            <w:vAlign w:val="center"/>
            <w:hideMark/>
          </w:tcPr>
          <w:p w14:paraId="1E9DEC80" w14:textId="4740340F" w:rsidR="00797F67" w:rsidRPr="00A863DC" w:rsidRDefault="00797F67">
            <w:pPr>
              <w:tabs>
                <w:tab w:val="left" w:pos="282"/>
                <w:tab w:val="right" w:pos="1182"/>
              </w:tabs>
              <w:jc w:val="right"/>
              <w:rPr>
                <w:rFonts w:ascii="Arial" w:hAnsi="Arial" w:cs="Arial"/>
                <w:lang w:val="en-CA"/>
              </w:rPr>
            </w:pPr>
            <w:r w:rsidRPr="00A863DC">
              <w:rPr>
                <w:rFonts w:ascii="Arial" w:hAnsi="Arial" w:cs="Arial"/>
                <w:lang w:val="en-CA"/>
              </w:rPr>
              <w:t>1,354</w:t>
            </w:r>
          </w:p>
        </w:tc>
      </w:tr>
      <w:tr w:rsidR="00797F67" w:rsidRPr="00A863DC" w14:paraId="3C22D60E" w14:textId="77777777" w:rsidTr="009F67C0">
        <w:trPr>
          <w:trHeight w:val="280"/>
          <w:jc w:val="center"/>
        </w:trPr>
        <w:tc>
          <w:tcPr>
            <w:tcW w:w="3354" w:type="pct"/>
            <w:shd w:val="clear" w:color="auto" w:fill="auto"/>
            <w:noWrap/>
            <w:vAlign w:val="center"/>
            <w:hideMark/>
          </w:tcPr>
          <w:p w14:paraId="0340FD1E" w14:textId="63BF2662" w:rsidR="00797F67" w:rsidRPr="00A863DC" w:rsidRDefault="00797F67" w:rsidP="00B2313A">
            <w:pPr>
              <w:tabs>
                <w:tab w:val="left" w:pos="342"/>
                <w:tab w:val="right" w:pos="1242"/>
              </w:tabs>
              <w:rPr>
                <w:rFonts w:ascii="Arial" w:hAnsi="Arial" w:cs="Arial"/>
                <w:lang w:val="en-CA"/>
              </w:rPr>
            </w:pPr>
            <w:r w:rsidRPr="00A863DC">
              <w:rPr>
                <w:rFonts w:ascii="Arial" w:hAnsi="Arial" w:cs="Arial"/>
                <w:lang w:val="en-CA"/>
              </w:rPr>
              <w:t xml:space="preserve">Accounts receivable </w:t>
            </w:r>
          </w:p>
        </w:tc>
        <w:tc>
          <w:tcPr>
            <w:tcW w:w="855" w:type="pct"/>
            <w:shd w:val="clear" w:color="auto" w:fill="auto"/>
            <w:noWrap/>
            <w:vAlign w:val="center"/>
            <w:hideMark/>
          </w:tcPr>
          <w:p w14:paraId="6F3B2C01" w14:textId="168604D5" w:rsidR="00797F67" w:rsidRPr="00A863DC" w:rsidRDefault="00797F67">
            <w:pPr>
              <w:tabs>
                <w:tab w:val="left" w:pos="342"/>
                <w:tab w:val="right" w:pos="1242"/>
              </w:tabs>
              <w:jc w:val="right"/>
              <w:rPr>
                <w:rFonts w:ascii="Arial" w:hAnsi="Arial" w:cs="Arial"/>
                <w:lang w:val="en-CA"/>
              </w:rPr>
            </w:pPr>
            <w:r w:rsidRPr="00A863DC">
              <w:rPr>
                <w:rFonts w:ascii="Arial" w:hAnsi="Arial" w:cs="Arial"/>
                <w:lang w:val="en-CA"/>
              </w:rPr>
              <w:t>325</w:t>
            </w:r>
          </w:p>
        </w:tc>
        <w:tc>
          <w:tcPr>
            <w:tcW w:w="791" w:type="pct"/>
            <w:shd w:val="clear" w:color="auto" w:fill="auto"/>
            <w:noWrap/>
            <w:vAlign w:val="center"/>
            <w:hideMark/>
          </w:tcPr>
          <w:p w14:paraId="4C1426D7" w14:textId="22C5FE41" w:rsidR="00797F67" w:rsidRPr="00A863DC" w:rsidRDefault="00797F67">
            <w:pPr>
              <w:tabs>
                <w:tab w:val="left" w:pos="282"/>
                <w:tab w:val="right" w:pos="1182"/>
              </w:tabs>
              <w:jc w:val="right"/>
              <w:rPr>
                <w:rFonts w:ascii="Arial" w:hAnsi="Arial" w:cs="Arial"/>
                <w:lang w:val="en-CA"/>
              </w:rPr>
            </w:pPr>
          </w:p>
        </w:tc>
      </w:tr>
      <w:tr w:rsidR="00797F67" w:rsidRPr="00A863DC" w14:paraId="79DC8077" w14:textId="77777777" w:rsidTr="009F67C0">
        <w:trPr>
          <w:trHeight w:val="300"/>
          <w:jc w:val="center"/>
        </w:trPr>
        <w:tc>
          <w:tcPr>
            <w:tcW w:w="3354" w:type="pct"/>
            <w:shd w:val="clear" w:color="auto" w:fill="auto"/>
            <w:noWrap/>
            <w:vAlign w:val="center"/>
            <w:hideMark/>
          </w:tcPr>
          <w:p w14:paraId="3FCB7250" w14:textId="37306D65" w:rsidR="00797F67" w:rsidRPr="00A863DC" w:rsidRDefault="00797F67" w:rsidP="00B2313A">
            <w:pPr>
              <w:tabs>
                <w:tab w:val="left" w:pos="342"/>
                <w:tab w:val="right" w:pos="1242"/>
              </w:tabs>
              <w:rPr>
                <w:rFonts w:ascii="Arial" w:hAnsi="Arial" w:cs="Arial"/>
                <w:lang w:val="en-CA"/>
              </w:rPr>
            </w:pPr>
            <w:proofErr w:type="spellStart"/>
            <w:r w:rsidRPr="00A863DC">
              <w:rPr>
                <w:rFonts w:ascii="Arial" w:hAnsi="Arial" w:cs="Arial"/>
                <w:lang w:val="en-CA"/>
              </w:rPr>
              <w:t>Libro</w:t>
            </w:r>
            <w:proofErr w:type="spellEnd"/>
            <w:r w:rsidRPr="00A863DC">
              <w:rPr>
                <w:rFonts w:ascii="Arial" w:hAnsi="Arial" w:cs="Arial"/>
                <w:lang w:val="en-CA"/>
              </w:rPr>
              <w:t xml:space="preserve"> Credit Union membership share</w:t>
            </w:r>
          </w:p>
        </w:tc>
        <w:tc>
          <w:tcPr>
            <w:tcW w:w="855" w:type="pct"/>
            <w:shd w:val="clear" w:color="auto" w:fill="auto"/>
            <w:noWrap/>
            <w:vAlign w:val="center"/>
            <w:hideMark/>
          </w:tcPr>
          <w:p w14:paraId="7AED508F" w14:textId="5ED16705" w:rsidR="00797F67" w:rsidRPr="00A863DC" w:rsidRDefault="00797F67">
            <w:pPr>
              <w:tabs>
                <w:tab w:val="left" w:pos="342"/>
                <w:tab w:val="right" w:pos="1242"/>
              </w:tabs>
              <w:jc w:val="right"/>
              <w:rPr>
                <w:rFonts w:ascii="Arial" w:hAnsi="Arial" w:cs="Arial"/>
                <w:lang w:val="en-CA"/>
              </w:rPr>
            </w:pPr>
            <w:r w:rsidRPr="00A863DC">
              <w:rPr>
                <w:rFonts w:ascii="Arial" w:hAnsi="Arial" w:cs="Arial"/>
                <w:lang w:val="en-CA"/>
              </w:rPr>
              <w:t>50</w:t>
            </w:r>
          </w:p>
        </w:tc>
        <w:tc>
          <w:tcPr>
            <w:tcW w:w="791" w:type="pct"/>
            <w:shd w:val="clear" w:color="auto" w:fill="auto"/>
            <w:noWrap/>
            <w:vAlign w:val="center"/>
            <w:hideMark/>
          </w:tcPr>
          <w:p w14:paraId="7D38748F" w14:textId="3CFFABAF" w:rsidR="00797F67" w:rsidRPr="00A863DC" w:rsidRDefault="00797F67">
            <w:pPr>
              <w:tabs>
                <w:tab w:val="left" w:pos="282"/>
                <w:tab w:val="right" w:pos="1182"/>
              </w:tabs>
              <w:jc w:val="right"/>
              <w:rPr>
                <w:rFonts w:ascii="Arial" w:hAnsi="Arial" w:cs="Arial"/>
                <w:lang w:val="en-CA"/>
              </w:rPr>
            </w:pPr>
            <w:r w:rsidRPr="00A863DC">
              <w:rPr>
                <w:rFonts w:ascii="Arial" w:hAnsi="Arial" w:cs="Arial"/>
                <w:lang w:val="en-CA"/>
              </w:rPr>
              <w:t>50</w:t>
            </w:r>
          </w:p>
        </w:tc>
      </w:tr>
      <w:tr w:rsidR="000A0D8D" w:rsidRPr="00A863DC" w14:paraId="31E1808D" w14:textId="77777777" w:rsidTr="009F67C0">
        <w:trPr>
          <w:trHeight w:val="300"/>
          <w:jc w:val="center"/>
        </w:trPr>
        <w:tc>
          <w:tcPr>
            <w:tcW w:w="3354" w:type="pct"/>
            <w:shd w:val="clear" w:color="auto" w:fill="auto"/>
            <w:noWrap/>
            <w:vAlign w:val="center"/>
            <w:hideMark/>
          </w:tcPr>
          <w:p w14:paraId="1B395270" w14:textId="77777777" w:rsidR="002C6D84" w:rsidRPr="00A863DC" w:rsidRDefault="002C6D84" w:rsidP="00B2313A">
            <w:pPr>
              <w:tabs>
                <w:tab w:val="left" w:pos="342"/>
                <w:tab w:val="right" w:pos="1242"/>
              </w:tabs>
              <w:rPr>
                <w:rFonts w:ascii="Arial" w:hAnsi="Arial" w:cs="Arial"/>
                <w:bCs/>
                <w:lang w:val="en-CA"/>
              </w:rPr>
            </w:pPr>
            <w:r w:rsidRPr="00A863DC">
              <w:rPr>
                <w:rFonts w:ascii="Arial" w:hAnsi="Arial" w:cs="Arial"/>
                <w:bCs/>
                <w:lang w:val="en-CA"/>
              </w:rPr>
              <w:t xml:space="preserve">Total current assets </w:t>
            </w:r>
          </w:p>
        </w:tc>
        <w:tc>
          <w:tcPr>
            <w:tcW w:w="855" w:type="pct"/>
            <w:shd w:val="clear" w:color="auto" w:fill="auto"/>
            <w:noWrap/>
            <w:vAlign w:val="center"/>
            <w:hideMark/>
          </w:tcPr>
          <w:p w14:paraId="011C5A40" w14:textId="07285AF5" w:rsidR="002C6D84" w:rsidRPr="00A863DC" w:rsidRDefault="002C6D84">
            <w:pPr>
              <w:tabs>
                <w:tab w:val="left" w:pos="342"/>
                <w:tab w:val="right" w:pos="1242"/>
              </w:tabs>
              <w:jc w:val="right"/>
              <w:rPr>
                <w:rFonts w:ascii="Arial" w:hAnsi="Arial" w:cs="Arial"/>
                <w:lang w:val="en-CA"/>
              </w:rPr>
            </w:pPr>
            <w:r w:rsidRPr="00A863DC">
              <w:rPr>
                <w:rFonts w:ascii="Arial" w:hAnsi="Arial" w:cs="Arial"/>
                <w:lang w:val="en-CA"/>
              </w:rPr>
              <w:t>22,709</w:t>
            </w:r>
          </w:p>
        </w:tc>
        <w:tc>
          <w:tcPr>
            <w:tcW w:w="791" w:type="pct"/>
            <w:shd w:val="clear" w:color="auto" w:fill="auto"/>
            <w:noWrap/>
            <w:vAlign w:val="center"/>
            <w:hideMark/>
          </w:tcPr>
          <w:p w14:paraId="37BEE845" w14:textId="32360BFF" w:rsidR="002C6D84" w:rsidRPr="00A863DC" w:rsidRDefault="002C6D84">
            <w:pPr>
              <w:tabs>
                <w:tab w:val="left" w:pos="282"/>
                <w:tab w:val="right" w:pos="1182"/>
              </w:tabs>
              <w:jc w:val="right"/>
              <w:rPr>
                <w:rFonts w:ascii="Arial" w:hAnsi="Arial" w:cs="Arial"/>
                <w:lang w:val="en-CA"/>
              </w:rPr>
            </w:pPr>
            <w:r w:rsidRPr="00A863DC">
              <w:rPr>
                <w:rFonts w:ascii="Arial" w:hAnsi="Arial" w:cs="Arial"/>
                <w:lang w:val="en-CA"/>
              </w:rPr>
              <w:t>1,404</w:t>
            </w:r>
          </w:p>
        </w:tc>
      </w:tr>
      <w:tr w:rsidR="00797F67" w:rsidRPr="00A863DC" w14:paraId="4D5D3DB8" w14:textId="77777777" w:rsidTr="009F67C0">
        <w:trPr>
          <w:trHeight w:val="300"/>
          <w:jc w:val="center"/>
        </w:trPr>
        <w:tc>
          <w:tcPr>
            <w:tcW w:w="5000" w:type="pct"/>
            <w:gridSpan w:val="3"/>
            <w:shd w:val="clear" w:color="auto" w:fill="auto"/>
            <w:noWrap/>
            <w:vAlign w:val="center"/>
            <w:hideMark/>
          </w:tcPr>
          <w:p w14:paraId="2B2BE0D6" w14:textId="0715242C" w:rsidR="00797F67" w:rsidRPr="00A863DC" w:rsidRDefault="00797F67" w:rsidP="00B2313A">
            <w:pPr>
              <w:tabs>
                <w:tab w:val="left" w:pos="282"/>
                <w:tab w:val="right" w:pos="1182"/>
              </w:tabs>
              <w:rPr>
                <w:rFonts w:ascii="Arial" w:hAnsi="Arial" w:cs="Arial"/>
                <w:lang w:val="en-CA"/>
              </w:rPr>
            </w:pPr>
            <w:r w:rsidRPr="00A863DC">
              <w:rPr>
                <w:rFonts w:ascii="Arial" w:hAnsi="Arial" w:cs="Arial"/>
                <w:b/>
                <w:bCs/>
                <w:lang w:val="en-CA"/>
              </w:rPr>
              <w:t>Fixed assets¹</w:t>
            </w:r>
          </w:p>
        </w:tc>
      </w:tr>
      <w:tr w:rsidR="00797F67" w:rsidRPr="00A863DC" w14:paraId="629C0041" w14:textId="77777777" w:rsidTr="009F67C0">
        <w:trPr>
          <w:trHeight w:val="300"/>
          <w:jc w:val="center"/>
        </w:trPr>
        <w:tc>
          <w:tcPr>
            <w:tcW w:w="3354" w:type="pct"/>
            <w:shd w:val="clear" w:color="auto" w:fill="auto"/>
            <w:noWrap/>
            <w:vAlign w:val="center"/>
            <w:hideMark/>
          </w:tcPr>
          <w:p w14:paraId="112A6018" w14:textId="57E195D4" w:rsidR="00797F67" w:rsidRPr="00A863DC" w:rsidRDefault="00797F67" w:rsidP="00B2313A">
            <w:pPr>
              <w:tabs>
                <w:tab w:val="left" w:pos="342"/>
                <w:tab w:val="right" w:pos="1242"/>
              </w:tabs>
              <w:rPr>
                <w:rFonts w:ascii="Arial" w:hAnsi="Arial" w:cs="Arial"/>
                <w:lang w:val="en-CA"/>
              </w:rPr>
            </w:pPr>
            <w:r w:rsidRPr="00A863DC">
              <w:rPr>
                <w:rFonts w:ascii="Arial" w:hAnsi="Arial" w:cs="Arial"/>
                <w:lang w:val="en-CA"/>
              </w:rPr>
              <w:t>Shipping container</w:t>
            </w:r>
          </w:p>
        </w:tc>
        <w:tc>
          <w:tcPr>
            <w:tcW w:w="855" w:type="pct"/>
            <w:shd w:val="clear" w:color="auto" w:fill="auto"/>
            <w:noWrap/>
            <w:vAlign w:val="center"/>
            <w:hideMark/>
          </w:tcPr>
          <w:p w14:paraId="21B52800" w14:textId="069DF6F1" w:rsidR="00797F67" w:rsidRPr="00A863DC" w:rsidRDefault="00797F67">
            <w:pPr>
              <w:tabs>
                <w:tab w:val="left" w:pos="342"/>
                <w:tab w:val="right" w:pos="1242"/>
              </w:tabs>
              <w:jc w:val="right"/>
              <w:rPr>
                <w:rFonts w:ascii="Arial" w:hAnsi="Arial" w:cs="Arial"/>
                <w:lang w:val="en-CA"/>
              </w:rPr>
            </w:pPr>
            <w:r w:rsidRPr="00A863DC">
              <w:rPr>
                <w:rFonts w:ascii="Arial" w:hAnsi="Arial" w:cs="Arial"/>
                <w:lang w:val="en-CA"/>
              </w:rPr>
              <w:t>3,000</w:t>
            </w:r>
          </w:p>
        </w:tc>
        <w:tc>
          <w:tcPr>
            <w:tcW w:w="791" w:type="pct"/>
            <w:shd w:val="clear" w:color="auto" w:fill="auto"/>
            <w:noWrap/>
            <w:vAlign w:val="center"/>
            <w:hideMark/>
          </w:tcPr>
          <w:p w14:paraId="3DCC5314" w14:textId="75172788" w:rsidR="00797F67" w:rsidRPr="00A863DC" w:rsidRDefault="00797F67">
            <w:pPr>
              <w:tabs>
                <w:tab w:val="left" w:pos="282"/>
                <w:tab w:val="right" w:pos="1182"/>
              </w:tabs>
              <w:jc w:val="right"/>
              <w:rPr>
                <w:rFonts w:ascii="Arial" w:hAnsi="Arial" w:cs="Arial"/>
                <w:lang w:val="en-CA"/>
              </w:rPr>
            </w:pPr>
            <w:r w:rsidRPr="00A863DC">
              <w:rPr>
                <w:rFonts w:ascii="Arial" w:hAnsi="Arial" w:cs="Arial"/>
                <w:lang w:val="en-CA"/>
              </w:rPr>
              <w:t>3,000</w:t>
            </w:r>
          </w:p>
        </w:tc>
      </w:tr>
      <w:tr w:rsidR="00797F67" w:rsidRPr="00A863DC" w14:paraId="360267D1" w14:textId="77777777" w:rsidTr="009F67C0">
        <w:trPr>
          <w:trHeight w:val="300"/>
          <w:jc w:val="center"/>
        </w:trPr>
        <w:tc>
          <w:tcPr>
            <w:tcW w:w="3354" w:type="pct"/>
            <w:shd w:val="clear" w:color="auto" w:fill="auto"/>
            <w:noWrap/>
            <w:vAlign w:val="center"/>
            <w:hideMark/>
          </w:tcPr>
          <w:p w14:paraId="661664DA" w14:textId="52EA0438" w:rsidR="00797F67" w:rsidRPr="00A863DC" w:rsidRDefault="00797F67" w:rsidP="00B2313A">
            <w:pPr>
              <w:tabs>
                <w:tab w:val="left" w:pos="342"/>
                <w:tab w:val="right" w:pos="1242"/>
              </w:tabs>
              <w:rPr>
                <w:rFonts w:ascii="Arial" w:hAnsi="Arial" w:cs="Arial"/>
                <w:lang w:val="en-CA"/>
              </w:rPr>
            </w:pPr>
            <w:r w:rsidRPr="00A863DC">
              <w:rPr>
                <w:rFonts w:ascii="Arial" w:hAnsi="Arial" w:cs="Arial"/>
                <w:lang w:val="en-CA"/>
              </w:rPr>
              <w:t xml:space="preserve">Water tanks </w:t>
            </w:r>
            <w:r w:rsidR="00504E58" w:rsidRPr="00A863DC">
              <w:rPr>
                <w:rFonts w:ascii="Arial" w:hAnsi="Arial" w:cs="Arial"/>
                <w:lang w:val="en-CA"/>
              </w:rPr>
              <w:t>&amp;</w:t>
            </w:r>
            <w:r w:rsidRPr="00A863DC">
              <w:rPr>
                <w:rFonts w:ascii="Arial" w:hAnsi="Arial" w:cs="Arial"/>
                <w:lang w:val="en-CA"/>
              </w:rPr>
              <w:t xml:space="preserve"> fixtures</w:t>
            </w:r>
          </w:p>
        </w:tc>
        <w:tc>
          <w:tcPr>
            <w:tcW w:w="855" w:type="pct"/>
            <w:shd w:val="clear" w:color="auto" w:fill="auto"/>
            <w:noWrap/>
            <w:vAlign w:val="center"/>
            <w:hideMark/>
          </w:tcPr>
          <w:p w14:paraId="0427F489" w14:textId="36D44FBC" w:rsidR="00797F67" w:rsidRPr="00A863DC" w:rsidRDefault="00797F67">
            <w:pPr>
              <w:tabs>
                <w:tab w:val="left" w:pos="342"/>
                <w:tab w:val="right" w:pos="1242"/>
              </w:tabs>
              <w:jc w:val="right"/>
              <w:rPr>
                <w:rFonts w:ascii="Arial" w:hAnsi="Arial" w:cs="Arial"/>
                <w:lang w:val="en-CA"/>
              </w:rPr>
            </w:pPr>
            <w:r w:rsidRPr="00A863DC">
              <w:rPr>
                <w:rFonts w:ascii="Arial" w:hAnsi="Arial" w:cs="Arial"/>
                <w:lang w:val="en-CA"/>
              </w:rPr>
              <w:t>2,900</w:t>
            </w:r>
          </w:p>
        </w:tc>
        <w:tc>
          <w:tcPr>
            <w:tcW w:w="791" w:type="pct"/>
            <w:shd w:val="clear" w:color="auto" w:fill="auto"/>
            <w:noWrap/>
            <w:vAlign w:val="center"/>
            <w:hideMark/>
          </w:tcPr>
          <w:p w14:paraId="0BDCF07B" w14:textId="75E8C3DD" w:rsidR="00797F67" w:rsidRPr="00A863DC" w:rsidRDefault="00797F67">
            <w:pPr>
              <w:tabs>
                <w:tab w:val="left" w:pos="282"/>
                <w:tab w:val="right" w:pos="1182"/>
              </w:tabs>
              <w:jc w:val="right"/>
              <w:rPr>
                <w:rFonts w:ascii="Arial" w:hAnsi="Arial" w:cs="Arial"/>
                <w:lang w:val="en-CA"/>
              </w:rPr>
            </w:pPr>
            <w:r w:rsidRPr="00A863DC">
              <w:rPr>
                <w:rFonts w:ascii="Arial" w:hAnsi="Arial" w:cs="Arial"/>
                <w:lang w:val="en-CA"/>
              </w:rPr>
              <w:t>327</w:t>
            </w:r>
          </w:p>
        </w:tc>
      </w:tr>
      <w:tr w:rsidR="00797F67" w:rsidRPr="00A863DC" w14:paraId="0E27A8ED" w14:textId="77777777" w:rsidTr="009F67C0">
        <w:trPr>
          <w:trHeight w:val="300"/>
          <w:jc w:val="center"/>
        </w:trPr>
        <w:tc>
          <w:tcPr>
            <w:tcW w:w="3354" w:type="pct"/>
            <w:shd w:val="clear" w:color="auto" w:fill="auto"/>
            <w:noWrap/>
            <w:vAlign w:val="center"/>
            <w:hideMark/>
          </w:tcPr>
          <w:p w14:paraId="0B63DE78" w14:textId="76B0A810" w:rsidR="00797F67" w:rsidRPr="00A863DC" w:rsidRDefault="00797F67" w:rsidP="00B2313A">
            <w:pPr>
              <w:tabs>
                <w:tab w:val="left" w:pos="342"/>
                <w:tab w:val="right" w:pos="1242"/>
              </w:tabs>
              <w:rPr>
                <w:rFonts w:ascii="Arial" w:hAnsi="Arial" w:cs="Arial"/>
                <w:lang w:val="en-CA"/>
              </w:rPr>
            </w:pPr>
            <w:r w:rsidRPr="00A863DC">
              <w:rPr>
                <w:rFonts w:ascii="Arial" w:hAnsi="Arial" w:cs="Arial"/>
                <w:lang w:val="en-CA"/>
              </w:rPr>
              <w:t>Fencing</w:t>
            </w:r>
          </w:p>
        </w:tc>
        <w:tc>
          <w:tcPr>
            <w:tcW w:w="855" w:type="pct"/>
            <w:shd w:val="clear" w:color="auto" w:fill="auto"/>
            <w:noWrap/>
            <w:vAlign w:val="center"/>
            <w:hideMark/>
          </w:tcPr>
          <w:p w14:paraId="115A6901" w14:textId="668A0A98" w:rsidR="00797F67" w:rsidRPr="00A863DC" w:rsidRDefault="00797F67">
            <w:pPr>
              <w:tabs>
                <w:tab w:val="left" w:pos="342"/>
                <w:tab w:val="right" w:pos="1242"/>
              </w:tabs>
              <w:jc w:val="right"/>
              <w:rPr>
                <w:rFonts w:ascii="Arial" w:hAnsi="Arial" w:cs="Arial"/>
                <w:lang w:val="en-CA"/>
              </w:rPr>
            </w:pPr>
            <w:r w:rsidRPr="00A863DC">
              <w:rPr>
                <w:rFonts w:ascii="Arial" w:hAnsi="Arial" w:cs="Arial"/>
                <w:lang w:val="en-CA"/>
              </w:rPr>
              <w:t>2,500</w:t>
            </w:r>
          </w:p>
        </w:tc>
        <w:tc>
          <w:tcPr>
            <w:tcW w:w="791" w:type="pct"/>
            <w:shd w:val="clear" w:color="auto" w:fill="auto"/>
            <w:noWrap/>
            <w:vAlign w:val="center"/>
            <w:hideMark/>
          </w:tcPr>
          <w:p w14:paraId="547B02CF" w14:textId="0CD33CC7" w:rsidR="00797F67" w:rsidRPr="00A863DC" w:rsidRDefault="00797F67">
            <w:pPr>
              <w:tabs>
                <w:tab w:val="left" w:pos="282"/>
                <w:tab w:val="right" w:pos="1182"/>
              </w:tabs>
              <w:jc w:val="right"/>
              <w:rPr>
                <w:rFonts w:ascii="Arial" w:hAnsi="Arial" w:cs="Arial"/>
                <w:lang w:val="en-CA"/>
              </w:rPr>
            </w:pPr>
            <w:r w:rsidRPr="00A863DC">
              <w:rPr>
                <w:rFonts w:ascii="Arial" w:hAnsi="Arial" w:cs="Arial"/>
                <w:lang w:val="en-CA"/>
              </w:rPr>
              <w:t>579</w:t>
            </w:r>
          </w:p>
        </w:tc>
      </w:tr>
      <w:tr w:rsidR="00797F67" w:rsidRPr="00A863DC" w14:paraId="0FE3636E" w14:textId="77777777" w:rsidTr="009F67C0">
        <w:trPr>
          <w:trHeight w:val="300"/>
          <w:jc w:val="center"/>
        </w:trPr>
        <w:tc>
          <w:tcPr>
            <w:tcW w:w="3354" w:type="pct"/>
            <w:shd w:val="clear" w:color="auto" w:fill="auto"/>
            <w:noWrap/>
            <w:vAlign w:val="center"/>
            <w:hideMark/>
          </w:tcPr>
          <w:p w14:paraId="61ADC88B" w14:textId="722C7834" w:rsidR="00797F67" w:rsidRPr="00A863DC" w:rsidRDefault="00797F67" w:rsidP="00B2313A">
            <w:pPr>
              <w:tabs>
                <w:tab w:val="left" w:pos="342"/>
                <w:tab w:val="right" w:pos="1242"/>
              </w:tabs>
              <w:rPr>
                <w:rFonts w:ascii="Arial" w:hAnsi="Arial" w:cs="Arial"/>
                <w:lang w:val="en-CA"/>
              </w:rPr>
            </w:pPr>
            <w:r w:rsidRPr="00A863DC">
              <w:rPr>
                <w:rFonts w:ascii="Arial" w:hAnsi="Arial" w:cs="Arial"/>
                <w:lang w:val="en-CA"/>
              </w:rPr>
              <w:t>Farm tools and implements</w:t>
            </w:r>
          </w:p>
        </w:tc>
        <w:tc>
          <w:tcPr>
            <w:tcW w:w="855" w:type="pct"/>
            <w:shd w:val="clear" w:color="auto" w:fill="auto"/>
            <w:noWrap/>
            <w:vAlign w:val="center"/>
            <w:hideMark/>
          </w:tcPr>
          <w:p w14:paraId="62F373C8" w14:textId="5EF5EBE4" w:rsidR="00797F67" w:rsidRPr="00A863DC" w:rsidRDefault="00797F67">
            <w:pPr>
              <w:tabs>
                <w:tab w:val="left" w:pos="342"/>
                <w:tab w:val="right" w:pos="1242"/>
              </w:tabs>
              <w:jc w:val="right"/>
              <w:rPr>
                <w:rFonts w:ascii="Arial" w:hAnsi="Arial" w:cs="Arial"/>
                <w:lang w:val="en-CA"/>
              </w:rPr>
            </w:pPr>
            <w:r w:rsidRPr="00A863DC">
              <w:rPr>
                <w:rFonts w:ascii="Arial" w:hAnsi="Arial" w:cs="Arial"/>
                <w:lang w:val="en-CA"/>
              </w:rPr>
              <w:t>6,300</w:t>
            </w:r>
          </w:p>
        </w:tc>
        <w:tc>
          <w:tcPr>
            <w:tcW w:w="791" w:type="pct"/>
            <w:shd w:val="clear" w:color="auto" w:fill="auto"/>
            <w:noWrap/>
            <w:vAlign w:val="center"/>
            <w:hideMark/>
          </w:tcPr>
          <w:p w14:paraId="30ADA017" w14:textId="7E6C1E32" w:rsidR="00797F67" w:rsidRPr="00A863DC" w:rsidRDefault="00797F67">
            <w:pPr>
              <w:tabs>
                <w:tab w:val="left" w:pos="282"/>
                <w:tab w:val="right" w:pos="1182"/>
              </w:tabs>
              <w:jc w:val="right"/>
              <w:rPr>
                <w:rFonts w:ascii="Arial" w:hAnsi="Arial" w:cs="Arial"/>
                <w:lang w:val="en-CA"/>
              </w:rPr>
            </w:pPr>
            <w:r w:rsidRPr="00A863DC">
              <w:rPr>
                <w:rFonts w:ascii="Arial" w:hAnsi="Arial" w:cs="Arial"/>
                <w:lang w:val="en-CA"/>
              </w:rPr>
              <w:t>1,755</w:t>
            </w:r>
          </w:p>
        </w:tc>
      </w:tr>
      <w:tr w:rsidR="000A0D8D" w:rsidRPr="00A863DC" w14:paraId="61455358" w14:textId="77777777" w:rsidTr="009F67C0">
        <w:trPr>
          <w:trHeight w:val="300"/>
          <w:jc w:val="center"/>
        </w:trPr>
        <w:tc>
          <w:tcPr>
            <w:tcW w:w="3354" w:type="pct"/>
            <w:shd w:val="clear" w:color="auto" w:fill="auto"/>
            <w:noWrap/>
            <w:vAlign w:val="center"/>
            <w:hideMark/>
          </w:tcPr>
          <w:p w14:paraId="216A3AF8" w14:textId="2F0C4F9D" w:rsidR="002C6D84" w:rsidRPr="00A863DC" w:rsidRDefault="002C6D84" w:rsidP="00B2313A">
            <w:pPr>
              <w:tabs>
                <w:tab w:val="left" w:pos="342"/>
                <w:tab w:val="right" w:pos="1242"/>
              </w:tabs>
              <w:rPr>
                <w:rFonts w:ascii="Arial" w:hAnsi="Arial" w:cs="Arial"/>
                <w:bCs/>
                <w:lang w:val="en-CA"/>
              </w:rPr>
            </w:pPr>
            <w:r w:rsidRPr="00A863DC">
              <w:rPr>
                <w:rFonts w:ascii="Arial" w:hAnsi="Arial" w:cs="Arial"/>
                <w:bCs/>
                <w:lang w:val="en-CA"/>
              </w:rPr>
              <w:t>Total fixed assets</w:t>
            </w:r>
          </w:p>
        </w:tc>
        <w:tc>
          <w:tcPr>
            <w:tcW w:w="855" w:type="pct"/>
            <w:shd w:val="clear" w:color="auto" w:fill="auto"/>
            <w:noWrap/>
            <w:vAlign w:val="center"/>
            <w:hideMark/>
          </w:tcPr>
          <w:p w14:paraId="036504EE" w14:textId="14547E27" w:rsidR="002C6D84" w:rsidRPr="00A863DC" w:rsidRDefault="002C6D84">
            <w:pPr>
              <w:tabs>
                <w:tab w:val="left" w:pos="342"/>
                <w:tab w:val="right" w:pos="1242"/>
              </w:tabs>
              <w:jc w:val="right"/>
              <w:rPr>
                <w:rFonts w:ascii="Arial" w:hAnsi="Arial" w:cs="Arial"/>
                <w:lang w:val="en-CA"/>
              </w:rPr>
            </w:pPr>
            <w:r w:rsidRPr="00A863DC">
              <w:rPr>
                <w:rFonts w:ascii="Arial" w:hAnsi="Arial" w:cs="Arial"/>
                <w:lang w:val="en-CA"/>
              </w:rPr>
              <w:t>14,700</w:t>
            </w:r>
          </w:p>
        </w:tc>
        <w:tc>
          <w:tcPr>
            <w:tcW w:w="791" w:type="pct"/>
            <w:shd w:val="clear" w:color="auto" w:fill="auto"/>
            <w:noWrap/>
            <w:vAlign w:val="center"/>
            <w:hideMark/>
          </w:tcPr>
          <w:p w14:paraId="557AC0DA" w14:textId="08784775" w:rsidR="002C6D84" w:rsidRPr="00A863DC" w:rsidRDefault="002C6D84">
            <w:pPr>
              <w:tabs>
                <w:tab w:val="left" w:pos="282"/>
                <w:tab w:val="right" w:pos="1182"/>
              </w:tabs>
              <w:jc w:val="right"/>
              <w:rPr>
                <w:rFonts w:ascii="Arial" w:hAnsi="Arial" w:cs="Arial"/>
                <w:lang w:val="en-CA"/>
              </w:rPr>
            </w:pPr>
            <w:r w:rsidRPr="00A863DC">
              <w:rPr>
                <w:rFonts w:ascii="Arial" w:hAnsi="Arial" w:cs="Arial"/>
                <w:lang w:val="en-CA"/>
              </w:rPr>
              <w:t>5,661</w:t>
            </w:r>
          </w:p>
        </w:tc>
      </w:tr>
      <w:tr w:rsidR="000A0D8D" w:rsidRPr="00A863DC" w14:paraId="5181692C" w14:textId="77777777" w:rsidTr="009F67C0">
        <w:trPr>
          <w:trHeight w:val="300"/>
          <w:jc w:val="center"/>
        </w:trPr>
        <w:tc>
          <w:tcPr>
            <w:tcW w:w="3354" w:type="pct"/>
            <w:shd w:val="clear" w:color="auto" w:fill="auto"/>
            <w:noWrap/>
            <w:vAlign w:val="center"/>
            <w:hideMark/>
          </w:tcPr>
          <w:p w14:paraId="51D673A0" w14:textId="06570318" w:rsidR="002C6D84" w:rsidRPr="00A863DC" w:rsidRDefault="002C6D84" w:rsidP="00B2313A">
            <w:pPr>
              <w:tabs>
                <w:tab w:val="left" w:pos="342"/>
                <w:tab w:val="right" w:pos="1242"/>
              </w:tabs>
              <w:rPr>
                <w:rFonts w:ascii="Arial" w:hAnsi="Arial" w:cs="Arial"/>
                <w:color w:val="000000"/>
                <w:lang w:val="en-CA"/>
              </w:rPr>
            </w:pPr>
            <w:r w:rsidRPr="00A863DC">
              <w:rPr>
                <w:rFonts w:ascii="Arial" w:hAnsi="Arial" w:cs="Arial"/>
                <w:color w:val="000000"/>
                <w:lang w:val="en-CA"/>
              </w:rPr>
              <w:t xml:space="preserve">Less: </w:t>
            </w:r>
            <w:r w:rsidR="0076060E" w:rsidRPr="00A863DC">
              <w:rPr>
                <w:rFonts w:ascii="Arial" w:hAnsi="Arial" w:cs="Arial"/>
                <w:color w:val="000000"/>
                <w:lang w:val="en-CA"/>
              </w:rPr>
              <w:t>A</w:t>
            </w:r>
            <w:r w:rsidRPr="00A863DC">
              <w:rPr>
                <w:rFonts w:ascii="Arial" w:hAnsi="Arial" w:cs="Arial"/>
                <w:color w:val="000000"/>
                <w:lang w:val="en-CA"/>
              </w:rPr>
              <w:t>ccumulated depreciation</w:t>
            </w:r>
          </w:p>
        </w:tc>
        <w:tc>
          <w:tcPr>
            <w:tcW w:w="855" w:type="pct"/>
            <w:shd w:val="clear" w:color="auto" w:fill="auto"/>
            <w:noWrap/>
            <w:vAlign w:val="center"/>
            <w:hideMark/>
          </w:tcPr>
          <w:p w14:paraId="2B1EA276" w14:textId="166AC422" w:rsidR="002C6D84" w:rsidRPr="00A863DC" w:rsidRDefault="002C6D84">
            <w:pPr>
              <w:tabs>
                <w:tab w:val="left" w:pos="342"/>
                <w:tab w:val="right" w:pos="1242"/>
              </w:tabs>
              <w:jc w:val="right"/>
              <w:rPr>
                <w:rFonts w:ascii="Arial" w:hAnsi="Arial" w:cs="Arial"/>
                <w:color w:val="000000"/>
                <w:lang w:val="en-CA"/>
              </w:rPr>
            </w:pPr>
            <w:r w:rsidRPr="00A863DC">
              <w:rPr>
                <w:rFonts w:ascii="Arial" w:hAnsi="Arial" w:cs="Arial"/>
                <w:color w:val="000000"/>
                <w:lang w:val="en-CA"/>
              </w:rPr>
              <w:t>2,036</w:t>
            </w:r>
          </w:p>
        </w:tc>
        <w:tc>
          <w:tcPr>
            <w:tcW w:w="791" w:type="pct"/>
            <w:shd w:val="clear" w:color="auto" w:fill="auto"/>
            <w:noWrap/>
            <w:vAlign w:val="center"/>
            <w:hideMark/>
          </w:tcPr>
          <w:p w14:paraId="514B5179" w14:textId="5EB665C3" w:rsidR="002C6D84" w:rsidRPr="00A863DC" w:rsidRDefault="002C6D84">
            <w:pPr>
              <w:tabs>
                <w:tab w:val="left" w:pos="282"/>
                <w:tab w:val="right" w:pos="1182"/>
              </w:tabs>
              <w:jc w:val="right"/>
              <w:rPr>
                <w:rFonts w:ascii="Arial" w:hAnsi="Arial" w:cs="Arial"/>
                <w:color w:val="000000"/>
                <w:lang w:val="en-CA"/>
              </w:rPr>
            </w:pPr>
            <w:r w:rsidRPr="00A863DC">
              <w:rPr>
                <w:rFonts w:ascii="Arial" w:hAnsi="Arial" w:cs="Arial"/>
                <w:color w:val="000000"/>
                <w:lang w:val="en-CA"/>
              </w:rPr>
              <w:t>566</w:t>
            </w:r>
          </w:p>
        </w:tc>
      </w:tr>
      <w:tr w:rsidR="000A0D8D" w:rsidRPr="00A863DC" w14:paraId="030C6F2E" w14:textId="77777777" w:rsidTr="009F67C0">
        <w:trPr>
          <w:trHeight w:val="300"/>
          <w:jc w:val="center"/>
        </w:trPr>
        <w:tc>
          <w:tcPr>
            <w:tcW w:w="3354" w:type="pct"/>
            <w:shd w:val="clear" w:color="auto" w:fill="auto"/>
            <w:noWrap/>
            <w:vAlign w:val="center"/>
            <w:hideMark/>
          </w:tcPr>
          <w:p w14:paraId="3698656C" w14:textId="77777777" w:rsidR="002C6D84" w:rsidRPr="00A863DC" w:rsidRDefault="002C6D84" w:rsidP="00B2313A">
            <w:pPr>
              <w:tabs>
                <w:tab w:val="left" w:pos="342"/>
                <w:tab w:val="right" w:pos="1242"/>
              </w:tabs>
              <w:rPr>
                <w:rFonts w:ascii="Arial" w:hAnsi="Arial" w:cs="Arial"/>
                <w:color w:val="000000"/>
                <w:lang w:val="en-CA"/>
              </w:rPr>
            </w:pPr>
            <w:r w:rsidRPr="00A863DC">
              <w:rPr>
                <w:rFonts w:ascii="Arial" w:hAnsi="Arial" w:cs="Arial"/>
                <w:color w:val="000000"/>
                <w:lang w:val="en-CA"/>
              </w:rPr>
              <w:t>Net fixed assets</w:t>
            </w:r>
          </w:p>
        </w:tc>
        <w:tc>
          <w:tcPr>
            <w:tcW w:w="855" w:type="pct"/>
            <w:shd w:val="clear" w:color="auto" w:fill="auto"/>
            <w:noWrap/>
            <w:vAlign w:val="center"/>
            <w:hideMark/>
          </w:tcPr>
          <w:p w14:paraId="0F77A95E" w14:textId="53A7B779" w:rsidR="002C6D84" w:rsidRPr="00A863DC" w:rsidRDefault="002C6D84">
            <w:pPr>
              <w:tabs>
                <w:tab w:val="left" w:pos="342"/>
                <w:tab w:val="right" w:pos="1242"/>
              </w:tabs>
              <w:jc w:val="right"/>
              <w:rPr>
                <w:rFonts w:ascii="Arial" w:hAnsi="Arial" w:cs="Arial"/>
                <w:color w:val="000000"/>
                <w:lang w:val="en-CA"/>
              </w:rPr>
            </w:pPr>
            <w:r w:rsidRPr="00A863DC">
              <w:rPr>
                <w:rFonts w:ascii="Arial" w:hAnsi="Arial" w:cs="Arial"/>
                <w:color w:val="000000"/>
                <w:lang w:val="en-CA"/>
              </w:rPr>
              <w:t>12,664</w:t>
            </w:r>
          </w:p>
        </w:tc>
        <w:tc>
          <w:tcPr>
            <w:tcW w:w="791" w:type="pct"/>
            <w:shd w:val="clear" w:color="auto" w:fill="auto"/>
            <w:noWrap/>
            <w:vAlign w:val="center"/>
            <w:hideMark/>
          </w:tcPr>
          <w:p w14:paraId="7CA93969" w14:textId="70CBD715" w:rsidR="002C6D84" w:rsidRPr="00A863DC" w:rsidRDefault="002C6D84">
            <w:pPr>
              <w:tabs>
                <w:tab w:val="left" w:pos="282"/>
                <w:tab w:val="right" w:pos="1182"/>
              </w:tabs>
              <w:jc w:val="right"/>
              <w:rPr>
                <w:rFonts w:ascii="Arial" w:hAnsi="Arial" w:cs="Arial"/>
                <w:color w:val="000000"/>
                <w:lang w:val="en-CA"/>
              </w:rPr>
            </w:pPr>
            <w:r w:rsidRPr="00A863DC">
              <w:rPr>
                <w:rFonts w:ascii="Arial" w:hAnsi="Arial" w:cs="Arial"/>
                <w:color w:val="000000"/>
                <w:lang w:val="en-CA"/>
              </w:rPr>
              <w:t>5,095</w:t>
            </w:r>
          </w:p>
        </w:tc>
      </w:tr>
      <w:tr w:rsidR="000A0D8D" w:rsidRPr="00A863DC" w14:paraId="7BC7965B" w14:textId="77777777" w:rsidTr="009F67C0">
        <w:trPr>
          <w:trHeight w:val="320"/>
          <w:jc w:val="center"/>
        </w:trPr>
        <w:tc>
          <w:tcPr>
            <w:tcW w:w="3354" w:type="pct"/>
            <w:shd w:val="clear" w:color="auto" w:fill="auto"/>
            <w:noWrap/>
            <w:vAlign w:val="center"/>
            <w:hideMark/>
          </w:tcPr>
          <w:p w14:paraId="77565984" w14:textId="77777777" w:rsidR="002C6D84" w:rsidRPr="00A863DC" w:rsidRDefault="002C6D84" w:rsidP="00B2313A">
            <w:pPr>
              <w:tabs>
                <w:tab w:val="left" w:pos="342"/>
                <w:tab w:val="right" w:pos="1242"/>
              </w:tabs>
              <w:rPr>
                <w:rFonts w:ascii="Arial" w:hAnsi="Arial" w:cs="Arial"/>
                <w:bCs/>
                <w:lang w:val="en-CA"/>
              </w:rPr>
            </w:pPr>
            <w:r w:rsidRPr="00A863DC">
              <w:rPr>
                <w:rFonts w:ascii="Arial" w:hAnsi="Arial" w:cs="Arial"/>
                <w:bCs/>
                <w:lang w:val="en-CA"/>
              </w:rPr>
              <w:t>Total assets</w:t>
            </w:r>
          </w:p>
        </w:tc>
        <w:tc>
          <w:tcPr>
            <w:tcW w:w="855" w:type="pct"/>
            <w:shd w:val="clear" w:color="auto" w:fill="auto"/>
            <w:noWrap/>
            <w:vAlign w:val="center"/>
            <w:hideMark/>
          </w:tcPr>
          <w:p w14:paraId="46B52087" w14:textId="52EE3C58" w:rsidR="002C6D84" w:rsidRPr="00A863DC" w:rsidRDefault="002C6D84">
            <w:pPr>
              <w:tabs>
                <w:tab w:val="left" w:pos="342"/>
                <w:tab w:val="right" w:pos="1242"/>
              </w:tabs>
              <w:jc w:val="right"/>
              <w:rPr>
                <w:rFonts w:ascii="Arial" w:hAnsi="Arial" w:cs="Arial"/>
                <w:color w:val="000000"/>
                <w:lang w:val="en-CA"/>
              </w:rPr>
            </w:pPr>
            <w:r w:rsidRPr="00A863DC">
              <w:rPr>
                <w:rFonts w:ascii="Arial" w:hAnsi="Arial" w:cs="Arial"/>
                <w:color w:val="000000"/>
                <w:lang w:val="en-CA"/>
              </w:rPr>
              <w:t>35,373</w:t>
            </w:r>
          </w:p>
        </w:tc>
        <w:tc>
          <w:tcPr>
            <w:tcW w:w="791" w:type="pct"/>
            <w:shd w:val="clear" w:color="auto" w:fill="auto"/>
            <w:noWrap/>
            <w:vAlign w:val="center"/>
            <w:hideMark/>
          </w:tcPr>
          <w:p w14:paraId="2DADB363" w14:textId="188DE40C" w:rsidR="002C6D84" w:rsidRPr="00A863DC" w:rsidRDefault="002C6D84">
            <w:pPr>
              <w:tabs>
                <w:tab w:val="left" w:pos="282"/>
                <w:tab w:val="right" w:pos="1182"/>
              </w:tabs>
              <w:jc w:val="right"/>
              <w:rPr>
                <w:rFonts w:ascii="Arial" w:hAnsi="Arial" w:cs="Arial"/>
                <w:color w:val="000000"/>
                <w:lang w:val="en-CA"/>
              </w:rPr>
            </w:pPr>
            <w:r w:rsidRPr="00A863DC">
              <w:rPr>
                <w:rFonts w:ascii="Arial" w:hAnsi="Arial" w:cs="Arial"/>
                <w:color w:val="000000"/>
                <w:lang w:val="en-CA"/>
              </w:rPr>
              <w:t>6,499</w:t>
            </w:r>
          </w:p>
        </w:tc>
      </w:tr>
      <w:tr w:rsidR="000A0D8D" w:rsidRPr="00A863DC" w14:paraId="2AD1C8B8" w14:textId="77777777" w:rsidTr="009F67C0">
        <w:trPr>
          <w:trHeight w:val="300"/>
          <w:jc w:val="center"/>
        </w:trPr>
        <w:tc>
          <w:tcPr>
            <w:tcW w:w="3354" w:type="pct"/>
            <w:shd w:val="clear" w:color="auto" w:fill="auto"/>
            <w:noWrap/>
            <w:vAlign w:val="center"/>
            <w:hideMark/>
          </w:tcPr>
          <w:p w14:paraId="006916DB" w14:textId="16725F4D" w:rsidR="002C6D84" w:rsidRPr="00A863DC" w:rsidRDefault="002C6D84" w:rsidP="00B2313A">
            <w:pPr>
              <w:tabs>
                <w:tab w:val="left" w:pos="342"/>
                <w:tab w:val="right" w:pos="1242"/>
              </w:tabs>
              <w:rPr>
                <w:rFonts w:ascii="Arial" w:hAnsi="Arial" w:cs="Arial"/>
                <w:b/>
                <w:bCs/>
                <w:lang w:val="en-CA"/>
              </w:rPr>
            </w:pPr>
            <w:r w:rsidRPr="00A863DC">
              <w:rPr>
                <w:rFonts w:ascii="Arial" w:hAnsi="Arial" w:cs="Arial"/>
                <w:b/>
                <w:bCs/>
                <w:lang w:val="en-CA"/>
              </w:rPr>
              <w:t>L</w:t>
            </w:r>
            <w:r w:rsidR="00BA471C" w:rsidRPr="00A863DC">
              <w:rPr>
                <w:rFonts w:ascii="Arial" w:hAnsi="Arial" w:cs="Arial"/>
                <w:b/>
                <w:bCs/>
                <w:lang w:val="en-CA"/>
              </w:rPr>
              <w:t>iabilit</w:t>
            </w:r>
            <w:r w:rsidR="00BD3B1F" w:rsidRPr="00A863DC">
              <w:rPr>
                <w:rFonts w:ascii="Arial" w:hAnsi="Arial" w:cs="Arial"/>
                <w:b/>
                <w:bCs/>
                <w:lang w:val="en-CA"/>
              </w:rPr>
              <w:t>i</w:t>
            </w:r>
            <w:r w:rsidR="00BA471C" w:rsidRPr="00A863DC">
              <w:rPr>
                <w:rFonts w:ascii="Arial" w:hAnsi="Arial" w:cs="Arial"/>
                <w:b/>
                <w:bCs/>
                <w:lang w:val="en-CA"/>
              </w:rPr>
              <w:t>es</w:t>
            </w:r>
            <w:r w:rsidR="00BD3B1F" w:rsidRPr="00A863DC">
              <w:rPr>
                <w:rFonts w:ascii="Arial" w:hAnsi="Arial" w:cs="Arial"/>
                <w:b/>
                <w:bCs/>
                <w:lang w:val="en-CA"/>
              </w:rPr>
              <w:t xml:space="preserve"> </w:t>
            </w:r>
          </w:p>
        </w:tc>
        <w:tc>
          <w:tcPr>
            <w:tcW w:w="855" w:type="pct"/>
            <w:shd w:val="clear" w:color="auto" w:fill="auto"/>
            <w:noWrap/>
            <w:vAlign w:val="center"/>
            <w:hideMark/>
          </w:tcPr>
          <w:p w14:paraId="5A9E8581" w14:textId="77777777" w:rsidR="002C6D84" w:rsidRPr="00A863DC" w:rsidRDefault="002C6D84" w:rsidP="009F67C0">
            <w:pPr>
              <w:tabs>
                <w:tab w:val="left" w:pos="342"/>
                <w:tab w:val="right" w:pos="1242"/>
              </w:tabs>
              <w:jc w:val="right"/>
              <w:rPr>
                <w:rFonts w:ascii="Arial" w:hAnsi="Arial" w:cs="Arial"/>
                <w:b/>
                <w:bCs/>
                <w:lang w:val="en-CA"/>
              </w:rPr>
            </w:pPr>
          </w:p>
        </w:tc>
        <w:tc>
          <w:tcPr>
            <w:tcW w:w="791" w:type="pct"/>
            <w:shd w:val="clear" w:color="auto" w:fill="auto"/>
            <w:noWrap/>
            <w:vAlign w:val="center"/>
            <w:hideMark/>
          </w:tcPr>
          <w:p w14:paraId="0E749DAE" w14:textId="77777777" w:rsidR="002C6D84" w:rsidRPr="00A863DC" w:rsidRDefault="002C6D84" w:rsidP="009F67C0">
            <w:pPr>
              <w:tabs>
                <w:tab w:val="left" w:pos="282"/>
                <w:tab w:val="right" w:pos="1182"/>
              </w:tabs>
              <w:jc w:val="right"/>
              <w:rPr>
                <w:rFonts w:ascii="Arial" w:hAnsi="Arial" w:cs="Arial"/>
                <w:lang w:val="en-CA"/>
              </w:rPr>
            </w:pPr>
          </w:p>
        </w:tc>
      </w:tr>
      <w:tr w:rsidR="00797F67" w:rsidRPr="00A863DC" w14:paraId="22982CA5" w14:textId="77777777" w:rsidTr="009F67C0">
        <w:trPr>
          <w:trHeight w:val="300"/>
          <w:jc w:val="center"/>
        </w:trPr>
        <w:tc>
          <w:tcPr>
            <w:tcW w:w="3354" w:type="pct"/>
            <w:shd w:val="clear" w:color="auto" w:fill="auto"/>
            <w:noWrap/>
            <w:vAlign w:val="center"/>
            <w:hideMark/>
          </w:tcPr>
          <w:p w14:paraId="2FA1163B" w14:textId="531E6704" w:rsidR="00797F67" w:rsidRPr="00A863DC" w:rsidRDefault="00797F67" w:rsidP="00B2313A">
            <w:pPr>
              <w:tabs>
                <w:tab w:val="left" w:pos="342"/>
                <w:tab w:val="right" w:pos="1242"/>
              </w:tabs>
              <w:rPr>
                <w:rFonts w:ascii="Arial" w:hAnsi="Arial" w:cs="Arial"/>
                <w:lang w:val="en-CA"/>
              </w:rPr>
            </w:pPr>
            <w:r w:rsidRPr="00A863DC">
              <w:rPr>
                <w:rFonts w:ascii="Arial" w:hAnsi="Arial" w:cs="Arial"/>
                <w:lang w:val="en-CA"/>
              </w:rPr>
              <w:t>Accounts payable</w:t>
            </w:r>
          </w:p>
        </w:tc>
        <w:tc>
          <w:tcPr>
            <w:tcW w:w="855" w:type="pct"/>
            <w:shd w:val="clear" w:color="auto" w:fill="auto"/>
            <w:noWrap/>
            <w:vAlign w:val="center"/>
            <w:hideMark/>
          </w:tcPr>
          <w:p w14:paraId="51DEA72E" w14:textId="3CBED6A1" w:rsidR="00797F67" w:rsidRPr="00A863DC" w:rsidRDefault="00797F67">
            <w:pPr>
              <w:tabs>
                <w:tab w:val="left" w:pos="342"/>
                <w:tab w:val="right" w:pos="1242"/>
              </w:tabs>
              <w:jc w:val="right"/>
              <w:rPr>
                <w:rFonts w:ascii="Arial" w:hAnsi="Arial" w:cs="Arial"/>
                <w:u w:val="single"/>
                <w:lang w:val="en-CA"/>
              </w:rPr>
            </w:pPr>
            <w:r w:rsidRPr="00A863DC">
              <w:rPr>
                <w:rFonts w:ascii="Arial" w:hAnsi="Arial" w:cs="Arial"/>
                <w:lang w:val="en-CA"/>
              </w:rPr>
              <w:t>435</w:t>
            </w:r>
          </w:p>
        </w:tc>
        <w:tc>
          <w:tcPr>
            <w:tcW w:w="791" w:type="pct"/>
            <w:shd w:val="clear" w:color="auto" w:fill="auto"/>
            <w:noWrap/>
            <w:vAlign w:val="center"/>
            <w:hideMark/>
          </w:tcPr>
          <w:p w14:paraId="65C07011" w14:textId="003CA72C" w:rsidR="00797F67" w:rsidRPr="00A863DC" w:rsidRDefault="00797F67">
            <w:pPr>
              <w:tabs>
                <w:tab w:val="left" w:pos="282"/>
                <w:tab w:val="right" w:pos="1182"/>
              </w:tabs>
              <w:jc w:val="right"/>
              <w:rPr>
                <w:rFonts w:ascii="Arial" w:hAnsi="Arial" w:cs="Arial"/>
                <w:u w:val="single"/>
                <w:lang w:val="en-CA"/>
              </w:rPr>
            </w:pPr>
            <w:r w:rsidRPr="00A863DC">
              <w:rPr>
                <w:rFonts w:ascii="Arial" w:hAnsi="Arial" w:cs="Arial"/>
                <w:lang w:val="en-CA"/>
              </w:rPr>
              <w:t>125</w:t>
            </w:r>
          </w:p>
        </w:tc>
      </w:tr>
      <w:tr w:rsidR="000A0D8D" w:rsidRPr="00A863DC" w14:paraId="0397F567" w14:textId="77777777" w:rsidTr="009F67C0">
        <w:trPr>
          <w:trHeight w:val="300"/>
          <w:jc w:val="center"/>
        </w:trPr>
        <w:tc>
          <w:tcPr>
            <w:tcW w:w="3354" w:type="pct"/>
            <w:shd w:val="clear" w:color="auto" w:fill="auto"/>
            <w:noWrap/>
            <w:vAlign w:val="center"/>
            <w:hideMark/>
          </w:tcPr>
          <w:p w14:paraId="42F58212" w14:textId="77777777" w:rsidR="002C6D84" w:rsidRPr="00A863DC" w:rsidRDefault="002C6D84" w:rsidP="00B2313A">
            <w:pPr>
              <w:tabs>
                <w:tab w:val="left" w:pos="342"/>
                <w:tab w:val="right" w:pos="1242"/>
              </w:tabs>
              <w:rPr>
                <w:rFonts w:ascii="Arial" w:hAnsi="Arial" w:cs="Arial"/>
                <w:bCs/>
                <w:lang w:val="en-CA"/>
              </w:rPr>
            </w:pPr>
            <w:r w:rsidRPr="00A863DC">
              <w:rPr>
                <w:rFonts w:ascii="Arial" w:hAnsi="Arial" w:cs="Arial"/>
                <w:bCs/>
                <w:lang w:val="en-CA"/>
              </w:rPr>
              <w:t>Total liabilities</w:t>
            </w:r>
          </w:p>
        </w:tc>
        <w:tc>
          <w:tcPr>
            <w:tcW w:w="855" w:type="pct"/>
            <w:shd w:val="clear" w:color="auto" w:fill="auto"/>
            <w:noWrap/>
            <w:vAlign w:val="center"/>
            <w:hideMark/>
          </w:tcPr>
          <w:p w14:paraId="5F8BB4FE" w14:textId="7774D4C1" w:rsidR="002C6D84" w:rsidRPr="00A863DC" w:rsidRDefault="002C6D84">
            <w:pPr>
              <w:tabs>
                <w:tab w:val="left" w:pos="342"/>
                <w:tab w:val="right" w:pos="1242"/>
              </w:tabs>
              <w:jc w:val="right"/>
              <w:rPr>
                <w:rFonts w:ascii="Arial" w:hAnsi="Arial" w:cs="Arial"/>
                <w:lang w:val="en-CA"/>
              </w:rPr>
            </w:pPr>
            <w:r w:rsidRPr="00A863DC">
              <w:rPr>
                <w:rFonts w:ascii="Arial" w:hAnsi="Arial" w:cs="Arial"/>
                <w:lang w:val="en-CA"/>
              </w:rPr>
              <w:t>435</w:t>
            </w:r>
          </w:p>
        </w:tc>
        <w:tc>
          <w:tcPr>
            <w:tcW w:w="791" w:type="pct"/>
            <w:shd w:val="clear" w:color="auto" w:fill="auto"/>
            <w:noWrap/>
            <w:vAlign w:val="center"/>
            <w:hideMark/>
          </w:tcPr>
          <w:p w14:paraId="0DAB66EB" w14:textId="6015BCDF" w:rsidR="002C6D84" w:rsidRPr="00A863DC" w:rsidRDefault="002C6D84">
            <w:pPr>
              <w:tabs>
                <w:tab w:val="left" w:pos="282"/>
                <w:tab w:val="right" w:pos="1182"/>
              </w:tabs>
              <w:jc w:val="right"/>
              <w:rPr>
                <w:rFonts w:ascii="Arial" w:hAnsi="Arial" w:cs="Arial"/>
                <w:lang w:val="en-CA"/>
              </w:rPr>
            </w:pPr>
            <w:r w:rsidRPr="00A863DC">
              <w:rPr>
                <w:rFonts w:ascii="Arial" w:hAnsi="Arial" w:cs="Arial"/>
                <w:lang w:val="en-CA"/>
              </w:rPr>
              <w:t>125</w:t>
            </w:r>
          </w:p>
        </w:tc>
      </w:tr>
      <w:tr w:rsidR="00797F67" w:rsidRPr="00A863DC" w14:paraId="10695DB8" w14:textId="77777777" w:rsidTr="009F67C0">
        <w:trPr>
          <w:trHeight w:val="300"/>
          <w:jc w:val="center"/>
        </w:trPr>
        <w:tc>
          <w:tcPr>
            <w:tcW w:w="5000" w:type="pct"/>
            <w:gridSpan w:val="3"/>
            <w:shd w:val="clear" w:color="auto" w:fill="auto"/>
            <w:noWrap/>
            <w:vAlign w:val="center"/>
            <w:hideMark/>
          </w:tcPr>
          <w:p w14:paraId="235F0C58" w14:textId="31E5FDCE" w:rsidR="00797F67" w:rsidRPr="00A863DC" w:rsidRDefault="00797F67" w:rsidP="00B2313A">
            <w:pPr>
              <w:tabs>
                <w:tab w:val="left" w:pos="282"/>
                <w:tab w:val="right" w:pos="1182"/>
              </w:tabs>
              <w:rPr>
                <w:rFonts w:ascii="Arial" w:hAnsi="Arial" w:cs="Arial"/>
                <w:lang w:val="en-CA"/>
              </w:rPr>
            </w:pPr>
            <w:r w:rsidRPr="00A863DC">
              <w:rPr>
                <w:rFonts w:ascii="Arial" w:hAnsi="Arial" w:cs="Arial"/>
                <w:b/>
                <w:bCs/>
                <w:color w:val="000000"/>
                <w:lang w:val="en-CA"/>
              </w:rPr>
              <w:t>E</w:t>
            </w:r>
            <w:r w:rsidR="00BA471C" w:rsidRPr="00A863DC">
              <w:rPr>
                <w:rFonts w:ascii="Arial" w:hAnsi="Arial" w:cs="Arial"/>
                <w:b/>
                <w:bCs/>
                <w:color w:val="000000"/>
                <w:lang w:val="en-CA"/>
              </w:rPr>
              <w:t>quity</w:t>
            </w:r>
          </w:p>
        </w:tc>
      </w:tr>
      <w:tr w:rsidR="00797F67" w:rsidRPr="00A863DC" w14:paraId="2C40FFBF" w14:textId="77777777" w:rsidTr="009F67C0">
        <w:trPr>
          <w:trHeight w:val="300"/>
          <w:jc w:val="center"/>
        </w:trPr>
        <w:tc>
          <w:tcPr>
            <w:tcW w:w="3354" w:type="pct"/>
            <w:shd w:val="clear" w:color="auto" w:fill="auto"/>
            <w:noWrap/>
            <w:vAlign w:val="center"/>
            <w:hideMark/>
          </w:tcPr>
          <w:p w14:paraId="037BA337" w14:textId="5062E03D" w:rsidR="00797F67" w:rsidRPr="00A863DC" w:rsidRDefault="00797F67" w:rsidP="00B2313A">
            <w:pPr>
              <w:tabs>
                <w:tab w:val="left" w:pos="342"/>
                <w:tab w:val="right" w:pos="1242"/>
              </w:tabs>
              <w:rPr>
                <w:rFonts w:ascii="Arial" w:hAnsi="Arial" w:cs="Arial"/>
                <w:lang w:val="en-CA"/>
              </w:rPr>
            </w:pPr>
            <w:r w:rsidRPr="00A863DC">
              <w:rPr>
                <w:rFonts w:ascii="Arial" w:hAnsi="Arial" w:cs="Arial"/>
                <w:lang w:val="en-CA"/>
              </w:rPr>
              <w:t>Donated capital, Trojan Technologies</w:t>
            </w:r>
          </w:p>
        </w:tc>
        <w:tc>
          <w:tcPr>
            <w:tcW w:w="855" w:type="pct"/>
            <w:shd w:val="clear" w:color="auto" w:fill="auto"/>
            <w:noWrap/>
            <w:vAlign w:val="center"/>
            <w:hideMark/>
          </w:tcPr>
          <w:p w14:paraId="39311ABF" w14:textId="5F4691DD" w:rsidR="00797F67" w:rsidRPr="00A863DC" w:rsidRDefault="00797F67">
            <w:pPr>
              <w:tabs>
                <w:tab w:val="left" w:pos="342"/>
                <w:tab w:val="right" w:pos="1242"/>
              </w:tabs>
              <w:jc w:val="right"/>
              <w:rPr>
                <w:rFonts w:ascii="Arial" w:hAnsi="Arial" w:cs="Arial"/>
                <w:lang w:val="en-CA"/>
              </w:rPr>
            </w:pPr>
            <w:r w:rsidRPr="00A863DC">
              <w:rPr>
                <w:rFonts w:ascii="Arial" w:hAnsi="Arial" w:cs="Arial"/>
                <w:lang w:val="en-CA"/>
              </w:rPr>
              <w:t>3,000</w:t>
            </w:r>
          </w:p>
        </w:tc>
        <w:tc>
          <w:tcPr>
            <w:tcW w:w="791" w:type="pct"/>
            <w:shd w:val="clear" w:color="auto" w:fill="auto"/>
            <w:noWrap/>
            <w:vAlign w:val="center"/>
            <w:hideMark/>
          </w:tcPr>
          <w:p w14:paraId="2BDBD9D8" w14:textId="3156C532" w:rsidR="00797F67" w:rsidRPr="00A863DC" w:rsidRDefault="00797F67">
            <w:pPr>
              <w:tabs>
                <w:tab w:val="left" w:pos="282"/>
                <w:tab w:val="right" w:pos="1182"/>
              </w:tabs>
              <w:jc w:val="right"/>
              <w:rPr>
                <w:rFonts w:ascii="Arial" w:hAnsi="Arial" w:cs="Arial"/>
                <w:lang w:val="en-CA"/>
              </w:rPr>
            </w:pPr>
            <w:r w:rsidRPr="00A863DC">
              <w:rPr>
                <w:rFonts w:ascii="Arial" w:hAnsi="Arial" w:cs="Arial"/>
                <w:lang w:val="en-CA"/>
              </w:rPr>
              <w:t>3,000</w:t>
            </w:r>
          </w:p>
        </w:tc>
      </w:tr>
      <w:tr w:rsidR="00797F67" w:rsidRPr="00A863DC" w14:paraId="05BFFD14" w14:textId="77777777" w:rsidTr="009F67C0">
        <w:trPr>
          <w:trHeight w:val="300"/>
          <w:jc w:val="center"/>
        </w:trPr>
        <w:tc>
          <w:tcPr>
            <w:tcW w:w="3354" w:type="pct"/>
            <w:shd w:val="clear" w:color="auto" w:fill="auto"/>
            <w:noWrap/>
            <w:vAlign w:val="center"/>
            <w:hideMark/>
          </w:tcPr>
          <w:p w14:paraId="1CE374B2" w14:textId="7C41718D" w:rsidR="00797F67" w:rsidRPr="00A863DC" w:rsidRDefault="00797F67" w:rsidP="00B2313A">
            <w:pPr>
              <w:tabs>
                <w:tab w:val="left" w:pos="342"/>
                <w:tab w:val="right" w:pos="1242"/>
              </w:tabs>
              <w:rPr>
                <w:rFonts w:ascii="Arial" w:hAnsi="Arial" w:cs="Arial"/>
                <w:lang w:val="en-CA"/>
              </w:rPr>
            </w:pPr>
            <w:r w:rsidRPr="00A863DC">
              <w:rPr>
                <w:rFonts w:ascii="Arial" w:hAnsi="Arial" w:cs="Arial"/>
                <w:lang w:val="en-CA"/>
              </w:rPr>
              <w:t>Retained earnings</w:t>
            </w:r>
          </w:p>
        </w:tc>
        <w:tc>
          <w:tcPr>
            <w:tcW w:w="855" w:type="pct"/>
            <w:shd w:val="clear" w:color="auto" w:fill="auto"/>
            <w:noWrap/>
            <w:vAlign w:val="center"/>
            <w:hideMark/>
          </w:tcPr>
          <w:p w14:paraId="5D008171" w14:textId="00C7B2AB" w:rsidR="00797F67" w:rsidRPr="00A863DC" w:rsidRDefault="00797F67">
            <w:pPr>
              <w:tabs>
                <w:tab w:val="left" w:pos="342"/>
                <w:tab w:val="right" w:pos="1242"/>
              </w:tabs>
              <w:jc w:val="right"/>
              <w:rPr>
                <w:rFonts w:ascii="Arial" w:hAnsi="Arial" w:cs="Arial"/>
                <w:lang w:val="en-CA"/>
              </w:rPr>
            </w:pPr>
            <w:r w:rsidRPr="00A863DC">
              <w:rPr>
                <w:rFonts w:ascii="Arial" w:hAnsi="Arial" w:cs="Arial"/>
                <w:lang w:val="en-CA"/>
              </w:rPr>
              <w:t>31,938</w:t>
            </w:r>
          </w:p>
        </w:tc>
        <w:tc>
          <w:tcPr>
            <w:tcW w:w="791" w:type="pct"/>
            <w:shd w:val="clear" w:color="auto" w:fill="auto"/>
            <w:noWrap/>
            <w:vAlign w:val="center"/>
            <w:hideMark/>
          </w:tcPr>
          <w:p w14:paraId="7772AF67" w14:textId="45E68D52" w:rsidR="00797F67" w:rsidRPr="00A863DC" w:rsidRDefault="00797F67">
            <w:pPr>
              <w:tabs>
                <w:tab w:val="left" w:pos="282"/>
                <w:tab w:val="right" w:pos="1182"/>
              </w:tabs>
              <w:jc w:val="right"/>
              <w:rPr>
                <w:rFonts w:ascii="Arial" w:hAnsi="Arial" w:cs="Arial"/>
                <w:lang w:val="en-CA"/>
              </w:rPr>
            </w:pPr>
            <w:r w:rsidRPr="00A863DC">
              <w:rPr>
                <w:rFonts w:ascii="Arial" w:hAnsi="Arial" w:cs="Arial"/>
                <w:lang w:val="en-CA"/>
              </w:rPr>
              <w:t>3,374</w:t>
            </w:r>
          </w:p>
        </w:tc>
      </w:tr>
      <w:tr w:rsidR="000A0D8D" w:rsidRPr="00A863DC" w14:paraId="37527A68" w14:textId="77777777" w:rsidTr="009F67C0">
        <w:trPr>
          <w:trHeight w:val="300"/>
          <w:jc w:val="center"/>
        </w:trPr>
        <w:tc>
          <w:tcPr>
            <w:tcW w:w="3354" w:type="pct"/>
            <w:shd w:val="clear" w:color="auto" w:fill="auto"/>
            <w:noWrap/>
            <w:vAlign w:val="center"/>
            <w:hideMark/>
          </w:tcPr>
          <w:p w14:paraId="315CA914" w14:textId="77777777" w:rsidR="002C6D84" w:rsidRPr="00A863DC" w:rsidRDefault="002C6D84" w:rsidP="00B2313A">
            <w:pPr>
              <w:tabs>
                <w:tab w:val="left" w:pos="342"/>
                <w:tab w:val="right" w:pos="1242"/>
              </w:tabs>
              <w:rPr>
                <w:rFonts w:ascii="Arial" w:hAnsi="Arial" w:cs="Arial"/>
                <w:bCs/>
                <w:lang w:val="en-CA"/>
              </w:rPr>
            </w:pPr>
            <w:r w:rsidRPr="00A863DC">
              <w:rPr>
                <w:rFonts w:ascii="Arial" w:hAnsi="Arial" w:cs="Arial"/>
                <w:bCs/>
                <w:lang w:val="en-CA"/>
              </w:rPr>
              <w:t>Total equity</w:t>
            </w:r>
          </w:p>
        </w:tc>
        <w:tc>
          <w:tcPr>
            <w:tcW w:w="855" w:type="pct"/>
            <w:shd w:val="clear" w:color="auto" w:fill="auto"/>
            <w:noWrap/>
            <w:vAlign w:val="center"/>
            <w:hideMark/>
          </w:tcPr>
          <w:p w14:paraId="4ACF42AD" w14:textId="19AB3DF2" w:rsidR="002C6D84" w:rsidRPr="00A863DC" w:rsidRDefault="002C6D84">
            <w:pPr>
              <w:tabs>
                <w:tab w:val="left" w:pos="342"/>
                <w:tab w:val="right" w:pos="1242"/>
              </w:tabs>
              <w:jc w:val="right"/>
              <w:rPr>
                <w:rFonts w:ascii="Arial" w:hAnsi="Arial" w:cs="Arial"/>
                <w:lang w:val="en-CA"/>
              </w:rPr>
            </w:pPr>
            <w:r w:rsidRPr="00A863DC">
              <w:rPr>
                <w:rFonts w:ascii="Arial" w:hAnsi="Arial" w:cs="Arial"/>
                <w:lang w:val="en-CA"/>
              </w:rPr>
              <w:t>34,938</w:t>
            </w:r>
          </w:p>
        </w:tc>
        <w:tc>
          <w:tcPr>
            <w:tcW w:w="791" w:type="pct"/>
            <w:shd w:val="clear" w:color="auto" w:fill="auto"/>
            <w:noWrap/>
            <w:vAlign w:val="center"/>
            <w:hideMark/>
          </w:tcPr>
          <w:p w14:paraId="0C3DBB98" w14:textId="768A8497" w:rsidR="002C6D84" w:rsidRPr="00A863DC" w:rsidRDefault="002C6D84">
            <w:pPr>
              <w:tabs>
                <w:tab w:val="left" w:pos="282"/>
                <w:tab w:val="right" w:pos="1182"/>
              </w:tabs>
              <w:jc w:val="right"/>
              <w:rPr>
                <w:rFonts w:ascii="Arial" w:hAnsi="Arial" w:cs="Arial"/>
                <w:lang w:val="en-CA"/>
              </w:rPr>
            </w:pPr>
            <w:r w:rsidRPr="00A863DC">
              <w:rPr>
                <w:rFonts w:ascii="Arial" w:hAnsi="Arial" w:cs="Arial"/>
                <w:lang w:val="en-CA"/>
              </w:rPr>
              <w:t>6,374</w:t>
            </w:r>
          </w:p>
        </w:tc>
      </w:tr>
      <w:tr w:rsidR="000A0D8D" w:rsidRPr="00A863DC" w14:paraId="419D04E3" w14:textId="77777777" w:rsidTr="009F67C0">
        <w:trPr>
          <w:trHeight w:val="320"/>
          <w:jc w:val="center"/>
        </w:trPr>
        <w:tc>
          <w:tcPr>
            <w:tcW w:w="3354" w:type="pct"/>
            <w:shd w:val="clear" w:color="auto" w:fill="auto"/>
            <w:noWrap/>
            <w:vAlign w:val="center"/>
            <w:hideMark/>
          </w:tcPr>
          <w:p w14:paraId="04BFD560" w14:textId="75AE35EA" w:rsidR="002C6D84" w:rsidRPr="00A863DC" w:rsidRDefault="002C6D84" w:rsidP="00B2313A">
            <w:pPr>
              <w:tabs>
                <w:tab w:val="left" w:pos="342"/>
                <w:tab w:val="right" w:pos="1242"/>
              </w:tabs>
              <w:rPr>
                <w:rFonts w:ascii="Arial" w:hAnsi="Arial" w:cs="Arial"/>
                <w:bCs/>
                <w:lang w:val="en-CA"/>
              </w:rPr>
            </w:pPr>
            <w:r w:rsidRPr="00A863DC">
              <w:rPr>
                <w:rFonts w:ascii="Arial" w:hAnsi="Arial" w:cs="Arial"/>
                <w:bCs/>
                <w:lang w:val="en-CA"/>
              </w:rPr>
              <w:t xml:space="preserve">Total liabilities </w:t>
            </w:r>
            <w:r w:rsidR="00504E58" w:rsidRPr="00A863DC">
              <w:rPr>
                <w:rFonts w:ascii="Arial" w:hAnsi="Arial" w:cs="Arial"/>
                <w:bCs/>
                <w:lang w:val="en-CA"/>
              </w:rPr>
              <w:t>&amp;</w:t>
            </w:r>
            <w:r w:rsidRPr="00A863DC">
              <w:rPr>
                <w:rFonts w:ascii="Arial" w:hAnsi="Arial" w:cs="Arial"/>
                <w:bCs/>
                <w:lang w:val="en-CA"/>
              </w:rPr>
              <w:t xml:space="preserve"> equity</w:t>
            </w:r>
          </w:p>
        </w:tc>
        <w:tc>
          <w:tcPr>
            <w:tcW w:w="855" w:type="pct"/>
            <w:shd w:val="clear" w:color="auto" w:fill="auto"/>
            <w:noWrap/>
            <w:vAlign w:val="center"/>
            <w:hideMark/>
          </w:tcPr>
          <w:p w14:paraId="4E69654B" w14:textId="68D7D6F1" w:rsidR="002C6D84" w:rsidRPr="00A863DC" w:rsidRDefault="002C6D84">
            <w:pPr>
              <w:tabs>
                <w:tab w:val="left" w:pos="342"/>
                <w:tab w:val="right" w:pos="1242"/>
              </w:tabs>
              <w:jc w:val="right"/>
              <w:rPr>
                <w:rFonts w:ascii="Arial" w:hAnsi="Arial" w:cs="Arial"/>
                <w:lang w:val="en-CA"/>
              </w:rPr>
            </w:pPr>
            <w:r w:rsidRPr="00A863DC">
              <w:rPr>
                <w:rFonts w:ascii="Arial" w:hAnsi="Arial" w:cs="Arial"/>
                <w:lang w:val="en-CA"/>
              </w:rPr>
              <w:t>35,373</w:t>
            </w:r>
          </w:p>
        </w:tc>
        <w:tc>
          <w:tcPr>
            <w:tcW w:w="791" w:type="pct"/>
            <w:shd w:val="clear" w:color="auto" w:fill="auto"/>
            <w:noWrap/>
            <w:vAlign w:val="center"/>
            <w:hideMark/>
          </w:tcPr>
          <w:p w14:paraId="3C5FC889" w14:textId="3B5DDC34" w:rsidR="002C6D84" w:rsidRPr="00A863DC" w:rsidRDefault="002C6D84">
            <w:pPr>
              <w:tabs>
                <w:tab w:val="left" w:pos="282"/>
                <w:tab w:val="right" w:pos="1182"/>
              </w:tabs>
              <w:jc w:val="right"/>
              <w:rPr>
                <w:rFonts w:ascii="Arial" w:hAnsi="Arial" w:cs="Arial"/>
                <w:lang w:val="en-CA"/>
              </w:rPr>
            </w:pPr>
            <w:r w:rsidRPr="00A863DC">
              <w:rPr>
                <w:rFonts w:ascii="Arial" w:hAnsi="Arial" w:cs="Arial"/>
                <w:lang w:val="en-CA"/>
              </w:rPr>
              <w:t>6,499</w:t>
            </w:r>
          </w:p>
        </w:tc>
      </w:tr>
      <w:tr w:rsidR="000A0D8D" w:rsidRPr="00A863DC" w14:paraId="7D1D53E5" w14:textId="77777777" w:rsidTr="009F67C0">
        <w:trPr>
          <w:trHeight w:val="300"/>
          <w:jc w:val="center"/>
        </w:trPr>
        <w:tc>
          <w:tcPr>
            <w:tcW w:w="3354" w:type="pct"/>
            <w:shd w:val="clear" w:color="auto" w:fill="auto"/>
            <w:noWrap/>
            <w:vAlign w:val="center"/>
            <w:hideMark/>
          </w:tcPr>
          <w:p w14:paraId="2FE86EC0" w14:textId="3757506A" w:rsidR="002C6D84" w:rsidRPr="00A863DC" w:rsidRDefault="002C6D84" w:rsidP="00B2313A">
            <w:pPr>
              <w:tabs>
                <w:tab w:val="right" w:pos="1242"/>
              </w:tabs>
              <w:rPr>
                <w:rFonts w:ascii="Arial" w:hAnsi="Arial" w:cs="Arial"/>
                <w:color w:val="000000"/>
                <w:lang w:val="en-CA"/>
              </w:rPr>
            </w:pPr>
            <w:r w:rsidRPr="00A863DC">
              <w:rPr>
                <w:rFonts w:ascii="Arial" w:hAnsi="Arial" w:cs="Arial"/>
                <w:color w:val="000000"/>
                <w:lang w:val="en-CA"/>
              </w:rPr>
              <w:t>¹All fixed assets were expected to last ten years.</w:t>
            </w:r>
          </w:p>
        </w:tc>
        <w:tc>
          <w:tcPr>
            <w:tcW w:w="855" w:type="pct"/>
            <w:shd w:val="clear" w:color="auto" w:fill="auto"/>
            <w:noWrap/>
            <w:vAlign w:val="bottom"/>
            <w:hideMark/>
          </w:tcPr>
          <w:p w14:paraId="02ED8D0D" w14:textId="77777777" w:rsidR="002C6D84" w:rsidRPr="00A863DC" w:rsidRDefault="002C6D84" w:rsidP="003614D1">
            <w:pPr>
              <w:tabs>
                <w:tab w:val="right" w:pos="1242"/>
              </w:tabs>
              <w:rPr>
                <w:rFonts w:ascii="Arial" w:hAnsi="Arial" w:cs="Arial"/>
                <w:color w:val="000000"/>
                <w:lang w:val="en-CA"/>
              </w:rPr>
            </w:pPr>
          </w:p>
        </w:tc>
        <w:tc>
          <w:tcPr>
            <w:tcW w:w="791" w:type="pct"/>
            <w:shd w:val="clear" w:color="auto" w:fill="auto"/>
            <w:noWrap/>
            <w:vAlign w:val="bottom"/>
            <w:hideMark/>
          </w:tcPr>
          <w:p w14:paraId="6E48E245" w14:textId="77777777" w:rsidR="002C6D84" w:rsidRPr="00A863DC" w:rsidRDefault="002C6D84" w:rsidP="003614D1">
            <w:pPr>
              <w:rPr>
                <w:rFonts w:ascii="Arial" w:hAnsi="Arial" w:cs="Arial"/>
                <w:lang w:val="en-CA"/>
              </w:rPr>
            </w:pPr>
          </w:p>
        </w:tc>
      </w:tr>
    </w:tbl>
    <w:p w14:paraId="69287F6F" w14:textId="77777777" w:rsidR="002C6D84" w:rsidRPr="00A863DC" w:rsidRDefault="002C6D84" w:rsidP="00797F67">
      <w:pPr>
        <w:pStyle w:val="ExhibitText"/>
        <w:rPr>
          <w:lang w:val="en-CA"/>
        </w:rPr>
      </w:pPr>
    </w:p>
    <w:p w14:paraId="51ADC048" w14:textId="703B8240" w:rsidR="002C6D84" w:rsidRPr="00A863DC" w:rsidRDefault="002C6D84" w:rsidP="00797F67">
      <w:pPr>
        <w:pStyle w:val="Footnote"/>
        <w:rPr>
          <w:lang w:val="en-CA"/>
        </w:rPr>
      </w:pPr>
      <w:r w:rsidRPr="00A863DC">
        <w:rPr>
          <w:lang w:val="en-CA"/>
        </w:rPr>
        <w:t>Source: Company files</w:t>
      </w:r>
      <w:r w:rsidR="00797F67" w:rsidRPr="00A863DC">
        <w:rPr>
          <w:lang w:val="en-CA"/>
        </w:rPr>
        <w:t>.</w:t>
      </w:r>
    </w:p>
    <w:p w14:paraId="11B666C5" w14:textId="77777777" w:rsidR="002C6D84" w:rsidRPr="00A863DC" w:rsidRDefault="002C6D84" w:rsidP="002C6D84">
      <w:pPr>
        <w:pStyle w:val="BodyText"/>
        <w:rPr>
          <w:lang w:val="en-CA"/>
        </w:rPr>
      </w:pPr>
    </w:p>
    <w:p w14:paraId="1D915A87" w14:textId="77777777" w:rsidR="002C6D84" w:rsidRPr="00A863DC" w:rsidRDefault="002C6D84" w:rsidP="002C6D84">
      <w:pPr>
        <w:pStyle w:val="casehead10"/>
        <w:rPr>
          <w:lang w:val="en-CA"/>
        </w:rPr>
      </w:pPr>
    </w:p>
    <w:p w14:paraId="6C4AA10A" w14:textId="77777777" w:rsidR="002C6D84" w:rsidRPr="00A863DC" w:rsidRDefault="002C6D84" w:rsidP="003E39C2">
      <w:pPr>
        <w:pStyle w:val="ExhibitHeading"/>
        <w:rPr>
          <w:lang w:val="en-CA"/>
        </w:rPr>
      </w:pPr>
      <w:r w:rsidRPr="00A863DC">
        <w:rPr>
          <w:lang w:val="en-CA"/>
        </w:rPr>
        <w:br w:type="column"/>
      </w:r>
      <w:r w:rsidRPr="00A863DC">
        <w:rPr>
          <w:lang w:val="en-CA"/>
        </w:rPr>
        <w:lastRenderedPageBreak/>
        <w:t>Exhibit 4: FINANCIAL RATIOS</w:t>
      </w:r>
    </w:p>
    <w:p w14:paraId="0610FF16" w14:textId="77777777" w:rsidR="002C6D84" w:rsidRPr="00A863DC" w:rsidRDefault="002C6D84" w:rsidP="002C6D84">
      <w:pPr>
        <w:pStyle w:val="BodyText"/>
        <w:rPr>
          <w:rFonts w:ascii="Arial" w:hAnsi="Arial" w:cs="Arial"/>
          <w:lang w:val="en-CA"/>
        </w:rPr>
      </w:pPr>
    </w:p>
    <w:tbl>
      <w:tblPr>
        <w:tblStyle w:val="TableGrid"/>
        <w:tblW w:w="0" w:type="auto"/>
        <w:jc w:val="center"/>
        <w:tblLook w:val="04A0" w:firstRow="1" w:lastRow="0" w:firstColumn="1" w:lastColumn="0" w:noHBand="0" w:noVBand="1"/>
      </w:tblPr>
      <w:tblGrid>
        <w:gridCol w:w="2605"/>
        <w:gridCol w:w="1530"/>
        <w:gridCol w:w="1260"/>
      </w:tblGrid>
      <w:tr w:rsidR="002C6D84" w:rsidRPr="00A863DC" w14:paraId="49D260AE" w14:textId="77777777" w:rsidTr="00A863DC">
        <w:trPr>
          <w:trHeight w:val="134"/>
          <w:jc w:val="center"/>
        </w:trPr>
        <w:tc>
          <w:tcPr>
            <w:tcW w:w="2605" w:type="dxa"/>
            <w:noWrap/>
            <w:vAlign w:val="center"/>
          </w:tcPr>
          <w:p w14:paraId="5516AB9C" w14:textId="77777777" w:rsidR="002C6D84" w:rsidRPr="00A863DC" w:rsidRDefault="002C6D84" w:rsidP="009F67C0">
            <w:pPr>
              <w:pStyle w:val="ExhibitText"/>
              <w:rPr>
                <w:lang w:val="en-CA"/>
              </w:rPr>
            </w:pPr>
          </w:p>
        </w:tc>
        <w:tc>
          <w:tcPr>
            <w:tcW w:w="1530" w:type="dxa"/>
            <w:noWrap/>
            <w:vAlign w:val="center"/>
          </w:tcPr>
          <w:p w14:paraId="61C2577C" w14:textId="77777777" w:rsidR="002C6D84" w:rsidRPr="00A863DC" w:rsidRDefault="002C6D84" w:rsidP="009F67C0">
            <w:pPr>
              <w:pStyle w:val="ExhibitText"/>
              <w:jc w:val="center"/>
              <w:rPr>
                <w:b/>
                <w:lang w:val="en-CA"/>
              </w:rPr>
            </w:pPr>
            <w:r w:rsidRPr="00A863DC">
              <w:rPr>
                <w:b/>
                <w:lang w:val="en-CA"/>
              </w:rPr>
              <w:t>2018</w:t>
            </w:r>
          </w:p>
        </w:tc>
        <w:tc>
          <w:tcPr>
            <w:tcW w:w="1260" w:type="dxa"/>
            <w:noWrap/>
            <w:vAlign w:val="center"/>
          </w:tcPr>
          <w:p w14:paraId="77A32BC0" w14:textId="77777777" w:rsidR="002C6D84" w:rsidRPr="00A863DC" w:rsidRDefault="002C6D84" w:rsidP="009F67C0">
            <w:pPr>
              <w:pStyle w:val="ExhibitText"/>
              <w:jc w:val="center"/>
              <w:rPr>
                <w:b/>
                <w:lang w:val="en-CA"/>
              </w:rPr>
            </w:pPr>
            <w:r w:rsidRPr="00A863DC">
              <w:rPr>
                <w:b/>
                <w:lang w:val="en-CA"/>
              </w:rPr>
              <w:t>2017</w:t>
            </w:r>
          </w:p>
        </w:tc>
      </w:tr>
      <w:tr w:rsidR="000A0D8D" w:rsidRPr="00A863DC" w14:paraId="10FF9247" w14:textId="77777777" w:rsidTr="00A863DC">
        <w:trPr>
          <w:trHeight w:val="161"/>
          <w:jc w:val="center"/>
        </w:trPr>
        <w:tc>
          <w:tcPr>
            <w:tcW w:w="5395" w:type="dxa"/>
            <w:gridSpan w:val="3"/>
            <w:noWrap/>
            <w:vAlign w:val="center"/>
          </w:tcPr>
          <w:p w14:paraId="6BD2CC96" w14:textId="0FE07D09" w:rsidR="000A0D8D" w:rsidRPr="00A863DC" w:rsidRDefault="000A0D8D" w:rsidP="009F67C0">
            <w:pPr>
              <w:pStyle w:val="ExhibitText"/>
              <w:rPr>
                <w:lang w:val="en-CA"/>
              </w:rPr>
            </w:pPr>
            <w:r w:rsidRPr="00A863DC">
              <w:rPr>
                <w:b/>
                <w:bCs/>
                <w:color w:val="000000"/>
                <w:lang w:val="en-CA"/>
              </w:rPr>
              <w:t>Profitability</w:t>
            </w:r>
          </w:p>
        </w:tc>
      </w:tr>
      <w:tr w:rsidR="002C6D84" w:rsidRPr="00A863DC" w14:paraId="2ECE5140" w14:textId="77777777" w:rsidTr="00A863DC">
        <w:trPr>
          <w:trHeight w:val="107"/>
          <w:jc w:val="center"/>
        </w:trPr>
        <w:tc>
          <w:tcPr>
            <w:tcW w:w="2605" w:type="dxa"/>
            <w:noWrap/>
            <w:vAlign w:val="center"/>
          </w:tcPr>
          <w:p w14:paraId="379B63F8" w14:textId="77777777" w:rsidR="002C6D84" w:rsidRPr="00A863DC" w:rsidRDefault="002C6D84" w:rsidP="009F67C0">
            <w:pPr>
              <w:pStyle w:val="ExhibitText"/>
              <w:rPr>
                <w:lang w:val="en-CA"/>
              </w:rPr>
            </w:pPr>
            <w:r w:rsidRPr="00A863DC">
              <w:rPr>
                <w:lang w:val="en-CA"/>
              </w:rPr>
              <w:t>Return on equity</w:t>
            </w:r>
          </w:p>
        </w:tc>
        <w:tc>
          <w:tcPr>
            <w:tcW w:w="1530" w:type="dxa"/>
            <w:noWrap/>
            <w:vAlign w:val="center"/>
          </w:tcPr>
          <w:p w14:paraId="5F56E115" w14:textId="77777777" w:rsidR="002C6D84" w:rsidRPr="00A863DC" w:rsidRDefault="002C6D84" w:rsidP="009F67C0">
            <w:pPr>
              <w:pStyle w:val="ExhibitText"/>
              <w:rPr>
                <w:lang w:val="en-CA"/>
              </w:rPr>
            </w:pPr>
            <w:r w:rsidRPr="00A863DC">
              <w:rPr>
                <w:lang w:val="en-CA"/>
              </w:rPr>
              <w:t>82%</w:t>
            </w:r>
          </w:p>
        </w:tc>
        <w:tc>
          <w:tcPr>
            <w:tcW w:w="1260" w:type="dxa"/>
            <w:noWrap/>
            <w:vAlign w:val="center"/>
          </w:tcPr>
          <w:p w14:paraId="2305C11E" w14:textId="77777777" w:rsidR="002C6D84" w:rsidRPr="00A863DC" w:rsidRDefault="002C6D84" w:rsidP="009F67C0">
            <w:pPr>
              <w:pStyle w:val="ExhibitText"/>
              <w:rPr>
                <w:lang w:val="en-CA"/>
              </w:rPr>
            </w:pPr>
            <w:r w:rsidRPr="00A863DC">
              <w:rPr>
                <w:lang w:val="en-CA"/>
              </w:rPr>
              <w:t>53%</w:t>
            </w:r>
          </w:p>
        </w:tc>
      </w:tr>
      <w:tr w:rsidR="002C6D84" w:rsidRPr="00A863DC" w14:paraId="0A3620C0" w14:textId="77777777" w:rsidTr="00A863DC">
        <w:trPr>
          <w:trHeight w:val="143"/>
          <w:jc w:val="center"/>
        </w:trPr>
        <w:tc>
          <w:tcPr>
            <w:tcW w:w="2605" w:type="dxa"/>
            <w:noWrap/>
            <w:vAlign w:val="center"/>
          </w:tcPr>
          <w:p w14:paraId="19E2798B" w14:textId="77777777" w:rsidR="002C6D84" w:rsidRPr="00A863DC" w:rsidRDefault="002C6D84" w:rsidP="009F67C0">
            <w:pPr>
              <w:pStyle w:val="ExhibitText"/>
              <w:rPr>
                <w:b/>
                <w:lang w:val="en-CA"/>
              </w:rPr>
            </w:pPr>
            <w:r w:rsidRPr="00A863DC">
              <w:rPr>
                <w:b/>
                <w:lang w:val="en-CA"/>
              </w:rPr>
              <w:t>Liquidity</w:t>
            </w:r>
          </w:p>
        </w:tc>
        <w:tc>
          <w:tcPr>
            <w:tcW w:w="1530" w:type="dxa"/>
            <w:noWrap/>
            <w:vAlign w:val="center"/>
          </w:tcPr>
          <w:p w14:paraId="205D8C7C" w14:textId="77777777" w:rsidR="002C6D84" w:rsidRPr="00A863DC" w:rsidRDefault="002C6D84" w:rsidP="009F67C0">
            <w:pPr>
              <w:pStyle w:val="ExhibitText"/>
              <w:rPr>
                <w:lang w:val="en-CA"/>
              </w:rPr>
            </w:pPr>
          </w:p>
        </w:tc>
        <w:tc>
          <w:tcPr>
            <w:tcW w:w="1260" w:type="dxa"/>
            <w:noWrap/>
            <w:vAlign w:val="center"/>
          </w:tcPr>
          <w:p w14:paraId="3FE3335C" w14:textId="77777777" w:rsidR="002C6D84" w:rsidRPr="00A863DC" w:rsidRDefault="002C6D84" w:rsidP="009F67C0">
            <w:pPr>
              <w:pStyle w:val="ExhibitText"/>
              <w:rPr>
                <w:lang w:val="en-CA"/>
              </w:rPr>
            </w:pPr>
          </w:p>
        </w:tc>
      </w:tr>
      <w:tr w:rsidR="002C6D84" w:rsidRPr="00A863DC" w14:paraId="29A2EC9C" w14:textId="77777777" w:rsidTr="00A863DC">
        <w:trPr>
          <w:trHeight w:val="170"/>
          <w:jc w:val="center"/>
        </w:trPr>
        <w:tc>
          <w:tcPr>
            <w:tcW w:w="2605" w:type="dxa"/>
            <w:noWrap/>
            <w:vAlign w:val="center"/>
          </w:tcPr>
          <w:p w14:paraId="59930E6F" w14:textId="5C8A3948" w:rsidR="002C6D84" w:rsidRPr="00A863DC" w:rsidRDefault="002C6D84" w:rsidP="009F67C0">
            <w:pPr>
              <w:pStyle w:val="ExhibitText"/>
              <w:rPr>
                <w:lang w:val="en-CA"/>
              </w:rPr>
            </w:pPr>
            <w:r w:rsidRPr="00A863DC">
              <w:rPr>
                <w:lang w:val="en-CA"/>
              </w:rPr>
              <w:t>Current ratio</w:t>
            </w:r>
          </w:p>
        </w:tc>
        <w:tc>
          <w:tcPr>
            <w:tcW w:w="1530" w:type="dxa"/>
            <w:noWrap/>
            <w:vAlign w:val="center"/>
          </w:tcPr>
          <w:p w14:paraId="799DAA5D" w14:textId="4EC8E9C4" w:rsidR="002C6D84" w:rsidRPr="00A863DC" w:rsidRDefault="002C6D84" w:rsidP="009F67C0">
            <w:pPr>
              <w:pStyle w:val="ExhibitText"/>
              <w:rPr>
                <w:lang w:val="en-CA"/>
              </w:rPr>
            </w:pPr>
            <w:r w:rsidRPr="00A863DC">
              <w:rPr>
                <w:lang w:val="en-CA"/>
              </w:rPr>
              <w:t>52.2:1</w:t>
            </w:r>
          </w:p>
        </w:tc>
        <w:tc>
          <w:tcPr>
            <w:tcW w:w="1260" w:type="dxa"/>
            <w:noWrap/>
            <w:vAlign w:val="center"/>
          </w:tcPr>
          <w:p w14:paraId="309D9D29" w14:textId="46AA4621" w:rsidR="002C6D84" w:rsidRPr="00A863DC" w:rsidRDefault="002C6D84" w:rsidP="009F67C0">
            <w:pPr>
              <w:pStyle w:val="ExhibitText"/>
              <w:rPr>
                <w:lang w:val="en-CA"/>
              </w:rPr>
            </w:pPr>
            <w:r w:rsidRPr="00A863DC">
              <w:rPr>
                <w:lang w:val="en-CA"/>
              </w:rPr>
              <w:t>11.2:1</w:t>
            </w:r>
          </w:p>
        </w:tc>
      </w:tr>
      <w:tr w:rsidR="002C6D84" w:rsidRPr="00A863DC" w14:paraId="2D184EFF" w14:textId="77777777" w:rsidTr="00A863DC">
        <w:trPr>
          <w:trHeight w:val="56"/>
          <w:jc w:val="center"/>
        </w:trPr>
        <w:tc>
          <w:tcPr>
            <w:tcW w:w="2605" w:type="dxa"/>
            <w:noWrap/>
            <w:vAlign w:val="center"/>
          </w:tcPr>
          <w:p w14:paraId="402591EC" w14:textId="77777777" w:rsidR="002C6D84" w:rsidRPr="00A863DC" w:rsidRDefault="002C6D84" w:rsidP="009F67C0">
            <w:pPr>
              <w:pStyle w:val="ExhibitText"/>
              <w:rPr>
                <w:b/>
                <w:lang w:val="en-CA"/>
              </w:rPr>
            </w:pPr>
            <w:r w:rsidRPr="00A863DC">
              <w:rPr>
                <w:b/>
                <w:lang w:val="en-CA"/>
              </w:rPr>
              <w:t>Efficiency</w:t>
            </w:r>
          </w:p>
        </w:tc>
        <w:tc>
          <w:tcPr>
            <w:tcW w:w="1530" w:type="dxa"/>
            <w:noWrap/>
            <w:vAlign w:val="center"/>
          </w:tcPr>
          <w:p w14:paraId="7C5BD1B0" w14:textId="77777777" w:rsidR="002C6D84" w:rsidRPr="00A863DC" w:rsidRDefault="002C6D84" w:rsidP="009F67C0">
            <w:pPr>
              <w:pStyle w:val="ExhibitText"/>
              <w:rPr>
                <w:lang w:val="en-CA"/>
              </w:rPr>
            </w:pPr>
          </w:p>
        </w:tc>
        <w:tc>
          <w:tcPr>
            <w:tcW w:w="1260" w:type="dxa"/>
            <w:noWrap/>
            <w:vAlign w:val="center"/>
          </w:tcPr>
          <w:p w14:paraId="69884DA9" w14:textId="77777777" w:rsidR="002C6D84" w:rsidRPr="00A863DC" w:rsidRDefault="002C6D84" w:rsidP="009F67C0">
            <w:pPr>
              <w:pStyle w:val="ExhibitText"/>
              <w:rPr>
                <w:lang w:val="en-CA"/>
              </w:rPr>
            </w:pPr>
          </w:p>
        </w:tc>
      </w:tr>
      <w:tr w:rsidR="002C6D84" w:rsidRPr="00A863DC" w14:paraId="43B7526A" w14:textId="77777777" w:rsidTr="00A863DC">
        <w:trPr>
          <w:trHeight w:val="134"/>
          <w:jc w:val="center"/>
        </w:trPr>
        <w:tc>
          <w:tcPr>
            <w:tcW w:w="2605" w:type="dxa"/>
            <w:noWrap/>
          </w:tcPr>
          <w:p w14:paraId="189B571E" w14:textId="5F6752F7" w:rsidR="002C6D84" w:rsidRPr="00A863DC" w:rsidRDefault="002C6D84" w:rsidP="009F67C0">
            <w:pPr>
              <w:pStyle w:val="ExhibitText"/>
              <w:rPr>
                <w:lang w:val="en-CA"/>
              </w:rPr>
            </w:pPr>
            <w:r w:rsidRPr="00A863DC">
              <w:rPr>
                <w:lang w:val="en-CA"/>
              </w:rPr>
              <w:t>Age of receivables¹</w:t>
            </w:r>
          </w:p>
        </w:tc>
        <w:tc>
          <w:tcPr>
            <w:tcW w:w="1530" w:type="dxa"/>
            <w:noWrap/>
            <w:vAlign w:val="center"/>
          </w:tcPr>
          <w:p w14:paraId="1A69E282" w14:textId="77777777" w:rsidR="002C6D84" w:rsidRPr="00A863DC" w:rsidRDefault="002C6D84" w:rsidP="009F67C0">
            <w:pPr>
              <w:pStyle w:val="ExhibitText"/>
              <w:rPr>
                <w:lang w:val="en-CA"/>
              </w:rPr>
            </w:pPr>
            <w:r w:rsidRPr="00A863DC">
              <w:rPr>
                <w:lang w:val="en-CA"/>
              </w:rPr>
              <w:t>22.6 days</w:t>
            </w:r>
          </w:p>
        </w:tc>
        <w:tc>
          <w:tcPr>
            <w:tcW w:w="1260" w:type="dxa"/>
            <w:noWrap/>
            <w:vAlign w:val="center"/>
          </w:tcPr>
          <w:p w14:paraId="6B234913" w14:textId="0D514A9D" w:rsidR="002C6D84" w:rsidRPr="00A863DC" w:rsidRDefault="002C6D84" w:rsidP="009F67C0">
            <w:pPr>
              <w:pStyle w:val="ExhibitText"/>
              <w:rPr>
                <w:lang w:val="en-CA"/>
              </w:rPr>
            </w:pPr>
          </w:p>
        </w:tc>
      </w:tr>
      <w:tr w:rsidR="002C6D84" w:rsidRPr="00A863DC" w14:paraId="0213D233" w14:textId="77777777" w:rsidTr="00A863DC">
        <w:trPr>
          <w:trHeight w:val="71"/>
          <w:jc w:val="center"/>
        </w:trPr>
        <w:tc>
          <w:tcPr>
            <w:tcW w:w="2605" w:type="dxa"/>
            <w:noWrap/>
            <w:vAlign w:val="center"/>
          </w:tcPr>
          <w:p w14:paraId="6AE197BA" w14:textId="636626EB" w:rsidR="002C6D84" w:rsidRPr="00A863DC" w:rsidRDefault="002C6D84" w:rsidP="009F67C0">
            <w:pPr>
              <w:pStyle w:val="ExhibitText"/>
              <w:rPr>
                <w:lang w:val="en-CA"/>
              </w:rPr>
            </w:pPr>
            <w:r w:rsidRPr="00A863DC">
              <w:rPr>
                <w:lang w:val="en-CA"/>
              </w:rPr>
              <w:t>Age of payables²</w:t>
            </w:r>
          </w:p>
        </w:tc>
        <w:tc>
          <w:tcPr>
            <w:tcW w:w="1530" w:type="dxa"/>
            <w:noWrap/>
            <w:vAlign w:val="center"/>
          </w:tcPr>
          <w:p w14:paraId="6B86B7FF" w14:textId="77777777" w:rsidR="002C6D84" w:rsidRPr="00A863DC" w:rsidRDefault="002C6D84" w:rsidP="009F67C0">
            <w:pPr>
              <w:pStyle w:val="ExhibitText"/>
              <w:rPr>
                <w:lang w:val="en-CA"/>
              </w:rPr>
            </w:pPr>
            <w:r w:rsidRPr="00A863DC">
              <w:rPr>
                <w:lang w:val="en-CA"/>
              </w:rPr>
              <w:t>17.9 days</w:t>
            </w:r>
          </w:p>
        </w:tc>
        <w:tc>
          <w:tcPr>
            <w:tcW w:w="1260" w:type="dxa"/>
            <w:noWrap/>
            <w:vAlign w:val="center"/>
          </w:tcPr>
          <w:p w14:paraId="2A4DB48A" w14:textId="77777777" w:rsidR="002C6D84" w:rsidRPr="00A863DC" w:rsidRDefault="002C6D84" w:rsidP="009F67C0">
            <w:pPr>
              <w:pStyle w:val="ExhibitText"/>
              <w:rPr>
                <w:lang w:val="en-CA"/>
              </w:rPr>
            </w:pPr>
            <w:r w:rsidRPr="00A863DC">
              <w:rPr>
                <w:lang w:val="en-CA"/>
              </w:rPr>
              <w:t>6.9 days</w:t>
            </w:r>
          </w:p>
        </w:tc>
      </w:tr>
      <w:tr w:rsidR="002C6D84" w:rsidRPr="00A863DC" w14:paraId="520AB5D8" w14:textId="77777777" w:rsidTr="00A863DC">
        <w:trPr>
          <w:trHeight w:val="107"/>
          <w:jc w:val="center"/>
        </w:trPr>
        <w:tc>
          <w:tcPr>
            <w:tcW w:w="2605" w:type="dxa"/>
            <w:noWrap/>
            <w:vAlign w:val="center"/>
          </w:tcPr>
          <w:p w14:paraId="7C5D5B24" w14:textId="77777777" w:rsidR="002C6D84" w:rsidRPr="00A863DC" w:rsidRDefault="002C6D84" w:rsidP="009F67C0">
            <w:pPr>
              <w:pStyle w:val="ExhibitText"/>
              <w:rPr>
                <w:b/>
                <w:lang w:val="en-CA"/>
              </w:rPr>
            </w:pPr>
            <w:r w:rsidRPr="00A863DC">
              <w:rPr>
                <w:b/>
                <w:lang w:val="en-CA"/>
              </w:rPr>
              <w:t>Stability</w:t>
            </w:r>
          </w:p>
        </w:tc>
        <w:tc>
          <w:tcPr>
            <w:tcW w:w="1530" w:type="dxa"/>
            <w:noWrap/>
            <w:vAlign w:val="center"/>
          </w:tcPr>
          <w:p w14:paraId="247E5CAE" w14:textId="77777777" w:rsidR="002C6D84" w:rsidRPr="00A863DC" w:rsidRDefault="002C6D84" w:rsidP="009F67C0">
            <w:pPr>
              <w:pStyle w:val="ExhibitText"/>
              <w:rPr>
                <w:lang w:val="en-CA"/>
              </w:rPr>
            </w:pPr>
          </w:p>
        </w:tc>
        <w:tc>
          <w:tcPr>
            <w:tcW w:w="1260" w:type="dxa"/>
            <w:noWrap/>
            <w:vAlign w:val="center"/>
          </w:tcPr>
          <w:p w14:paraId="1EB64891" w14:textId="77777777" w:rsidR="002C6D84" w:rsidRPr="00A863DC" w:rsidRDefault="002C6D84" w:rsidP="009F67C0">
            <w:pPr>
              <w:pStyle w:val="ExhibitText"/>
              <w:rPr>
                <w:lang w:val="en-CA"/>
              </w:rPr>
            </w:pPr>
          </w:p>
        </w:tc>
      </w:tr>
      <w:tr w:rsidR="002C6D84" w:rsidRPr="00A863DC" w14:paraId="5186729F" w14:textId="77777777" w:rsidTr="00A863DC">
        <w:trPr>
          <w:trHeight w:val="143"/>
          <w:jc w:val="center"/>
        </w:trPr>
        <w:tc>
          <w:tcPr>
            <w:tcW w:w="2605" w:type="dxa"/>
            <w:noWrap/>
            <w:vAlign w:val="center"/>
          </w:tcPr>
          <w:p w14:paraId="7FEF1122" w14:textId="54AA7411" w:rsidR="002C6D84" w:rsidRPr="00A863DC" w:rsidRDefault="002C6D84" w:rsidP="009F67C0">
            <w:pPr>
              <w:pStyle w:val="ExhibitText"/>
              <w:rPr>
                <w:lang w:val="en-CA"/>
              </w:rPr>
            </w:pPr>
            <w:r w:rsidRPr="00A863DC">
              <w:rPr>
                <w:lang w:val="en-CA"/>
              </w:rPr>
              <w:t>Net worth to total assets</w:t>
            </w:r>
          </w:p>
        </w:tc>
        <w:tc>
          <w:tcPr>
            <w:tcW w:w="1530" w:type="dxa"/>
            <w:noWrap/>
            <w:vAlign w:val="center"/>
          </w:tcPr>
          <w:p w14:paraId="11713440" w14:textId="02A82EB9" w:rsidR="002C6D84" w:rsidRPr="00A863DC" w:rsidRDefault="002C6D84" w:rsidP="009F67C0">
            <w:pPr>
              <w:pStyle w:val="ExhibitText"/>
              <w:rPr>
                <w:lang w:val="en-CA"/>
              </w:rPr>
            </w:pPr>
            <w:r w:rsidRPr="00A863DC">
              <w:rPr>
                <w:lang w:val="en-CA"/>
              </w:rPr>
              <w:t>99%</w:t>
            </w:r>
          </w:p>
        </w:tc>
        <w:tc>
          <w:tcPr>
            <w:tcW w:w="1260" w:type="dxa"/>
            <w:noWrap/>
            <w:vAlign w:val="center"/>
          </w:tcPr>
          <w:p w14:paraId="3EEE2822" w14:textId="09151FD7" w:rsidR="002C6D84" w:rsidRPr="00A863DC" w:rsidRDefault="002C6D84" w:rsidP="009F67C0">
            <w:pPr>
              <w:pStyle w:val="ExhibitText"/>
              <w:rPr>
                <w:lang w:val="en-CA"/>
              </w:rPr>
            </w:pPr>
            <w:r w:rsidRPr="00A863DC">
              <w:rPr>
                <w:lang w:val="en-CA"/>
              </w:rPr>
              <w:t>98%</w:t>
            </w:r>
          </w:p>
        </w:tc>
      </w:tr>
      <w:tr w:rsidR="002C6D84" w:rsidRPr="00A863DC" w14:paraId="5DFE1931" w14:textId="77777777" w:rsidTr="00A863DC">
        <w:trPr>
          <w:trHeight w:val="80"/>
          <w:jc w:val="center"/>
        </w:trPr>
        <w:tc>
          <w:tcPr>
            <w:tcW w:w="2605" w:type="dxa"/>
            <w:noWrap/>
            <w:vAlign w:val="center"/>
          </w:tcPr>
          <w:p w14:paraId="068CAAD2" w14:textId="77777777" w:rsidR="002C6D84" w:rsidRPr="00A863DC" w:rsidRDefault="002C6D84" w:rsidP="009F67C0">
            <w:pPr>
              <w:pStyle w:val="ExhibitText"/>
              <w:rPr>
                <w:lang w:val="en-CA"/>
              </w:rPr>
            </w:pPr>
          </w:p>
        </w:tc>
        <w:tc>
          <w:tcPr>
            <w:tcW w:w="2790" w:type="dxa"/>
            <w:gridSpan w:val="2"/>
            <w:noWrap/>
            <w:vAlign w:val="center"/>
          </w:tcPr>
          <w:p w14:paraId="5D81F76E" w14:textId="0D690FC2" w:rsidR="002C6D84" w:rsidRPr="00A863DC" w:rsidRDefault="002C6D84" w:rsidP="009F67C0">
            <w:pPr>
              <w:pStyle w:val="ExhibitText"/>
              <w:rPr>
                <w:b/>
                <w:lang w:val="en-CA"/>
              </w:rPr>
            </w:pPr>
            <w:r w:rsidRPr="00A863DC">
              <w:rPr>
                <w:b/>
                <w:lang w:val="en-CA"/>
              </w:rPr>
              <w:t>2017–2018</w:t>
            </w:r>
          </w:p>
        </w:tc>
      </w:tr>
      <w:tr w:rsidR="000A0D8D" w:rsidRPr="00A863DC" w14:paraId="0F9DCE64" w14:textId="77777777" w:rsidTr="00A863DC">
        <w:trPr>
          <w:trHeight w:val="56"/>
          <w:jc w:val="center"/>
        </w:trPr>
        <w:tc>
          <w:tcPr>
            <w:tcW w:w="5395" w:type="dxa"/>
            <w:gridSpan w:val="3"/>
            <w:noWrap/>
            <w:vAlign w:val="center"/>
          </w:tcPr>
          <w:p w14:paraId="7D786A95" w14:textId="1D4D660A" w:rsidR="000A0D8D" w:rsidRPr="00A863DC" w:rsidRDefault="000A0D8D" w:rsidP="009F67C0">
            <w:pPr>
              <w:pStyle w:val="ExhibitText"/>
              <w:rPr>
                <w:lang w:val="en-CA"/>
              </w:rPr>
            </w:pPr>
            <w:r w:rsidRPr="00A863DC">
              <w:rPr>
                <w:b/>
                <w:lang w:val="en-CA"/>
              </w:rPr>
              <w:t>Growth</w:t>
            </w:r>
          </w:p>
        </w:tc>
      </w:tr>
      <w:tr w:rsidR="000A0D8D" w:rsidRPr="00A863DC" w14:paraId="287107A9" w14:textId="77777777" w:rsidTr="00A863DC">
        <w:trPr>
          <w:trHeight w:val="134"/>
          <w:jc w:val="center"/>
        </w:trPr>
        <w:tc>
          <w:tcPr>
            <w:tcW w:w="5395" w:type="dxa"/>
            <w:gridSpan w:val="3"/>
            <w:noWrap/>
            <w:vAlign w:val="center"/>
          </w:tcPr>
          <w:p w14:paraId="09449E13" w14:textId="128E2F97" w:rsidR="000A0D8D" w:rsidRPr="00A863DC" w:rsidRDefault="000A0D8D" w:rsidP="009F67C0">
            <w:pPr>
              <w:pStyle w:val="ExhibitText"/>
              <w:rPr>
                <w:lang w:val="en-CA"/>
              </w:rPr>
            </w:pPr>
            <w:r w:rsidRPr="00A863DC">
              <w:rPr>
                <w:lang w:val="en-CA"/>
              </w:rPr>
              <w:t>Revenue</w:t>
            </w:r>
          </w:p>
        </w:tc>
      </w:tr>
      <w:tr w:rsidR="002C6D84" w:rsidRPr="00A863DC" w14:paraId="5859B914" w14:textId="77777777" w:rsidTr="00A863DC">
        <w:trPr>
          <w:trHeight w:val="56"/>
          <w:jc w:val="center"/>
        </w:trPr>
        <w:tc>
          <w:tcPr>
            <w:tcW w:w="2605" w:type="dxa"/>
            <w:noWrap/>
            <w:vAlign w:val="center"/>
          </w:tcPr>
          <w:p w14:paraId="133FA02F" w14:textId="47560579" w:rsidR="002C6D84" w:rsidRPr="00A863DC" w:rsidRDefault="002C6D84" w:rsidP="009F67C0">
            <w:pPr>
              <w:pStyle w:val="ExhibitText"/>
              <w:rPr>
                <w:lang w:val="en-CA"/>
              </w:rPr>
            </w:pPr>
            <w:r w:rsidRPr="00A863DC">
              <w:rPr>
                <w:lang w:val="en-CA"/>
              </w:rPr>
              <w:t>Crop</w:t>
            </w:r>
          </w:p>
        </w:tc>
        <w:tc>
          <w:tcPr>
            <w:tcW w:w="2790" w:type="dxa"/>
            <w:gridSpan w:val="2"/>
            <w:noWrap/>
            <w:vAlign w:val="center"/>
          </w:tcPr>
          <w:p w14:paraId="0AF0F0FC" w14:textId="0A732A2B" w:rsidR="002C6D84" w:rsidRPr="00A863DC" w:rsidRDefault="002C6D84" w:rsidP="009F67C0">
            <w:pPr>
              <w:pStyle w:val="ExhibitText"/>
              <w:rPr>
                <w:lang w:val="en-CA"/>
              </w:rPr>
            </w:pPr>
            <w:r w:rsidRPr="00A863DC">
              <w:rPr>
                <w:lang w:val="en-CA"/>
              </w:rPr>
              <w:t>902%</w:t>
            </w:r>
          </w:p>
        </w:tc>
      </w:tr>
      <w:tr w:rsidR="002C6D84" w:rsidRPr="00A863DC" w14:paraId="2733AF96" w14:textId="77777777" w:rsidTr="00A863DC">
        <w:trPr>
          <w:trHeight w:val="56"/>
          <w:jc w:val="center"/>
        </w:trPr>
        <w:tc>
          <w:tcPr>
            <w:tcW w:w="2605" w:type="dxa"/>
            <w:noWrap/>
            <w:vAlign w:val="center"/>
          </w:tcPr>
          <w:p w14:paraId="051E23B0" w14:textId="73C46A7A" w:rsidR="002C6D84" w:rsidRPr="00A863DC" w:rsidRDefault="002C6D84" w:rsidP="009F67C0">
            <w:pPr>
              <w:pStyle w:val="ExhibitText"/>
              <w:rPr>
                <w:lang w:val="en-CA"/>
              </w:rPr>
            </w:pPr>
            <w:r w:rsidRPr="00A863DC">
              <w:rPr>
                <w:lang w:val="en-CA"/>
              </w:rPr>
              <w:t xml:space="preserve">Harvest </w:t>
            </w:r>
            <w:r w:rsidR="000207BD" w:rsidRPr="00A863DC">
              <w:rPr>
                <w:lang w:val="en-CA"/>
              </w:rPr>
              <w:t>D</w:t>
            </w:r>
            <w:r w:rsidRPr="00A863DC">
              <w:rPr>
                <w:lang w:val="en-CA"/>
              </w:rPr>
              <w:t>inner</w:t>
            </w:r>
          </w:p>
        </w:tc>
        <w:tc>
          <w:tcPr>
            <w:tcW w:w="2790" w:type="dxa"/>
            <w:gridSpan w:val="2"/>
            <w:noWrap/>
            <w:vAlign w:val="center"/>
          </w:tcPr>
          <w:p w14:paraId="704BCE3B" w14:textId="7F255A6C" w:rsidR="002C6D84" w:rsidRPr="00A863DC" w:rsidRDefault="002C6D84" w:rsidP="009F67C0">
            <w:pPr>
              <w:pStyle w:val="ExhibitText"/>
              <w:rPr>
                <w:lang w:val="en-CA"/>
              </w:rPr>
            </w:pPr>
            <w:r w:rsidRPr="00A863DC">
              <w:rPr>
                <w:lang w:val="en-CA"/>
              </w:rPr>
              <w:t>107%</w:t>
            </w:r>
          </w:p>
        </w:tc>
      </w:tr>
      <w:tr w:rsidR="002C6D84" w:rsidRPr="00A863DC" w14:paraId="7F3686F1" w14:textId="77777777" w:rsidTr="00A863DC">
        <w:trPr>
          <w:trHeight w:val="56"/>
          <w:jc w:val="center"/>
        </w:trPr>
        <w:tc>
          <w:tcPr>
            <w:tcW w:w="2605" w:type="dxa"/>
            <w:noWrap/>
            <w:vAlign w:val="center"/>
          </w:tcPr>
          <w:p w14:paraId="04E3D49A" w14:textId="2002A2B3" w:rsidR="002C6D84" w:rsidRPr="00A863DC" w:rsidRDefault="002C6D84" w:rsidP="009F67C0">
            <w:pPr>
              <w:pStyle w:val="ExhibitText"/>
              <w:rPr>
                <w:lang w:val="en-CA"/>
              </w:rPr>
            </w:pPr>
            <w:r w:rsidRPr="00A863DC">
              <w:rPr>
                <w:lang w:val="en-CA"/>
              </w:rPr>
              <w:t>Personal donations</w:t>
            </w:r>
          </w:p>
        </w:tc>
        <w:tc>
          <w:tcPr>
            <w:tcW w:w="2790" w:type="dxa"/>
            <w:gridSpan w:val="2"/>
            <w:noWrap/>
            <w:vAlign w:val="center"/>
          </w:tcPr>
          <w:p w14:paraId="335FD9E2" w14:textId="570AD5A0" w:rsidR="002C6D84" w:rsidRPr="00A863DC" w:rsidRDefault="002C6D84" w:rsidP="009F67C0">
            <w:pPr>
              <w:pStyle w:val="ExhibitText"/>
              <w:rPr>
                <w:lang w:val="en-CA"/>
              </w:rPr>
            </w:pPr>
            <w:r w:rsidRPr="00A863DC">
              <w:rPr>
                <w:lang w:val="en-CA"/>
              </w:rPr>
              <w:t>490%</w:t>
            </w:r>
          </w:p>
        </w:tc>
      </w:tr>
      <w:tr w:rsidR="002C6D84" w:rsidRPr="00A863DC" w14:paraId="5F29F3D3" w14:textId="77777777" w:rsidTr="00A863DC">
        <w:trPr>
          <w:trHeight w:val="170"/>
          <w:jc w:val="center"/>
        </w:trPr>
        <w:tc>
          <w:tcPr>
            <w:tcW w:w="2605" w:type="dxa"/>
            <w:noWrap/>
            <w:vAlign w:val="center"/>
          </w:tcPr>
          <w:p w14:paraId="69E3D591" w14:textId="2AF217ED" w:rsidR="002C6D84" w:rsidRPr="00A863DC" w:rsidRDefault="002C6D84" w:rsidP="009F67C0">
            <w:pPr>
              <w:pStyle w:val="ExhibitText"/>
              <w:rPr>
                <w:lang w:val="en-CA"/>
              </w:rPr>
            </w:pPr>
            <w:r w:rsidRPr="00A863DC">
              <w:rPr>
                <w:lang w:val="en-CA"/>
              </w:rPr>
              <w:t>Corporate sponsorship</w:t>
            </w:r>
          </w:p>
        </w:tc>
        <w:tc>
          <w:tcPr>
            <w:tcW w:w="2790" w:type="dxa"/>
            <w:gridSpan w:val="2"/>
            <w:noWrap/>
            <w:vAlign w:val="center"/>
          </w:tcPr>
          <w:p w14:paraId="64850BFE" w14:textId="55B23FC1" w:rsidR="002C6D84" w:rsidRPr="00A863DC" w:rsidRDefault="002C6D84" w:rsidP="009F67C0">
            <w:pPr>
              <w:pStyle w:val="ExhibitText"/>
              <w:rPr>
                <w:lang w:val="en-CA"/>
              </w:rPr>
            </w:pPr>
            <w:r w:rsidRPr="00A863DC">
              <w:rPr>
                <w:lang w:val="en-CA"/>
              </w:rPr>
              <w:t>120%</w:t>
            </w:r>
          </w:p>
        </w:tc>
      </w:tr>
      <w:tr w:rsidR="002C6D84" w:rsidRPr="00A863DC" w14:paraId="46A53E29" w14:textId="77777777" w:rsidTr="00A863DC">
        <w:trPr>
          <w:trHeight w:val="56"/>
          <w:jc w:val="center"/>
        </w:trPr>
        <w:tc>
          <w:tcPr>
            <w:tcW w:w="2605" w:type="dxa"/>
            <w:noWrap/>
            <w:vAlign w:val="center"/>
          </w:tcPr>
          <w:p w14:paraId="677BDCB6" w14:textId="34F26961" w:rsidR="002C6D84" w:rsidRPr="00A863DC" w:rsidRDefault="002C6D84" w:rsidP="009F67C0">
            <w:pPr>
              <w:pStyle w:val="ExhibitText"/>
              <w:rPr>
                <w:lang w:val="en-CA"/>
              </w:rPr>
            </w:pPr>
            <w:r w:rsidRPr="00A863DC">
              <w:rPr>
                <w:lang w:val="en-CA"/>
              </w:rPr>
              <w:t>Total sales</w:t>
            </w:r>
          </w:p>
        </w:tc>
        <w:tc>
          <w:tcPr>
            <w:tcW w:w="2790" w:type="dxa"/>
            <w:gridSpan w:val="2"/>
            <w:noWrap/>
            <w:vAlign w:val="center"/>
          </w:tcPr>
          <w:p w14:paraId="15CF2403" w14:textId="3244A6C8" w:rsidR="002C6D84" w:rsidRPr="00A863DC" w:rsidRDefault="002C6D84" w:rsidP="009F67C0">
            <w:pPr>
              <w:pStyle w:val="ExhibitText"/>
              <w:rPr>
                <w:lang w:val="en-CA"/>
              </w:rPr>
            </w:pPr>
            <w:r w:rsidRPr="00A863DC">
              <w:rPr>
                <w:lang w:val="en-CA"/>
              </w:rPr>
              <w:t>239%</w:t>
            </w:r>
          </w:p>
        </w:tc>
      </w:tr>
      <w:tr w:rsidR="002C6D84" w:rsidRPr="00A863DC" w14:paraId="5EC777B0" w14:textId="77777777" w:rsidTr="00A863DC">
        <w:trPr>
          <w:trHeight w:val="56"/>
          <w:jc w:val="center"/>
        </w:trPr>
        <w:tc>
          <w:tcPr>
            <w:tcW w:w="2605" w:type="dxa"/>
            <w:noWrap/>
            <w:vAlign w:val="center"/>
          </w:tcPr>
          <w:p w14:paraId="3891D7CA" w14:textId="07443809" w:rsidR="002C6D84" w:rsidRPr="00A863DC" w:rsidRDefault="002C6D84" w:rsidP="009F67C0">
            <w:pPr>
              <w:pStyle w:val="ExhibitText"/>
              <w:rPr>
                <w:lang w:val="en-CA"/>
              </w:rPr>
            </w:pPr>
            <w:r w:rsidRPr="00A863DC">
              <w:rPr>
                <w:lang w:val="en-CA"/>
              </w:rPr>
              <w:t>Net income</w:t>
            </w:r>
          </w:p>
        </w:tc>
        <w:tc>
          <w:tcPr>
            <w:tcW w:w="2790" w:type="dxa"/>
            <w:gridSpan w:val="2"/>
            <w:noWrap/>
            <w:vAlign w:val="center"/>
          </w:tcPr>
          <w:p w14:paraId="4E1034D4" w14:textId="0EBF0E11" w:rsidR="002C6D84" w:rsidRPr="00A863DC" w:rsidRDefault="002C6D84" w:rsidP="009F67C0">
            <w:pPr>
              <w:pStyle w:val="ExhibitText"/>
              <w:rPr>
                <w:lang w:val="en-CA"/>
              </w:rPr>
            </w:pPr>
            <w:r w:rsidRPr="00A863DC">
              <w:rPr>
                <w:lang w:val="en-CA"/>
              </w:rPr>
              <w:t>747%</w:t>
            </w:r>
          </w:p>
        </w:tc>
      </w:tr>
      <w:tr w:rsidR="002C6D84" w:rsidRPr="00A863DC" w14:paraId="416433AA" w14:textId="77777777" w:rsidTr="00A863DC">
        <w:trPr>
          <w:trHeight w:val="56"/>
          <w:jc w:val="center"/>
        </w:trPr>
        <w:tc>
          <w:tcPr>
            <w:tcW w:w="2605" w:type="dxa"/>
            <w:noWrap/>
            <w:vAlign w:val="center"/>
          </w:tcPr>
          <w:p w14:paraId="25479080" w14:textId="46572594" w:rsidR="002C6D84" w:rsidRPr="00A863DC" w:rsidRDefault="002C6D84" w:rsidP="009F67C0">
            <w:pPr>
              <w:pStyle w:val="ExhibitText"/>
              <w:rPr>
                <w:lang w:val="en-CA"/>
              </w:rPr>
            </w:pPr>
            <w:r w:rsidRPr="00A863DC">
              <w:rPr>
                <w:lang w:val="en-CA"/>
              </w:rPr>
              <w:t>Total assets</w:t>
            </w:r>
          </w:p>
        </w:tc>
        <w:tc>
          <w:tcPr>
            <w:tcW w:w="2790" w:type="dxa"/>
            <w:gridSpan w:val="2"/>
            <w:noWrap/>
            <w:vAlign w:val="center"/>
          </w:tcPr>
          <w:p w14:paraId="457F581D" w14:textId="528B599F" w:rsidR="002C6D84" w:rsidRPr="00A863DC" w:rsidRDefault="002C6D84" w:rsidP="009F67C0">
            <w:pPr>
              <w:pStyle w:val="ExhibitText"/>
              <w:rPr>
                <w:lang w:val="en-CA"/>
              </w:rPr>
            </w:pPr>
            <w:r w:rsidRPr="00A863DC">
              <w:rPr>
                <w:lang w:val="en-CA"/>
              </w:rPr>
              <w:t>444%</w:t>
            </w:r>
          </w:p>
        </w:tc>
      </w:tr>
      <w:tr w:rsidR="002C6D84" w:rsidRPr="00A863DC" w14:paraId="6453E89E" w14:textId="77777777" w:rsidTr="00A863DC">
        <w:trPr>
          <w:trHeight w:val="56"/>
          <w:jc w:val="center"/>
        </w:trPr>
        <w:tc>
          <w:tcPr>
            <w:tcW w:w="2605" w:type="dxa"/>
            <w:noWrap/>
            <w:vAlign w:val="center"/>
          </w:tcPr>
          <w:p w14:paraId="3C1EE683" w14:textId="068A9A3C" w:rsidR="002C6D84" w:rsidRPr="00A863DC" w:rsidRDefault="002C6D84" w:rsidP="009F67C0">
            <w:pPr>
              <w:pStyle w:val="ExhibitText"/>
              <w:rPr>
                <w:lang w:val="en-CA"/>
              </w:rPr>
            </w:pPr>
            <w:r w:rsidRPr="00A863DC">
              <w:rPr>
                <w:lang w:val="en-CA"/>
              </w:rPr>
              <w:t>Equity</w:t>
            </w:r>
          </w:p>
        </w:tc>
        <w:tc>
          <w:tcPr>
            <w:tcW w:w="2790" w:type="dxa"/>
            <w:gridSpan w:val="2"/>
            <w:noWrap/>
            <w:vAlign w:val="center"/>
          </w:tcPr>
          <w:p w14:paraId="087DFCB2" w14:textId="46FA127C" w:rsidR="002C6D84" w:rsidRPr="00A863DC" w:rsidRDefault="002C6D84" w:rsidP="009F67C0">
            <w:pPr>
              <w:pStyle w:val="ExhibitText"/>
              <w:rPr>
                <w:lang w:val="en-CA"/>
              </w:rPr>
            </w:pPr>
            <w:r w:rsidRPr="00A863DC">
              <w:rPr>
                <w:lang w:val="en-CA"/>
              </w:rPr>
              <w:t>448%</w:t>
            </w:r>
          </w:p>
        </w:tc>
      </w:tr>
      <w:tr w:rsidR="002C6D84" w:rsidRPr="00A863DC" w14:paraId="3D9C3207" w14:textId="77777777" w:rsidTr="00A863DC">
        <w:trPr>
          <w:trHeight w:val="56"/>
          <w:jc w:val="center"/>
        </w:trPr>
        <w:tc>
          <w:tcPr>
            <w:tcW w:w="5395" w:type="dxa"/>
            <w:gridSpan w:val="3"/>
            <w:noWrap/>
            <w:vAlign w:val="bottom"/>
          </w:tcPr>
          <w:p w14:paraId="0BD320C1" w14:textId="02A40434" w:rsidR="002C6D84" w:rsidRPr="00A863DC" w:rsidRDefault="002C6D84" w:rsidP="009F67C0">
            <w:pPr>
              <w:pStyle w:val="ExhibitText"/>
              <w:rPr>
                <w:lang w:val="en-CA"/>
              </w:rPr>
            </w:pPr>
            <w:r w:rsidRPr="00A863DC">
              <w:rPr>
                <w:color w:val="000000"/>
                <w:lang w:val="en-CA"/>
              </w:rPr>
              <w:t>¹Calculated using crop sales.</w:t>
            </w:r>
          </w:p>
        </w:tc>
      </w:tr>
      <w:tr w:rsidR="002C6D84" w:rsidRPr="00A863DC" w14:paraId="7D551738" w14:textId="77777777" w:rsidTr="00A863DC">
        <w:trPr>
          <w:trHeight w:val="56"/>
          <w:jc w:val="center"/>
        </w:trPr>
        <w:tc>
          <w:tcPr>
            <w:tcW w:w="5395" w:type="dxa"/>
            <w:gridSpan w:val="3"/>
            <w:noWrap/>
            <w:vAlign w:val="bottom"/>
          </w:tcPr>
          <w:p w14:paraId="2C380CF0" w14:textId="6941FA9B" w:rsidR="002C6D84" w:rsidRPr="00A863DC" w:rsidRDefault="002C6D84" w:rsidP="009F67C0">
            <w:pPr>
              <w:pStyle w:val="ExhibitText"/>
              <w:rPr>
                <w:lang w:val="en-CA"/>
              </w:rPr>
            </w:pPr>
            <w:r w:rsidRPr="00A863DC">
              <w:rPr>
                <w:color w:val="000000"/>
                <w:lang w:val="en-CA"/>
              </w:rPr>
              <w:t>²Calculated using Harvest Dinner expense</w:t>
            </w:r>
            <w:r w:rsidR="00D7041B" w:rsidRPr="00A863DC">
              <w:rPr>
                <w:color w:val="000000"/>
                <w:lang w:val="en-CA"/>
              </w:rPr>
              <w:t>.</w:t>
            </w:r>
          </w:p>
        </w:tc>
      </w:tr>
    </w:tbl>
    <w:p w14:paraId="0121B444" w14:textId="47E1B512" w:rsidR="002C6D84" w:rsidRPr="00A863DC" w:rsidRDefault="002C6D84" w:rsidP="000A0D8D">
      <w:pPr>
        <w:pStyle w:val="ExhibitText"/>
        <w:rPr>
          <w:lang w:val="en-CA"/>
        </w:rPr>
      </w:pPr>
    </w:p>
    <w:p w14:paraId="050D499B" w14:textId="640DBC3E" w:rsidR="002C6D84" w:rsidRDefault="002C6D84" w:rsidP="000A0D8D">
      <w:pPr>
        <w:pStyle w:val="Footnote"/>
        <w:rPr>
          <w:lang w:val="en-CA"/>
        </w:rPr>
      </w:pPr>
      <w:r w:rsidRPr="00A863DC">
        <w:rPr>
          <w:lang w:val="en-CA"/>
        </w:rPr>
        <w:t>Source: Company files</w:t>
      </w:r>
      <w:r w:rsidR="006A3F43" w:rsidRPr="00A863DC">
        <w:rPr>
          <w:lang w:val="en-CA"/>
        </w:rPr>
        <w:t>.</w:t>
      </w:r>
    </w:p>
    <w:p w14:paraId="7DFB78C0" w14:textId="221D16E4" w:rsidR="00A863DC" w:rsidRPr="00A863DC" w:rsidRDefault="00A863DC" w:rsidP="00A863DC">
      <w:pPr>
        <w:pStyle w:val="ExhibitText"/>
        <w:rPr>
          <w:sz w:val="12"/>
          <w:szCs w:val="12"/>
          <w:lang w:val="en-CA"/>
        </w:rPr>
      </w:pPr>
    </w:p>
    <w:p w14:paraId="5103DE40" w14:textId="77777777" w:rsidR="00A863DC" w:rsidRPr="00A863DC" w:rsidRDefault="00A863DC" w:rsidP="00A863DC">
      <w:pPr>
        <w:pStyle w:val="ExhibitText"/>
        <w:rPr>
          <w:sz w:val="12"/>
          <w:szCs w:val="12"/>
          <w:lang w:val="en-CA"/>
        </w:rPr>
      </w:pPr>
    </w:p>
    <w:p w14:paraId="36209688" w14:textId="538D3858" w:rsidR="002C6D84" w:rsidRPr="00A863DC" w:rsidRDefault="002C6D84" w:rsidP="003E39C2">
      <w:pPr>
        <w:pStyle w:val="ExhibitHeading"/>
        <w:rPr>
          <w:lang w:val="en-CA"/>
        </w:rPr>
      </w:pPr>
      <w:r w:rsidRPr="00A863DC">
        <w:rPr>
          <w:lang w:val="en-CA"/>
        </w:rPr>
        <w:t>Exhibit 5: STATEMENT OF CASH FLOWS</w:t>
      </w:r>
      <w:r w:rsidR="000A0D8D" w:rsidRPr="00A863DC">
        <w:rPr>
          <w:lang w:val="en-CA"/>
        </w:rPr>
        <w:t xml:space="preserve"> </w:t>
      </w:r>
      <w:r w:rsidRPr="00A863DC">
        <w:rPr>
          <w:lang w:val="en-CA"/>
        </w:rPr>
        <w:t>For the years ending December 31</w:t>
      </w:r>
      <w:r w:rsidR="00A501DB" w:rsidRPr="00A863DC">
        <w:rPr>
          <w:lang w:val="en-CA"/>
        </w:rPr>
        <w:t xml:space="preserve"> (CA$)</w:t>
      </w:r>
    </w:p>
    <w:p w14:paraId="1B3BB7D3" w14:textId="77777777" w:rsidR="002C6D84" w:rsidRPr="00A863DC" w:rsidRDefault="002C6D84" w:rsidP="000A0D8D">
      <w:pPr>
        <w:pStyle w:val="ExhibitText"/>
        <w:rPr>
          <w:sz w:val="12"/>
          <w:szCs w:val="12"/>
          <w:lang w:val="en-CA"/>
        </w:rPr>
      </w:pPr>
    </w:p>
    <w:tbl>
      <w:tblPr>
        <w:tblW w:w="32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1258"/>
        <w:gridCol w:w="1172"/>
      </w:tblGrid>
      <w:tr w:rsidR="000A0D8D" w:rsidRPr="00A863DC" w14:paraId="77EBC11A" w14:textId="77777777" w:rsidTr="00A863DC">
        <w:trPr>
          <w:trHeight w:val="107"/>
          <w:jc w:val="center"/>
        </w:trPr>
        <w:tc>
          <w:tcPr>
            <w:tcW w:w="3013" w:type="pct"/>
            <w:shd w:val="clear" w:color="auto" w:fill="auto"/>
            <w:noWrap/>
            <w:vAlign w:val="bottom"/>
            <w:hideMark/>
          </w:tcPr>
          <w:p w14:paraId="1143A66B" w14:textId="77777777" w:rsidR="000A0D8D" w:rsidRPr="00A863DC" w:rsidRDefault="000A0D8D" w:rsidP="003614D1">
            <w:pPr>
              <w:rPr>
                <w:rFonts w:ascii="Arial" w:hAnsi="Arial" w:cs="Arial"/>
                <w:lang w:val="en-CA"/>
              </w:rPr>
            </w:pPr>
          </w:p>
        </w:tc>
        <w:tc>
          <w:tcPr>
            <w:tcW w:w="1029" w:type="pct"/>
            <w:shd w:val="clear" w:color="auto" w:fill="auto"/>
            <w:noWrap/>
            <w:vAlign w:val="center"/>
            <w:hideMark/>
          </w:tcPr>
          <w:p w14:paraId="6B541DFA" w14:textId="77777777" w:rsidR="000A0D8D" w:rsidRPr="00A863DC" w:rsidRDefault="000A0D8D" w:rsidP="00B2313A">
            <w:pPr>
              <w:jc w:val="center"/>
              <w:rPr>
                <w:rFonts w:ascii="Arial" w:hAnsi="Arial" w:cs="Arial"/>
                <w:b/>
                <w:bCs/>
                <w:color w:val="000000"/>
                <w:lang w:val="en-CA"/>
              </w:rPr>
            </w:pPr>
            <w:r w:rsidRPr="00A863DC">
              <w:rPr>
                <w:rFonts w:ascii="Arial" w:hAnsi="Arial" w:cs="Arial"/>
                <w:b/>
                <w:bCs/>
                <w:color w:val="000000"/>
                <w:lang w:val="en-CA"/>
              </w:rPr>
              <w:t>2018</w:t>
            </w:r>
          </w:p>
        </w:tc>
        <w:tc>
          <w:tcPr>
            <w:tcW w:w="958" w:type="pct"/>
            <w:shd w:val="clear" w:color="auto" w:fill="auto"/>
            <w:noWrap/>
            <w:vAlign w:val="center"/>
            <w:hideMark/>
          </w:tcPr>
          <w:p w14:paraId="150EE820" w14:textId="77777777" w:rsidR="000A0D8D" w:rsidRPr="00A863DC" w:rsidRDefault="000A0D8D">
            <w:pPr>
              <w:jc w:val="center"/>
              <w:rPr>
                <w:rFonts w:ascii="Arial" w:hAnsi="Arial" w:cs="Arial"/>
                <w:b/>
                <w:bCs/>
                <w:color w:val="000000"/>
                <w:lang w:val="en-CA"/>
              </w:rPr>
            </w:pPr>
            <w:r w:rsidRPr="00A863DC">
              <w:rPr>
                <w:rFonts w:ascii="Arial" w:hAnsi="Arial" w:cs="Arial"/>
                <w:b/>
                <w:bCs/>
                <w:color w:val="000000"/>
                <w:lang w:val="en-CA"/>
              </w:rPr>
              <w:t>2017</w:t>
            </w:r>
          </w:p>
        </w:tc>
      </w:tr>
      <w:tr w:rsidR="000A0D8D" w:rsidRPr="00A863DC" w14:paraId="0F76D730" w14:textId="77777777" w:rsidTr="00A863DC">
        <w:trPr>
          <w:trHeight w:val="143"/>
          <w:jc w:val="center"/>
        </w:trPr>
        <w:tc>
          <w:tcPr>
            <w:tcW w:w="5000" w:type="pct"/>
            <w:gridSpan w:val="3"/>
            <w:shd w:val="clear" w:color="auto" w:fill="auto"/>
            <w:noWrap/>
            <w:vAlign w:val="center"/>
            <w:hideMark/>
          </w:tcPr>
          <w:p w14:paraId="2BEF1EA1" w14:textId="1F6EBF95" w:rsidR="000A0D8D" w:rsidRPr="00A863DC" w:rsidRDefault="000A0D8D" w:rsidP="00B2313A">
            <w:pPr>
              <w:rPr>
                <w:rFonts w:ascii="Arial" w:hAnsi="Arial" w:cs="Arial"/>
                <w:lang w:val="en-CA"/>
              </w:rPr>
            </w:pPr>
            <w:r w:rsidRPr="00A863DC">
              <w:rPr>
                <w:rFonts w:ascii="Arial" w:hAnsi="Arial" w:cs="Arial"/>
                <w:b/>
                <w:bCs/>
                <w:color w:val="000000"/>
                <w:lang w:val="en-CA"/>
              </w:rPr>
              <w:t>Operations</w:t>
            </w:r>
          </w:p>
        </w:tc>
      </w:tr>
      <w:tr w:rsidR="002C6D84" w:rsidRPr="00A863DC" w14:paraId="007C9C43" w14:textId="77777777" w:rsidTr="00A863DC">
        <w:trPr>
          <w:trHeight w:val="80"/>
          <w:jc w:val="center"/>
        </w:trPr>
        <w:tc>
          <w:tcPr>
            <w:tcW w:w="3013" w:type="pct"/>
            <w:shd w:val="clear" w:color="auto" w:fill="auto"/>
            <w:noWrap/>
            <w:vAlign w:val="center"/>
            <w:hideMark/>
          </w:tcPr>
          <w:p w14:paraId="5D2A17F7" w14:textId="23380399" w:rsidR="002C6D84" w:rsidRPr="00A863DC" w:rsidRDefault="0019622B" w:rsidP="00B2313A">
            <w:pPr>
              <w:rPr>
                <w:rFonts w:ascii="Arial" w:hAnsi="Arial" w:cs="Arial"/>
                <w:color w:val="000000"/>
                <w:lang w:val="en-CA"/>
              </w:rPr>
            </w:pPr>
            <w:r w:rsidRPr="00A863DC">
              <w:rPr>
                <w:rFonts w:ascii="Arial" w:hAnsi="Arial" w:cs="Arial"/>
                <w:color w:val="000000"/>
                <w:lang w:val="en-CA"/>
              </w:rPr>
              <w:t xml:space="preserve"> </w:t>
            </w:r>
            <w:r w:rsidR="002C6D84" w:rsidRPr="00A863DC">
              <w:rPr>
                <w:rFonts w:ascii="Arial" w:hAnsi="Arial" w:cs="Arial"/>
                <w:color w:val="000000"/>
                <w:lang w:val="en-CA"/>
              </w:rPr>
              <w:t>Net income</w:t>
            </w:r>
          </w:p>
        </w:tc>
        <w:tc>
          <w:tcPr>
            <w:tcW w:w="1029" w:type="pct"/>
            <w:shd w:val="clear" w:color="auto" w:fill="auto"/>
            <w:noWrap/>
            <w:vAlign w:val="center"/>
            <w:hideMark/>
          </w:tcPr>
          <w:p w14:paraId="32E63C2B" w14:textId="5135B41E" w:rsidR="002C6D84" w:rsidRPr="00A863DC" w:rsidRDefault="002C6D84">
            <w:pPr>
              <w:tabs>
                <w:tab w:val="left" w:pos="504"/>
                <w:tab w:val="right" w:pos="1674"/>
              </w:tabs>
              <w:jc w:val="right"/>
              <w:rPr>
                <w:rFonts w:ascii="Arial" w:hAnsi="Arial" w:cs="Arial"/>
                <w:color w:val="000000"/>
                <w:lang w:val="en-CA"/>
              </w:rPr>
            </w:pPr>
            <w:r w:rsidRPr="00A863DC">
              <w:rPr>
                <w:rFonts w:ascii="Arial" w:hAnsi="Arial" w:cs="Arial"/>
                <w:color w:val="000000"/>
                <w:lang w:val="en-CA"/>
              </w:rPr>
              <w:t>28,564</w:t>
            </w:r>
          </w:p>
        </w:tc>
        <w:tc>
          <w:tcPr>
            <w:tcW w:w="958" w:type="pct"/>
            <w:shd w:val="clear" w:color="auto" w:fill="auto"/>
            <w:noWrap/>
            <w:vAlign w:val="center"/>
            <w:hideMark/>
          </w:tcPr>
          <w:p w14:paraId="459F0481" w14:textId="144BCF06" w:rsidR="002C6D84" w:rsidRPr="00A863DC" w:rsidRDefault="002C6D84">
            <w:pPr>
              <w:tabs>
                <w:tab w:val="left" w:pos="342"/>
                <w:tab w:val="right" w:pos="1512"/>
              </w:tabs>
              <w:jc w:val="right"/>
              <w:rPr>
                <w:rFonts w:ascii="Arial" w:hAnsi="Arial" w:cs="Arial"/>
                <w:color w:val="000000"/>
                <w:lang w:val="en-CA"/>
              </w:rPr>
            </w:pPr>
            <w:r w:rsidRPr="00A863DC">
              <w:rPr>
                <w:rFonts w:ascii="Arial" w:hAnsi="Arial" w:cs="Arial"/>
                <w:color w:val="000000"/>
                <w:lang w:val="en-CA"/>
              </w:rPr>
              <w:t>3,374</w:t>
            </w:r>
          </w:p>
        </w:tc>
      </w:tr>
      <w:tr w:rsidR="000A0D8D" w:rsidRPr="00A863DC" w14:paraId="07E0CD51" w14:textId="77777777" w:rsidTr="00A863DC">
        <w:trPr>
          <w:trHeight w:val="56"/>
          <w:jc w:val="center"/>
        </w:trPr>
        <w:tc>
          <w:tcPr>
            <w:tcW w:w="5000" w:type="pct"/>
            <w:gridSpan w:val="3"/>
            <w:shd w:val="clear" w:color="auto" w:fill="auto"/>
            <w:noWrap/>
            <w:vAlign w:val="center"/>
            <w:hideMark/>
          </w:tcPr>
          <w:p w14:paraId="5831C1B3" w14:textId="037FBDD3" w:rsidR="000A0D8D" w:rsidRPr="00A863DC" w:rsidRDefault="000A0D8D" w:rsidP="00B2313A">
            <w:pPr>
              <w:tabs>
                <w:tab w:val="left" w:pos="342"/>
                <w:tab w:val="right" w:pos="1512"/>
              </w:tabs>
              <w:rPr>
                <w:rFonts w:ascii="Arial" w:hAnsi="Arial" w:cs="Arial"/>
                <w:b/>
                <w:lang w:val="en-CA"/>
              </w:rPr>
            </w:pPr>
            <w:r w:rsidRPr="00A863DC">
              <w:rPr>
                <w:rFonts w:ascii="Arial" w:hAnsi="Arial" w:cs="Arial"/>
                <w:b/>
                <w:color w:val="000000"/>
                <w:lang w:val="en-CA"/>
              </w:rPr>
              <w:t>Adjustments to cash basis</w:t>
            </w:r>
          </w:p>
        </w:tc>
      </w:tr>
      <w:tr w:rsidR="000A0D8D" w:rsidRPr="00A863DC" w14:paraId="51F9E54C" w14:textId="77777777" w:rsidTr="00A863DC">
        <w:trPr>
          <w:trHeight w:val="56"/>
          <w:jc w:val="center"/>
        </w:trPr>
        <w:tc>
          <w:tcPr>
            <w:tcW w:w="3013" w:type="pct"/>
            <w:shd w:val="clear" w:color="auto" w:fill="auto"/>
            <w:noWrap/>
            <w:vAlign w:val="center"/>
            <w:hideMark/>
          </w:tcPr>
          <w:p w14:paraId="3DA4F926" w14:textId="36EED5A8" w:rsidR="000A0D8D" w:rsidRPr="00A863DC" w:rsidRDefault="0019622B" w:rsidP="00B2313A">
            <w:pPr>
              <w:rPr>
                <w:rFonts w:ascii="Arial" w:hAnsi="Arial" w:cs="Arial"/>
                <w:color w:val="000000"/>
                <w:lang w:val="en-CA"/>
              </w:rPr>
            </w:pPr>
            <w:r w:rsidRPr="00A863DC">
              <w:rPr>
                <w:rFonts w:ascii="Arial" w:hAnsi="Arial" w:cs="Arial"/>
                <w:color w:val="000000"/>
                <w:lang w:val="en-CA"/>
              </w:rPr>
              <w:t xml:space="preserve"> </w:t>
            </w:r>
            <w:r w:rsidR="000A0D8D" w:rsidRPr="00A863DC">
              <w:rPr>
                <w:rFonts w:ascii="Arial" w:hAnsi="Arial" w:cs="Arial"/>
                <w:color w:val="000000"/>
                <w:lang w:val="en-CA"/>
              </w:rPr>
              <w:t>Depreciation</w:t>
            </w:r>
          </w:p>
        </w:tc>
        <w:tc>
          <w:tcPr>
            <w:tcW w:w="1029" w:type="pct"/>
            <w:shd w:val="clear" w:color="auto" w:fill="auto"/>
            <w:noWrap/>
            <w:vAlign w:val="center"/>
            <w:hideMark/>
          </w:tcPr>
          <w:p w14:paraId="7CF70643" w14:textId="0C54CFB2" w:rsidR="000A0D8D" w:rsidRPr="00A863DC" w:rsidRDefault="000A0D8D">
            <w:pPr>
              <w:tabs>
                <w:tab w:val="left" w:pos="504"/>
                <w:tab w:val="right" w:pos="1674"/>
              </w:tabs>
              <w:jc w:val="right"/>
              <w:rPr>
                <w:rFonts w:ascii="Arial" w:hAnsi="Arial" w:cs="Arial"/>
                <w:color w:val="000000"/>
                <w:lang w:val="en-CA"/>
              </w:rPr>
            </w:pPr>
            <w:r w:rsidRPr="00A863DC">
              <w:rPr>
                <w:rFonts w:ascii="Arial" w:hAnsi="Arial" w:cs="Arial"/>
                <w:color w:val="000000"/>
                <w:lang w:val="en-CA"/>
              </w:rPr>
              <w:t>1,470</w:t>
            </w:r>
          </w:p>
        </w:tc>
        <w:tc>
          <w:tcPr>
            <w:tcW w:w="958" w:type="pct"/>
            <w:shd w:val="clear" w:color="auto" w:fill="auto"/>
            <w:noWrap/>
            <w:vAlign w:val="center"/>
            <w:hideMark/>
          </w:tcPr>
          <w:p w14:paraId="2BB821EA" w14:textId="090C72C1" w:rsidR="000A0D8D" w:rsidRPr="00A863DC" w:rsidRDefault="000A0D8D">
            <w:pPr>
              <w:tabs>
                <w:tab w:val="left" w:pos="342"/>
                <w:tab w:val="right" w:pos="1512"/>
              </w:tabs>
              <w:jc w:val="right"/>
              <w:rPr>
                <w:rFonts w:ascii="Arial" w:hAnsi="Arial" w:cs="Arial"/>
                <w:color w:val="000000"/>
                <w:lang w:val="en-CA"/>
              </w:rPr>
            </w:pPr>
            <w:r w:rsidRPr="00A863DC">
              <w:rPr>
                <w:rFonts w:ascii="Arial" w:hAnsi="Arial" w:cs="Arial"/>
                <w:color w:val="000000"/>
                <w:lang w:val="en-CA"/>
              </w:rPr>
              <w:t>566</w:t>
            </w:r>
          </w:p>
        </w:tc>
      </w:tr>
      <w:tr w:rsidR="000A0D8D" w:rsidRPr="00A863DC" w14:paraId="472A7BF9" w14:textId="77777777" w:rsidTr="00A863DC">
        <w:trPr>
          <w:trHeight w:val="80"/>
          <w:jc w:val="center"/>
        </w:trPr>
        <w:tc>
          <w:tcPr>
            <w:tcW w:w="3013" w:type="pct"/>
            <w:shd w:val="clear" w:color="auto" w:fill="auto"/>
            <w:noWrap/>
            <w:vAlign w:val="center"/>
            <w:hideMark/>
          </w:tcPr>
          <w:p w14:paraId="45C3BAF8" w14:textId="0387560B" w:rsidR="000A0D8D" w:rsidRPr="00A863DC" w:rsidRDefault="0019622B" w:rsidP="00B2313A">
            <w:pPr>
              <w:rPr>
                <w:rFonts w:ascii="Arial" w:hAnsi="Arial" w:cs="Arial"/>
                <w:color w:val="000000"/>
                <w:lang w:val="en-CA"/>
              </w:rPr>
            </w:pPr>
            <w:r w:rsidRPr="00A863DC">
              <w:rPr>
                <w:rFonts w:ascii="Arial" w:hAnsi="Arial" w:cs="Arial"/>
                <w:color w:val="000000"/>
                <w:lang w:val="en-CA"/>
              </w:rPr>
              <w:t xml:space="preserve"> </w:t>
            </w:r>
            <w:r w:rsidR="000A0D8D" w:rsidRPr="00A863DC">
              <w:rPr>
                <w:rFonts w:ascii="Arial" w:hAnsi="Arial" w:cs="Arial"/>
                <w:color w:val="000000"/>
                <w:lang w:val="en-CA"/>
              </w:rPr>
              <w:t>Accounts receivable</w:t>
            </w:r>
          </w:p>
        </w:tc>
        <w:tc>
          <w:tcPr>
            <w:tcW w:w="1029" w:type="pct"/>
            <w:shd w:val="clear" w:color="auto" w:fill="auto"/>
            <w:noWrap/>
            <w:vAlign w:val="center"/>
            <w:hideMark/>
          </w:tcPr>
          <w:p w14:paraId="00E8A406" w14:textId="7D92BFEA" w:rsidR="000A0D8D" w:rsidRPr="00A863DC" w:rsidRDefault="000A0D8D">
            <w:pPr>
              <w:tabs>
                <w:tab w:val="left" w:pos="504"/>
                <w:tab w:val="right" w:pos="1764"/>
              </w:tabs>
              <w:jc w:val="right"/>
              <w:rPr>
                <w:rFonts w:ascii="Arial" w:hAnsi="Arial" w:cs="Arial"/>
                <w:color w:val="000000"/>
                <w:lang w:val="en-CA"/>
              </w:rPr>
            </w:pPr>
            <w:r w:rsidRPr="00A863DC">
              <w:rPr>
                <w:rFonts w:ascii="Arial" w:hAnsi="Arial" w:cs="Arial"/>
                <w:color w:val="000000"/>
                <w:lang w:val="en-CA"/>
              </w:rPr>
              <w:t>(325)</w:t>
            </w:r>
          </w:p>
        </w:tc>
        <w:tc>
          <w:tcPr>
            <w:tcW w:w="958" w:type="pct"/>
            <w:shd w:val="clear" w:color="auto" w:fill="auto"/>
            <w:noWrap/>
            <w:vAlign w:val="center"/>
            <w:hideMark/>
          </w:tcPr>
          <w:p w14:paraId="77E92B2E" w14:textId="4CA2AB3E" w:rsidR="000A0D8D" w:rsidRPr="00A863DC" w:rsidRDefault="000A0D8D">
            <w:pPr>
              <w:tabs>
                <w:tab w:val="left" w:pos="342"/>
                <w:tab w:val="right" w:pos="1512"/>
              </w:tabs>
              <w:jc w:val="right"/>
              <w:rPr>
                <w:rFonts w:ascii="Arial" w:hAnsi="Arial" w:cs="Arial"/>
                <w:color w:val="000000"/>
                <w:lang w:val="en-CA"/>
              </w:rPr>
            </w:pPr>
            <w:r w:rsidRPr="00A863DC">
              <w:rPr>
                <w:rFonts w:ascii="Arial" w:hAnsi="Arial" w:cs="Arial"/>
                <w:color w:val="000000"/>
                <w:lang w:val="en-CA"/>
              </w:rPr>
              <w:t>–</w:t>
            </w:r>
          </w:p>
        </w:tc>
      </w:tr>
      <w:tr w:rsidR="000A0D8D" w:rsidRPr="00A863DC" w14:paraId="14B17E9F" w14:textId="77777777" w:rsidTr="00A863DC">
        <w:trPr>
          <w:trHeight w:val="56"/>
          <w:jc w:val="center"/>
        </w:trPr>
        <w:tc>
          <w:tcPr>
            <w:tcW w:w="3013" w:type="pct"/>
            <w:shd w:val="clear" w:color="auto" w:fill="auto"/>
            <w:noWrap/>
            <w:vAlign w:val="center"/>
            <w:hideMark/>
          </w:tcPr>
          <w:p w14:paraId="6FC59524" w14:textId="79FC8676" w:rsidR="000A0D8D" w:rsidRPr="00A863DC" w:rsidRDefault="0019622B" w:rsidP="00B2313A">
            <w:pPr>
              <w:rPr>
                <w:rFonts w:ascii="Arial" w:hAnsi="Arial" w:cs="Arial"/>
                <w:lang w:val="en-CA"/>
              </w:rPr>
            </w:pPr>
            <w:r w:rsidRPr="00A863DC">
              <w:rPr>
                <w:rFonts w:ascii="Arial" w:hAnsi="Arial" w:cs="Arial"/>
                <w:lang w:val="en-CA"/>
              </w:rPr>
              <w:t xml:space="preserve"> </w:t>
            </w:r>
            <w:proofErr w:type="spellStart"/>
            <w:r w:rsidR="000A0D8D" w:rsidRPr="00A863DC">
              <w:rPr>
                <w:rFonts w:ascii="Arial" w:hAnsi="Arial" w:cs="Arial"/>
                <w:lang w:val="en-CA"/>
              </w:rPr>
              <w:t>Libro</w:t>
            </w:r>
            <w:proofErr w:type="spellEnd"/>
            <w:r w:rsidR="000A0D8D" w:rsidRPr="00A863DC">
              <w:rPr>
                <w:rFonts w:ascii="Arial" w:hAnsi="Arial" w:cs="Arial"/>
                <w:lang w:val="en-CA"/>
              </w:rPr>
              <w:t xml:space="preserve"> Credit Union membership share</w:t>
            </w:r>
          </w:p>
        </w:tc>
        <w:tc>
          <w:tcPr>
            <w:tcW w:w="1029" w:type="pct"/>
            <w:shd w:val="clear" w:color="auto" w:fill="auto"/>
            <w:noWrap/>
            <w:vAlign w:val="center"/>
            <w:hideMark/>
          </w:tcPr>
          <w:p w14:paraId="09F786BC" w14:textId="7D2781EA" w:rsidR="000A0D8D" w:rsidRPr="00A863DC" w:rsidRDefault="000A0D8D">
            <w:pPr>
              <w:tabs>
                <w:tab w:val="left" w:pos="504"/>
                <w:tab w:val="right" w:pos="1674"/>
              </w:tabs>
              <w:jc w:val="right"/>
              <w:rPr>
                <w:rFonts w:ascii="Arial" w:hAnsi="Arial" w:cs="Arial"/>
                <w:color w:val="000000"/>
                <w:lang w:val="en-CA"/>
              </w:rPr>
            </w:pPr>
            <w:r w:rsidRPr="00A863DC">
              <w:rPr>
                <w:rFonts w:ascii="Arial" w:hAnsi="Arial" w:cs="Arial"/>
                <w:color w:val="000000"/>
                <w:lang w:val="en-CA"/>
              </w:rPr>
              <w:t>–</w:t>
            </w:r>
          </w:p>
        </w:tc>
        <w:tc>
          <w:tcPr>
            <w:tcW w:w="958" w:type="pct"/>
            <w:shd w:val="clear" w:color="auto" w:fill="auto"/>
            <w:noWrap/>
            <w:vAlign w:val="center"/>
            <w:hideMark/>
          </w:tcPr>
          <w:p w14:paraId="77F88920" w14:textId="6DB91ED0" w:rsidR="000A0D8D" w:rsidRPr="00A863DC" w:rsidRDefault="000A0D8D">
            <w:pPr>
              <w:tabs>
                <w:tab w:val="left" w:pos="342"/>
                <w:tab w:val="right" w:pos="1602"/>
              </w:tabs>
              <w:jc w:val="right"/>
              <w:rPr>
                <w:rFonts w:ascii="Arial" w:hAnsi="Arial" w:cs="Arial"/>
                <w:color w:val="000000"/>
                <w:lang w:val="en-CA"/>
              </w:rPr>
            </w:pPr>
            <w:r w:rsidRPr="00A863DC">
              <w:rPr>
                <w:rFonts w:ascii="Arial" w:hAnsi="Arial" w:cs="Arial"/>
                <w:color w:val="000000"/>
                <w:lang w:val="en-CA"/>
              </w:rPr>
              <w:t>(50)</w:t>
            </w:r>
          </w:p>
        </w:tc>
      </w:tr>
      <w:tr w:rsidR="000A0D8D" w:rsidRPr="00A863DC" w14:paraId="53AE0AC9" w14:textId="77777777" w:rsidTr="00A863DC">
        <w:trPr>
          <w:trHeight w:val="56"/>
          <w:jc w:val="center"/>
        </w:trPr>
        <w:tc>
          <w:tcPr>
            <w:tcW w:w="3013" w:type="pct"/>
            <w:shd w:val="clear" w:color="auto" w:fill="auto"/>
            <w:noWrap/>
            <w:vAlign w:val="center"/>
            <w:hideMark/>
          </w:tcPr>
          <w:p w14:paraId="328143E6" w14:textId="67BF4BFC" w:rsidR="000A0D8D" w:rsidRPr="00A863DC" w:rsidRDefault="0019622B" w:rsidP="00B2313A">
            <w:pPr>
              <w:rPr>
                <w:rFonts w:ascii="Arial" w:hAnsi="Arial" w:cs="Arial"/>
                <w:color w:val="000000"/>
                <w:lang w:val="en-CA"/>
              </w:rPr>
            </w:pPr>
            <w:r w:rsidRPr="00A863DC">
              <w:rPr>
                <w:rFonts w:ascii="Arial" w:hAnsi="Arial" w:cs="Arial"/>
                <w:color w:val="000000"/>
                <w:lang w:val="en-CA"/>
              </w:rPr>
              <w:t xml:space="preserve"> </w:t>
            </w:r>
            <w:r w:rsidR="000A0D8D" w:rsidRPr="00A863DC">
              <w:rPr>
                <w:rFonts w:ascii="Arial" w:hAnsi="Arial" w:cs="Arial"/>
                <w:color w:val="000000"/>
                <w:lang w:val="en-CA"/>
              </w:rPr>
              <w:t>Accounts payable</w:t>
            </w:r>
          </w:p>
        </w:tc>
        <w:tc>
          <w:tcPr>
            <w:tcW w:w="1029" w:type="pct"/>
            <w:shd w:val="clear" w:color="auto" w:fill="auto"/>
            <w:noWrap/>
            <w:vAlign w:val="center"/>
            <w:hideMark/>
          </w:tcPr>
          <w:p w14:paraId="24168E9F" w14:textId="30339442" w:rsidR="000A0D8D" w:rsidRPr="00A863DC" w:rsidRDefault="000A0D8D">
            <w:pPr>
              <w:tabs>
                <w:tab w:val="left" w:pos="504"/>
                <w:tab w:val="right" w:pos="1674"/>
              </w:tabs>
              <w:jc w:val="right"/>
              <w:rPr>
                <w:rFonts w:ascii="Arial" w:hAnsi="Arial" w:cs="Arial"/>
                <w:color w:val="000000"/>
                <w:lang w:val="en-CA"/>
              </w:rPr>
            </w:pPr>
            <w:r w:rsidRPr="00A863DC">
              <w:rPr>
                <w:rFonts w:ascii="Arial" w:hAnsi="Arial" w:cs="Arial"/>
                <w:color w:val="000000"/>
                <w:lang w:val="en-CA"/>
              </w:rPr>
              <w:t>310</w:t>
            </w:r>
          </w:p>
        </w:tc>
        <w:tc>
          <w:tcPr>
            <w:tcW w:w="958" w:type="pct"/>
            <w:shd w:val="clear" w:color="auto" w:fill="auto"/>
            <w:noWrap/>
            <w:vAlign w:val="center"/>
            <w:hideMark/>
          </w:tcPr>
          <w:p w14:paraId="106A28DB" w14:textId="396B57A7" w:rsidR="000A0D8D" w:rsidRPr="00A863DC" w:rsidRDefault="000A0D8D">
            <w:pPr>
              <w:tabs>
                <w:tab w:val="left" w:pos="342"/>
                <w:tab w:val="right" w:pos="1512"/>
              </w:tabs>
              <w:jc w:val="right"/>
              <w:rPr>
                <w:rFonts w:ascii="Arial" w:hAnsi="Arial" w:cs="Arial"/>
                <w:color w:val="000000"/>
                <w:lang w:val="en-CA"/>
              </w:rPr>
            </w:pPr>
            <w:r w:rsidRPr="00A863DC">
              <w:rPr>
                <w:rFonts w:ascii="Arial" w:hAnsi="Arial" w:cs="Arial"/>
                <w:color w:val="000000"/>
                <w:lang w:val="en-CA"/>
              </w:rPr>
              <w:t>125</w:t>
            </w:r>
          </w:p>
        </w:tc>
      </w:tr>
      <w:tr w:rsidR="002C6D84" w:rsidRPr="00A863DC" w14:paraId="2F7254FA" w14:textId="77777777" w:rsidTr="00A863DC">
        <w:trPr>
          <w:trHeight w:val="80"/>
          <w:jc w:val="center"/>
        </w:trPr>
        <w:tc>
          <w:tcPr>
            <w:tcW w:w="3013" w:type="pct"/>
            <w:shd w:val="clear" w:color="auto" w:fill="auto"/>
            <w:noWrap/>
            <w:vAlign w:val="center"/>
            <w:hideMark/>
          </w:tcPr>
          <w:p w14:paraId="56E0A7D2" w14:textId="77777777" w:rsidR="002C6D84" w:rsidRPr="00A863DC" w:rsidRDefault="002C6D84" w:rsidP="00B2313A">
            <w:pPr>
              <w:rPr>
                <w:rFonts w:ascii="Arial" w:hAnsi="Arial" w:cs="Arial"/>
                <w:color w:val="000000"/>
                <w:lang w:val="en-CA"/>
              </w:rPr>
            </w:pPr>
            <w:r w:rsidRPr="00A863DC">
              <w:rPr>
                <w:rFonts w:ascii="Arial" w:hAnsi="Arial" w:cs="Arial"/>
                <w:color w:val="000000"/>
                <w:lang w:val="en-CA"/>
              </w:rPr>
              <w:t>Net cash flow from operations</w:t>
            </w:r>
          </w:p>
        </w:tc>
        <w:tc>
          <w:tcPr>
            <w:tcW w:w="1029" w:type="pct"/>
            <w:shd w:val="clear" w:color="auto" w:fill="auto"/>
            <w:noWrap/>
            <w:vAlign w:val="center"/>
            <w:hideMark/>
          </w:tcPr>
          <w:p w14:paraId="03930539" w14:textId="3B51D0C7" w:rsidR="002C6D84" w:rsidRPr="00A863DC" w:rsidRDefault="002C6D84">
            <w:pPr>
              <w:tabs>
                <w:tab w:val="left" w:pos="504"/>
                <w:tab w:val="right" w:pos="1674"/>
              </w:tabs>
              <w:jc w:val="right"/>
              <w:rPr>
                <w:rFonts w:ascii="Arial" w:hAnsi="Arial" w:cs="Arial"/>
                <w:color w:val="000000"/>
                <w:lang w:val="en-CA"/>
              </w:rPr>
            </w:pPr>
            <w:r w:rsidRPr="00A863DC">
              <w:rPr>
                <w:rFonts w:ascii="Arial" w:hAnsi="Arial" w:cs="Arial"/>
                <w:color w:val="000000"/>
                <w:lang w:val="en-CA"/>
              </w:rPr>
              <w:t>30,019</w:t>
            </w:r>
          </w:p>
        </w:tc>
        <w:tc>
          <w:tcPr>
            <w:tcW w:w="958" w:type="pct"/>
            <w:shd w:val="clear" w:color="auto" w:fill="auto"/>
            <w:noWrap/>
            <w:vAlign w:val="center"/>
            <w:hideMark/>
          </w:tcPr>
          <w:p w14:paraId="3A3C1EB2" w14:textId="4CC33397" w:rsidR="002C6D84" w:rsidRPr="00A863DC" w:rsidRDefault="002C6D84">
            <w:pPr>
              <w:tabs>
                <w:tab w:val="left" w:pos="342"/>
                <w:tab w:val="right" w:pos="1512"/>
              </w:tabs>
              <w:jc w:val="right"/>
              <w:rPr>
                <w:rFonts w:ascii="Arial" w:hAnsi="Arial" w:cs="Arial"/>
                <w:color w:val="000000"/>
                <w:lang w:val="en-CA"/>
              </w:rPr>
            </w:pPr>
            <w:r w:rsidRPr="00A863DC">
              <w:rPr>
                <w:rFonts w:ascii="Arial" w:hAnsi="Arial" w:cs="Arial"/>
                <w:color w:val="000000"/>
                <w:lang w:val="en-CA"/>
              </w:rPr>
              <w:t>4,015</w:t>
            </w:r>
          </w:p>
        </w:tc>
      </w:tr>
      <w:tr w:rsidR="000A0D8D" w:rsidRPr="00A863DC" w14:paraId="1121DA21" w14:textId="77777777" w:rsidTr="00A863DC">
        <w:trPr>
          <w:trHeight w:val="56"/>
          <w:jc w:val="center"/>
        </w:trPr>
        <w:tc>
          <w:tcPr>
            <w:tcW w:w="5000" w:type="pct"/>
            <w:gridSpan w:val="3"/>
            <w:shd w:val="clear" w:color="auto" w:fill="auto"/>
            <w:noWrap/>
            <w:vAlign w:val="center"/>
            <w:hideMark/>
          </w:tcPr>
          <w:p w14:paraId="4674FD2F" w14:textId="3837C2D9" w:rsidR="000A0D8D" w:rsidRPr="00A863DC" w:rsidRDefault="000A0D8D" w:rsidP="00B2313A">
            <w:pPr>
              <w:tabs>
                <w:tab w:val="left" w:pos="342"/>
                <w:tab w:val="right" w:pos="1512"/>
              </w:tabs>
              <w:rPr>
                <w:rFonts w:ascii="Arial" w:hAnsi="Arial" w:cs="Arial"/>
                <w:lang w:val="en-CA"/>
              </w:rPr>
            </w:pPr>
            <w:r w:rsidRPr="00A863DC">
              <w:rPr>
                <w:rFonts w:ascii="Arial" w:hAnsi="Arial" w:cs="Arial"/>
                <w:b/>
                <w:bCs/>
                <w:color w:val="000000"/>
                <w:lang w:val="en-CA"/>
              </w:rPr>
              <w:t>Financing</w:t>
            </w:r>
          </w:p>
        </w:tc>
      </w:tr>
      <w:tr w:rsidR="000A0D8D" w:rsidRPr="00A863DC" w14:paraId="05080864" w14:textId="77777777" w:rsidTr="00A863DC">
        <w:trPr>
          <w:trHeight w:val="56"/>
          <w:jc w:val="center"/>
        </w:trPr>
        <w:tc>
          <w:tcPr>
            <w:tcW w:w="3013" w:type="pct"/>
            <w:shd w:val="clear" w:color="auto" w:fill="auto"/>
            <w:noWrap/>
            <w:vAlign w:val="center"/>
            <w:hideMark/>
          </w:tcPr>
          <w:p w14:paraId="28D067C8" w14:textId="30D2EAC6" w:rsidR="000A0D8D" w:rsidRPr="00A863DC" w:rsidRDefault="0019622B" w:rsidP="00B2313A">
            <w:pPr>
              <w:rPr>
                <w:rFonts w:ascii="Arial" w:hAnsi="Arial" w:cs="Arial"/>
                <w:lang w:val="en-CA"/>
              </w:rPr>
            </w:pPr>
            <w:r w:rsidRPr="00A863DC">
              <w:rPr>
                <w:rFonts w:ascii="Arial" w:hAnsi="Arial" w:cs="Arial"/>
                <w:lang w:val="en-CA"/>
              </w:rPr>
              <w:t xml:space="preserve"> </w:t>
            </w:r>
            <w:r w:rsidR="000A0D8D" w:rsidRPr="00A863DC">
              <w:rPr>
                <w:rFonts w:ascii="Arial" w:hAnsi="Arial" w:cs="Arial"/>
                <w:lang w:val="en-CA"/>
              </w:rPr>
              <w:t xml:space="preserve">Donated capital, Trojan </w:t>
            </w:r>
            <w:r w:rsidR="000A4CD2" w:rsidRPr="00A863DC">
              <w:rPr>
                <w:rFonts w:ascii="Arial" w:hAnsi="Arial" w:cs="Arial"/>
                <w:lang w:val="en-CA"/>
              </w:rPr>
              <w:t>Technologies</w:t>
            </w:r>
          </w:p>
        </w:tc>
        <w:tc>
          <w:tcPr>
            <w:tcW w:w="1029" w:type="pct"/>
            <w:shd w:val="clear" w:color="auto" w:fill="auto"/>
            <w:noWrap/>
            <w:vAlign w:val="center"/>
            <w:hideMark/>
          </w:tcPr>
          <w:p w14:paraId="5E2A2238" w14:textId="779F04C3" w:rsidR="000A0D8D" w:rsidRPr="00A863DC" w:rsidRDefault="000A0D8D">
            <w:pPr>
              <w:tabs>
                <w:tab w:val="left" w:pos="504"/>
                <w:tab w:val="right" w:pos="1674"/>
              </w:tabs>
              <w:jc w:val="right"/>
              <w:rPr>
                <w:rFonts w:ascii="Arial" w:hAnsi="Arial" w:cs="Arial"/>
                <w:color w:val="000000"/>
                <w:lang w:val="en-CA"/>
              </w:rPr>
            </w:pPr>
            <w:r w:rsidRPr="00A863DC">
              <w:rPr>
                <w:rFonts w:ascii="Arial" w:hAnsi="Arial" w:cs="Arial"/>
                <w:color w:val="000000"/>
                <w:lang w:val="en-CA"/>
              </w:rPr>
              <w:t>–</w:t>
            </w:r>
          </w:p>
        </w:tc>
        <w:tc>
          <w:tcPr>
            <w:tcW w:w="958" w:type="pct"/>
            <w:shd w:val="clear" w:color="auto" w:fill="auto"/>
            <w:noWrap/>
            <w:vAlign w:val="center"/>
            <w:hideMark/>
          </w:tcPr>
          <w:p w14:paraId="116FB1E3" w14:textId="2A86B609" w:rsidR="000A0D8D" w:rsidRPr="00A863DC" w:rsidRDefault="000A0D8D">
            <w:pPr>
              <w:tabs>
                <w:tab w:val="left" w:pos="342"/>
                <w:tab w:val="right" w:pos="1512"/>
              </w:tabs>
              <w:jc w:val="right"/>
              <w:rPr>
                <w:rFonts w:ascii="Arial" w:hAnsi="Arial" w:cs="Arial"/>
                <w:color w:val="000000"/>
                <w:lang w:val="en-CA"/>
              </w:rPr>
            </w:pPr>
            <w:r w:rsidRPr="00A863DC">
              <w:rPr>
                <w:rFonts w:ascii="Arial" w:hAnsi="Arial" w:cs="Arial"/>
                <w:color w:val="000000"/>
                <w:lang w:val="en-CA"/>
              </w:rPr>
              <w:t>3,000</w:t>
            </w:r>
          </w:p>
        </w:tc>
      </w:tr>
      <w:tr w:rsidR="002C6D84" w:rsidRPr="00A863DC" w14:paraId="5564016D" w14:textId="77777777" w:rsidTr="00A863DC">
        <w:trPr>
          <w:trHeight w:val="80"/>
          <w:jc w:val="center"/>
        </w:trPr>
        <w:tc>
          <w:tcPr>
            <w:tcW w:w="3013" w:type="pct"/>
            <w:shd w:val="clear" w:color="auto" w:fill="auto"/>
            <w:noWrap/>
            <w:vAlign w:val="center"/>
            <w:hideMark/>
          </w:tcPr>
          <w:p w14:paraId="20369D47" w14:textId="26857ACF" w:rsidR="002C6D84" w:rsidRPr="00A863DC" w:rsidRDefault="0019622B" w:rsidP="00B2313A">
            <w:pPr>
              <w:rPr>
                <w:rFonts w:ascii="Arial" w:hAnsi="Arial" w:cs="Arial"/>
                <w:color w:val="000000"/>
                <w:lang w:val="en-CA"/>
              </w:rPr>
            </w:pPr>
            <w:r w:rsidRPr="00A863DC">
              <w:rPr>
                <w:rFonts w:ascii="Arial" w:hAnsi="Arial" w:cs="Arial"/>
                <w:color w:val="000000"/>
                <w:lang w:val="en-CA"/>
              </w:rPr>
              <w:t xml:space="preserve"> </w:t>
            </w:r>
            <w:r w:rsidR="002C6D84" w:rsidRPr="00A863DC">
              <w:rPr>
                <w:rFonts w:ascii="Arial" w:hAnsi="Arial" w:cs="Arial"/>
                <w:color w:val="000000"/>
                <w:lang w:val="en-CA"/>
              </w:rPr>
              <w:t xml:space="preserve">Net cash flow from financing </w:t>
            </w:r>
          </w:p>
        </w:tc>
        <w:tc>
          <w:tcPr>
            <w:tcW w:w="1029" w:type="pct"/>
            <w:shd w:val="clear" w:color="auto" w:fill="auto"/>
            <w:noWrap/>
            <w:vAlign w:val="center"/>
            <w:hideMark/>
          </w:tcPr>
          <w:p w14:paraId="6A3C6211" w14:textId="0D02413A" w:rsidR="002C6D84" w:rsidRPr="00A863DC" w:rsidRDefault="002C6D84">
            <w:pPr>
              <w:tabs>
                <w:tab w:val="left" w:pos="504"/>
                <w:tab w:val="right" w:pos="1674"/>
              </w:tabs>
              <w:jc w:val="right"/>
              <w:rPr>
                <w:rFonts w:ascii="Arial" w:hAnsi="Arial" w:cs="Arial"/>
                <w:color w:val="000000"/>
                <w:lang w:val="en-CA"/>
              </w:rPr>
            </w:pPr>
            <w:r w:rsidRPr="00A863DC">
              <w:rPr>
                <w:rFonts w:ascii="Arial" w:hAnsi="Arial" w:cs="Arial"/>
                <w:color w:val="000000"/>
                <w:lang w:val="en-CA"/>
              </w:rPr>
              <w:t>–</w:t>
            </w:r>
          </w:p>
        </w:tc>
        <w:tc>
          <w:tcPr>
            <w:tcW w:w="958" w:type="pct"/>
            <w:shd w:val="clear" w:color="auto" w:fill="auto"/>
            <w:noWrap/>
            <w:vAlign w:val="center"/>
            <w:hideMark/>
          </w:tcPr>
          <w:p w14:paraId="298B05A3" w14:textId="2A8D0C43" w:rsidR="002C6D84" w:rsidRPr="00A863DC" w:rsidRDefault="002C6D84">
            <w:pPr>
              <w:tabs>
                <w:tab w:val="left" w:pos="342"/>
                <w:tab w:val="right" w:pos="1512"/>
              </w:tabs>
              <w:jc w:val="right"/>
              <w:rPr>
                <w:rFonts w:ascii="Arial" w:hAnsi="Arial" w:cs="Arial"/>
                <w:color w:val="000000"/>
                <w:lang w:val="en-CA"/>
              </w:rPr>
            </w:pPr>
            <w:r w:rsidRPr="00A863DC">
              <w:rPr>
                <w:rFonts w:ascii="Arial" w:hAnsi="Arial" w:cs="Arial"/>
                <w:color w:val="000000"/>
                <w:lang w:val="en-CA"/>
              </w:rPr>
              <w:t>3,000</w:t>
            </w:r>
          </w:p>
        </w:tc>
      </w:tr>
      <w:tr w:rsidR="000A0D8D" w:rsidRPr="00A863DC" w14:paraId="2D29EC3E" w14:textId="77777777" w:rsidTr="00A863DC">
        <w:trPr>
          <w:trHeight w:val="56"/>
          <w:jc w:val="center"/>
        </w:trPr>
        <w:tc>
          <w:tcPr>
            <w:tcW w:w="5000" w:type="pct"/>
            <w:gridSpan w:val="3"/>
            <w:shd w:val="clear" w:color="auto" w:fill="auto"/>
            <w:noWrap/>
            <w:vAlign w:val="center"/>
            <w:hideMark/>
          </w:tcPr>
          <w:p w14:paraId="2FF6E131" w14:textId="499299C3" w:rsidR="000A0D8D" w:rsidRPr="00A863DC" w:rsidRDefault="000A0D8D" w:rsidP="00B2313A">
            <w:pPr>
              <w:tabs>
                <w:tab w:val="left" w:pos="342"/>
                <w:tab w:val="right" w:pos="1512"/>
              </w:tabs>
              <w:rPr>
                <w:rFonts w:ascii="Arial" w:hAnsi="Arial" w:cs="Arial"/>
                <w:lang w:val="en-CA"/>
              </w:rPr>
            </w:pPr>
            <w:r w:rsidRPr="00A863DC">
              <w:rPr>
                <w:rFonts w:ascii="Arial" w:hAnsi="Arial" w:cs="Arial"/>
                <w:b/>
                <w:bCs/>
                <w:color w:val="000000"/>
                <w:lang w:val="en-CA"/>
              </w:rPr>
              <w:t xml:space="preserve">Investing </w:t>
            </w:r>
          </w:p>
        </w:tc>
      </w:tr>
      <w:tr w:rsidR="000A0D8D" w:rsidRPr="00A863DC" w14:paraId="431DF5E7" w14:textId="77777777" w:rsidTr="00A863DC">
        <w:trPr>
          <w:trHeight w:val="56"/>
          <w:jc w:val="center"/>
        </w:trPr>
        <w:tc>
          <w:tcPr>
            <w:tcW w:w="3013" w:type="pct"/>
            <w:shd w:val="clear" w:color="auto" w:fill="auto"/>
            <w:noWrap/>
            <w:vAlign w:val="center"/>
            <w:hideMark/>
          </w:tcPr>
          <w:p w14:paraId="387EC324" w14:textId="69C5189C" w:rsidR="000A0D8D" w:rsidRPr="00A863DC" w:rsidRDefault="0019622B" w:rsidP="00B2313A">
            <w:pPr>
              <w:rPr>
                <w:rFonts w:ascii="Arial" w:hAnsi="Arial" w:cs="Arial"/>
                <w:lang w:val="en-CA"/>
              </w:rPr>
            </w:pPr>
            <w:r w:rsidRPr="00A863DC">
              <w:rPr>
                <w:rFonts w:ascii="Arial" w:hAnsi="Arial" w:cs="Arial"/>
                <w:lang w:val="en-CA"/>
              </w:rPr>
              <w:t xml:space="preserve"> </w:t>
            </w:r>
            <w:r w:rsidR="000A0D8D" w:rsidRPr="00A863DC">
              <w:rPr>
                <w:rFonts w:ascii="Arial" w:hAnsi="Arial" w:cs="Arial"/>
                <w:lang w:val="en-CA"/>
              </w:rPr>
              <w:t>Shipping container</w:t>
            </w:r>
          </w:p>
        </w:tc>
        <w:tc>
          <w:tcPr>
            <w:tcW w:w="1029" w:type="pct"/>
            <w:shd w:val="clear" w:color="auto" w:fill="auto"/>
            <w:noWrap/>
            <w:vAlign w:val="center"/>
            <w:hideMark/>
          </w:tcPr>
          <w:p w14:paraId="7210FE50" w14:textId="001C370B" w:rsidR="000A0D8D" w:rsidRPr="00A863DC" w:rsidRDefault="000A0D8D">
            <w:pPr>
              <w:tabs>
                <w:tab w:val="left" w:pos="504"/>
                <w:tab w:val="right" w:pos="1674"/>
              </w:tabs>
              <w:jc w:val="right"/>
              <w:rPr>
                <w:rFonts w:ascii="Arial" w:hAnsi="Arial" w:cs="Arial"/>
                <w:color w:val="000000"/>
                <w:lang w:val="en-CA"/>
              </w:rPr>
            </w:pPr>
            <w:r w:rsidRPr="00A863DC">
              <w:rPr>
                <w:rFonts w:ascii="Arial" w:hAnsi="Arial" w:cs="Arial"/>
                <w:color w:val="000000"/>
                <w:lang w:val="en-CA"/>
              </w:rPr>
              <w:t>–</w:t>
            </w:r>
          </w:p>
        </w:tc>
        <w:tc>
          <w:tcPr>
            <w:tcW w:w="958" w:type="pct"/>
            <w:shd w:val="clear" w:color="auto" w:fill="auto"/>
            <w:noWrap/>
            <w:vAlign w:val="center"/>
            <w:hideMark/>
          </w:tcPr>
          <w:p w14:paraId="10F932C9" w14:textId="55784629" w:rsidR="000A0D8D" w:rsidRPr="00A863DC" w:rsidRDefault="000A0D8D">
            <w:pPr>
              <w:tabs>
                <w:tab w:val="left" w:pos="342"/>
                <w:tab w:val="right" w:pos="1602"/>
              </w:tabs>
              <w:jc w:val="right"/>
              <w:rPr>
                <w:rFonts w:ascii="Arial" w:hAnsi="Arial" w:cs="Arial"/>
                <w:color w:val="000000"/>
                <w:lang w:val="en-CA"/>
              </w:rPr>
            </w:pPr>
            <w:r w:rsidRPr="00A863DC">
              <w:rPr>
                <w:rFonts w:ascii="Arial" w:hAnsi="Arial" w:cs="Arial"/>
                <w:color w:val="000000"/>
                <w:lang w:val="en-CA"/>
              </w:rPr>
              <w:t>(3,000)</w:t>
            </w:r>
          </w:p>
        </w:tc>
      </w:tr>
      <w:tr w:rsidR="000A0D8D" w:rsidRPr="00A863DC" w14:paraId="6DFD64B4" w14:textId="77777777" w:rsidTr="00A863DC">
        <w:trPr>
          <w:trHeight w:val="80"/>
          <w:jc w:val="center"/>
        </w:trPr>
        <w:tc>
          <w:tcPr>
            <w:tcW w:w="3013" w:type="pct"/>
            <w:shd w:val="clear" w:color="auto" w:fill="auto"/>
            <w:noWrap/>
            <w:vAlign w:val="center"/>
            <w:hideMark/>
          </w:tcPr>
          <w:p w14:paraId="21562936" w14:textId="494E0877" w:rsidR="000A0D8D" w:rsidRPr="00A863DC" w:rsidRDefault="0019622B" w:rsidP="00B2313A">
            <w:pPr>
              <w:rPr>
                <w:rFonts w:ascii="Arial" w:hAnsi="Arial" w:cs="Arial"/>
                <w:lang w:val="en-CA"/>
              </w:rPr>
            </w:pPr>
            <w:r w:rsidRPr="00A863DC">
              <w:rPr>
                <w:rFonts w:ascii="Arial" w:hAnsi="Arial" w:cs="Arial"/>
                <w:lang w:val="en-CA"/>
              </w:rPr>
              <w:t xml:space="preserve"> </w:t>
            </w:r>
            <w:r w:rsidR="000A0D8D" w:rsidRPr="00A863DC">
              <w:rPr>
                <w:rFonts w:ascii="Arial" w:hAnsi="Arial" w:cs="Arial"/>
                <w:lang w:val="en-CA"/>
              </w:rPr>
              <w:t>Water tanks and fixtures</w:t>
            </w:r>
          </w:p>
        </w:tc>
        <w:tc>
          <w:tcPr>
            <w:tcW w:w="1029" w:type="pct"/>
            <w:shd w:val="clear" w:color="auto" w:fill="auto"/>
            <w:noWrap/>
            <w:vAlign w:val="center"/>
            <w:hideMark/>
          </w:tcPr>
          <w:p w14:paraId="0177D051" w14:textId="71A7216A" w:rsidR="000A0D8D" w:rsidRPr="00A863DC" w:rsidRDefault="000A0D8D">
            <w:pPr>
              <w:tabs>
                <w:tab w:val="left" w:pos="504"/>
                <w:tab w:val="right" w:pos="1764"/>
              </w:tabs>
              <w:jc w:val="right"/>
              <w:rPr>
                <w:rFonts w:ascii="Arial" w:hAnsi="Arial" w:cs="Arial"/>
                <w:color w:val="000000"/>
                <w:lang w:val="en-CA"/>
              </w:rPr>
            </w:pPr>
            <w:r w:rsidRPr="00A863DC">
              <w:rPr>
                <w:rFonts w:ascii="Arial" w:hAnsi="Arial" w:cs="Arial"/>
                <w:color w:val="000000"/>
                <w:lang w:val="en-CA"/>
              </w:rPr>
              <w:t>(2,573)</w:t>
            </w:r>
          </w:p>
        </w:tc>
        <w:tc>
          <w:tcPr>
            <w:tcW w:w="958" w:type="pct"/>
            <w:shd w:val="clear" w:color="auto" w:fill="auto"/>
            <w:noWrap/>
            <w:vAlign w:val="center"/>
            <w:hideMark/>
          </w:tcPr>
          <w:p w14:paraId="6C7F62C7" w14:textId="02CD785A" w:rsidR="000A0D8D" w:rsidRPr="00A863DC" w:rsidRDefault="000A0D8D">
            <w:pPr>
              <w:tabs>
                <w:tab w:val="left" w:pos="342"/>
                <w:tab w:val="right" w:pos="1602"/>
              </w:tabs>
              <w:jc w:val="right"/>
              <w:rPr>
                <w:rFonts w:ascii="Arial" w:hAnsi="Arial" w:cs="Arial"/>
                <w:color w:val="000000"/>
                <w:lang w:val="en-CA"/>
              </w:rPr>
            </w:pPr>
            <w:r w:rsidRPr="00A863DC">
              <w:rPr>
                <w:rFonts w:ascii="Arial" w:hAnsi="Arial" w:cs="Arial"/>
                <w:color w:val="000000"/>
                <w:lang w:val="en-CA"/>
              </w:rPr>
              <w:t>(327)</w:t>
            </w:r>
          </w:p>
        </w:tc>
      </w:tr>
      <w:tr w:rsidR="000A0D8D" w:rsidRPr="00A863DC" w14:paraId="671C32B4" w14:textId="77777777" w:rsidTr="00A863DC">
        <w:trPr>
          <w:trHeight w:val="56"/>
          <w:jc w:val="center"/>
        </w:trPr>
        <w:tc>
          <w:tcPr>
            <w:tcW w:w="3013" w:type="pct"/>
            <w:shd w:val="clear" w:color="auto" w:fill="auto"/>
            <w:noWrap/>
            <w:vAlign w:val="center"/>
            <w:hideMark/>
          </w:tcPr>
          <w:p w14:paraId="6DCC06FD" w14:textId="51A7975E" w:rsidR="000A0D8D" w:rsidRPr="00A863DC" w:rsidRDefault="0019622B" w:rsidP="00B2313A">
            <w:pPr>
              <w:rPr>
                <w:rFonts w:ascii="Arial" w:hAnsi="Arial" w:cs="Arial"/>
                <w:lang w:val="en-CA"/>
              </w:rPr>
            </w:pPr>
            <w:r w:rsidRPr="00A863DC">
              <w:rPr>
                <w:rFonts w:ascii="Arial" w:hAnsi="Arial" w:cs="Arial"/>
                <w:lang w:val="en-CA"/>
              </w:rPr>
              <w:t xml:space="preserve"> </w:t>
            </w:r>
            <w:r w:rsidR="000A0D8D" w:rsidRPr="00A863DC">
              <w:rPr>
                <w:rFonts w:ascii="Arial" w:hAnsi="Arial" w:cs="Arial"/>
                <w:lang w:val="en-CA"/>
              </w:rPr>
              <w:t>Fencing</w:t>
            </w:r>
          </w:p>
        </w:tc>
        <w:tc>
          <w:tcPr>
            <w:tcW w:w="1029" w:type="pct"/>
            <w:shd w:val="clear" w:color="auto" w:fill="auto"/>
            <w:noWrap/>
            <w:vAlign w:val="center"/>
            <w:hideMark/>
          </w:tcPr>
          <w:p w14:paraId="4734F9EB" w14:textId="6D54D20B" w:rsidR="000A0D8D" w:rsidRPr="00A863DC" w:rsidRDefault="000A0D8D">
            <w:pPr>
              <w:tabs>
                <w:tab w:val="left" w:pos="504"/>
                <w:tab w:val="right" w:pos="1764"/>
              </w:tabs>
              <w:jc w:val="right"/>
              <w:rPr>
                <w:rFonts w:ascii="Arial" w:hAnsi="Arial" w:cs="Arial"/>
                <w:color w:val="000000"/>
                <w:lang w:val="en-CA"/>
              </w:rPr>
            </w:pPr>
            <w:r w:rsidRPr="00A863DC">
              <w:rPr>
                <w:rFonts w:ascii="Arial" w:hAnsi="Arial" w:cs="Arial"/>
                <w:color w:val="000000"/>
                <w:lang w:val="en-CA"/>
              </w:rPr>
              <w:t>(1,921)</w:t>
            </w:r>
          </w:p>
        </w:tc>
        <w:tc>
          <w:tcPr>
            <w:tcW w:w="958" w:type="pct"/>
            <w:shd w:val="clear" w:color="auto" w:fill="auto"/>
            <w:noWrap/>
            <w:vAlign w:val="center"/>
            <w:hideMark/>
          </w:tcPr>
          <w:p w14:paraId="56647653" w14:textId="50EADD6C" w:rsidR="000A0D8D" w:rsidRPr="00A863DC" w:rsidRDefault="000A0D8D">
            <w:pPr>
              <w:tabs>
                <w:tab w:val="left" w:pos="342"/>
                <w:tab w:val="right" w:pos="1602"/>
              </w:tabs>
              <w:jc w:val="right"/>
              <w:rPr>
                <w:rFonts w:ascii="Arial" w:hAnsi="Arial" w:cs="Arial"/>
                <w:color w:val="000000"/>
                <w:lang w:val="en-CA"/>
              </w:rPr>
            </w:pPr>
            <w:r w:rsidRPr="00A863DC">
              <w:rPr>
                <w:rFonts w:ascii="Arial" w:hAnsi="Arial" w:cs="Arial"/>
                <w:color w:val="000000"/>
                <w:lang w:val="en-CA"/>
              </w:rPr>
              <w:t>(579)</w:t>
            </w:r>
          </w:p>
        </w:tc>
      </w:tr>
      <w:tr w:rsidR="000A0D8D" w:rsidRPr="00A863DC" w14:paraId="1D91C2A6" w14:textId="77777777" w:rsidTr="00A863DC">
        <w:trPr>
          <w:trHeight w:val="56"/>
          <w:jc w:val="center"/>
        </w:trPr>
        <w:tc>
          <w:tcPr>
            <w:tcW w:w="3013" w:type="pct"/>
            <w:shd w:val="clear" w:color="auto" w:fill="auto"/>
            <w:noWrap/>
            <w:vAlign w:val="center"/>
            <w:hideMark/>
          </w:tcPr>
          <w:p w14:paraId="7A4D9FAA" w14:textId="2566DEB2" w:rsidR="000A0D8D" w:rsidRPr="00A863DC" w:rsidRDefault="0019622B" w:rsidP="00B2313A">
            <w:pPr>
              <w:rPr>
                <w:rFonts w:ascii="Arial" w:hAnsi="Arial" w:cs="Arial"/>
                <w:lang w:val="en-CA"/>
              </w:rPr>
            </w:pPr>
            <w:r w:rsidRPr="00A863DC">
              <w:rPr>
                <w:rFonts w:ascii="Arial" w:hAnsi="Arial" w:cs="Arial"/>
                <w:lang w:val="en-CA"/>
              </w:rPr>
              <w:t xml:space="preserve"> </w:t>
            </w:r>
            <w:r w:rsidR="000A0D8D" w:rsidRPr="00A863DC">
              <w:rPr>
                <w:rFonts w:ascii="Arial" w:hAnsi="Arial" w:cs="Arial"/>
                <w:lang w:val="en-CA"/>
              </w:rPr>
              <w:t>Farm tools and implements</w:t>
            </w:r>
          </w:p>
        </w:tc>
        <w:tc>
          <w:tcPr>
            <w:tcW w:w="1029" w:type="pct"/>
            <w:shd w:val="clear" w:color="auto" w:fill="auto"/>
            <w:noWrap/>
            <w:vAlign w:val="center"/>
            <w:hideMark/>
          </w:tcPr>
          <w:p w14:paraId="0EF3408F" w14:textId="24891796" w:rsidR="000A0D8D" w:rsidRPr="00A863DC" w:rsidRDefault="000A0D8D">
            <w:pPr>
              <w:tabs>
                <w:tab w:val="left" w:pos="504"/>
                <w:tab w:val="right" w:pos="1764"/>
              </w:tabs>
              <w:jc w:val="right"/>
              <w:rPr>
                <w:rFonts w:ascii="Arial" w:hAnsi="Arial" w:cs="Arial"/>
                <w:color w:val="000000"/>
                <w:lang w:val="en-CA"/>
              </w:rPr>
            </w:pPr>
            <w:r w:rsidRPr="00A863DC">
              <w:rPr>
                <w:rFonts w:ascii="Arial" w:hAnsi="Arial" w:cs="Arial"/>
                <w:color w:val="000000"/>
                <w:lang w:val="en-CA"/>
              </w:rPr>
              <w:t>(4,545)</w:t>
            </w:r>
          </w:p>
        </w:tc>
        <w:tc>
          <w:tcPr>
            <w:tcW w:w="958" w:type="pct"/>
            <w:shd w:val="clear" w:color="auto" w:fill="auto"/>
            <w:noWrap/>
            <w:vAlign w:val="center"/>
            <w:hideMark/>
          </w:tcPr>
          <w:p w14:paraId="250074E9" w14:textId="316E184C" w:rsidR="000A0D8D" w:rsidRPr="00A863DC" w:rsidRDefault="000A0D8D">
            <w:pPr>
              <w:tabs>
                <w:tab w:val="left" w:pos="342"/>
                <w:tab w:val="right" w:pos="1602"/>
              </w:tabs>
              <w:jc w:val="right"/>
              <w:rPr>
                <w:rFonts w:ascii="Arial" w:hAnsi="Arial" w:cs="Arial"/>
                <w:color w:val="000000"/>
                <w:lang w:val="en-CA"/>
              </w:rPr>
            </w:pPr>
            <w:r w:rsidRPr="00A863DC">
              <w:rPr>
                <w:rFonts w:ascii="Arial" w:hAnsi="Arial" w:cs="Arial"/>
                <w:color w:val="000000"/>
                <w:lang w:val="en-CA"/>
              </w:rPr>
              <w:t>(1,755)</w:t>
            </w:r>
          </w:p>
        </w:tc>
      </w:tr>
      <w:tr w:rsidR="002C6D84" w:rsidRPr="00A863DC" w14:paraId="53342697" w14:textId="77777777" w:rsidTr="00A863DC">
        <w:trPr>
          <w:trHeight w:val="80"/>
          <w:jc w:val="center"/>
        </w:trPr>
        <w:tc>
          <w:tcPr>
            <w:tcW w:w="3013" w:type="pct"/>
            <w:shd w:val="clear" w:color="auto" w:fill="auto"/>
            <w:noWrap/>
            <w:vAlign w:val="center"/>
            <w:hideMark/>
          </w:tcPr>
          <w:p w14:paraId="7BE51006" w14:textId="77777777" w:rsidR="002C6D84" w:rsidRPr="00A863DC" w:rsidRDefault="002C6D84" w:rsidP="00B2313A">
            <w:pPr>
              <w:rPr>
                <w:rFonts w:ascii="Arial" w:hAnsi="Arial" w:cs="Arial"/>
                <w:color w:val="000000"/>
                <w:lang w:val="en-CA"/>
              </w:rPr>
            </w:pPr>
            <w:r w:rsidRPr="00A863DC">
              <w:rPr>
                <w:rFonts w:ascii="Arial" w:hAnsi="Arial" w:cs="Arial"/>
                <w:color w:val="000000"/>
                <w:lang w:val="en-CA"/>
              </w:rPr>
              <w:t>Net cash flow from investing</w:t>
            </w:r>
          </w:p>
        </w:tc>
        <w:tc>
          <w:tcPr>
            <w:tcW w:w="1029" w:type="pct"/>
            <w:shd w:val="clear" w:color="auto" w:fill="auto"/>
            <w:noWrap/>
            <w:vAlign w:val="center"/>
            <w:hideMark/>
          </w:tcPr>
          <w:p w14:paraId="1DA4BF73" w14:textId="02287056" w:rsidR="002C6D84" w:rsidRPr="00A863DC" w:rsidRDefault="002C6D84">
            <w:pPr>
              <w:tabs>
                <w:tab w:val="left" w:pos="504"/>
                <w:tab w:val="right" w:pos="1764"/>
              </w:tabs>
              <w:jc w:val="right"/>
              <w:rPr>
                <w:rFonts w:ascii="Arial" w:hAnsi="Arial" w:cs="Arial"/>
                <w:color w:val="000000"/>
                <w:lang w:val="en-CA"/>
              </w:rPr>
            </w:pPr>
            <w:r w:rsidRPr="00A863DC">
              <w:rPr>
                <w:rFonts w:ascii="Arial" w:hAnsi="Arial" w:cs="Arial"/>
                <w:color w:val="000000"/>
                <w:lang w:val="en-CA"/>
              </w:rPr>
              <w:t>(9,039)</w:t>
            </w:r>
          </w:p>
        </w:tc>
        <w:tc>
          <w:tcPr>
            <w:tcW w:w="958" w:type="pct"/>
            <w:shd w:val="clear" w:color="auto" w:fill="auto"/>
            <w:noWrap/>
            <w:vAlign w:val="center"/>
            <w:hideMark/>
          </w:tcPr>
          <w:p w14:paraId="54516FA0" w14:textId="646A4225" w:rsidR="002C6D84" w:rsidRPr="00A863DC" w:rsidRDefault="002C6D84">
            <w:pPr>
              <w:tabs>
                <w:tab w:val="left" w:pos="342"/>
                <w:tab w:val="right" w:pos="1602"/>
              </w:tabs>
              <w:jc w:val="right"/>
              <w:rPr>
                <w:rFonts w:ascii="Arial" w:hAnsi="Arial" w:cs="Arial"/>
                <w:color w:val="000000"/>
                <w:lang w:val="en-CA"/>
              </w:rPr>
            </w:pPr>
            <w:r w:rsidRPr="00A863DC">
              <w:rPr>
                <w:rFonts w:ascii="Arial" w:hAnsi="Arial" w:cs="Arial"/>
                <w:color w:val="000000"/>
                <w:lang w:val="en-CA"/>
              </w:rPr>
              <w:t>(5,661)</w:t>
            </w:r>
          </w:p>
        </w:tc>
      </w:tr>
      <w:tr w:rsidR="002C6D84" w:rsidRPr="00A863DC" w14:paraId="68DCBEFF" w14:textId="77777777" w:rsidTr="00A863DC">
        <w:trPr>
          <w:trHeight w:val="56"/>
          <w:jc w:val="center"/>
        </w:trPr>
        <w:tc>
          <w:tcPr>
            <w:tcW w:w="3013" w:type="pct"/>
            <w:shd w:val="clear" w:color="auto" w:fill="auto"/>
            <w:noWrap/>
            <w:vAlign w:val="center"/>
            <w:hideMark/>
          </w:tcPr>
          <w:p w14:paraId="567EC5AB" w14:textId="77777777" w:rsidR="002C6D84" w:rsidRPr="00A863DC" w:rsidRDefault="002C6D84" w:rsidP="00B2313A">
            <w:pPr>
              <w:rPr>
                <w:rFonts w:ascii="Arial" w:hAnsi="Arial" w:cs="Arial"/>
                <w:color w:val="000000"/>
                <w:lang w:val="en-CA"/>
              </w:rPr>
            </w:pPr>
            <w:r w:rsidRPr="00A863DC">
              <w:rPr>
                <w:rFonts w:ascii="Arial" w:hAnsi="Arial" w:cs="Arial"/>
                <w:color w:val="000000"/>
                <w:lang w:val="en-CA"/>
              </w:rPr>
              <w:t>Net cash flow</w:t>
            </w:r>
          </w:p>
        </w:tc>
        <w:tc>
          <w:tcPr>
            <w:tcW w:w="1029" w:type="pct"/>
            <w:shd w:val="clear" w:color="auto" w:fill="auto"/>
            <w:noWrap/>
            <w:vAlign w:val="center"/>
            <w:hideMark/>
          </w:tcPr>
          <w:p w14:paraId="587217FF" w14:textId="5B787A68" w:rsidR="002C6D84" w:rsidRPr="00A863DC" w:rsidRDefault="002C6D84">
            <w:pPr>
              <w:tabs>
                <w:tab w:val="left" w:pos="504"/>
                <w:tab w:val="right" w:pos="1674"/>
              </w:tabs>
              <w:jc w:val="right"/>
              <w:rPr>
                <w:rFonts w:ascii="Arial" w:hAnsi="Arial" w:cs="Arial"/>
                <w:color w:val="000000"/>
                <w:lang w:val="en-CA"/>
              </w:rPr>
            </w:pPr>
            <w:r w:rsidRPr="00A863DC">
              <w:rPr>
                <w:rFonts w:ascii="Arial" w:hAnsi="Arial" w:cs="Arial"/>
                <w:color w:val="000000"/>
                <w:lang w:val="en-CA"/>
              </w:rPr>
              <w:t>20,980</w:t>
            </w:r>
          </w:p>
        </w:tc>
        <w:tc>
          <w:tcPr>
            <w:tcW w:w="958" w:type="pct"/>
            <w:shd w:val="clear" w:color="auto" w:fill="auto"/>
            <w:noWrap/>
            <w:vAlign w:val="center"/>
            <w:hideMark/>
          </w:tcPr>
          <w:p w14:paraId="2C0F7A8A" w14:textId="37FCC704" w:rsidR="002C6D84" w:rsidRPr="00A863DC" w:rsidRDefault="002C6D84">
            <w:pPr>
              <w:tabs>
                <w:tab w:val="left" w:pos="342"/>
                <w:tab w:val="right" w:pos="1512"/>
              </w:tabs>
              <w:jc w:val="right"/>
              <w:rPr>
                <w:rFonts w:ascii="Arial" w:hAnsi="Arial" w:cs="Arial"/>
                <w:color w:val="000000"/>
                <w:lang w:val="en-CA"/>
              </w:rPr>
            </w:pPr>
            <w:r w:rsidRPr="00A863DC">
              <w:rPr>
                <w:rFonts w:ascii="Arial" w:hAnsi="Arial" w:cs="Arial"/>
                <w:color w:val="000000"/>
                <w:lang w:val="en-CA"/>
              </w:rPr>
              <w:t>1,354</w:t>
            </w:r>
          </w:p>
        </w:tc>
      </w:tr>
      <w:tr w:rsidR="002C6D84" w:rsidRPr="00A863DC" w14:paraId="59C97504" w14:textId="77777777" w:rsidTr="00A863DC">
        <w:trPr>
          <w:trHeight w:val="56"/>
          <w:jc w:val="center"/>
        </w:trPr>
        <w:tc>
          <w:tcPr>
            <w:tcW w:w="3013" w:type="pct"/>
            <w:shd w:val="clear" w:color="auto" w:fill="auto"/>
            <w:noWrap/>
            <w:vAlign w:val="center"/>
            <w:hideMark/>
          </w:tcPr>
          <w:p w14:paraId="779825AF" w14:textId="77777777" w:rsidR="002C6D84" w:rsidRPr="00A863DC" w:rsidRDefault="002C6D84" w:rsidP="00B2313A">
            <w:pPr>
              <w:rPr>
                <w:rFonts w:ascii="Arial" w:hAnsi="Arial" w:cs="Arial"/>
                <w:color w:val="000000"/>
                <w:lang w:val="en-CA"/>
              </w:rPr>
            </w:pPr>
            <w:r w:rsidRPr="00A863DC">
              <w:rPr>
                <w:rFonts w:ascii="Arial" w:hAnsi="Arial" w:cs="Arial"/>
                <w:color w:val="000000"/>
                <w:lang w:val="en-CA"/>
              </w:rPr>
              <w:t>Plus: Beginning cash</w:t>
            </w:r>
          </w:p>
        </w:tc>
        <w:tc>
          <w:tcPr>
            <w:tcW w:w="1029" w:type="pct"/>
            <w:shd w:val="clear" w:color="auto" w:fill="auto"/>
            <w:noWrap/>
            <w:vAlign w:val="center"/>
            <w:hideMark/>
          </w:tcPr>
          <w:p w14:paraId="22EA9DBE" w14:textId="653BCA92" w:rsidR="002C6D84" w:rsidRPr="00A863DC" w:rsidRDefault="002C6D84">
            <w:pPr>
              <w:tabs>
                <w:tab w:val="left" w:pos="504"/>
                <w:tab w:val="right" w:pos="1674"/>
              </w:tabs>
              <w:jc w:val="right"/>
              <w:rPr>
                <w:rFonts w:ascii="Arial" w:hAnsi="Arial" w:cs="Arial"/>
                <w:color w:val="000000"/>
                <w:lang w:val="en-CA"/>
              </w:rPr>
            </w:pPr>
            <w:r w:rsidRPr="00A863DC">
              <w:rPr>
                <w:rFonts w:ascii="Arial" w:hAnsi="Arial" w:cs="Arial"/>
                <w:color w:val="000000"/>
                <w:lang w:val="en-CA"/>
              </w:rPr>
              <w:t>1,354</w:t>
            </w:r>
          </w:p>
        </w:tc>
        <w:tc>
          <w:tcPr>
            <w:tcW w:w="958" w:type="pct"/>
            <w:shd w:val="clear" w:color="auto" w:fill="auto"/>
            <w:noWrap/>
            <w:vAlign w:val="center"/>
            <w:hideMark/>
          </w:tcPr>
          <w:p w14:paraId="1DB23C8B" w14:textId="4CA5E84E" w:rsidR="002C6D84" w:rsidRPr="00A863DC" w:rsidRDefault="002C6D84">
            <w:pPr>
              <w:tabs>
                <w:tab w:val="left" w:pos="342"/>
                <w:tab w:val="right" w:pos="1512"/>
              </w:tabs>
              <w:jc w:val="right"/>
              <w:rPr>
                <w:rFonts w:ascii="Arial" w:hAnsi="Arial" w:cs="Arial"/>
                <w:color w:val="000000"/>
                <w:lang w:val="en-CA"/>
              </w:rPr>
            </w:pPr>
            <w:r w:rsidRPr="00A863DC">
              <w:rPr>
                <w:rFonts w:ascii="Arial" w:hAnsi="Arial" w:cs="Arial"/>
                <w:color w:val="000000"/>
                <w:lang w:val="en-CA"/>
              </w:rPr>
              <w:t>–</w:t>
            </w:r>
          </w:p>
        </w:tc>
      </w:tr>
      <w:tr w:rsidR="002C6D84" w:rsidRPr="00A863DC" w14:paraId="2D2E0DC9" w14:textId="77777777" w:rsidTr="00A863DC">
        <w:trPr>
          <w:trHeight w:val="56"/>
          <w:jc w:val="center"/>
        </w:trPr>
        <w:tc>
          <w:tcPr>
            <w:tcW w:w="3013" w:type="pct"/>
            <w:shd w:val="clear" w:color="auto" w:fill="auto"/>
            <w:noWrap/>
            <w:vAlign w:val="center"/>
            <w:hideMark/>
          </w:tcPr>
          <w:p w14:paraId="209AF019" w14:textId="77777777" w:rsidR="002C6D84" w:rsidRPr="00A863DC" w:rsidRDefault="002C6D84" w:rsidP="00B2313A">
            <w:pPr>
              <w:rPr>
                <w:rFonts w:ascii="Arial" w:hAnsi="Arial" w:cs="Arial"/>
                <w:color w:val="000000"/>
                <w:lang w:val="en-CA"/>
              </w:rPr>
            </w:pPr>
            <w:r w:rsidRPr="00A863DC">
              <w:rPr>
                <w:rFonts w:ascii="Arial" w:hAnsi="Arial" w:cs="Arial"/>
                <w:color w:val="000000"/>
                <w:lang w:val="en-CA"/>
              </w:rPr>
              <w:t>Ending cash</w:t>
            </w:r>
          </w:p>
        </w:tc>
        <w:tc>
          <w:tcPr>
            <w:tcW w:w="1029" w:type="pct"/>
            <w:shd w:val="clear" w:color="auto" w:fill="auto"/>
            <w:noWrap/>
            <w:vAlign w:val="center"/>
            <w:hideMark/>
          </w:tcPr>
          <w:p w14:paraId="72F9BA28" w14:textId="776BB91E" w:rsidR="002C6D84" w:rsidRPr="00A863DC" w:rsidRDefault="002C6D84">
            <w:pPr>
              <w:tabs>
                <w:tab w:val="left" w:pos="504"/>
                <w:tab w:val="right" w:pos="1674"/>
              </w:tabs>
              <w:jc w:val="right"/>
              <w:rPr>
                <w:rFonts w:ascii="Arial" w:hAnsi="Arial" w:cs="Arial"/>
                <w:color w:val="000000"/>
                <w:lang w:val="en-CA"/>
              </w:rPr>
            </w:pPr>
            <w:r w:rsidRPr="00A863DC">
              <w:rPr>
                <w:rFonts w:ascii="Arial" w:hAnsi="Arial" w:cs="Arial"/>
                <w:color w:val="000000"/>
                <w:lang w:val="en-CA"/>
              </w:rPr>
              <w:t>22,334</w:t>
            </w:r>
          </w:p>
        </w:tc>
        <w:tc>
          <w:tcPr>
            <w:tcW w:w="958" w:type="pct"/>
            <w:shd w:val="clear" w:color="auto" w:fill="auto"/>
            <w:noWrap/>
            <w:vAlign w:val="center"/>
            <w:hideMark/>
          </w:tcPr>
          <w:p w14:paraId="716790E1" w14:textId="7AA9BDD7" w:rsidR="002C6D84" w:rsidRPr="00A863DC" w:rsidRDefault="002C6D84">
            <w:pPr>
              <w:tabs>
                <w:tab w:val="left" w:pos="342"/>
                <w:tab w:val="right" w:pos="1512"/>
              </w:tabs>
              <w:jc w:val="right"/>
              <w:rPr>
                <w:rFonts w:ascii="Arial" w:hAnsi="Arial" w:cs="Arial"/>
                <w:color w:val="000000"/>
                <w:lang w:val="en-CA"/>
              </w:rPr>
            </w:pPr>
            <w:r w:rsidRPr="00A863DC">
              <w:rPr>
                <w:rFonts w:ascii="Arial" w:hAnsi="Arial" w:cs="Arial"/>
                <w:color w:val="000000"/>
                <w:lang w:val="en-CA"/>
              </w:rPr>
              <w:t>1,354</w:t>
            </w:r>
          </w:p>
        </w:tc>
      </w:tr>
    </w:tbl>
    <w:p w14:paraId="061BD971" w14:textId="3DA4EE5C" w:rsidR="002C6D84" w:rsidRPr="00A863DC" w:rsidRDefault="002C6D84" w:rsidP="000A0D8D">
      <w:pPr>
        <w:pStyle w:val="ExhibitText"/>
        <w:rPr>
          <w:sz w:val="12"/>
          <w:szCs w:val="12"/>
          <w:lang w:val="en-CA"/>
        </w:rPr>
      </w:pPr>
    </w:p>
    <w:p w14:paraId="3F68420E" w14:textId="1E025543" w:rsidR="00B87DC0" w:rsidRPr="00A863DC" w:rsidRDefault="002C6D84" w:rsidP="00A863DC">
      <w:pPr>
        <w:pStyle w:val="Footnote"/>
        <w:rPr>
          <w:lang w:val="en-CA"/>
        </w:rPr>
      </w:pPr>
      <w:r w:rsidRPr="00A863DC">
        <w:rPr>
          <w:lang w:val="en-CA"/>
        </w:rPr>
        <w:t>Source: Company files</w:t>
      </w:r>
      <w:r w:rsidR="000A0D8D" w:rsidRPr="00A863DC">
        <w:rPr>
          <w:lang w:val="en-CA"/>
        </w:rPr>
        <w:t>.</w:t>
      </w:r>
    </w:p>
    <w:sectPr w:rsidR="00B87DC0" w:rsidRPr="00A863DC" w:rsidSect="00751E0B">
      <w:headerReference w:type="default" r:id="rId9"/>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E42516" w16cid:durableId="210E6F50"/>
  <w16cid:commentId w16cid:paraId="296DD9D8" w16cid:durableId="210E7E2A"/>
  <w16cid:commentId w16cid:paraId="5D0F95C5" w16cid:durableId="210E7F77"/>
  <w16cid:commentId w16cid:paraId="0EB1DEF5" w16cid:durableId="210E82BE"/>
  <w16cid:commentId w16cid:paraId="444BCE5E" w16cid:durableId="210E82D0"/>
  <w16cid:commentId w16cid:paraId="38806A25" w16cid:durableId="210E835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267EC9" w14:textId="77777777" w:rsidR="0032757D" w:rsidRDefault="0032757D" w:rsidP="00D75295">
      <w:r>
        <w:separator/>
      </w:r>
    </w:p>
  </w:endnote>
  <w:endnote w:type="continuationSeparator" w:id="0">
    <w:p w14:paraId="2566574C" w14:textId="77777777" w:rsidR="0032757D" w:rsidRDefault="0032757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883EFC" w14:textId="77777777" w:rsidR="0032757D" w:rsidRDefault="0032757D" w:rsidP="00D75295">
      <w:r>
        <w:separator/>
      </w:r>
    </w:p>
  </w:footnote>
  <w:footnote w:type="continuationSeparator" w:id="0">
    <w:p w14:paraId="712233FD" w14:textId="77777777" w:rsidR="0032757D" w:rsidRDefault="0032757D" w:rsidP="00D75295">
      <w:r>
        <w:continuationSeparator/>
      </w:r>
    </w:p>
  </w:footnote>
  <w:footnote w:id="1">
    <w:p w14:paraId="0B8286A7" w14:textId="664C09D8" w:rsidR="006F48EC" w:rsidRPr="0019622B" w:rsidRDefault="006F48EC" w:rsidP="00C14E02">
      <w:pPr>
        <w:pStyle w:val="Footnote"/>
        <w:rPr>
          <w:lang w:val="en-GB"/>
        </w:rPr>
      </w:pPr>
      <w:r w:rsidRPr="0019622B">
        <w:rPr>
          <w:rStyle w:val="FootnoteReference"/>
          <w:lang w:val="en-GB"/>
        </w:rPr>
        <w:footnoteRef/>
      </w:r>
      <w:r w:rsidRPr="0019622B">
        <w:rPr>
          <w:lang w:val="en-GB"/>
        </w:rPr>
        <w:t xml:space="preserve"> One acre was approximately the size of a football field. </w:t>
      </w:r>
    </w:p>
  </w:footnote>
  <w:footnote w:id="2">
    <w:p w14:paraId="3F7C1719" w14:textId="007FABEF" w:rsidR="006F48EC" w:rsidRPr="0019622B" w:rsidRDefault="006F48EC" w:rsidP="00FB74E3">
      <w:pPr>
        <w:pStyle w:val="Footnote"/>
        <w:rPr>
          <w:lang w:val="en-GB"/>
        </w:rPr>
      </w:pPr>
      <w:r w:rsidRPr="0019622B">
        <w:rPr>
          <w:rStyle w:val="FootnoteReference"/>
          <w:lang w:val="en-GB"/>
        </w:rPr>
        <w:footnoteRef/>
      </w:r>
      <w:r w:rsidRPr="0019622B">
        <w:rPr>
          <w:lang w:val="en-GB"/>
        </w:rPr>
        <w:t xml:space="preserve"> </w:t>
      </w:r>
      <w:r>
        <w:rPr>
          <w:lang w:val="en-GB"/>
        </w:rPr>
        <w:t>All amounts are in Canadian dollars</w:t>
      </w:r>
      <w:proofErr w:type="gramStart"/>
      <w:r>
        <w:rPr>
          <w:lang w:val="en-GB"/>
        </w:rPr>
        <w:t>;</w:t>
      </w:r>
      <w:proofErr w:type="gramEnd"/>
      <w:r>
        <w:rPr>
          <w:lang w:val="en-GB"/>
        </w:rPr>
        <w:t xml:space="preserve"> US$1 = CA$</w:t>
      </w:r>
      <w:r w:rsidRPr="00FB74E3">
        <w:rPr>
          <w:lang w:val="en-GB"/>
        </w:rPr>
        <w:t>1.3475</w:t>
      </w:r>
      <w:r>
        <w:rPr>
          <w:lang w:val="en-GB"/>
        </w:rPr>
        <w:t xml:space="preserve"> on January 1, 2019.</w:t>
      </w:r>
    </w:p>
  </w:footnote>
  <w:footnote w:id="3">
    <w:p w14:paraId="5C7BDF38" w14:textId="2B9ADDD9" w:rsidR="006F48EC" w:rsidRPr="0019622B" w:rsidRDefault="006F48EC" w:rsidP="00C14E02">
      <w:pPr>
        <w:pStyle w:val="Footnote"/>
        <w:rPr>
          <w:lang w:val="en-GB"/>
        </w:rPr>
      </w:pPr>
      <w:r w:rsidRPr="0019622B">
        <w:rPr>
          <w:rStyle w:val="FootnoteReference"/>
          <w:lang w:val="en-GB"/>
        </w:rPr>
        <w:footnoteRef/>
      </w:r>
      <w:r w:rsidRPr="0019622B">
        <w:rPr>
          <w:lang w:val="en-GB"/>
        </w:rPr>
        <w:t xml:space="preserve"> “About </w:t>
      </w:r>
      <w:proofErr w:type="gramStart"/>
      <w:r w:rsidRPr="0019622B">
        <w:rPr>
          <w:lang w:val="en-GB"/>
        </w:rPr>
        <w:t>Us</w:t>
      </w:r>
      <w:proofErr w:type="gramEnd"/>
      <w:r w:rsidRPr="0019622B">
        <w:rPr>
          <w:lang w:val="en-GB"/>
        </w:rPr>
        <w:t xml:space="preserve">,” </w:t>
      </w:r>
      <w:r w:rsidR="00655D9A" w:rsidRPr="0019622B">
        <w:rPr>
          <w:lang w:val="en-GB"/>
        </w:rPr>
        <w:t xml:space="preserve">VERGE, </w:t>
      </w:r>
      <w:r w:rsidRPr="0019622B">
        <w:rPr>
          <w:lang w:val="en-GB"/>
        </w:rPr>
        <w:t xml:space="preserve">accessed June 3, 2019, </w:t>
      </w:r>
      <w:hyperlink r:id="rId1" w:history="1">
        <w:r w:rsidRPr="0019622B">
          <w:rPr>
            <w:rStyle w:val="Hyperlink"/>
            <w:color w:val="auto"/>
            <w:u w:val="none"/>
            <w:lang w:val="en-GB"/>
          </w:rPr>
          <w:t>www.vergecapital.ca/about</w:t>
        </w:r>
      </w:hyperlink>
      <w:r w:rsidRPr="0019622B">
        <w:rPr>
          <w:lang w:val="en-GB"/>
        </w:rPr>
        <w:t>.</w:t>
      </w:r>
    </w:p>
  </w:footnote>
  <w:footnote w:id="4">
    <w:p w14:paraId="0C72C4AA" w14:textId="6F3D880C" w:rsidR="006F48EC" w:rsidRPr="0019622B" w:rsidRDefault="006F48EC" w:rsidP="00C14E02">
      <w:pPr>
        <w:pStyle w:val="Footnote"/>
        <w:rPr>
          <w:lang w:val="en-GB"/>
        </w:rPr>
      </w:pPr>
      <w:r w:rsidRPr="0019622B">
        <w:rPr>
          <w:rStyle w:val="FootnoteReference"/>
          <w:lang w:val="en-GB"/>
        </w:rPr>
        <w:footnoteRef/>
      </w:r>
      <w:r w:rsidRPr="0019622B">
        <w:rPr>
          <w:lang w:val="en-GB"/>
        </w:rPr>
        <w:t xml:space="preserve"> CBC News, “</w:t>
      </w:r>
      <w:r w:rsidR="00655D9A" w:rsidRPr="00655D9A">
        <w:rPr>
          <w:lang w:val="en-GB"/>
        </w:rPr>
        <w:t>Canadian Cities Have ‘Food Deserts’: Study</w:t>
      </w:r>
      <w:r w:rsidRPr="0019622B">
        <w:rPr>
          <w:lang w:val="en-GB"/>
        </w:rPr>
        <w:t>,” CBC News, April 22, 2008, accessed August 10, 2018, www.cbc.ca/news/canadian-cities-have-food-deserts-study-1.773896.</w:t>
      </w:r>
    </w:p>
  </w:footnote>
  <w:footnote w:id="5">
    <w:p w14:paraId="01E8ACD6" w14:textId="3E7D6067" w:rsidR="006F48EC" w:rsidRPr="0019622B" w:rsidRDefault="006F48EC" w:rsidP="00C14E02">
      <w:pPr>
        <w:pStyle w:val="Footnote"/>
        <w:rPr>
          <w:lang w:val="en-GB"/>
        </w:rPr>
      </w:pPr>
      <w:r w:rsidRPr="0019622B">
        <w:rPr>
          <w:rStyle w:val="FootnoteReference"/>
          <w:lang w:val="en-GB"/>
        </w:rPr>
        <w:footnoteRef/>
      </w:r>
      <w:r w:rsidRPr="0019622B">
        <w:rPr>
          <w:lang w:val="en-GB"/>
        </w:rPr>
        <w:t xml:space="preserve"> </w:t>
      </w:r>
      <w:r w:rsidR="00655D9A" w:rsidRPr="0019622B">
        <w:rPr>
          <w:lang w:val="en-GB"/>
        </w:rPr>
        <w:t xml:space="preserve">Kristian Larsen </w:t>
      </w:r>
      <w:r w:rsidR="00655D9A">
        <w:rPr>
          <w:lang w:val="en-GB"/>
        </w:rPr>
        <w:t xml:space="preserve">and </w:t>
      </w:r>
      <w:r w:rsidRPr="0019622B">
        <w:rPr>
          <w:lang w:val="en-GB"/>
        </w:rPr>
        <w:t>Jason Gilliland, “</w:t>
      </w:r>
      <w:r w:rsidR="00655D9A" w:rsidRPr="00655D9A">
        <w:rPr>
          <w:lang w:val="en-GB"/>
        </w:rPr>
        <w:t>Mapping the Evolution of ‘Food Deserts’ in a Canadian City: Supermarket Accessibility in London, Ontario, 1961–2005</w:t>
      </w:r>
      <w:r w:rsidRPr="0019622B">
        <w:rPr>
          <w:lang w:val="en-GB"/>
        </w:rPr>
        <w:t xml:space="preserve">,” </w:t>
      </w:r>
      <w:r w:rsidR="00655D9A" w:rsidRPr="009F67C0">
        <w:rPr>
          <w:i/>
          <w:lang w:val="en-GB"/>
        </w:rPr>
        <w:t xml:space="preserve">International Journal of Health </w:t>
      </w:r>
      <w:proofErr w:type="spellStart"/>
      <w:r w:rsidR="00655D9A" w:rsidRPr="009F67C0">
        <w:rPr>
          <w:i/>
          <w:lang w:val="en-GB"/>
        </w:rPr>
        <w:t>Geographics</w:t>
      </w:r>
      <w:proofErr w:type="spellEnd"/>
      <w:r w:rsidR="00655D9A" w:rsidRPr="00655D9A">
        <w:rPr>
          <w:lang w:val="en-GB"/>
        </w:rPr>
        <w:t xml:space="preserve"> </w:t>
      </w:r>
      <w:r w:rsidR="008F3C53">
        <w:rPr>
          <w:lang w:val="en-GB"/>
        </w:rPr>
        <w:t xml:space="preserve">7, no. 16 (2008), </w:t>
      </w:r>
      <w:r w:rsidRPr="0019622B">
        <w:rPr>
          <w:lang w:val="en-GB"/>
        </w:rPr>
        <w:t xml:space="preserve">accessed June 3, 2019, </w:t>
      </w:r>
      <w:hyperlink r:id="rId2" w:history="1">
        <w:r w:rsidRPr="0019622B">
          <w:rPr>
            <w:rStyle w:val="Hyperlink"/>
            <w:color w:val="auto"/>
            <w:u w:val="none"/>
            <w:lang w:val="en-GB"/>
          </w:rPr>
          <w:t>https://ij-healthgeographics.biomedcentral.com/articles/10.1186/1476-072X-7-16</w:t>
        </w:r>
      </w:hyperlink>
      <w:r w:rsidRPr="0019622B">
        <w:rPr>
          <w:lang w:val="en-GB"/>
        </w:rPr>
        <w:t>.</w:t>
      </w:r>
    </w:p>
  </w:footnote>
  <w:footnote w:id="6">
    <w:p w14:paraId="11501664" w14:textId="6AE834B8" w:rsidR="006F48EC" w:rsidRPr="0019622B" w:rsidRDefault="006F48EC" w:rsidP="00C14E02">
      <w:pPr>
        <w:pStyle w:val="Footnote"/>
        <w:rPr>
          <w:lang w:val="en-GB"/>
        </w:rPr>
      </w:pPr>
      <w:r w:rsidRPr="0019622B">
        <w:rPr>
          <w:rStyle w:val="FootnoteReference"/>
          <w:lang w:val="en-GB"/>
        </w:rPr>
        <w:footnoteRef/>
      </w:r>
      <w:r w:rsidRPr="0019622B">
        <w:rPr>
          <w:lang w:val="en-GB"/>
        </w:rPr>
        <w:t xml:space="preserve"> “About </w:t>
      </w:r>
      <w:proofErr w:type="gramStart"/>
      <w:r w:rsidRPr="0019622B">
        <w:rPr>
          <w:lang w:val="en-GB"/>
        </w:rPr>
        <w:t>Us</w:t>
      </w:r>
      <w:proofErr w:type="gramEnd"/>
      <w:r w:rsidRPr="0019622B">
        <w:rPr>
          <w:lang w:val="en-GB"/>
        </w:rPr>
        <w:t>,”</w:t>
      </w:r>
      <w:r w:rsidR="002D6610" w:rsidRPr="002D6610">
        <w:rPr>
          <w:lang w:val="en-GB"/>
        </w:rPr>
        <w:t xml:space="preserve"> </w:t>
      </w:r>
      <w:r w:rsidR="002D6610" w:rsidRPr="0019622B">
        <w:rPr>
          <w:lang w:val="en-GB"/>
        </w:rPr>
        <w:t>Urban Roots,</w:t>
      </w:r>
      <w:r w:rsidRPr="0019622B">
        <w:rPr>
          <w:lang w:val="en-GB"/>
        </w:rPr>
        <w:t xml:space="preserve"> accessed June 3, 2019, </w:t>
      </w:r>
      <w:hyperlink r:id="rId3" w:history="1">
        <w:r w:rsidRPr="0019622B">
          <w:rPr>
            <w:rStyle w:val="Hyperlink"/>
            <w:color w:val="auto"/>
            <w:u w:val="none"/>
            <w:lang w:val="en-GB"/>
          </w:rPr>
          <w:t>https://urbanrootslondon.ca/about-us/</w:t>
        </w:r>
      </w:hyperlink>
      <w:r w:rsidRPr="0019622B">
        <w:rPr>
          <w:lang w:val="en-GB"/>
        </w:rPr>
        <w:t>.</w:t>
      </w:r>
    </w:p>
  </w:footnote>
  <w:footnote w:id="7">
    <w:p w14:paraId="66E94037" w14:textId="1FB865C7" w:rsidR="006F48EC" w:rsidRPr="0019622B" w:rsidRDefault="006F48EC" w:rsidP="00C14E02">
      <w:pPr>
        <w:pStyle w:val="Footnote"/>
        <w:rPr>
          <w:spacing w:val="-4"/>
          <w:kern w:val="17"/>
          <w:lang w:val="en-GB"/>
        </w:rPr>
      </w:pPr>
      <w:r w:rsidRPr="0019622B">
        <w:rPr>
          <w:rStyle w:val="FootnoteReference"/>
          <w:spacing w:val="-4"/>
          <w:kern w:val="17"/>
          <w:lang w:val="en-GB"/>
        </w:rPr>
        <w:footnoteRef/>
      </w:r>
      <w:r w:rsidRPr="0019622B">
        <w:rPr>
          <w:spacing w:val="-4"/>
          <w:kern w:val="17"/>
          <w:lang w:val="en-GB"/>
        </w:rPr>
        <w:t xml:space="preserve"> </w:t>
      </w:r>
      <w:r w:rsidR="007F032B" w:rsidRPr="007F032B">
        <w:rPr>
          <w:spacing w:val="-4"/>
          <w:kern w:val="17"/>
          <w:lang w:val="en-GB"/>
        </w:rPr>
        <w:t xml:space="preserve">Paula </w:t>
      </w:r>
      <w:proofErr w:type="spellStart"/>
      <w:r w:rsidR="007F032B" w:rsidRPr="007F032B">
        <w:rPr>
          <w:spacing w:val="-4"/>
          <w:kern w:val="17"/>
          <w:lang w:val="en-GB"/>
        </w:rPr>
        <w:t>Duhatschek</w:t>
      </w:r>
      <w:proofErr w:type="spellEnd"/>
      <w:r w:rsidR="007F032B">
        <w:rPr>
          <w:spacing w:val="-4"/>
          <w:kern w:val="17"/>
          <w:lang w:val="en-GB"/>
        </w:rPr>
        <w:t>,</w:t>
      </w:r>
      <w:r w:rsidR="007F032B" w:rsidRPr="007F032B">
        <w:rPr>
          <w:spacing w:val="-4"/>
          <w:kern w:val="17"/>
          <w:lang w:val="en-GB"/>
        </w:rPr>
        <w:t xml:space="preserve"> </w:t>
      </w:r>
      <w:r w:rsidR="002D6610">
        <w:rPr>
          <w:spacing w:val="-4"/>
          <w:kern w:val="17"/>
          <w:lang w:val="en-GB"/>
        </w:rPr>
        <w:t>“</w:t>
      </w:r>
      <w:r w:rsidR="002D6610" w:rsidRPr="002D6610">
        <w:rPr>
          <w:spacing w:val="-4"/>
          <w:kern w:val="17"/>
          <w:lang w:val="en-GB"/>
        </w:rPr>
        <w:t xml:space="preserve">Urban Farmers Hope You’ll Help Dig </w:t>
      </w:r>
      <w:proofErr w:type="gramStart"/>
      <w:r w:rsidR="002D6610" w:rsidRPr="002D6610">
        <w:rPr>
          <w:spacing w:val="-4"/>
          <w:kern w:val="17"/>
          <w:lang w:val="en-GB"/>
        </w:rPr>
        <w:t>Up</w:t>
      </w:r>
      <w:proofErr w:type="gramEnd"/>
      <w:r w:rsidR="002D6610" w:rsidRPr="002D6610">
        <w:rPr>
          <w:spacing w:val="-4"/>
          <w:kern w:val="17"/>
          <w:lang w:val="en-GB"/>
        </w:rPr>
        <w:t xml:space="preserve"> London’s Food Deserts</w:t>
      </w:r>
      <w:r w:rsidR="002D6610">
        <w:rPr>
          <w:spacing w:val="-4"/>
          <w:kern w:val="17"/>
          <w:lang w:val="en-GB"/>
        </w:rPr>
        <w:t xml:space="preserve">,” </w:t>
      </w:r>
      <w:r w:rsidR="007F032B">
        <w:rPr>
          <w:spacing w:val="-4"/>
          <w:kern w:val="17"/>
          <w:lang w:val="en-GB"/>
        </w:rPr>
        <w:t xml:space="preserve">CBC News, December 2, 2017, </w:t>
      </w:r>
      <w:r w:rsidR="007F032B" w:rsidRPr="0019622B">
        <w:rPr>
          <w:spacing w:val="-4"/>
          <w:kern w:val="17"/>
          <w:lang w:val="en-GB"/>
        </w:rPr>
        <w:t>accessed June 3, 2019</w:t>
      </w:r>
      <w:r w:rsidR="007F032B">
        <w:rPr>
          <w:spacing w:val="-4"/>
          <w:kern w:val="17"/>
          <w:lang w:val="en-GB"/>
        </w:rPr>
        <w:t xml:space="preserve">, </w:t>
      </w:r>
      <w:hyperlink r:id="rId4" w:history="1">
        <w:r w:rsidR="00D10996">
          <w:rPr>
            <w:spacing w:val="-4"/>
            <w:kern w:val="17"/>
            <w:lang w:val="en-GB"/>
          </w:rPr>
          <w:t>www</w:t>
        </w:r>
        <w:r w:rsidRPr="0019622B">
          <w:rPr>
            <w:spacing w:val="-4"/>
            <w:kern w:val="17"/>
            <w:lang w:val="en-GB"/>
          </w:rPr>
          <w:t>.cbc.ca/news/canada/london/urban-farming-vegetables-sounds-of-the-season-1.4427090</w:t>
        </w:r>
      </w:hyperlink>
      <w:r w:rsidRPr="0019622B">
        <w:rPr>
          <w:spacing w:val="-4"/>
          <w:kern w:val="17"/>
          <w:lang w:val="en-GB"/>
        </w:rPr>
        <w:t>.</w:t>
      </w:r>
    </w:p>
  </w:footnote>
  <w:footnote w:id="8">
    <w:p w14:paraId="4771587A" w14:textId="290DDC36" w:rsidR="006F48EC" w:rsidRPr="0019622B" w:rsidRDefault="006F48EC" w:rsidP="00C14E02">
      <w:pPr>
        <w:pStyle w:val="Footnote"/>
        <w:rPr>
          <w:lang w:val="en-GB"/>
        </w:rPr>
      </w:pPr>
      <w:r w:rsidRPr="0019622B">
        <w:rPr>
          <w:rStyle w:val="FootnoteReference"/>
          <w:lang w:val="en-GB"/>
        </w:rPr>
        <w:footnoteRef/>
      </w:r>
      <w:r w:rsidRPr="0019622B">
        <w:rPr>
          <w:lang w:val="en-GB"/>
        </w:rPr>
        <w:t xml:space="preserve"> “News,” </w:t>
      </w:r>
      <w:r w:rsidR="009B1DA8" w:rsidRPr="0019622B">
        <w:rPr>
          <w:lang w:val="en-GB"/>
        </w:rPr>
        <w:t xml:space="preserve">Urban Roots, </w:t>
      </w:r>
      <w:r w:rsidRPr="0019622B">
        <w:rPr>
          <w:lang w:val="en-GB"/>
        </w:rPr>
        <w:t xml:space="preserve">accessed June 3, 2019, </w:t>
      </w:r>
      <w:hyperlink r:id="rId5" w:history="1">
        <w:r w:rsidRPr="0019622B">
          <w:rPr>
            <w:rStyle w:val="Hyperlink"/>
            <w:color w:val="auto"/>
            <w:u w:val="none"/>
            <w:lang w:val="en-GB"/>
          </w:rPr>
          <w:t>https://urbanrootslondon.ca/news/</w:t>
        </w:r>
      </w:hyperlink>
      <w:r w:rsidRPr="0019622B">
        <w:rPr>
          <w:lang w:val="en-GB"/>
        </w:rPr>
        <w:t>.</w:t>
      </w:r>
    </w:p>
  </w:footnote>
  <w:footnote w:id="9">
    <w:p w14:paraId="29EF643B" w14:textId="430B7528" w:rsidR="006F48EC" w:rsidRPr="0019622B" w:rsidRDefault="006F48EC" w:rsidP="00C14E02">
      <w:pPr>
        <w:pStyle w:val="Footnote"/>
        <w:rPr>
          <w:lang w:val="en-GB"/>
        </w:rPr>
      </w:pPr>
      <w:r w:rsidRPr="0019622B">
        <w:rPr>
          <w:rStyle w:val="FootnoteReference"/>
          <w:lang w:val="en-GB"/>
        </w:rPr>
        <w:footnoteRef/>
      </w:r>
      <w:r w:rsidRPr="0019622B">
        <w:rPr>
          <w:lang w:val="en-GB"/>
        </w:rPr>
        <w:t xml:space="preserve"> Among these donations was a shipping container (a large container used to store farm equipment) from Trojan Technologies.</w:t>
      </w:r>
    </w:p>
  </w:footnote>
  <w:footnote w:id="10">
    <w:p w14:paraId="4F5E29B5" w14:textId="13C5D3CB" w:rsidR="006F48EC" w:rsidRPr="0019622B" w:rsidRDefault="006F48EC" w:rsidP="00C14E02">
      <w:pPr>
        <w:pStyle w:val="Footnote"/>
        <w:rPr>
          <w:lang w:val="en-GB"/>
        </w:rPr>
      </w:pPr>
      <w:r w:rsidRPr="0019622B">
        <w:rPr>
          <w:rStyle w:val="FootnoteReference"/>
          <w:lang w:val="en-GB"/>
        </w:rPr>
        <w:footnoteRef/>
      </w:r>
      <w:r w:rsidRPr="0019622B">
        <w:rPr>
          <w:lang w:val="en-GB"/>
        </w:rPr>
        <w:t xml:space="preserve"> “3rd Annual Harvest Dinner Fundraiser,” </w:t>
      </w:r>
      <w:r w:rsidR="004F04F0" w:rsidRPr="0019622B">
        <w:rPr>
          <w:lang w:val="en-GB"/>
        </w:rPr>
        <w:t xml:space="preserve">Urban Roots, </w:t>
      </w:r>
      <w:r w:rsidRPr="0019622B">
        <w:rPr>
          <w:lang w:val="en-GB"/>
        </w:rPr>
        <w:t xml:space="preserve">accessed June 3, 2019, </w:t>
      </w:r>
      <w:hyperlink r:id="rId6" w:history="1">
        <w:r w:rsidRPr="0019622B">
          <w:rPr>
            <w:rStyle w:val="Hyperlink"/>
            <w:color w:val="auto"/>
            <w:u w:val="none"/>
            <w:lang w:val="en-GB"/>
          </w:rPr>
          <w:t>https://urbanrootslondon.ca/harvestdinner/</w:t>
        </w:r>
      </w:hyperlink>
      <w:r w:rsidR="004F04F0">
        <w:rPr>
          <w:rStyle w:val="Hyperlink"/>
          <w:color w:val="auto"/>
          <w:u w:val="none"/>
          <w:lang w:val="en-GB"/>
        </w:rPr>
        <w:t>.</w:t>
      </w:r>
    </w:p>
  </w:footnote>
  <w:footnote w:id="11">
    <w:p w14:paraId="5FE5074B" w14:textId="7721FAE4" w:rsidR="006F48EC" w:rsidRPr="0019622B" w:rsidRDefault="006F48EC" w:rsidP="009F67C0">
      <w:pPr>
        <w:pStyle w:val="Footnote"/>
        <w:tabs>
          <w:tab w:val="left" w:pos="7179"/>
        </w:tabs>
        <w:rPr>
          <w:lang w:val="en-GB"/>
        </w:rPr>
      </w:pPr>
      <w:r w:rsidRPr="0019622B">
        <w:rPr>
          <w:rStyle w:val="FootnoteReference"/>
          <w:lang w:val="en-GB"/>
        </w:rPr>
        <w:footnoteRef/>
      </w:r>
      <w:r w:rsidRPr="0019622B">
        <w:rPr>
          <w:lang w:val="en-GB"/>
        </w:rPr>
        <w:t xml:space="preserve"> All new fixed assets would have the same useful life as the existing fixed assets.</w:t>
      </w:r>
      <w:r w:rsidR="00874DD4">
        <w:rPr>
          <w:lang w:val="en-GB"/>
        </w:rPr>
        <w:tab/>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2B444133" w:rsidR="006F48EC" w:rsidRPr="00C92CC4" w:rsidRDefault="006F48EC"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10996">
      <w:rPr>
        <w:rFonts w:ascii="Arial" w:hAnsi="Arial"/>
        <w:b/>
        <w:noProof/>
      </w:rPr>
      <w:t>2</w:t>
    </w:r>
    <w:r>
      <w:rPr>
        <w:rFonts w:ascii="Arial" w:hAnsi="Arial"/>
        <w:b/>
      </w:rPr>
      <w:fldChar w:fldCharType="end"/>
    </w:r>
    <w:r w:rsidR="00A863DC">
      <w:rPr>
        <w:rFonts w:ascii="Arial" w:hAnsi="Arial"/>
        <w:b/>
      </w:rPr>
      <w:tab/>
      <w:t>9B19N018</w:t>
    </w:r>
  </w:p>
  <w:p w14:paraId="2B53C0A0" w14:textId="77777777" w:rsidR="006F48EC" w:rsidRDefault="006F48EC" w:rsidP="00D13667">
    <w:pPr>
      <w:pStyle w:val="Header"/>
      <w:tabs>
        <w:tab w:val="clear" w:pos="4680"/>
      </w:tabs>
      <w:rPr>
        <w:sz w:val="18"/>
        <w:szCs w:val="18"/>
      </w:rPr>
    </w:pPr>
  </w:p>
  <w:p w14:paraId="47119730" w14:textId="77777777" w:rsidR="006F48EC" w:rsidRPr="00C92CC4" w:rsidRDefault="006F48EC"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240"/>
    <w:rsid w:val="00013360"/>
    <w:rsid w:val="00016759"/>
    <w:rsid w:val="000207BD"/>
    <w:rsid w:val="000216CE"/>
    <w:rsid w:val="00024ED4"/>
    <w:rsid w:val="00025DC7"/>
    <w:rsid w:val="00035F09"/>
    <w:rsid w:val="00044ECC"/>
    <w:rsid w:val="00046BC4"/>
    <w:rsid w:val="000524B7"/>
    <w:rsid w:val="000531D3"/>
    <w:rsid w:val="0005646B"/>
    <w:rsid w:val="000615D1"/>
    <w:rsid w:val="00067039"/>
    <w:rsid w:val="0008102D"/>
    <w:rsid w:val="00086B26"/>
    <w:rsid w:val="00094C0E"/>
    <w:rsid w:val="000A0D8D"/>
    <w:rsid w:val="000A146D"/>
    <w:rsid w:val="000A4CD2"/>
    <w:rsid w:val="000A4E8F"/>
    <w:rsid w:val="000D0427"/>
    <w:rsid w:val="000D2A2F"/>
    <w:rsid w:val="000D7091"/>
    <w:rsid w:val="000E0EF4"/>
    <w:rsid w:val="000F01C9"/>
    <w:rsid w:val="000F0C22"/>
    <w:rsid w:val="000F6B09"/>
    <w:rsid w:val="000F6FDC"/>
    <w:rsid w:val="00104567"/>
    <w:rsid w:val="00104916"/>
    <w:rsid w:val="00104AA7"/>
    <w:rsid w:val="0012732D"/>
    <w:rsid w:val="00143F25"/>
    <w:rsid w:val="001500C8"/>
    <w:rsid w:val="0015101B"/>
    <w:rsid w:val="00152682"/>
    <w:rsid w:val="00154FC9"/>
    <w:rsid w:val="001901C0"/>
    <w:rsid w:val="0019241A"/>
    <w:rsid w:val="00192A18"/>
    <w:rsid w:val="0019622B"/>
    <w:rsid w:val="001A22D1"/>
    <w:rsid w:val="001A752D"/>
    <w:rsid w:val="001A757E"/>
    <w:rsid w:val="001B5032"/>
    <w:rsid w:val="001C149C"/>
    <w:rsid w:val="001C7777"/>
    <w:rsid w:val="001D344B"/>
    <w:rsid w:val="001E364F"/>
    <w:rsid w:val="001F4222"/>
    <w:rsid w:val="00203AA1"/>
    <w:rsid w:val="00213E98"/>
    <w:rsid w:val="00230150"/>
    <w:rsid w:val="0023081A"/>
    <w:rsid w:val="00233111"/>
    <w:rsid w:val="00236E6E"/>
    <w:rsid w:val="0023752F"/>
    <w:rsid w:val="00265FA8"/>
    <w:rsid w:val="00266FA6"/>
    <w:rsid w:val="002A01EF"/>
    <w:rsid w:val="002B40FF"/>
    <w:rsid w:val="002C4E29"/>
    <w:rsid w:val="002C6D84"/>
    <w:rsid w:val="002D6610"/>
    <w:rsid w:val="002E4BEB"/>
    <w:rsid w:val="002F460C"/>
    <w:rsid w:val="002F48D6"/>
    <w:rsid w:val="003061E8"/>
    <w:rsid w:val="00317391"/>
    <w:rsid w:val="00320B87"/>
    <w:rsid w:val="00326216"/>
    <w:rsid w:val="0032757D"/>
    <w:rsid w:val="00336580"/>
    <w:rsid w:val="00342CF3"/>
    <w:rsid w:val="00354899"/>
    <w:rsid w:val="00355FD6"/>
    <w:rsid w:val="003614D1"/>
    <w:rsid w:val="00364A5C"/>
    <w:rsid w:val="00373FB1"/>
    <w:rsid w:val="00375C06"/>
    <w:rsid w:val="00396C76"/>
    <w:rsid w:val="003A1E33"/>
    <w:rsid w:val="003B30D8"/>
    <w:rsid w:val="003B7EF2"/>
    <w:rsid w:val="003C25E8"/>
    <w:rsid w:val="003C3FA4"/>
    <w:rsid w:val="003C5A3E"/>
    <w:rsid w:val="003D0BA1"/>
    <w:rsid w:val="003D3C57"/>
    <w:rsid w:val="003E39C2"/>
    <w:rsid w:val="003F2B0C"/>
    <w:rsid w:val="004105B2"/>
    <w:rsid w:val="0041145A"/>
    <w:rsid w:val="00412900"/>
    <w:rsid w:val="004221E4"/>
    <w:rsid w:val="004273F8"/>
    <w:rsid w:val="004355A3"/>
    <w:rsid w:val="00441025"/>
    <w:rsid w:val="004423C3"/>
    <w:rsid w:val="00446546"/>
    <w:rsid w:val="00452769"/>
    <w:rsid w:val="00454FA7"/>
    <w:rsid w:val="00465348"/>
    <w:rsid w:val="0048336E"/>
    <w:rsid w:val="00486A45"/>
    <w:rsid w:val="004979A5"/>
    <w:rsid w:val="004A25E0"/>
    <w:rsid w:val="004A7A1C"/>
    <w:rsid w:val="004B0A25"/>
    <w:rsid w:val="004B1CCB"/>
    <w:rsid w:val="004B632F"/>
    <w:rsid w:val="004D3FB1"/>
    <w:rsid w:val="004D6F21"/>
    <w:rsid w:val="004D73A5"/>
    <w:rsid w:val="004F04F0"/>
    <w:rsid w:val="00504E58"/>
    <w:rsid w:val="005160F1"/>
    <w:rsid w:val="00524F2F"/>
    <w:rsid w:val="00527C18"/>
    <w:rsid w:val="00527E5C"/>
    <w:rsid w:val="00532CF5"/>
    <w:rsid w:val="00533141"/>
    <w:rsid w:val="005469E7"/>
    <w:rsid w:val="005528CB"/>
    <w:rsid w:val="00566771"/>
    <w:rsid w:val="00581E2E"/>
    <w:rsid w:val="005842B3"/>
    <w:rsid w:val="00584F15"/>
    <w:rsid w:val="005915CF"/>
    <w:rsid w:val="0059514B"/>
    <w:rsid w:val="005A1B0F"/>
    <w:rsid w:val="005B4CE6"/>
    <w:rsid w:val="005B5EFE"/>
    <w:rsid w:val="005E0D5F"/>
    <w:rsid w:val="006163F7"/>
    <w:rsid w:val="00627C63"/>
    <w:rsid w:val="0063350B"/>
    <w:rsid w:val="006359AF"/>
    <w:rsid w:val="00652606"/>
    <w:rsid w:val="00655D9A"/>
    <w:rsid w:val="00657F61"/>
    <w:rsid w:val="006946EE"/>
    <w:rsid w:val="006A3F43"/>
    <w:rsid w:val="006A58A9"/>
    <w:rsid w:val="006A606D"/>
    <w:rsid w:val="006A61DB"/>
    <w:rsid w:val="006C0371"/>
    <w:rsid w:val="006C08B6"/>
    <w:rsid w:val="006C0B1A"/>
    <w:rsid w:val="006C6065"/>
    <w:rsid w:val="006C7F9F"/>
    <w:rsid w:val="006E2F6D"/>
    <w:rsid w:val="006E58F6"/>
    <w:rsid w:val="006E77E1"/>
    <w:rsid w:val="006F0424"/>
    <w:rsid w:val="006F131D"/>
    <w:rsid w:val="006F48EC"/>
    <w:rsid w:val="006F5658"/>
    <w:rsid w:val="00703F33"/>
    <w:rsid w:val="00704E28"/>
    <w:rsid w:val="00711642"/>
    <w:rsid w:val="007507C6"/>
    <w:rsid w:val="00751B30"/>
    <w:rsid w:val="00751E0B"/>
    <w:rsid w:val="00752BCD"/>
    <w:rsid w:val="0076060E"/>
    <w:rsid w:val="00766DA1"/>
    <w:rsid w:val="00780D94"/>
    <w:rsid w:val="007866A6"/>
    <w:rsid w:val="00797F67"/>
    <w:rsid w:val="007A130D"/>
    <w:rsid w:val="007C37B2"/>
    <w:rsid w:val="007D1A2D"/>
    <w:rsid w:val="007D32E6"/>
    <w:rsid w:val="007D4102"/>
    <w:rsid w:val="007E54A7"/>
    <w:rsid w:val="007F032B"/>
    <w:rsid w:val="007F43B7"/>
    <w:rsid w:val="00821FFC"/>
    <w:rsid w:val="008271CA"/>
    <w:rsid w:val="008467D5"/>
    <w:rsid w:val="00874DD4"/>
    <w:rsid w:val="008A0B57"/>
    <w:rsid w:val="008A4231"/>
    <w:rsid w:val="008A4DC4"/>
    <w:rsid w:val="008B438C"/>
    <w:rsid w:val="008D06CA"/>
    <w:rsid w:val="008D2997"/>
    <w:rsid w:val="008D3A46"/>
    <w:rsid w:val="008F2385"/>
    <w:rsid w:val="008F3C53"/>
    <w:rsid w:val="008F50C4"/>
    <w:rsid w:val="009067A4"/>
    <w:rsid w:val="00930885"/>
    <w:rsid w:val="00933D68"/>
    <w:rsid w:val="009340DB"/>
    <w:rsid w:val="0094618C"/>
    <w:rsid w:val="0095597C"/>
    <w:rsid w:val="0095684B"/>
    <w:rsid w:val="00956FE5"/>
    <w:rsid w:val="0096598A"/>
    <w:rsid w:val="00972498"/>
    <w:rsid w:val="0097481F"/>
    <w:rsid w:val="00974CC6"/>
    <w:rsid w:val="00976AD4"/>
    <w:rsid w:val="00977CC1"/>
    <w:rsid w:val="00983E60"/>
    <w:rsid w:val="009901FB"/>
    <w:rsid w:val="00995547"/>
    <w:rsid w:val="009A312F"/>
    <w:rsid w:val="009A5348"/>
    <w:rsid w:val="009B0AB7"/>
    <w:rsid w:val="009B186C"/>
    <w:rsid w:val="009B1DA8"/>
    <w:rsid w:val="009C1CFE"/>
    <w:rsid w:val="009C76D5"/>
    <w:rsid w:val="009F67C0"/>
    <w:rsid w:val="009F7AA4"/>
    <w:rsid w:val="00A10AD7"/>
    <w:rsid w:val="00A14A89"/>
    <w:rsid w:val="00A31528"/>
    <w:rsid w:val="00A323B0"/>
    <w:rsid w:val="00A501DB"/>
    <w:rsid w:val="00A514E0"/>
    <w:rsid w:val="00A559DB"/>
    <w:rsid w:val="00A569EA"/>
    <w:rsid w:val="00A57DFB"/>
    <w:rsid w:val="00A676A0"/>
    <w:rsid w:val="00A863DC"/>
    <w:rsid w:val="00AB5539"/>
    <w:rsid w:val="00AF35FC"/>
    <w:rsid w:val="00AF5556"/>
    <w:rsid w:val="00B03639"/>
    <w:rsid w:val="00B0652A"/>
    <w:rsid w:val="00B2313A"/>
    <w:rsid w:val="00B40937"/>
    <w:rsid w:val="00B423EF"/>
    <w:rsid w:val="00B453DE"/>
    <w:rsid w:val="00B45869"/>
    <w:rsid w:val="00B56313"/>
    <w:rsid w:val="00B62497"/>
    <w:rsid w:val="00B65A2C"/>
    <w:rsid w:val="00B72597"/>
    <w:rsid w:val="00B83029"/>
    <w:rsid w:val="00B87DC0"/>
    <w:rsid w:val="00B901F9"/>
    <w:rsid w:val="00BA471C"/>
    <w:rsid w:val="00BC3AF8"/>
    <w:rsid w:val="00BC4D98"/>
    <w:rsid w:val="00BD3B1F"/>
    <w:rsid w:val="00BD6EFB"/>
    <w:rsid w:val="00BE3DF5"/>
    <w:rsid w:val="00BF4B32"/>
    <w:rsid w:val="00BF5EAB"/>
    <w:rsid w:val="00C02410"/>
    <w:rsid w:val="00C14E02"/>
    <w:rsid w:val="00C1584D"/>
    <w:rsid w:val="00C15BE2"/>
    <w:rsid w:val="00C3447F"/>
    <w:rsid w:val="00C44714"/>
    <w:rsid w:val="00C67102"/>
    <w:rsid w:val="00C7164D"/>
    <w:rsid w:val="00C81491"/>
    <w:rsid w:val="00C81676"/>
    <w:rsid w:val="00C85C5D"/>
    <w:rsid w:val="00C91291"/>
    <w:rsid w:val="00C92CC4"/>
    <w:rsid w:val="00CA0AFB"/>
    <w:rsid w:val="00CA0FC5"/>
    <w:rsid w:val="00CA2CE1"/>
    <w:rsid w:val="00CA3976"/>
    <w:rsid w:val="00CA50E3"/>
    <w:rsid w:val="00CA757B"/>
    <w:rsid w:val="00CB6C95"/>
    <w:rsid w:val="00CC1787"/>
    <w:rsid w:val="00CC182C"/>
    <w:rsid w:val="00CC4116"/>
    <w:rsid w:val="00CD0824"/>
    <w:rsid w:val="00CD2908"/>
    <w:rsid w:val="00CF1924"/>
    <w:rsid w:val="00D03A82"/>
    <w:rsid w:val="00D10996"/>
    <w:rsid w:val="00D12DEC"/>
    <w:rsid w:val="00D13667"/>
    <w:rsid w:val="00D15344"/>
    <w:rsid w:val="00D23F57"/>
    <w:rsid w:val="00D2603E"/>
    <w:rsid w:val="00D31BEC"/>
    <w:rsid w:val="00D3591B"/>
    <w:rsid w:val="00D47FE6"/>
    <w:rsid w:val="00D63150"/>
    <w:rsid w:val="00D636BA"/>
    <w:rsid w:val="00D64A32"/>
    <w:rsid w:val="00D64EFC"/>
    <w:rsid w:val="00D7041B"/>
    <w:rsid w:val="00D75295"/>
    <w:rsid w:val="00D76CE9"/>
    <w:rsid w:val="00D97F12"/>
    <w:rsid w:val="00DA6095"/>
    <w:rsid w:val="00DB42E7"/>
    <w:rsid w:val="00DB7534"/>
    <w:rsid w:val="00DC09D8"/>
    <w:rsid w:val="00DC47E6"/>
    <w:rsid w:val="00DE01A6"/>
    <w:rsid w:val="00DE7A98"/>
    <w:rsid w:val="00DF32C2"/>
    <w:rsid w:val="00E471A7"/>
    <w:rsid w:val="00E47247"/>
    <w:rsid w:val="00E635CF"/>
    <w:rsid w:val="00EA1E53"/>
    <w:rsid w:val="00EA4746"/>
    <w:rsid w:val="00EB0B19"/>
    <w:rsid w:val="00EB1E3B"/>
    <w:rsid w:val="00EC1027"/>
    <w:rsid w:val="00EC6E0A"/>
    <w:rsid w:val="00ED4E18"/>
    <w:rsid w:val="00ED68FF"/>
    <w:rsid w:val="00ED7922"/>
    <w:rsid w:val="00EE02C4"/>
    <w:rsid w:val="00EE1F37"/>
    <w:rsid w:val="00F0159C"/>
    <w:rsid w:val="00F020B9"/>
    <w:rsid w:val="00F105B7"/>
    <w:rsid w:val="00F13220"/>
    <w:rsid w:val="00F17A21"/>
    <w:rsid w:val="00F36FC2"/>
    <w:rsid w:val="00F37B27"/>
    <w:rsid w:val="00F46556"/>
    <w:rsid w:val="00F50E91"/>
    <w:rsid w:val="00F56799"/>
    <w:rsid w:val="00F57D29"/>
    <w:rsid w:val="00F60786"/>
    <w:rsid w:val="00F91BC7"/>
    <w:rsid w:val="00F96201"/>
    <w:rsid w:val="00FA1BBC"/>
    <w:rsid w:val="00FB03AD"/>
    <w:rsid w:val="00FB74E3"/>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226591">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1813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urbanrootslondon.ca/about-us/" TargetMode="External"/><Relationship Id="rId2" Type="http://schemas.openxmlformats.org/officeDocument/2006/relationships/hyperlink" Target="https://ij-healthgeographics.biomedcentral.com/articles/10.1186/1476-072X-7-16" TargetMode="External"/><Relationship Id="rId1" Type="http://schemas.openxmlformats.org/officeDocument/2006/relationships/hyperlink" Target="http://www.vergecapital.ca/about" TargetMode="External"/><Relationship Id="rId6" Type="http://schemas.openxmlformats.org/officeDocument/2006/relationships/hyperlink" Target="https://urbanrootslondon.ca/harvestdinner/" TargetMode="External"/><Relationship Id="rId5" Type="http://schemas.openxmlformats.org/officeDocument/2006/relationships/hyperlink" Target="https://urbanrootslondon.ca/news/" TargetMode="External"/><Relationship Id="rId4" Type="http://schemas.openxmlformats.org/officeDocument/2006/relationships/hyperlink" Target="https://www.cbc.ca/news/canada/london/urban-farming-vegetables-sounds-of-the-season-1.44270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775D0-1313-40E0-80BE-43479DB8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3037</Words>
  <Characters>16279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3</cp:revision>
  <cp:lastPrinted>2015-03-04T20:34:00Z</cp:lastPrinted>
  <dcterms:created xsi:type="dcterms:W3CDTF">2019-09-06T14:39:00Z</dcterms:created>
  <dcterms:modified xsi:type="dcterms:W3CDTF">2019-09-13T12:30:00Z</dcterms:modified>
</cp:coreProperties>
</file>