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599"/>
      </w:tblGrid>
      <w:tr w:rsidR="00D64DFC" w14:paraId="63ED4B3F" w14:textId="77777777" w:rsidTr="00E2060F">
        <w:tc>
          <w:tcPr>
            <w:tcW w:w="4680" w:type="dxa"/>
          </w:tcPr>
          <w:p w14:paraId="1E8F5B68" w14:textId="77777777" w:rsidR="00D64DFC" w:rsidRDefault="00D64DFC" w:rsidP="00E2060F">
            <w:pPr>
              <w:tabs>
                <w:tab w:val="left" w:pos="-1440"/>
                <w:tab w:val="left" w:pos="-720"/>
                <w:tab w:val="left" w:pos="1"/>
              </w:tabs>
              <w:jc w:val="both"/>
              <w:rPr>
                <w:rFonts w:ascii="Arial" w:hAnsi="Arial"/>
                <w:b/>
                <w:sz w:val="24"/>
              </w:rPr>
            </w:pPr>
            <w:r>
              <w:rPr>
                <w:rFonts w:ascii="Arial" w:hAnsi="Arial"/>
                <w:b/>
                <w:noProof/>
                <w:sz w:val="24"/>
                <w:lang w:val="en-CA" w:eastAsia="en-CA"/>
              </w:rPr>
              <w:drawing>
                <wp:inline distT="0" distB="0" distL="0" distR="0" wp14:anchorId="216C999D" wp14:editId="5E4DDAD3">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7CB26C2F" w14:textId="77777777" w:rsidR="00D64DFC" w:rsidRDefault="00D64DFC" w:rsidP="00E2060F">
            <w:pPr>
              <w:tabs>
                <w:tab w:val="left" w:pos="-1440"/>
                <w:tab w:val="left" w:pos="-720"/>
                <w:tab w:val="left" w:pos="1"/>
              </w:tabs>
              <w:jc w:val="right"/>
              <w:rPr>
                <w:rFonts w:ascii="Arial" w:hAnsi="Arial"/>
                <w:b/>
                <w:sz w:val="24"/>
              </w:rPr>
            </w:pPr>
            <w:r>
              <w:rPr>
                <w:rFonts w:ascii="IveyVHWLogos" w:eastAsia="SimSun" w:hAnsi="IveyVHWLogos"/>
                <w:noProof/>
                <w:sz w:val="44"/>
                <w:szCs w:val="44"/>
                <w:lang w:val="en-CA" w:eastAsia="en-CA"/>
              </w:rPr>
              <w:drawing>
                <wp:inline distT="0" distB="0" distL="0" distR="0" wp14:anchorId="6BD0B2BB" wp14:editId="4065A738">
                  <wp:extent cx="1328580" cy="548640"/>
                  <wp:effectExtent l="0" t="0" r="5080" b="3810"/>
                  <wp:docPr id="4" name="Picture 4"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14:paraId="73BCCDDE" w14:textId="77777777" w:rsidR="005F0652" w:rsidRPr="005F0652" w:rsidRDefault="005F0652" w:rsidP="005F0652">
      <w:pPr>
        <w:pBdr>
          <w:bottom w:val="single" w:sz="18" w:space="1" w:color="auto"/>
        </w:pBdr>
        <w:tabs>
          <w:tab w:val="left" w:pos="-1440"/>
          <w:tab w:val="left" w:pos="-720"/>
          <w:tab w:val="left" w:pos="1"/>
        </w:tabs>
        <w:jc w:val="both"/>
        <w:rPr>
          <w:rFonts w:ascii="Arial" w:hAnsi="Arial"/>
          <w:b/>
          <w:sz w:val="2"/>
          <w:szCs w:val="2"/>
          <w:lang w:val="en-GB"/>
        </w:rPr>
      </w:pPr>
    </w:p>
    <w:p w14:paraId="2D32BED4" w14:textId="77777777" w:rsidR="005F0652" w:rsidRPr="005F0652" w:rsidRDefault="005F0652" w:rsidP="005F0652">
      <w:pPr>
        <w:jc w:val="right"/>
        <w:rPr>
          <w:rFonts w:ascii="Arial" w:hAnsi="Arial"/>
          <w:b/>
          <w:caps/>
          <w:sz w:val="24"/>
          <w:lang w:val="en-GB"/>
        </w:rPr>
      </w:pPr>
      <w:r w:rsidRPr="005F0652">
        <w:rPr>
          <w:rFonts w:ascii="Arial" w:hAnsi="Arial"/>
          <w:b/>
          <w:caps/>
          <w:sz w:val="24"/>
          <w:lang w:val="en-GB"/>
        </w:rPr>
        <w:t>9B19N020</w:t>
      </w:r>
    </w:p>
    <w:p w14:paraId="0ECF8430" w14:textId="77777777" w:rsidR="005F0652" w:rsidRPr="005F0652" w:rsidRDefault="005F0652" w:rsidP="005F0652">
      <w:pPr>
        <w:jc w:val="right"/>
        <w:rPr>
          <w:rFonts w:ascii="Arial" w:hAnsi="Arial"/>
          <w:b/>
          <w:lang w:val="en-GB"/>
        </w:rPr>
      </w:pPr>
    </w:p>
    <w:p w14:paraId="02524312" w14:textId="77777777" w:rsidR="001901C0" w:rsidRPr="001901C0" w:rsidRDefault="001901C0" w:rsidP="00D75295">
      <w:pPr>
        <w:jc w:val="right"/>
        <w:rPr>
          <w:rFonts w:ascii="Arial" w:hAnsi="Arial"/>
          <w:b/>
        </w:rPr>
      </w:pPr>
    </w:p>
    <w:p w14:paraId="2F03D26A" w14:textId="78F57DD0" w:rsidR="00013360" w:rsidRDefault="005F0652" w:rsidP="00013360">
      <w:pPr>
        <w:pStyle w:val="CaseTitle"/>
        <w:spacing w:after="0" w:line="240" w:lineRule="auto"/>
        <w:rPr>
          <w:sz w:val="20"/>
          <w:szCs w:val="20"/>
        </w:rPr>
      </w:pPr>
      <w:r w:rsidRPr="005F0652">
        <w:rPr>
          <w:lang w:val="en-GB"/>
        </w:rPr>
        <w:t>The INDIAN BANKING SECTOR, 2017: public policy challenges</w:t>
      </w:r>
      <w:r w:rsidRPr="005F0652">
        <w:rPr>
          <w:vertAlign w:val="superscript"/>
          <w:lang w:val="en-GB"/>
        </w:rPr>
        <w:end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13C1E253" w:rsidR="00086B26" w:rsidRPr="00287D6F" w:rsidRDefault="005F0652" w:rsidP="00086B26">
      <w:pPr>
        <w:pStyle w:val="StyleCopyrightStatementAfter0ptBottomSinglesolidline1"/>
        <w:rPr>
          <w:lang w:val="en-GB"/>
        </w:rPr>
      </w:pPr>
      <w:r w:rsidRPr="00EC7C59">
        <w:rPr>
          <w:rFonts w:cs="Arial"/>
          <w:szCs w:val="16"/>
        </w:rPr>
        <w:t>Ganesh Kumar Nidugala and Abhay Pant</w:t>
      </w:r>
      <w:r w:rsidR="00ED7922" w:rsidRPr="00FD7E52">
        <w:rPr>
          <w:rFonts w:cs="Arial"/>
          <w:szCs w:val="16"/>
          <w:lang w:val="en-CA"/>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1AA1B595" w14:textId="77777777" w:rsidR="00D64DFC" w:rsidRPr="00A323B0" w:rsidRDefault="00D64DFC" w:rsidP="00D64DFC">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8BFD258" w14:textId="77777777" w:rsidR="00D64DFC" w:rsidRPr="00A323B0" w:rsidRDefault="00D64DFC" w:rsidP="00D64DFC">
      <w:pPr>
        <w:pStyle w:val="StyleStyleCopyrightStatementAfter0ptBottomSinglesolid"/>
        <w:rPr>
          <w:rFonts w:cs="Arial"/>
          <w:szCs w:val="16"/>
        </w:rPr>
      </w:pPr>
    </w:p>
    <w:p w14:paraId="3922E14F" w14:textId="33BD201E" w:rsidR="00751E0B" w:rsidRPr="00C02410" w:rsidRDefault="00D64DFC" w:rsidP="00D64DFC">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sidR="005A4AB9">
        <w:rPr>
          <w:rFonts w:cs="Arial"/>
          <w:iCs w:val="0"/>
          <w:color w:val="auto"/>
          <w:szCs w:val="16"/>
        </w:rPr>
        <w:t>2020-04-30</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7A5C8503" w:rsidR="00B87DC0" w:rsidRDefault="00B87DC0" w:rsidP="002B40FF">
      <w:pPr>
        <w:pStyle w:val="Casehead1"/>
      </w:pPr>
    </w:p>
    <w:p w14:paraId="62CA503C" w14:textId="77777777" w:rsidR="005F0652" w:rsidRPr="005F0652" w:rsidRDefault="005F0652" w:rsidP="005F0652">
      <w:pPr>
        <w:jc w:val="both"/>
        <w:rPr>
          <w:sz w:val="22"/>
          <w:szCs w:val="22"/>
          <w:lang w:val="en-GB"/>
        </w:rPr>
      </w:pPr>
      <w:r w:rsidRPr="005F0652">
        <w:rPr>
          <w:sz w:val="22"/>
          <w:szCs w:val="22"/>
          <w:lang w:val="en-GB"/>
        </w:rPr>
        <w:t>Since 1991, the Indian ba</w:t>
      </w:r>
      <w:bookmarkStart w:id="0" w:name="_GoBack"/>
      <w:bookmarkEnd w:id="0"/>
      <w:r w:rsidRPr="005F0652">
        <w:rPr>
          <w:sz w:val="22"/>
          <w:szCs w:val="22"/>
          <w:lang w:val="en-GB"/>
        </w:rPr>
        <w:t xml:space="preserve">nking sector had undergone significant changes, transforming from a highly regulated, predominantly state-owned industry to a more competitive industry with a sizeable presence of private sector banks. Despite reforms implemented by the government, the sector faced many challenges in 2017, the most important of which were high and </w:t>
      </w:r>
      <w:r w:rsidRPr="005F0652">
        <w:rPr>
          <w:rFonts w:eastAsiaTheme="minorEastAsia"/>
          <w:spacing w:val="-2"/>
          <w:sz w:val="22"/>
          <w:szCs w:val="22"/>
          <w:lang w:val="en-GB"/>
        </w:rPr>
        <w:t xml:space="preserve">rising </w:t>
      </w:r>
      <w:bookmarkStart w:id="1" w:name="_Hlk535393679"/>
      <w:r w:rsidRPr="005F0652">
        <w:rPr>
          <w:rFonts w:eastAsiaTheme="minorEastAsia"/>
          <w:spacing w:val="-2"/>
          <w:sz w:val="22"/>
          <w:szCs w:val="22"/>
          <w:lang w:val="en-GB"/>
        </w:rPr>
        <w:t>non-performing assets (NPAs)</w:t>
      </w:r>
      <w:bookmarkEnd w:id="1"/>
      <w:r w:rsidRPr="005F0652">
        <w:rPr>
          <w:rFonts w:eastAsiaTheme="minorEastAsia"/>
          <w:spacing w:val="-2"/>
          <w:sz w:val="22"/>
          <w:szCs w:val="22"/>
          <w:lang w:val="en-GB"/>
        </w:rPr>
        <w:t xml:space="preserve">, particularly among the state-owned banks. What had caused NPAs in the Indian banking sector? What was the possible solution to the problem? Should India completely privatize the banking sector? These were some of the policy issues that confronted India’s central bank and </w:t>
      </w:r>
      <w:bookmarkStart w:id="2" w:name="_Hlk535393765"/>
      <w:r w:rsidRPr="005F0652">
        <w:rPr>
          <w:rFonts w:eastAsiaTheme="minorEastAsia"/>
          <w:spacing w:val="-2"/>
          <w:sz w:val="22"/>
          <w:szCs w:val="22"/>
          <w:lang w:val="en-GB"/>
        </w:rPr>
        <w:t>policy-makers</w:t>
      </w:r>
      <w:bookmarkEnd w:id="2"/>
      <w:r w:rsidRPr="005F0652">
        <w:rPr>
          <w:rFonts w:eastAsiaTheme="minorEastAsia"/>
          <w:spacing w:val="-2"/>
          <w:sz w:val="22"/>
          <w:szCs w:val="22"/>
          <w:lang w:val="en-GB"/>
        </w:rPr>
        <w:t>.</w:t>
      </w:r>
    </w:p>
    <w:p w14:paraId="0674E7F0" w14:textId="77777777" w:rsidR="005F0652" w:rsidRPr="005F0652" w:rsidRDefault="005F0652" w:rsidP="005F0652">
      <w:pPr>
        <w:jc w:val="both"/>
        <w:rPr>
          <w:rFonts w:eastAsiaTheme="minorEastAsia"/>
          <w:sz w:val="22"/>
          <w:szCs w:val="22"/>
          <w:lang w:val="en-GB"/>
        </w:rPr>
      </w:pPr>
    </w:p>
    <w:p w14:paraId="4DF2A95E" w14:textId="77777777" w:rsidR="005F0652" w:rsidRPr="005F0652" w:rsidRDefault="005F0652" w:rsidP="005F0652">
      <w:pPr>
        <w:jc w:val="both"/>
        <w:rPr>
          <w:rFonts w:eastAsiaTheme="minorEastAsia"/>
          <w:sz w:val="22"/>
          <w:szCs w:val="22"/>
          <w:lang w:val="en-GB"/>
        </w:rPr>
      </w:pPr>
    </w:p>
    <w:p w14:paraId="71586A6A" w14:textId="77777777" w:rsidR="005F0652" w:rsidRPr="005F0652" w:rsidRDefault="005F0652" w:rsidP="005F0652">
      <w:pPr>
        <w:keepNext/>
        <w:jc w:val="both"/>
        <w:rPr>
          <w:rFonts w:ascii="Arial" w:eastAsiaTheme="minorEastAsia" w:hAnsi="Arial" w:cs="Arial"/>
          <w:b/>
          <w:caps/>
          <w:lang w:val="en-GB"/>
        </w:rPr>
      </w:pPr>
      <w:r w:rsidRPr="005F0652">
        <w:rPr>
          <w:rFonts w:ascii="Arial" w:eastAsiaTheme="minorEastAsia" w:hAnsi="Arial" w:cs="Arial"/>
          <w:b/>
          <w:caps/>
          <w:lang w:val="en-GB"/>
        </w:rPr>
        <w:t>BACKGROUND AND OVERVIEW OF THE INDIAN BANKING SECTOR</w:t>
      </w:r>
      <w:r w:rsidRPr="005F0652">
        <w:rPr>
          <w:rFonts w:ascii="Arial" w:eastAsiaTheme="minorEastAsia" w:hAnsi="Arial" w:cs="Arial"/>
          <w:b/>
          <w:caps/>
          <w:vertAlign w:val="superscript"/>
          <w:lang w:val="en-GB"/>
        </w:rPr>
        <w:endnoteReference w:id="2"/>
      </w:r>
    </w:p>
    <w:p w14:paraId="67F75A98" w14:textId="77777777" w:rsidR="005F0652" w:rsidRPr="005F0652" w:rsidRDefault="005F0652" w:rsidP="005F0652">
      <w:pPr>
        <w:jc w:val="both"/>
        <w:rPr>
          <w:rFonts w:eastAsiaTheme="minorEastAsia"/>
          <w:sz w:val="22"/>
          <w:szCs w:val="22"/>
          <w:lang w:val="en-GB"/>
        </w:rPr>
      </w:pPr>
    </w:p>
    <w:p w14:paraId="175B5D40" w14:textId="77777777" w:rsidR="005F0652" w:rsidRPr="005F0652" w:rsidRDefault="005F0652" w:rsidP="005F0652">
      <w:pPr>
        <w:jc w:val="both"/>
        <w:rPr>
          <w:rFonts w:eastAsiaTheme="minorEastAsia"/>
          <w:spacing w:val="-2"/>
          <w:sz w:val="22"/>
          <w:szCs w:val="22"/>
          <w:lang w:val="en-GB"/>
        </w:rPr>
      </w:pPr>
      <w:r w:rsidRPr="005F0652">
        <w:rPr>
          <w:rFonts w:eastAsiaTheme="minorEastAsia"/>
          <w:spacing w:val="-2"/>
          <w:sz w:val="22"/>
          <w:szCs w:val="22"/>
          <w:lang w:val="en-GB"/>
        </w:rPr>
        <w:t xml:space="preserve">Banks played a crucial role in the financial stability and economic development of a nation. Finance formed the lifeline of any business activity, and banks as financial intermediaries connected savers with borrowers, thus channelling funds from the surplus fund holders to the deficit ones. </w:t>
      </w:r>
    </w:p>
    <w:p w14:paraId="27152689" w14:textId="77777777" w:rsidR="005F0652" w:rsidRPr="005F0652" w:rsidRDefault="005F0652" w:rsidP="005F0652">
      <w:pPr>
        <w:jc w:val="both"/>
        <w:rPr>
          <w:rFonts w:eastAsiaTheme="minorEastAsia"/>
          <w:spacing w:val="-2"/>
          <w:sz w:val="22"/>
          <w:szCs w:val="22"/>
          <w:lang w:val="en-GB"/>
        </w:rPr>
      </w:pPr>
    </w:p>
    <w:p w14:paraId="717417C7" w14:textId="77777777" w:rsidR="005F0652" w:rsidRPr="005F0652" w:rsidRDefault="005F0652" w:rsidP="005F0652">
      <w:pPr>
        <w:jc w:val="both"/>
        <w:rPr>
          <w:rFonts w:eastAsiaTheme="minorEastAsia"/>
          <w:spacing w:val="-2"/>
          <w:sz w:val="22"/>
          <w:szCs w:val="22"/>
          <w:lang w:val="en-GB"/>
        </w:rPr>
      </w:pPr>
      <w:r w:rsidRPr="005F0652">
        <w:rPr>
          <w:rFonts w:eastAsiaTheme="minorEastAsia"/>
          <w:spacing w:val="-2"/>
          <w:sz w:val="22"/>
          <w:szCs w:val="22"/>
          <w:lang w:val="en-GB"/>
        </w:rPr>
        <w:t xml:space="preserve">The Indian banking sector received a boost when the central bank, the </w:t>
      </w:r>
      <w:bookmarkStart w:id="3" w:name="_Hlk535393999"/>
      <w:r w:rsidRPr="005F0652">
        <w:rPr>
          <w:rFonts w:eastAsiaTheme="minorEastAsia"/>
          <w:spacing w:val="-2"/>
          <w:sz w:val="22"/>
          <w:szCs w:val="22"/>
          <w:lang w:val="en-GB"/>
        </w:rPr>
        <w:t xml:space="preserve">Reserve Bank of India (RBI), </w:t>
      </w:r>
      <w:bookmarkEnd w:id="3"/>
      <w:r w:rsidRPr="005F0652">
        <w:rPr>
          <w:rFonts w:eastAsiaTheme="minorEastAsia"/>
          <w:spacing w:val="-2"/>
          <w:sz w:val="22"/>
          <w:szCs w:val="22"/>
          <w:lang w:val="en-GB"/>
        </w:rPr>
        <w:t xml:space="preserve">was established in 1935 under the </w:t>
      </w:r>
      <w:r w:rsidRPr="005F0652">
        <w:rPr>
          <w:rFonts w:eastAsiaTheme="minorEastAsia"/>
          <w:i/>
          <w:iCs/>
          <w:spacing w:val="-2"/>
          <w:sz w:val="22"/>
          <w:szCs w:val="22"/>
          <w:lang w:val="en-GB"/>
        </w:rPr>
        <w:t xml:space="preserve">Reserve Bank of India Act, 1934 </w:t>
      </w:r>
      <w:r w:rsidRPr="005F0652">
        <w:rPr>
          <w:rFonts w:eastAsiaTheme="minorEastAsia"/>
          <w:spacing w:val="-2"/>
          <w:sz w:val="22"/>
          <w:szCs w:val="22"/>
          <w:lang w:val="en-GB"/>
        </w:rPr>
        <w:t>(RBI Act). Further, the Imperial Bank of India was taken over by the Government of India in 1955 and reconstituted as the State Bank of India. The nationalization of banks in 1969 and 1980 was a move to direct the banks toward fulfilling the social objectives of the government. The regulated measures of mandatory priority sector lending, administered interest rates, strict licensing norms, and high reserve requirements had placed banks under the strict control of the government, with the objective of fulfilling socio-economic development objectives. The RBI decided on the maximum deposit rates for savings and time deposits of banks. By the 1990s, public sector banks had about a 90 per cent share of the loans and advances of the commercial banks.</w:t>
      </w:r>
    </w:p>
    <w:p w14:paraId="0DC12E79" w14:textId="77777777" w:rsidR="005F0652" w:rsidRPr="005F0652" w:rsidRDefault="005F0652" w:rsidP="005F0652">
      <w:pPr>
        <w:jc w:val="both"/>
        <w:rPr>
          <w:rFonts w:eastAsiaTheme="minorEastAsia"/>
          <w:sz w:val="22"/>
          <w:szCs w:val="22"/>
          <w:lang w:val="en-GB"/>
        </w:rPr>
      </w:pPr>
    </w:p>
    <w:p w14:paraId="47209121"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 xml:space="preserve">Following the </w:t>
      </w:r>
      <w:bookmarkStart w:id="4" w:name="_Hlk535395860"/>
      <w:r w:rsidRPr="005F0652">
        <w:rPr>
          <w:rFonts w:eastAsiaTheme="minorEastAsia"/>
          <w:sz w:val="22"/>
          <w:szCs w:val="22"/>
          <w:lang w:val="en-GB"/>
        </w:rPr>
        <w:t>balance of payments (BoP)</w:t>
      </w:r>
      <w:bookmarkEnd w:id="4"/>
      <w:r w:rsidRPr="005F0652">
        <w:rPr>
          <w:rFonts w:eastAsiaTheme="minorEastAsia"/>
          <w:sz w:val="22"/>
          <w:szCs w:val="22"/>
          <w:vertAlign w:val="superscript"/>
          <w:lang w:val="en-GB"/>
        </w:rPr>
        <w:endnoteReference w:id="3"/>
      </w:r>
      <w:r w:rsidRPr="005F0652">
        <w:rPr>
          <w:rFonts w:eastAsiaTheme="minorEastAsia"/>
          <w:sz w:val="22"/>
          <w:szCs w:val="22"/>
          <w:lang w:val="en-GB"/>
        </w:rPr>
        <w:t xml:space="preserve"> crisis of 1991, India implemented wide-ranging structural reforms such as </w:t>
      </w:r>
      <w:bookmarkStart w:id="5" w:name="_Hlk535395950"/>
      <w:r w:rsidRPr="005F0652">
        <w:rPr>
          <w:rFonts w:eastAsiaTheme="minorEastAsia"/>
          <w:sz w:val="22"/>
          <w:szCs w:val="22"/>
          <w:lang w:val="en-GB"/>
        </w:rPr>
        <w:t xml:space="preserve">the </w:t>
      </w:r>
      <w:r w:rsidRPr="005F0652">
        <w:rPr>
          <w:rFonts w:eastAsiaTheme="minorEastAsia"/>
          <w:bCs/>
          <w:sz w:val="22"/>
          <w:szCs w:val="22"/>
          <w:lang w:val="en-GB"/>
        </w:rPr>
        <w:t xml:space="preserve">de-licensing </w:t>
      </w:r>
      <w:bookmarkEnd w:id="5"/>
      <w:r w:rsidRPr="005F0652">
        <w:rPr>
          <w:rFonts w:eastAsiaTheme="minorEastAsia"/>
          <w:bCs/>
          <w:sz w:val="22"/>
          <w:szCs w:val="22"/>
          <w:lang w:val="en-GB"/>
        </w:rPr>
        <w:t xml:space="preserve">and </w:t>
      </w:r>
      <w:bookmarkStart w:id="6" w:name="_Hlk535395960"/>
      <w:r w:rsidRPr="005F0652">
        <w:rPr>
          <w:rFonts w:eastAsiaTheme="minorEastAsia"/>
          <w:bCs/>
          <w:sz w:val="22"/>
          <w:szCs w:val="22"/>
          <w:lang w:val="en-GB"/>
        </w:rPr>
        <w:t xml:space="preserve">de-reservation </w:t>
      </w:r>
      <w:bookmarkEnd w:id="6"/>
      <w:r w:rsidRPr="005F0652">
        <w:rPr>
          <w:rFonts w:eastAsiaTheme="minorEastAsia"/>
          <w:bCs/>
          <w:sz w:val="22"/>
          <w:szCs w:val="22"/>
          <w:lang w:val="en-GB"/>
        </w:rPr>
        <w:t xml:space="preserve">of several industries, the </w:t>
      </w:r>
      <w:bookmarkStart w:id="7" w:name="_Hlk535395989"/>
      <w:r w:rsidRPr="005F0652">
        <w:rPr>
          <w:rFonts w:eastAsiaTheme="minorEastAsia"/>
          <w:bCs/>
          <w:sz w:val="22"/>
          <w:szCs w:val="22"/>
          <w:lang w:val="en-GB"/>
        </w:rPr>
        <w:t>disinvestment</w:t>
      </w:r>
      <w:bookmarkEnd w:id="7"/>
      <w:r w:rsidRPr="005F0652">
        <w:rPr>
          <w:rFonts w:eastAsiaTheme="minorEastAsia"/>
          <w:bCs/>
          <w:sz w:val="22"/>
          <w:szCs w:val="22"/>
          <w:lang w:val="en-GB"/>
        </w:rPr>
        <w:t xml:space="preserve"> of various public sector enterprises, the liberalization of foreign investment, and financial sector reforms. The </w:t>
      </w:r>
      <w:r w:rsidRPr="005F0652">
        <w:rPr>
          <w:rFonts w:eastAsiaTheme="minorEastAsia"/>
          <w:sz w:val="22"/>
          <w:szCs w:val="22"/>
          <w:lang w:val="en-GB"/>
        </w:rPr>
        <w:t xml:space="preserve">banking sector reforms were a main element of the government’s reform agenda. </w:t>
      </w:r>
    </w:p>
    <w:p w14:paraId="476C692B" w14:textId="77777777" w:rsidR="005F0652" w:rsidRPr="005F0652" w:rsidRDefault="005F0652" w:rsidP="005F0652">
      <w:pPr>
        <w:jc w:val="both"/>
        <w:rPr>
          <w:rFonts w:eastAsiaTheme="minorEastAsia"/>
          <w:sz w:val="22"/>
          <w:szCs w:val="22"/>
          <w:lang w:val="en-GB"/>
        </w:rPr>
      </w:pPr>
    </w:p>
    <w:p w14:paraId="250B69B8" w14:textId="77777777" w:rsidR="005F0652" w:rsidRPr="005F0652" w:rsidRDefault="005F0652" w:rsidP="005F0652">
      <w:pPr>
        <w:jc w:val="both"/>
        <w:rPr>
          <w:rFonts w:eastAsiaTheme="minorEastAsia"/>
          <w:spacing w:val="-2"/>
          <w:sz w:val="22"/>
          <w:szCs w:val="22"/>
          <w:lang w:val="en-GB"/>
        </w:rPr>
      </w:pPr>
      <w:r w:rsidRPr="005F0652">
        <w:rPr>
          <w:rFonts w:eastAsiaTheme="minorEastAsia"/>
          <w:sz w:val="22"/>
          <w:szCs w:val="22"/>
          <w:lang w:val="en-GB"/>
        </w:rPr>
        <w:lastRenderedPageBreak/>
        <w:t xml:space="preserve">The </w:t>
      </w:r>
      <w:bookmarkStart w:id="8" w:name="_Hlk535396766"/>
      <w:r w:rsidRPr="005F0652">
        <w:rPr>
          <w:rFonts w:eastAsiaTheme="minorEastAsia"/>
          <w:sz w:val="22"/>
          <w:szCs w:val="22"/>
          <w:lang w:val="en-GB"/>
        </w:rPr>
        <w:t>Narasimham Committee on Banking Sector Reforms (1991 and 1998)</w:t>
      </w:r>
      <w:bookmarkEnd w:id="8"/>
      <w:r w:rsidRPr="005F0652">
        <w:rPr>
          <w:rFonts w:eastAsiaTheme="minorEastAsia"/>
          <w:sz w:val="22"/>
          <w:szCs w:val="22"/>
          <w:vertAlign w:val="superscript"/>
          <w:lang w:val="en-GB"/>
        </w:rPr>
        <w:endnoteReference w:id="4"/>
      </w:r>
      <w:r w:rsidRPr="005F0652">
        <w:rPr>
          <w:rFonts w:eastAsiaTheme="minorEastAsia"/>
          <w:sz w:val="22"/>
          <w:szCs w:val="22"/>
          <w:lang w:val="en-GB"/>
        </w:rPr>
        <w:t xml:space="preserve"> was one of the most acknowledged committees for reforms of its kind in India. The reforms were initiated with the objective of improving the profitability, efficiency, and productivity of banks in India. The committee submitted its report, making several recommendations for achieving reform objectives. In 1991, the committee report focused on issues such as banking autonomy, a </w:t>
      </w:r>
      <w:r w:rsidRPr="005F0652">
        <w:rPr>
          <w:rFonts w:eastAsiaTheme="minorEastAsia"/>
          <w:spacing w:val="-2"/>
          <w:sz w:val="22"/>
          <w:szCs w:val="22"/>
          <w:lang w:val="en-GB"/>
        </w:rPr>
        <w:t xml:space="preserve">reduction in </w:t>
      </w:r>
      <w:bookmarkStart w:id="9" w:name="_Hlk535396930"/>
      <w:r w:rsidRPr="005F0652">
        <w:rPr>
          <w:rFonts w:eastAsiaTheme="minorEastAsia"/>
          <w:spacing w:val="-2"/>
          <w:sz w:val="22"/>
          <w:szCs w:val="22"/>
          <w:lang w:val="en-GB"/>
        </w:rPr>
        <w:t>cash reserve ratio (CRR)</w:t>
      </w:r>
      <w:bookmarkEnd w:id="9"/>
      <w:r w:rsidRPr="005F0652">
        <w:rPr>
          <w:rFonts w:eastAsiaTheme="minorEastAsia"/>
          <w:sz w:val="22"/>
          <w:szCs w:val="22"/>
          <w:vertAlign w:val="superscript"/>
          <w:lang w:val="en-GB"/>
        </w:rPr>
        <w:endnoteReference w:id="5"/>
      </w:r>
      <w:r w:rsidRPr="005F0652">
        <w:rPr>
          <w:rFonts w:eastAsiaTheme="minorEastAsia"/>
          <w:spacing w:val="-2"/>
          <w:sz w:val="22"/>
          <w:szCs w:val="22"/>
          <w:lang w:val="en-GB"/>
        </w:rPr>
        <w:t xml:space="preserve"> and </w:t>
      </w:r>
      <w:bookmarkStart w:id="10" w:name="_Hlk535396983"/>
      <w:r w:rsidRPr="005F0652">
        <w:rPr>
          <w:rFonts w:eastAsiaTheme="minorEastAsia"/>
          <w:spacing w:val="-2"/>
          <w:sz w:val="22"/>
          <w:szCs w:val="22"/>
          <w:lang w:val="en-GB"/>
        </w:rPr>
        <w:t>statutory liquidity ratio (SLR)</w:t>
      </w:r>
      <w:bookmarkEnd w:id="10"/>
      <w:r w:rsidRPr="005F0652">
        <w:rPr>
          <w:rFonts w:eastAsiaTheme="minorEastAsia"/>
          <w:spacing w:val="-2"/>
          <w:sz w:val="22"/>
          <w:szCs w:val="22"/>
          <w:lang w:val="en-GB"/>
        </w:rPr>
        <w:t>,</w:t>
      </w:r>
      <w:r w:rsidRPr="005F0652">
        <w:rPr>
          <w:rFonts w:eastAsiaTheme="minorEastAsia"/>
          <w:sz w:val="22"/>
          <w:szCs w:val="22"/>
          <w:vertAlign w:val="superscript"/>
          <w:lang w:val="en-GB"/>
        </w:rPr>
        <w:endnoteReference w:id="6"/>
      </w:r>
      <w:r w:rsidRPr="005F0652">
        <w:rPr>
          <w:rFonts w:eastAsiaTheme="minorEastAsia"/>
          <w:spacing w:val="-2"/>
          <w:sz w:val="22"/>
          <w:szCs w:val="22"/>
          <w:lang w:val="en-GB"/>
        </w:rPr>
        <w:t xml:space="preserve"> and the deregulation of interest rates. The Narasimham Committee (1998) also focused on issues such as size, capital adequacy, asset classification, and provisioning norms in banks. The salient recommendations of the Narasimham Committee (1998) were as follows: new and higher norms for </w:t>
      </w:r>
      <w:bookmarkStart w:id="11" w:name="_Hlk535397060"/>
      <w:r w:rsidRPr="005F0652">
        <w:rPr>
          <w:rFonts w:eastAsiaTheme="minorEastAsia"/>
          <w:spacing w:val="-2"/>
          <w:sz w:val="22"/>
          <w:szCs w:val="22"/>
          <w:lang w:val="en-GB"/>
        </w:rPr>
        <w:t>capital adequacy ratio (CAR)</w:t>
      </w:r>
      <w:bookmarkEnd w:id="11"/>
      <w:r w:rsidRPr="005F0652">
        <w:rPr>
          <w:rFonts w:eastAsiaTheme="minorEastAsia"/>
          <w:sz w:val="22"/>
          <w:szCs w:val="22"/>
          <w:vertAlign w:val="superscript"/>
          <w:lang w:val="en-GB"/>
        </w:rPr>
        <w:endnoteReference w:id="7"/>
      </w:r>
      <w:r w:rsidRPr="005F0652">
        <w:rPr>
          <w:rFonts w:eastAsiaTheme="minorEastAsia"/>
          <w:spacing w:val="-2"/>
          <w:sz w:val="22"/>
          <w:szCs w:val="22"/>
          <w:lang w:val="en-GB"/>
        </w:rPr>
        <w:t xml:space="preserve"> in banks; introducing 90-day income recognition norms in a phased manner; establishing a proper system for identifying and classifying NPAs, as well as setting up asset reconstruction companies to take over the bad loans of banks; accounting of risk-weights for market risk for bank stability; greater autonomy for public sector banks, with the government equity stake in nationalized banks reduced to 33 per cent; segregating the role of RBI as regulator and as owner in order to avoid any potential conflict of interest problems; and the entry of foreign banks for enhanced competition in the banking industry.</w:t>
      </w:r>
      <w:r w:rsidRPr="005F0652">
        <w:rPr>
          <w:rFonts w:eastAsiaTheme="minorEastAsia"/>
          <w:sz w:val="22"/>
          <w:szCs w:val="22"/>
          <w:vertAlign w:val="superscript"/>
          <w:lang w:val="en-GB"/>
        </w:rPr>
        <w:endnoteReference w:id="8"/>
      </w:r>
      <w:r w:rsidRPr="005F0652">
        <w:rPr>
          <w:rFonts w:eastAsiaTheme="minorEastAsia"/>
          <w:spacing w:val="-2"/>
          <w:sz w:val="22"/>
          <w:szCs w:val="22"/>
          <w:lang w:val="en-GB"/>
        </w:rPr>
        <w:t xml:space="preserve"> </w:t>
      </w:r>
    </w:p>
    <w:p w14:paraId="41E37C2E" w14:textId="77777777" w:rsidR="005F0652" w:rsidRPr="005F0652" w:rsidRDefault="005F0652" w:rsidP="005F0652">
      <w:pPr>
        <w:jc w:val="both"/>
        <w:rPr>
          <w:rFonts w:eastAsiaTheme="minorEastAsia"/>
          <w:spacing w:val="-2"/>
          <w:sz w:val="22"/>
          <w:szCs w:val="22"/>
          <w:lang w:val="en-GB"/>
        </w:rPr>
      </w:pPr>
    </w:p>
    <w:p w14:paraId="4F1FBD5D" w14:textId="77777777" w:rsidR="005F0652" w:rsidRPr="000149EC" w:rsidRDefault="005F0652" w:rsidP="005F0652">
      <w:pPr>
        <w:jc w:val="both"/>
        <w:rPr>
          <w:rFonts w:eastAsiaTheme="minorEastAsia"/>
          <w:spacing w:val="-4"/>
          <w:sz w:val="22"/>
          <w:szCs w:val="22"/>
          <w:lang w:val="en-GB"/>
        </w:rPr>
      </w:pPr>
      <w:r w:rsidRPr="000149EC">
        <w:rPr>
          <w:rFonts w:eastAsiaTheme="minorEastAsia"/>
          <w:spacing w:val="-4"/>
          <w:sz w:val="22"/>
          <w:szCs w:val="22"/>
          <w:lang w:val="en-GB"/>
        </w:rPr>
        <w:t xml:space="preserve">The early period of reforms witnessed the deregulation of administered interest rates, the reduction of high reserve requirements, and credit allocation to certain sectors. In 1991, Indian banks had to maintain 15 per cent of their deposits in CRR with the RBI and 38.5 per cent of their deposits as SLR. On CRR, banks did not earn any return, and on SLR, banks earned lower return when compared to other market instruments and loans. These ratios were gradually reduced and in October 2017, they stood at 4 per cent (CRR) and 19.5 per cent (SLR). </w:t>
      </w:r>
    </w:p>
    <w:p w14:paraId="0FB06BA9" w14:textId="77777777" w:rsidR="005F0652" w:rsidRPr="000149EC" w:rsidRDefault="005F0652" w:rsidP="005F0652">
      <w:pPr>
        <w:jc w:val="both"/>
        <w:rPr>
          <w:rFonts w:eastAsiaTheme="minorEastAsia"/>
          <w:spacing w:val="-4"/>
          <w:sz w:val="22"/>
          <w:szCs w:val="22"/>
          <w:lang w:val="en-GB"/>
        </w:rPr>
      </w:pPr>
    </w:p>
    <w:p w14:paraId="7E1EE1D2"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Gradually, competition was enhanced by allowing the entry of new private and foreign players with strong technical expertise. The public sector banks could raise additional capital from the financial markets with greater adherence to market discipline. The second part of reforms focused more on structural improvements with the introduction of minimum CAR, income recognition, asset classification norms, and better disclosure standards.</w:t>
      </w:r>
    </w:p>
    <w:p w14:paraId="01CA34AC" w14:textId="77777777" w:rsidR="005F0652" w:rsidRPr="005F0652" w:rsidRDefault="005F0652" w:rsidP="005F0652">
      <w:pPr>
        <w:jc w:val="both"/>
        <w:rPr>
          <w:rFonts w:eastAsiaTheme="minorEastAsia"/>
          <w:sz w:val="22"/>
          <w:szCs w:val="22"/>
          <w:lang w:val="en-GB"/>
        </w:rPr>
      </w:pPr>
    </w:p>
    <w:p w14:paraId="455355DE"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The RBI was established as the ultimate monetary authority; it regulated commercial banks, managed money supply, and performed a variety of other functions associated with the central bank. Scheduled banks included scheduled commercial banks and scheduled co-operative banks that were listed on the second schedule of the RBI Act.</w:t>
      </w:r>
      <w:r w:rsidRPr="005F0652">
        <w:rPr>
          <w:rFonts w:eastAsiaTheme="minorEastAsia"/>
          <w:sz w:val="22"/>
          <w:szCs w:val="22"/>
          <w:vertAlign w:val="superscript"/>
          <w:lang w:val="en-GB"/>
        </w:rPr>
        <w:endnoteReference w:id="9"/>
      </w:r>
      <w:r w:rsidRPr="005F0652">
        <w:rPr>
          <w:rFonts w:eastAsiaTheme="minorEastAsia"/>
          <w:sz w:val="22"/>
          <w:szCs w:val="22"/>
          <w:lang w:val="en-GB"/>
        </w:rPr>
        <w:t xml:space="preserve"> Non-scheduled banks were those banks that were not placed in the second schedule of the RBI Act, 1934. Scheduled co-operative banks comprised scheduled urban co-operative banks and scheduled state co-operative banks.</w:t>
      </w:r>
      <w:r w:rsidRPr="005F0652">
        <w:rPr>
          <w:rFonts w:eastAsiaTheme="minorEastAsia"/>
          <w:sz w:val="22"/>
          <w:szCs w:val="22"/>
          <w:vertAlign w:val="superscript"/>
          <w:lang w:val="en-GB"/>
        </w:rPr>
        <w:endnoteReference w:id="10"/>
      </w:r>
      <w:r w:rsidRPr="005F0652">
        <w:rPr>
          <w:rFonts w:eastAsiaTheme="minorEastAsia"/>
          <w:sz w:val="22"/>
          <w:szCs w:val="22"/>
          <w:lang w:val="en-GB"/>
        </w:rPr>
        <w:t xml:space="preserve"> </w:t>
      </w:r>
    </w:p>
    <w:p w14:paraId="29120603" w14:textId="77777777" w:rsidR="005F0652" w:rsidRPr="005F0652" w:rsidRDefault="005F0652" w:rsidP="005F0652">
      <w:pPr>
        <w:jc w:val="both"/>
        <w:rPr>
          <w:rFonts w:eastAsiaTheme="minorEastAsia"/>
          <w:sz w:val="22"/>
          <w:szCs w:val="22"/>
          <w:lang w:val="en-GB"/>
        </w:rPr>
      </w:pPr>
    </w:p>
    <w:p w14:paraId="337D5BD6"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On the basis of ownership, scheduled commercial banks comprised public sector banks, private sector banks, foreign banks, small finance banks,</w:t>
      </w:r>
      <w:r w:rsidRPr="005F0652">
        <w:rPr>
          <w:rFonts w:eastAsiaTheme="minorEastAsia"/>
          <w:sz w:val="22"/>
          <w:szCs w:val="22"/>
          <w:vertAlign w:val="superscript"/>
          <w:lang w:val="en-GB"/>
        </w:rPr>
        <w:endnoteReference w:id="11"/>
      </w:r>
      <w:r w:rsidRPr="005F0652">
        <w:rPr>
          <w:rFonts w:eastAsiaTheme="minorEastAsia"/>
          <w:sz w:val="22"/>
          <w:szCs w:val="22"/>
          <w:lang w:val="en-GB"/>
        </w:rPr>
        <w:t xml:space="preserve"> and regional rural banks.</w:t>
      </w:r>
      <w:r w:rsidRPr="005F0652">
        <w:rPr>
          <w:rFonts w:eastAsiaTheme="minorEastAsia"/>
          <w:sz w:val="22"/>
          <w:szCs w:val="22"/>
          <w:vertAlign w:val="superscript"/>
          <w:lang w:val="en-GB"/>
        </w:rPr>
        <w:endnoteReference w:id="12"/>
      </w:r>
      <w:r w:rsidRPr="005F0652">
        <w:rPr>
          <w:rFonts w:eastAsiaTheme="minorEastAsia"/>
          <w:sz w:val="22"/>
          <w:szCs w:val="22"/>
          <w:lang w:val="en-GB"/>
        </w:rPr>
        <w:t xml:space="preserve"> Public sector banks included nationalized banks and the State Bank of India. In the case of public sector banks, the majority shareholder was the Government of India. Private sector banks were classified into new private sector banks and old private sector banks and they differed in terms of the scale and scope of their operations. New private sector banks were established after the reforms in 1991/92. </w:t>
      </w:r>
    </w:p>
    <w:p w14:paraId="6B38E3CD" w14:textId="77777777" w:rsidR="005F0652" w:rsidRPr="005F0652" w:rsidRDefault="005F0652" w:rsidP="005F0652">
      <w:pPr>
        <w:jc w:val="both"/>
        <w:rPr>
          <w:rFonts w:eastAsiaTheme="minorEastAsia"/>
          <w:sz w:val="22"/>
          <w:szCs w:val="22"/>
          <w:lang w:val="en-GB"/>
        </w:rPr>
      </w:pPr>
    </w:p>
    <w:p w14:paraId="00881F1F"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Foreign banks in India mainly operated as branches of banks established outside India.</w:t>
      </w:r>
      <w:r w:rsidRPr="005F0652">
        <w:rPr>
          <w:rFonts w:eastAsiaTheme="minorEastAsia"/>
          <w:sz w:val="22"/>
          <w:szCs w:val="22"/>
          <w:vertAlign w:val="superscript"/>
          <w:lang w:val="en-GB"/>
        </w:rPr>
        <w:endnoteReference w:id="13"/>
      </w:r>
      <w:r w:rsidRPr="005F0652">
        <w:rPr>
          <w:rFonts w:eastAsiaTheme="minorEastAsia"/>
          <w:sz w:val="22"/>
          <w:szCs w:val="22"/>
          <w:lang w:val="en-GB"/>
        </w:rPr>
        <w:t xml:space="preserve"> Regional rural banks mainly catered to the rural areas and had a very small share of around 3 per cent of total assets of the Indian banking sector.</w:t>
      </w:r>
      <w:r w:rsidRPr="005F0652">
        <w:rPr>
          <w:rFonts w:eastAsiaTheme="minorEastAsia"/>
          <w:sz w:val="22"/>
          <w:szCs w:val="22"/>
          <w:vertAlign w:val="superscript"/>
          <w:lang w:val="en-GB"/>
        </w:rPr>
        <w:endnoteReference w:id="14"/>
      </w:r>
    </w:p>
    <w:p w14:paraId="011E8E41" w14:textId="77777777" w:rsidR="005F0652" w:rsidRPr="005F0652" w:rsidRDefault="005F0652" w:rsidP="005F0652">
      <w:pPr>
        <w:jc w:val="both"/>
        <w:rPr>
          <w:rFonts w:eastAsiaTheme="minorEastAsia"/>
          <w:sz w:val="22"/>
          <w:szCs w:val="22"/>
          <w:lang w:val="en-GB"/>
        </w:rPr>
      </w:pPr>
    </w:p>
    <w:p w14:paraId="0C440A9E" w14:textId="77777777" w:rsidR="005F0652" w:rsidRPr="005F0652" w:rsidRDefault="005F0652" w:rsidP="005F0652">
      <w:pPr>
        <w:jc w:val="both"/>
        <w:rPr>
          <w:rFonts w:eastAsiaTheme="minorEastAsia"/>
          <w:sz w:val="22"/>
          <w:szCs w:val="22"/>
          <w:lang w:val="en-GB"/>
        </w:rPr>
      </w:pPr>
    </w:p>
    <w:p w14:paraId="2957F473" w14:textId="77777777" w:rsidR="005F0652" w:rsidRPr="005F0652" w:rsidRDefault="005F0652" w:rsidP="005F0652">
      <w:pPr>
        <w:keepNext/>
        <w:jc w:val="both"/>
        <w:rPr>
          <w:rFonts w:ascii="Arial" w:eastAsiaTheme="minorEastAsia" w:hAnsi="Arial" w:cs="Arial"/>
          <w:b/>
          <w:caps/>
          <w:lang w:val="en-GB"/>
        </w:rPr>
      </w:pPr>
      <w:r w:rsidRPr="005F0652">
        <w:rPr>
          <w:rFonts w:ascii="Arial" w:eastAsiaTheme="minorEastAsia" w:hAnsi="Arial" w:cs="Arial"/>
          <w:b/>
          <w:caps/>
          <w:lang w:val="en-GB"/>
        </w:rPr>
        <w:lastRenderedPageBreak/>
        <w:t>TROUBLE IN THE BANKING SECTOR</w:t>
      </w:r>
    </w:p>
    <w:p w14:paraId="2E49AEF3" w14:textId="77777777" w:rsidR="005F0652" w:rsidRPr="005F0652" w:rsidRDefault="005F0652" w:rsidP="005F0652">
      <w:pPr>
        <w:keepNext/>
        <w:jc w:val="both"/>
        <w:rPr>
          <w:rFonts w:eastAsiaTheme="minorEastAsia"/>
          <w:sz w:val="22"/>
          <w:szCs w:val="22"/>
          <w:lang w:val="en-GB"/>
        </w:rPr>
      </w:pPr>
    </w:p>
    <w:p w14:paraId="5BC97279"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 xml:space="preserve">Although the banking sector reforms in India had improved the banking system, the sector faced challenges in 2017. If not tackled properly, these issues could potentially culminate in a crisis that adversely affected the performance of the sector and the economic stability of the country. Despite banking sector reforms and banks’ conservative policies, NPAs and asset quality remained the biggest challenges for banks in India. In the words of Arvind Subramanian, chief economic advisor to the Government of India, the bad loans problem was the number one </w:t>
      </w:r>
      <w:bookmarkStart w:id="12" w:name="_Hlk535400819"/>
      <w:r w:rsidRPr="005F0652">
        <w:rPr>
          <w:rFonts w:eastAsiaTheme="minorEastAsia"/>
          <w:sz w:val="22"/>
          <w:szCs w:val="22"/>
          <w:lang w:val="en-GB"/>
        </w:rPr>
        <w:t>macroeconomic</w:t>
      </w:r>
      <w:bookmarkEnd w:id="12"/>
      <w:r w:rsidRPr="005F0652">
        <w:rPr>
          <w:rFonts w:eastAsiaTheme="minorEastAsia"/>
          <w:sz w:val="22"/>
          <w:szCs w:val="22"/>
          <w:lang w:val="en-GB"/>
        </w:rPr>
        <w:t xml:space="preserve"> challenge for the Indian economy in 2017. He called it “the twin balance sheet problem”: on the one hand, the corporate sector was highly leveraged and over indebted, and, on the other hand, banks had a huge pile of stressed assets on their books of accounts.</w:t>
      </w:r>
      <w:r w:rsidRPr="005F0652">
        <w:rPr>
          <w:rFonts w:eastAsiaTheme="minorEastAsia"/>
          <w:sz w:val="22"/>
          <w:szCs w:val="22"/>
          <w:vertAlign w:val="superscript"/>
          <w:lang w:val="en-GB"/>
        </w:rPr>
        <w:endnoteReference w:id="15"/>
      </w:r>
      <w:r w:rsidRPr="005F0652">
        <w:rPr>
          <w:rFonts w:eastAsiaTheme="minorEastAsia"/>
          <w:sz w:val="22"/>
          <w:szCs w:val="22"/>
          <w:lang w:val="en-GB"/>
        </w:rPr>
        <w:t xml:space="preserve"> </w:t>
      </w:r>
    </w:p>
    <w:p w14:paraId="5A396FC3" w14:textId="77777777" w:rsidR="005F0652" w:rsidRPr="005F0652" w:rsidRDefault="005F0652" w:rsidP="005F0652">
      <w:pPr>
        <w:jc w:val="both"/>
        <w:rPr>
          <w:rFonts w:eastAsiaTheme="minorEastAsia"/>
          <w:sz w:val="22"/>
          <w:szCs w:val="22"/>
          <w:lang w:val="en-GB"/>
        </w:rPr>
      </w:pPr>
    </w:p>
    <w:p w14:paraId="68816394" w14:textId="77777777" w:rsidR="005F0652" w:rsidRPr="005F0652" w:rsidRDefault="005F0652" w:rsidP="005F0652">
      <w:pPr>
        <w:jc w:val="both"/>
        <w:rPr>
          <w:rFonts w:eastAsiaTheme="minorEastAsia"/>
          <w:bCs/>
          <w:sz w:val="22"/>
          <w:szCs w:val="22"/>
          <w:lang w:val="en-GB"/>
        </w:rPr>
      </w:pPr>
      <w:r w:rsidRPr="005F0652">
        <w:rPr>
          <w:rFonts w:eastAsiaTheme="minorEastAsia"/>
          <w:sz w:val="22"/>
          <w:szCs w:val="22"/>
          <w:lang w:val="en-GB"/>
        </w:rPr>
        <w:t xml:space="preserve">The RBI occasionally published its concerns regarding surging </w:t>
      </w:r>
      <w:r w:rsidRPr="005F0652">
        <w:rPr>
          <w:rFonts w:eastAsiaTheme="minorEastAsia"/>
          <w:bCs/>
          <w:sz w:val="22"/>
          <w:szCs w:val="22"/>
          <w:lang w:val="en-GB"/>
        </w:rPr>
        <w:t>NPAs</w:t>
      </w:r>
      <w:r w:rsidRPr="005F0652">
        <w:rPr>
          <w:rFonts w:eastAsiaTheme="minorEastAsia"/>
          <w:sz w:val="22"/>
          <w:szCs w:val="22"/>
          <w:lang w:val="en-GB"/>
        </w:rPr>
        <w:t xml:space="preserve"> in banks. In 2015, Shri S. S. </w:t>
      </w:r>
      <w:r w:rsidRPr="005F0652">
        <w:rPr>
          <w:rFonts w:eastAsiaTheme="minorEastAsia"/>
          <w:bCs/>
          <w:sz w:val="22"/>
          <w:szCs w:val="22"/>
          <w:lang w:val="en-GB"/>
        </w:rPr>
        <w:t>Mundra, deputy governor of the RBI, dwelled upon the emerging challenges for the Indian banking sector. He identified asset quality, capital adequacy, liquidity coverage, foreign exchange exposures, human resource issues, priority sector lending, technology use, the protection and treatment of customers, balance sheet management, and risk management as the emerging areas of concern for commercial banks in India.</w:t>
      </w:r>
      <w:r w:rsidRPr="005F0652">
        <w:rPr>
          <w:rFonts w:eastAsiaTheme="minorEastAsia"/>
          <w:sz w:val="22"/>
          <w:szCs w:val="22"/>
          <w:vertAlign w:val="superscript"/>
          <w:lang w:val="en-GB"/>
        </w:rPr>
        <w:endnoteReference w:id="16"/>
      </w:r>
      <w:r w:rsidRPr="005F0652">
        <w:rPr>
          <w:rFonts w:eastAsiaTheme="minorEastAsia"/>
          <w:bCs/>
          <w:sz w:val="22"/>
          <w:szCs w:val="22"/>
          <w:lang w:val="en-GB"/>
        </w:rPr>
        <w:t xml:space="preserve"> </w:t>
      </w:r>
      <w:r w:rsidRPr="005F0652">
        <w:rPr>
          <w:rFonts w:eastAsiaTheme="minorEastAsia"/>
          <w:sz w:val="22"/>
          <w:szCs w:val="22"/>
          <w:lang w:val="en-GB"/>
        </w:rPr>
        <w:t>In his speech at the Confederation of Indian Industry Banking and Finance Summit in 2016, Raghuram Rajan, former governor of the RBI, highlighted the issues and challenges facing the Indian banking sector. He pointed out that stressed assets, bank governance mechanisms, and liquidity were some of the major challenges for banks in India.</w:t>
      </w:r>
      <w:r w:rsidRPr="005F0652">
        <w:rPr>
          <w:rFonts w:eastAsiaTheme="minorEastAsia"/>
          <w:sz w:val="22"/>
          <w:szCs w:val="22"/>
          <w:vertAlign w:val="superscript"/>
          <w:lang w:val="en-GB"/>
        </w:rPr>
        <w:endnoteReference w:id="17"/>
      </w:r>
      <w:r w:rsidRPr="005F0652">
        <w:rPr>
          <w:rFonts w:eastAsiaTheme="minorEastAsia"/>
          <w:sz w:val="22"/>
          <w:szCs w:val="22"/>
          <w:lang w:val="en-GB"/>
        </w:rPr>
        <w:t xml:space="preserve"> In his </w:t>
      </w:r>
      <w:r w:rsidRPr="005F0652">
        <w:rPr>
          <w:rFonts w:eastAsiaTheme="minorEastAsia"/>
          <w:bCs/>
          <w:sz w:val="22"/>
          <w:szCs w:val="22"/>
          <w:lang w:val="en-GB"/>
        </w:rPr>
        <w:t>inaugural address for the 2016 banking conference at Hyderabad, Mundra spoke about the emerging research themes in the Indian banking sector. He stressed risk management, governance, profitability, asset quality, and CAR as issues of concern for Indian banks. He also identified some areas in Indian banking that were under-researched, such as credit to agriculture, small and medium-sized enterprises, and private sector leverage.</w:t>
      </w:r>
      <w:r w:rsidRPr="005F0652">
        <w:rPr>
          <w:rFonts w:eastAsiaTheme="minorEastAsia"/>
          <w:sz w:val="22"/>
          <w:szCs w:val="22"/>
          <w:vertAlign w:val="superscript"/>
          <w:lang w:val="en-GB"/>
        </w:rPr>
        <w:endnoteReference w:id="18"/>
      </w:r>
      <w:r w:rsidRPr="005F0652">
        <w:rPr>
          <w:rFonts w:eastAsiaTheme="minorEastAsia"/>
          <w:bCs/>
          <w:sz w:val="22"/>
          <w:szCs w:val="22"/>
          <w:lang w:val="en-GB"/>
        </w:rPr>
        <w:t xml:space="preserve"> </w:t>
      </w:r>
      <w:r w:rsidRPr="005F0652">
        <w:rPr>
          <w:rFonts w:eastAsiaTheme="minorEastAsia"/>
          <w:sz w:val="22"/>
          <w:szCs w:val="22"/>
          <w:lang w:val="en-GB"/>
        </w:rPr>
        <w:t>These challenges had to be met in an adequate and timely manner to enable the banking sector to support future economic growth.</w:t>
      </w:r>
    </w:p>
    <w:p w14:paraId="46D61981" w14:textId="77777777" w:rsidR="005F0652" w:rsidRPr="005F0652" w:rsidRDefault="005F0652" w:rsidP="005F0652">
      <w:pPr>
        <w:jc w:val="both"/>
        <w:rPr>
          <w:rFonts w:eastAsiaTheme="minorEastAsia"/>
          <w:sz w:val="22"/>
          <w:szCs w:val="22"/>
          <w:lang w:val="en-GB"/>
        </w:rPr>
      </w:pPr>
    </w:p>
    <w:p w14:paraId="1E9D438E" w14:textId="77777777" w:rsidR="005F0652" w:rsidRPr="005F0652" w:rsidRDefault="005F0652" w:rsidP="005F0652">
      <w:pPr>
        <w:jc w:val="both"/>
        <w:rPr>
          <w:rFonts w:eastAsiaTheme="minorEastAsia"/>
          <w:sz w:val="22"/>
          <w:szCs w:val="22"/>
          <w:lang w:val="en-GB"/>
        </w:rPr>
      </w:pPr>
      <w:r w:rsidRPr="005F0652">
        <w:rPr>
          <w:rFonts w:eastAsiaTheme="minorEastAsia"/>
          <w:bCs/>
          <w:sz w:val="22"/>
          <w:szCs w:val="22"/>
          <w:lang w:val="en-GB"/>
        </w:rPr>
        <w:t>Though these challenges affected the performance of banks in India, NPAs were by far the biggest threat to these banks. News articles on the state of bad loans in Indian banks and their possible consequences had become frequent. P. Vaidyanathan Iyer referred to the NPAs problem as a “ticking bank bomb.”</w:t>
      </w:r>
      <w:r w:rsidRPr="005F0652">
        <w:rPr>
          <w:rFonts w:eastAsiaTheme="minorEastAsia"/>
          <w:sz w:val="22"/>
          <w:szCs w:val="22"/>
          <w:vertAlign w:val="superscript"/>
          <w:lang w:val="en-GB"/>
        </w:rPr>
        <w:endnoteReference w:id="19"/>
      </w:r>
      <w:r w:rsidRPr="005F0652">
        <w:rPr>
          <w:rFonts w:eastAsiaTheme="minorEastAsia"/>
          <w:bCs/>
          <w:sz w:val="22"/>
          <w:szCs w:val="22"/>
          <w:lang w:val="en-GB"/>
        </w:rPr>
        <w:t xml:space="preserve"> Arvind Panagriya, vice-chairman of the Government of India’s think tank </w:t>
      </w:r>
      <w:r w:rsidRPr="005F0652">
        <w:rPr>
          <w:rFonts w:eastAsiaTheme="minorEastAsia"/>
          <w:sz w:val="22"/>
          <w:szCs w:val="22"/>
          <w:lang w:val="en-GB"/>
        </w:rPr>
        <w:t>NITI Aayog, pointed out that the NPAs problem was “gigantic” and “the biggest challenge” before the government.</w:t>
      </w:r>
      <w:r w:rsidRPr="005F0652">
        <w:rPr>
          <w:rFonts w:eastAsiaTheme="minorEastAsia"/>
          <w:sz w:val="22"/>
          <w:szCs w:val="22"/>
          <w:vertAlign w:val="superscript"/>
          <w:lang w:val="en-GB"/>
        </w:rPr>
        <w:endnoteReference w:id="20"/>
      </w:r>
    </w:p>
    <w:p w14:paraId="12356253" w14:textId="77777777" w:rsidR="005F0652" w:rsidRPr="005F0652" w:rsidRDefault="005F0652" w:rsidP="005F0652">
      <w:pPr>
        <w:jc w:val="both"/>
        <w:rPr>
          <w:rFonts w:eastAsiaTheme="minorEastAsia"/>
          <w:sz w:val="22"/>
          <w:szCs w:val="22"/>
          <w:lang w:val="en-GB"/>
        </w:rPr>
      </w:pPr>
    </w:p>
    <w:p w14:paraId="2509C56C" w14:textId="77777777" w:rsidR="005F0652" w:rsidRPr="005F0652" w:rsidRDefault="005F0652" w:rsidP="005F0652">
      <w:pPr>
        <w:jc w:val="both"/>
        <w:rPr>
          <w:rFonts w:eastAsiaTheme="minorEastAsia"/>
          <w:sz w:val="22"/>
          <w:szCs w:val="22"/>
          <w:lang w:val="en-GB"/>
        </w:rPr>
      </w:pPr>
    </w:p>
    <w:p w14:paraId="02E78DB7" w14:textId="77777777" w:rsidR="005F0652" w:rsidRPr="005F0652" w:rsidRDefault="005F0652" w:rsidP="005F0652">
      <w:pPr>
        <w:keepNext/>
        <w:jc w:val="both"/>
        <w:rPr>
          <w:rFonts w:ascii="Arial" w:eastAsiaTheme="minorEastAsia" w:hAnsi="Arial" w:cs="Arial"/>
          <w:b/>
          <w:caps/>
          <w:lang w:val="en-GB"/>
        </w:rPr>
      </w:pPr>
      <w:r w:rsidRPr="005F0652">
        <w:rPr>
          <w:rFonts w:ascii="Arial" w:eastAsiaTheme="minorEastAsia" w:hAnsi="Arial" w:cs="Arial"/>
          <w:b/>
          <w:caps/>
          <w:lang w:val="en-GB"/>
        </w:rPr>
        <w:t>the PERFORMANCE OF INDIAN BANKS</w:t>
      </w:r>
    </w:p>
    <w:p w14:paraId="083451EB" w14:textId="77777777" w:rsidR="005F0652" w:rsidRPr="005F0652" w:rsidRDefault="005F0652" w:rsidP="005F0652">
      <w:pPr>
        <w:jc w:val="both"/>
        <w:rPr>
          <w:rFonts w:eastAsiaTheme="minorEastAsia"/>
          <w:sz w:val="22"/>
          <w:szCs w:val="22"/>
          <w:lang w:val="en-GB"/>
        </w:rPr>
      </w:pPr>
    </w:p>
    <w:p w14:paraId="5A374CD5"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The following performance indicators of Indian banks were useful in evaluating the sector and choosing stocks: return on equity (ROE), return on assets (ROA), credit deposit ratio, and net interest margin (NIM).</w:t>
      </w:r>
      <w:r w:rsidRPr="005F0652">
        <w:rPr>
          <w:rFonts w:eastAsiaTheme="minorEastAsia"/>
          <w:sz w:val="22"/>
          <w:szCs w:val="22"/>
          <w:vertAlign w:val="superscript"/>
          <w:lang w:val="en-GB"/>
        </w:rPr>
        <w:endnoteReference w:id="21"/>
      </w:r>
      <w:r w:rsidRPr="005F0652">
        <w:rPr>
          <w:rFonts w:eastAsiaTheme="minorEastAsia"/>
          <w:sz w:val="22"/>
          <w:szCs w:val="22"/>
          <w:lang w:val="en-GB"/>
        </w:rPr>
        <w:t xml:space="preserve"> ROA measured banks’ operating profit; ROE measured the rate of return on shareholders’ money; and NIM estimated the performance of banks in terms of net interest income. </w:t>
      </w:r>
    </w:p>
    <w:p w14:paraId="168B7B83" w14:textId="77777777" w:rsidR="005F0652" w:rsidRPr="005F0652" w:rsidRDefault="005F0652" w:rsidP="005F0652">
      <w:pPr>
        <w:jc w:val="both"/>
        <w:rPr>
          <w:rFonts w:eastAsiaTheme="minorEastAsia"/>
          <w:sz w:val="22"/>
          <w:szCs w:val="22"/>
          <w:lang w:val="en-GB"/>
        </w:rPr>
      </w:pPr>
    </w:p>
    <w:p w14:paraId="000E099D" w14:textId="77777777" w:rsidR="005F0652" w:rsidRPr="005F0652" w:rsidRDefault="005F0652" w:rsidP="005F0652">
      <w:pPr>
        <w:jc w:val="both"/>
        <w:rPr>
          <w:rFonts w:eastAsiaTheme="minorEastAsia"/>
          <w:bCs/>
          <w:spacing w:val="-2"/>
          <w:sz w:val="22"/>
          <w:szCs w:val="22"/>
          <w:lang w:val="en-GB"/>
        </w:rPr>
      </w:pPr>
      <w:r w:rsidRPr="005F0652">
        <w:rPr>
          <w:rFonts w:eastAsiaTheme="minorEastAsia"/>
          <w:spacing w:val="-2"/>
          <w:sz w:val="22"/>
          <w:szCs w:val="22"/>
          <w:lang w:val="en-GB"/>
        </w:rPr>
        <w:t xml:space="preserve">The NIM was widely used as the crucial measure of banks’ performance because their main source of income was interest income (see Exhibits 1–3). </w:t>
      </w:r>
      <w:r w:rsidRPr="005F0652">
        <w:rPr>
          <w:rFonts w:eastAsiaTheme="minorEastAsia"/>
          <w:bCs/>
          <w:spacing w:val="-2"/>
          <w:sz w:val="22"/>
          <w:szCs w:val="22"/>
          <w:lang w:val="en-GB"/>
        </w:rPr>
        <w:t xml:space="preserve">The credit deposit ratio showed how much credit the bank gave out of its deposits. A higher value of this ratio indicated that the bank relied more on deposits for lending. A very high ratio indicated that the bank did not have enough liquidity to meet its contingencies (see Exhibit 4). </w:t>
      </w:r>
    </w:p>
    <w:p w14:paraId="35938847" w14:textId="77777777" w:rsidR="005F0652" w:rsidRPr="005F0652" w:rsidRDefault="005F0652" w:rsidP="005F0652">
      <w:pPr>
        <w:jc w:val="both"/>
        <w:rPr>
          <w:rFonts w:eastAsiaTheme="minorEastAsia"/>
          <w:sz w:val="22"/>
          <w:szCs w:val="22"/>
          <w:lang w:val="en-GB"/>
        </w:rPr>
      </w:pPr>
    </w:p>
    <w:p w14:paraId="77DFE721" w14:textId="77777777" w:rsidR="005F0652" w:rsidRPr="005F0652" w:rsidRDefault="005F0652" w:rsidP="005F0652">
      <w:pPr>
        <w:jc w:val="both"/>
        <w:rPr>
          <w:rFonts w:eastAsiaTheme="minorEastAsia"/>
          <w:sz w:val="22"/>
          <w:szCs w:val="22"/>
          <w:lang w:val="en-GB"/>
        </w:rPr>
      </w:pPr>
    </w:p>
    <w:p w14:paraId="63B2D492" w14:textId="77777777" w:rsidR="005F0652" w:rsidRPr="005F0652" w:rsidRDefault="005F0652" w:rsidP="005F0652">
      <w:pPr>
        <w:keepNext/>
        <w:jc w:val="both"/>
        <w:rPr>
          <w:rFonts w:ascii="Arial" w:eastAsiaTheme="minorEastAsia" w:hAnsi="Arial" w:cs="Arial"/>
          <w:b/>
          <w:caps/>
          <w:lang w:val="en-GB"/>
        </w:rPr>
      </w:pPr>
      <w:r w:rsidRPr="005F0652">
        <w:rPr>
          <w:rFonts w:ascii="Arial" w:eastAsiaTheme="minorEastAsia" w:hAnsi="Arial" w:cs="Arial"/>
          <w:b/>
          <w:caps/>
          <w:lang w:val="en-GB"/>
        </w:rPr>
        <w:t>TOTAL STRESSED ASSETS: TOXIC OR INNOCUOUS?</w:t>
      </w:r>
      <w:r w:rsidRPr="005F0652">
        <w:rPr>
          <w:rFonts w:ascii="Arial" w:eastAsiaTheme="minorEastAsia" w:hAnsi="Arial" w:cs="Arial"/>
          <w:b/>
          <w:caps/>
          <w:vertAlign w:val="superscript"/>
          <w:lang w:val="en-GB"/>
        </w:rPr>
        <w:endnoteReference w:id="22"/>
      </w:r>
    </w:p>
    <w:p w14:paraId="5E91E158" w14:textId="77777777" w:rsidR="005F0652" w:rsidRPr="005F0652" w:rsidRDefault="005F0652" w:rsidP="005F0652">
      <w:pPr>
        <w:keepNext/>
        <w:jc w:val="both"/>
        <w:rPr>
          <w:rFonts w:eastAsiaTheme="minorEastAsia"/>
          <w:sz w:val="22"/>
          <w:szCs w:val="22"/>
          <w:lang w:val="en-GB"/>
        </w:rPr>
      </w:pPr>
    </w:p>
    <w:p w14:paraId="1D7ED3EC"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Figures regarding gross NPAs and net NPAs</w:t>
      </w:r>
      <w:r w:rsidRPr="005F0652">
        <w:rPr>
          <w:rFonts w:eastAsiaTheme="minorEastAsia"/>
          <w:sz w:val="22"/>
          <w:szCs w:val="22"/>
          <w:vertAlign w:val="superscript"/>
          <w:lang w:val="en-GB"/>
        </w:rPr>
        <w:endnoteReference w:id="23"/>
      </w:r>
      <w:r w:rsidRPr="005F0652">
        <w:rPr>
          <w:rFonts w:eastAsiaTheme="minorEastAsia"/>
          <w:sz w:val="22"/>
          <w:szCs w:val="22"/>
          <w:lang w:val="en-GB"/>
        </w:rPr>
        <w:t xml:space="preserve"> did not highlight the true picture of stressed assets in banks (see Exhibits 5–7). Indian commercial banks had resorted to extensive restructuring of bad loans,</w:t>
      </w:r>
      <w:r w:rsidRPr="005F0652">
        <w:rPr>
          <w:rFonts w:eastAsiaTheme="minorEastAsia"/>
          <w:sz w:val="22"/>
          <w:szCs w:val="22"/>
          <w:vertAlign w:val="superscript"/>
          <w:lang w:val="en-GB"/>
        </w:rPr>
        <w:endnoteReference w:id="24"/>
      </w:r>
      <w:r w:rsidRPr="005F0652">
        <w:rPr>
          <w:rFonts w:eastAsiaTheme="minorEastAsia"/>
          <w:sz w:val="22"/>
          <w:szCs w:val="22"/>
          <w:lang w:val="en-GB"/>
        </w:rPr>
        <w:t xml:space="preserve"> which </w:t>
      </w:r>
      <w:r w:rsidRPr="005F0652">
        <w:rPr>
          <w:rFonts w:eastAsiaTheme="minorEastAsia"/>
          <w:sz w:val="22"/>
          <w:szCs w:val="22"/>
          <w:lang w:val="en-GB"/>
        </w:rPr>
        <w:lastRenderedPageBreak/>
        <w:t>permitted the banks to show lower NPAs in their books of accounts. Banks had to maintain lower provisions for restructured standard advances.</w:t>
      </w:r>
      <w:r w:rsidRPr="005F0652">
        <w:rPr>
          <w:rFonts w:eastAsiaTheme="minorEastAsia"/>
          <w:sz w:val="22"/>
          <w:szCs w:val="22"/>
          <w:vertAlign w:val="superscript"/>
          <w:lang w:val="en-GB"/>
        </w:rPr>
        <w:endnoteReference w:id="25"/>
      </w:r>
      <w:r w:rsidRPr="005F0652">
        <w:rPr>
          <w:rFonts w:eastAsiaTheme="minorEastAsia"/>
          <w:sz w:val="22"/>
          <w:szCs w:val="22"/>
          <w:lang w:val="en-GB"/>
        </w:rPr>
        <w:t xml:space="preserve"> </w:t>
      </w:r>
    </w:p>
    <w:p w14:paraId="2594CE3E" w14:textId="77777777" w:rsidR="005F0652" w:rsidRPr="005F0652" w:rsidRDefault="005F0652" w:rsidP="005F0652">
      <w:pPr>
        <w:jc w:val="both"/>
        <w:rPr>
          <w:rFonts w:eastAsiaTheme="minorEastAsia"/>
          <w:sz w:val="22"/>
          <w:szCs w:val="22"/>
          <w:lang w:val="en-GB"/>
        </w:rPr>
      </w:pPr>
    </w:p>
    <w:p w14:paraId="58B8DB44"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After the asset quality review (AQR) in 2015, the RBI tightened the identification process of NPAs because the incorporation of restructured standard advances highlighted the true picture of stressed assets in banks. The asset classification of loans was not proper, and banks resorted to evergreening loan accounts. Many accounts that were substandard were treated as standard in bank books. (See Exhibit 8 for major changes made by the RBI in the NPA identification process.) Total stressed assets</w:t>
      </w:r>
      <w:r w:rsidRPr="005F0652">
        <w:rPr>
          <w:rFonts w:eastAsiaTheme="minorEastAsia"/>
          <w:sz w:val="22"/>
          <w:szCs w:val="22"/>
          <w:vertAlign w:val="superscript"/>
          <w:lang w:val="en-GB"/>
        </w:rPr>
        <w:endnoteReference w:id="26"/>
      </w:r>
      <w:r w:rsidRPr="005F0652">
        <w:rPr>
          <w:rFonts w:eastAsiaTheme="minorEastAsia"/>
          <w:sz w:val="22"/>
          <w:szCs w:val="22"/>
          <w:lang w:val="en-GB"/>
        </w:rPr>
        <w:t xml:space="preserve"> were those assets that failed to yield any income for the bank after considering the inclusion of restructured standard advances. </w:t>
      </w:r>
    </w:p>
    <w:p w14:paraId="46C0A921" w14:textId="77777777" w:rsidR="005F0652" w:rsidRPr="005F0652" w:rsidRDefault="005F0652" w:rsidP="005F0652">
      <w:pPr>
        <w:jc w:val="both"/>
        <w:rPr>
          <w:rFonts w:eastAsiaTheme="minorEastAsia"/>
          <w:sz w:val="22"/>
          <w:szCs w:val="22"/>
          <w:lang w:val="en-GB"/>
        </w:rPr>
      </w:pPr>
    </w:p>
    <w:p w14:paraId="68252044"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The RBI defined NPAs as the loans where</w:t>
      </w:r>
    </w:p>
    <w:p w14:paraId="7353C344" w14:textId="77777777" w:rsidR="005F0652" w:rsidRPr="005F0652" w:rsidRDefault="005F0652" w:rsidP="005F0652">
      <w:pPr>
        <w:jc w:val="both"/>
        <w:rPr>
          <w:rFonts w:eastAsiaTheme="minorEastAsia"/>
          <w:sz w:val="22"/>
          <w:szCs w:val="22"/>
          <w:lang w:val="en-GB"/>
        </w:rPr>
      </w:pPr>
    </w:p>
    <w:p w14:paraId="6F76FD7D" w14:textId="77777777" w:rsidR="005F0652" w:rsidRPr="005F0652" w:rsidRDefault="005F0652" w:rsidP="005F0652">
      <w:pPr>
        <w:numPr>
          <w:ilvl w:val="0"/>
          <w:numId w:val="13"/>
        </w:numPr>
        <w:jc w:val="both"/>
        <w:rPr>
          <w:rFonts w:eastAsiaTheme="minorEastAsia"/>
          <w:sz w:val="22"/>
          <w:szCs w:val="22"/>
          <w:lang w:val="en-GB"/>
        </w:rPr>
      </w:pPr>
      <w:r w:rsidRPr="005F0652">
        <w:rPr>
          <w:rFonts w:eastAsiaTheme="minorEastAsia"/>
          <w:sz w:val="22"/>
          <w:szCs w:val="22"/>
          <w:lang w:val="en-GB"/>
        </w:rPr>
        <w:t xml:space="preserve">the interest and/or principal amount remained overdue for a period of more than 90 days (in the case of term loans or bills received or discounted); </w:t>
      </w:r>
    </w:p>
    <w:p w14:paraId="42E792EE" w14:textId="77777777" w:rsidR="005F0652" w:rsidRPr="005F0652" w:rsidRDefault="005F0652" w:rsidP="005F0652">
      <w:pPr>
        <w:numPr>
          <w:ilvl w:val="0"/>
          <w:numId w:val="13"/>
        </w:numPr>
        <w:jc w:val="both"/>
        <w:rPr>
          <w:rFonts w:eastAsiaTheme="minorEastAsia"/>
          <w:sz w:val="22"/>
          <w:szCs w:val="22"/>
          <w:lang w:val="en-GB"/>
        </w:rPr>
      </w:pPr>
      <w:r w:rsidRPr="005F0652">
        <w:rPr>
          <w:rFonts w:eastAsiaTheme="minorEastAsia"/>
          <w:sz w:val="22"/>
          <w:szCs w:val="22"/>
          <w:lang w:val="en-GB"/>
        </w:rPr>
        <w:t>the account remained out of order (in the case of overdraft or cash credit);</w:t>
      </w:r>
    </w:p>
    <w:p w14:paraId="48FC8B4D" w14:textId="77777777" w:rsidR="005F0652" w:rsidRPr="005F0652" w:rsidRDefault="005F0652" w:rsidP="005F0652">
      <w:pPr>
        <w:numPr>
          <w:ilvl w:val="0"/>
          <w:numId w:val="13"/>
        </w:numPr>
        <w:jc w:val="both"/>
        <w:rPr>
          <w:rFonts w:eastAsiaTheme="minorEastAsia"/>
          <w:sz w:val="22"/>
          <w:szCs w:val="22"/>
          <w:lang w:val="en-GB"/>
        </w:rPr>
      </w:pPr>
      <w:r w:rsidRPr="005F0652">
        <w:rPr>
          <w:rFonts w:eastAsiaTheme="minorEastAsia"/>
          <w:sz w:val="22"/>
          <w:szCs w:val="22"/>
          <w:lang w:val="en-GB"/>
        </w:rPr>
        <w:t>the interest and/or principal remained overdue for two crop seasons (in the case of short-duration crops) and one crop season (in the case of long-duration crops);</w:t>
      </w:r>
    </w:p>
    <w:p w14:paraId="1B78F6D2" w14:textId="77777777" w:rsidR="005F0652" w:rsidRPr="005F0652" w:rsidRDefault="005F0652" w:rsidP="005F0652">
      <w:pPr>
        <w:numPr>
          <w:ilvl w:val="0"/>
          <w:numId w:val="13"/>
        </w:numPr>
        <w:jc w:val="both"/>
        <w:rPr>
          <w:rFonts w:eastAsiaTheme="minorEastAsia"/>
          <w:sz w:val="22"/>
          <w:szCs w:val="22"/>
          <w:lang w:val="en-GB"/>
        </w:rPr>
      </w:pPr>
      <w:r w:rsidRPr="005F0652">
        <w:rPr>
          <w:rFonts w:eastAsiaTheme="minorEastAsia"/>
          <w:sz w:val="22"/>
          <w:szCs w:val="22"/>
          <w:lang w:val="en-GB"/>
        </w:rPr>
        <w:t>overdue payments (in the case of derivative transactions) remained unpaid for more than 90 days; and</w:t>
      </w:r>
    </w:p>
    <w:p w14:paraId="0AA194B5" w14:textId="77777777" w:rsidR="005F0652" w:rsidRPr="005F0652" w:rsidRDefault="005F0652" w:rsidP="005F0652">
      <w:pPr>
        <w:numPr>
          <w:ilvl w:val="0"/>
          <w:numId w:val="13"/>
        </w:numPr>
        <w:jc w:val="both"/>
        <w:rPr>
          <w:rFonts w:eastAsiaTheme="minorEastAsia"/>
          <w:sz w:val="22"/>
          <w:szCs w:val="22"/>
          <w:lang w:val="en-GB"/>
        </w:rPr>
      </w:pPr>
      <w:r w:rsidRPr="005F0652">
        <w:rPr>
          <w:rFonts w:eastAsiaTheme="minorEastAsia"/>
          <w:sz w:val="22"/>
          <w:szCs w:val="22"/>
          <w:lang w:val="en-GB"/>
        </w:rPr>
        <w:t>the liquidity facility had remained outstanding for a period of more than 90 days (in the case of securitization transactions).</w:t>
      </w:r>
      <w:r w:rsidRPr="005F0652">
        <w:rPr>
          <w:rFonts w:eastAsiaTheme="minorEastAsia"/>
          <w:sz w:val="22"/>
          <w:szCs w:val="22"/>
          <w:vertAlign w:val="superscript"/>
          <w:lang w:val="en-GB"/>
        </w:rPr>
        <w:endnoteReference w:id="27"/>
      </w:r>
    </w:p>
    <w:p w14:paraId="73D2A2FE" w14:textId="77777777" w:rsidR="005F0652" w:rsidRPr="005F0652" w:rsidRDefault="005F0652" w:rsidP="005F0652">
      <w:pPr>
        <w:jc w:val="both"/>
        <w:rPr>
          <w:rFonts w:eastAsiaTheme="minorEastAsia"/>
          <w:sz w:val="22"/>
          <w:szCs w:val="22"/>
          <w:lang w:val="en-GB"/>
        </w:rPr>
      </w:pPr>
    </w:p>
    <w:p w14:paraId="72C3CFCC" w14:textId="77777777" w:rsidR="005F0652" w:rsidRPr="005F0652" w:rsidRDefault="005F0652" w:rsidP="005F0652">
      <w:pPr>
        <w:jc w:val="both"/>
        <w:rPr>
          <w:rFonts w:eastAsiaTheme="minorEastAsia"/>
          <w:spacing w:val="-2"/>
          <w:sz w:val="22"/>
          <w:szCs w:val="22"/>
          <w:lang w:val="en-GB"/>
        </w:rPr>
      </w:pPr>
      <w:r w:rsidRPr="005F0652">
        <w:rPr>
          <w:rFonts w:eastAsiaTheme="minorEastAsia"/>
          <w:spacing w:val="-2"/>
          <w:sz w:val="22"/>
          <w:szCs w:val="22"/>
          <w:lang w:val="en-GB"/>
        </w:rPr>
        <w:t xml:space="preserve">NPAs were classified according to the definitions of substandard assets, doubtful assets, and loss assets. Substandard assets were assets that had remained NPAs for a period of less than or equal to 12 months. Doubtful assets were loans that had remained in the substandard category for 12 or more months. Loss assets were loans that had been recognized as loss, either by the bank, the auditors, or the RBI, provided the amount was not fully written off by the bank. </w:t>
      </w:r>
    </w:p>
    <w:p w14:paraId="5D07CA1B" w14:textId="77777777" w:rsidR="005F0652" w:rsidRPr="005F0652" w:rsidRDefault="005F0652" w:rsidP="005F0652">
      <w:pPr>
        <w:jc w:val="both"/>
        <w:rPr>
          <w:rFonts w:eastAsiaTheme="minorEastAsia"/>
          <w:spacing w:val="-2"/>
          <w:sz w:val="22"/>
          <w:szCs w:val="22"/>
          <w:lang w:val="en-GB"/>
        </w:rPr>
      </w:pPr>
    </w:p>
    <w:p w14:paraId="0EE15789" w14:textId="77777777" w:rsidR="005F0652" w:rsidRPr="005F0652" w:rsidRDefault="005F0652" w:rsidP="005F0652">
      <w:pPr>
        <w:jc w:val="both"/>
        <w:rPr>
          <w:rFonts w:eastAsiaTheme="minorEastAsia"/>
          <w:spacing w:val="-2"/>
          <w:sz w:val="22"/>
          <w:szCs w:val="22"/>
          <w:lang w:val="en-GB"/>
        </w:rPr>
      </w:pPr>
      <w:r w:rsidRPr="005F0652">
        <w:rPr>
          <w:rFonts w:eastAsiaTheme="minorEastAsia"/>
          <w:spacing w:val="-2"/>
          <w:sz w:val="22"/>
          <w:szCs w:val="22"/>
          <w:lang w:val="en-GB"/>
        </w:rPr>
        <w:t>With NPAs, banks not only made income losses but also had to provide provisioning requirements. In the case of loss assets, banks had to make 100 per cent of provisions. For unsecured doubtful assets, again, the provisioning was 100 per cent, but for secured doubtful assets, provisioning varied between 25 per cent, 40 per cent, and 100 per cent, depending on the period for which the asset had remained doubtful.</w:t>
      </w:r>
      <w:r w:rsidRPr="005F0652">
        <w:rPr>
          <w:rFonts w:eastAsiaTheme="minorEastAsia"/>
          <w:sz w:val="22"/>
          <w:szCs w:val="22"/>
          <w:vertAlign w:val="superscript"/>
          <w:lang w:val="en-GB"/>
        </w:rPr>
        <w:endnoteReference w:id="28"/>
      </w:r>
      <w:r w:rsidRPr="005F0652">
        <w:rPr>
          <w:rFonts w:eastAsiaTheme="minorEastAsia"/>
          <w:spacing w:val="-2"/>
          <w:sz w:val="22"/>
          <w:szCs w:val="22"/>
          <w:lang w:val="en-GB"/>
        </w:rPr>
        <w:t xml:space="preserve"> For substandard assets, the general provisioning requirement was 15 per cent of the outstanding amount and an additional 10 per cent for the unsecured exposures. The RBI guidelines also required provisioning for standard assets, ranging from 0.25 per cent, in the case of agricultural firms and micro-, small-, and medium-sized enterprises, to 1 per cent, in the case of real estate exposures (outstanding amount), based on the riskiness of the industry or activity (see Exhibit 9).</w:t>
      </w:r>
      <w:r w:rsidRPr="005F0652">
        <w:rPr>
          <w:rFonts w:eastAsiaTheme="minorEastAsia"/>
          <w:sz w:val="22"/>
          <w:szCs w:val="22"/>
          <w:vertAlign w:val="superscript"/>
          <w:lang w:val="en-GB"/>
        </w:rPr>
        <w:endnoteReference w:id="29"/>
      </w:r>
      <w:r w:rsidRPr="005F0652">
        <w:rPr>
          <w:rFonts w:eastAsiaTheme="minorEastAsia"/>
          <w:spacing w:val="-2"/>
          <w:sz w:val="22"/>
          <w:szCs w:val="22"/>
          <w:lang w:val="en-GB"/>
        </w:rPr>
        <w:t xml:space="preserve"> </w:t>
      </w:r>
    </w:p>
    <w:p w14:paraId="75E7E18E" w14:textId="77777777" w:rsidR="005F0652" w:rsidRPr="005F0652" w:rsidRDefault="005F0652" w:rsidP="005F0652">
      <w:pPr>
        <w:jc w:val="both"/>
        <w:rPr>
          <w:rFonts w:eastAsiaTheme="minorEastAsia"/>
          <w:sz w:val="22"/>
          <w:szCs w:val="22"/>
          <w:lang w:val="en-GB"/>
        </w:rPr>
      </w:pPr>
    </w:p>
    <w:p w14:paraId="5BC50D07" w14:textId="77777777" w:rsidR="005F0652" w:rsidRPr="005F0652" w:rsidRDefault="005F0652" w:rsidP="005F0652">
      <w:pPr>
        <w:jc w:val="both"/>
        <w:rPr>
          <w:rFonts w:eastAsiaTheme="minorEastAsia"/>
          <w:sz w:val="22"/>
          <w:szCs w:val="22"/>
          <w:lang w:val="en-GB"/>
        </w:rPr>
      </w:pPr>
    </w:p>
    <w:p w14:paraId="3191BCE8" w14:textId="77777777" w:rsidR="005F0652" w:rsidRPr="005F0652" w:rsidRDefault="005F0652" w:rsidP="005F0652">
      <w:pPr>
        <w:keepNext/>
        <w:jc w:val="both"/>
        <w:rPr>
          <w:rFonts w:ascii="Arial" w:eastAsiaTheme="minorEastAsia" w:hAnsi="Arial" w:cs="Arial"/>
          <w:b/>
          <w:caps/>
          <w:lang w:val="en-GB"/>
        </w:rPr>
      </w:pPr>
      <w:r w:rsidRPr="005F0652">
        <w:rPr>
          <w:rFonts w:ascii="Arial" w:eastAsiaTheme="minorEastAsia" w:hAnsi="Arial" w:cs="Arial"/>
          <w:b/>
          <w:caps/>
          <w:lang w:val="en-GB"/>
        </w:rPr>
        <w:t xml:space="preserve">POST-2008 MACROECONOMIC SCENARIO IN INDIA </w:t>
      </w:r>
    </w:p>
    <w:p w14:paraId="3F08D152" w14:textId="77777777" w:rsidR="005F0652" w:rsidRPr="005F0652" w:rsidRDefault="005F0652" w:rsidP="005F0652">
      <w:pPr>
        <w:jc w:val="both"/>
        <w:rPr>
          <w:rFonts w:eastAsiaTheme="minorEastAsia"/>
          <w:sz w:val="22"/>
          <w:szCs w:val="22"/>
          <w:lang w:val="en-GB"/>
        </w:rPr>
      </w:pPr>
    </w:p>
    <w:p w14:paraId="505303BD"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Although the financial crisis of 2008 originated as a subprime crisis in the United States, it became a contagion that quickly spread across the globe. India did remarkably well in the pre-crisis period, with an impressive growth rate of 9 per cent (2003–2008). This did not last long because the impressive growth trajectory was broken by the global crisis.</w:t>
      </w:r>
      <w:r w:rsidRPr="005F0652">
        <w:rPr>
          <w:rFonts w:eastAsiaTheme="minorEastAsia"/>
          <w:sz w:val="22"/>
          <w:szCs w:val="22"/>
          <w:vertAlign w:val="superscript"/>
          <w:lang w:val="en-GB"/>
        </w:rPr>
        <w:endnoteReference w:id="30"/>
      </w:r>
      <w:r w:rsidRPr="005F0652">
        <w:rPr>
          <w:rFonts w:eastAsiaTheme="minorEastAsia"/>
          <w:sz w:val="22"/>
          <w:szCs w:val="22"/>
          <w:lang w:val="en-GB"/>
        </w:rPr>
        <w:t xml:space="preserve"> </w:t>
      </w:r>
    </w:p>
    <w:p w14:paraId="1BC35868" w14:textId="77777777" w:rsidR="005F0652" w:rsidRPr="005F0652" w:rsidRDefault="005F0652" w:rsidP="005F0652">
      <w:pPr>
        <w:jc w:val="both"/>
        <w:rPr>
          <w:rFonts w:eastAsiaTheme="minorEastAsia"/>
          <w:sz w:val="22"/>
          <w:szCs w:val="22"/>
          <w:lang w:val="en-GB"/>
        </w:rPr>
      </w:pPr>
    </w:p>
    <w:p w14:paraId="30235317" w14:textId="77777777" w:rsidR="005F0652" w:rsidRPr="005F0652" w:rsidRDefault="005F0652" w:rsidP="005F0652">
      <w:pPr>
        <w:jc w:val="both"/>
        <w:rPr>
          <w:rFonts w:eastAsiaTheme="minorEastAsia"/>
          <w:spacing w:val="-2"/>
          <w:sz w:val="22"/>
          <w:szCs w:val="22"/>
          <w:lang w:val="en-GB"/>
        </w:rPr>
      </w:pPr>
      <w:r w:rsidRPr="005F0652">
        <w:rPr>
          <w:rFonts w:eastAsiaTheme="minorEastAsia"/>
          <w:spacing w:val="-2"/>
          <w:sz w:val="22"/>
          <w:szCs w:val="22"/>
          <w:lang w:val="en-GB"/>
        </w:rPr>
        <w:t>Though India survived the crisis with its relatively robust banking system, the impact of the crisis was felt on the Indian economy nevertheless. The gross domestic product (GDP)</w:t>
      </w:r>
      <w:r w:rsidRPr="005F0652">
        <w:rPr>
          <w:rFonts w:eastAsiaTheme="minorEastAsia"/>
          <w:spacing w:val="-2"/>
          <w:sz w:val="22"/>
          <w:szCs w:val="22"/>
          <w:vertAlign w:val="superscript"/>
          <w:lang w:val="en-GB"/>
        </w:rPr>
        <w:endnoteReference w:id="31"/>
      </w:r>
      <w:r w:rsidRPr="005F0652">
        <w:rPr>
          <w:rFonts w:eastAsiaTheme="minorEastAsia"/>
          <w:spacing w:val="-2"/>
          <w:sz w:val="22"/>
          <w:szCs w:val="22"/>
          <w:lang w:val="en-GB"/>
        </w:rPr>
        <w:t xml:space="preserve"> growth rate of India dropped from 9.3 per cent in 2007/08 to 6.7 per cent in 2008/09 (see Exhibit 10). In March 2008, the Indian rupee depreciated from </w:t>
      </w:r>
      <w:r w:rsidRPr="005F0652">
        <w:rPr>
          <w:rFonts w:ascii="Arial" w:eastAsiaTheme="minorEastAsia" w:hAnsi="Arial" w:cs="Arial"/>
          <w:spacing w:val="-2"/>
          <w:sz w:val="22"/>
          <w:szCs w:val="22"/>
          <w:lang w:val="en-GB"/>
        </w:rPr>
        <w:t>₹</w:t>
      </w:r>
      <w:r w:rsidRPr="005F0652">
        <w:rPr>
          <w:rFonts w:eastAsiaTheme="minorEastAsia"/>
          <w:spacing w:val="-2"/>
          <w:sz w:val="22"/>
          <w:szCs w:val="22"/>
          <w:lang w:val="en-GB"/>
        </w:rPr>
        <w:t>39.00</w:t>
      </w:r>
      <w:r w:rsidRPr="005F0652">
        <w:rPr>
          <w:rFonts w:eastAsiaTheme="minorEastAsia"/>
          <w:spacing w:val="-2"/>
          <w:sz w:val="22"/>
          <w:szCs w:val="22"/>
          <w:vertAlign w:val="superscript"/>
          <w:lang w:val="en-GB"/>
        </w:rPr>
        <w:endnoteReference w:id="32"/>
      </w:r>
      <w:r w:rsidRPr="005F0652">
        <w:rPr>
          <w:rFonts w:eastAsiaTheme="minorEastAsia"/>
          <w:spacing w:val="-2"/>
          <w:sz w:val="22"/>
          <w:szCs w:val="22"/>
          <w:lang w:val="en-GB"/>
        </w:rPr>
        <w:t xml:space="preserve"> per U.S. dollar to </w:t>
      </w:r>
      <w:r w:rsidRPr="005F0652">
        <w:rPr>
          <w:rFonts w:ascii="Arial" w:eastAsiaTheme="minorEastAsia" w:hAnsi="Arial" w:cs="Arial"/>
          <w:spacing w:val="-2"/>
          <w:sz w:val="22"/>
          <w:szCs w:val="22"/>
          <w:lang w:val="en-GB"/>
        </w:rPr>
        <w:t>₹</w:t>
      </w:r>
      <w:r w:rsidRPr="005F0652">
        <w:rPr>
          <w:rFonts w:eastAsiaTheme="minorEastAsia"/>
          <w:spacing w:val="-2"/>
          <w:sz w:val="22"/>
          <w:szCs w:val="22"/>
          <w:lang w:val="en-GB"/>
        </w:rPr>
        <w:t xml:space="preserve">51.18. The Index of Industrial Production also experienced spikes and </w:t>
      </w:r>
      <w:r w:rsidRPr="005F0652">
        <w:rPr>
          <w:rFonts w:eastAsiaTheme="minorEastAsia"/>
          <w:spacing w:val="-2"/>
          <w:sz w:val="22"/>
          <w:szCs w:val="22"/>
          <w:lang w:val="en-GB"/>
        </w:rPr>
        <w:lastRenderedPageBreak/>
        <w:t>remained volatile between 2008 and 2009. To manage domestic and foreign liquidity demand, the RBI had cut key policy rates like the repo rate</w:t>
      </w:r>
      <w:r w:rsidRPr="005F0652">
        <w:rPr>
          <w:rFonts w:eastAsiaTheme="minorEastAsia"/>
          <w:spacing w:val="-2"/>
          <w:sz w:val="22"/>
          <w:szCs w:val="22"/>
          <w:vertAlign w:val="superscript"/>
          <w:lang w:val="en-GB"/>
        </w:rPr>
        <w:endnoteReference w:id="33"/>
      </w:r>
      <w:r w:rsidRPr="005F0652">
        <w:rPr>
          <w:rFonts w:eastAsiaTheme="minorEastAsia"/>
          <w:spacing w:val="-2"/>
          <w:sz w:val="22"/>
          <w:szCs w:val="22"/>
          <w:lang w:val="en-GB"/>
        </w:rPr>
        <w:t xml:space="preserve"> and CRR. From October 2008 to April 2009, the repo rate was reduced from 9 per cent to 4.75 per cent, and the CRR was reduced from 9 per cent to 5 per cent.</w:t>
      </w:r>
      <w:r w:rsidRPr="005F0652">
        <w:rPr>
          <w:rFonts w:eastAsiaTheme="minorEastAsia"/>
          <w:spacing w:val="-2"/>
          <w:sz w:val="22"/>
          <w:szCs w:val="22"/>
          <w:vertAlign w:val="superscript"/>
          <w:lang w:val="en-GB"/>
        </w:rPr>
        <w:endnoteReference w:id="34"/>
      </w:r>
      <w:r w:rsidRPr="005F0652">
        <w:rPr>
          <w:rFonts w:eastAsiaTheme="minorEastAsia"/>
          <w:spacing w:val="-2"/>
          <w:sz w:val="22"/>
          <w:szCs w:val="22"/>
          <w:lang w:val="en-GB"/>
        </w:rPr>
        <w:t xml:space="preserve"> To stop the decline of the rupee, the RBI had increased interest rates on foreign currency deposits made by non-resident Indians, and relaxed external commercial borrowing norms for corporations and non-banking financial companies.</w:t>
      </w:r>
      <w:r w:rsidRPr="005F0652">
        <w:rPr>
          <w:rFonts w:eastAsiaTheme="minorEastAsia"/>
          <w:spacing w:val="-2"/>
          <w:sz w:val="22"/>
          <w:szCs w:val="22"/>
          <w:vertAlign w:val="superscript"/>
          <w:lang w:val="en-GB"/>
        </w:rPr>
        <w:endnoteReference w:id="35"/>
      </w:r>
    </w:p>
    <w:p w14:paraId="563773DE" w14:textId="77777777" w:rsidR="005F0652" w:rsidRPr="005F0652" w:rsidRDefault="005F0652" w:rsidP="005F0652">
      <w:pPr>
        <w:jc w:val="both"/>
        <w:rPr>
          <w:rFonts w:eastAsiaTheme="minorEastAsia"/>
          <w:sz w:val="22"/>
          <w:szCs w:val="22"/>
          <w:lang w:val="en-GB"/>
        </w:rPr>
      </w:pPr>
    </w:p>
    <w:p w14:paraId="2864F5AC"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Although growth recovery was in process, inflation rose to double digits in 2009 and 2010 and remained high up to 2013/14 (see Exhibit 10). The rising inflation was a result of multiple factors, such as a mounting fiscal deficit,</w:t>
      </w:r>
      <w:r w:rsidRPr="005F0652">
        <w:rPr>
          <w:rFonts w:eastAsiaTheme="minorEastAsia"/>
          <w:sz w:val="22"/>
          <w:szCs w:val="22"/>
          <w:vertAlign w:val="superscript"/>
          <w:lang w:val="en-GB"/>
        </w:rPr>
        <w:endnoteReference w:id="36"/>
      </w:r>
      <w:r w:rsidRPr="005F0652">
        <w:rPr>
          <w:rFonts w:eastAsiaTheme="minorEastAsia"/>
          <w:sz w:val="22"/>
          <w:szCs w:val="22"/>
          <w:lang w:val="en-GB"/>
        </w:rPr>
        <w:t xml:space="preserve"> supply side constraints in agriculture, a poor investment climate, and political scandals. The RBI had a challenging task of lowering inflation, and it took a series of measures in the form of monetary tightening such as increasing the CRR and the repo rate. The repo rate was increased 13 times—from 4.75 per cent to 8.5 percent from March 2010 to October 2011.</w:t>
      </w:r>
      <w:r w:rsidRPr="005F0652">
        <w:rPr>
          <w:rFonts w:eastAsiaTheme="minorEastAsia"/>
          <w:sz w:val="22"/>
          <w:szCs w:val="22"/>
          <w:vertAlign w:val="superscript"/>
          <w:lang w:val="en-GB"/>
        </w:rPr>
        <w:endnoteReference w:id="37"/>
      </w:r>
      <w:r w:rsidRPr="005F0652">
        <w:rPr>
          <w:rFonts w:eastAsiaTheme="minorEastAsia"/>
          <w:sz w:val="22"/>
          <w:szCs w:val="22"/>
          <w:lang w:val="en-GB"/>
        </w:rPr>
        <w:t xml:space="preserve"> With high inflation, industrialists and critics blamed the RBI’s textbook way of dealing with the inflation. They stated that inflation was a result of supply-side constraints and that any demand-side policy measure might be ineffective in controlling it; demand-side policies would also lower growth due to short-run trade-off.</w:t>
      </w:r>
      <w:r w:rsidRPr="005F0652">
        <w:rPr>
          <w:rFonts w:eastAsiaTheme="minorEastAsia"/>
          <w:sz w:val="22"/>
          <w:szCs w:val="22"/>
          <w:vertAlign w:val="superscript"/>
          <w:lang w:val="en-GB"/>
        </w:rPr>
        <w:endnoteReference w:id="38"/>
      </w:r>
    </w:p>
    <w:p w14:paraId="4431A226" w14:textId="77777777" w:rsidR="005F0652" w:rsidRPr="005F0652" w:rsidRDefault="005F0652" w:rsidP="005F0652">
      <w:pPr>
        <w:jc w:val="both"/>
        <w:rPr>
          <w:rFonts w:eastAsiaTheme="minorEastAsia"/>
          <w:sz w:val="22"/>
          <w:szCs w:val="22"/>
          <w:lang w:val="en-GB"/>
        </w:rPr>
      </w:pPr>
    </w:p>
    <w:p w14:paraId="3F265D67" w14:textId="77777777" w:rsidR="005F0652" w:rsidRPr="005F0652" w:rsidRDefault="005F0652" w:rsidP="005F0652">
      <w:pPr>
        <w:jc w:val="both"/>
        <w:rPr>
          <w:rFonts w:eastAsiaTheme="minorEastAsia"/>
          <w:spacing w:val="-2"/>
          <w:sz w:val="22"/>
          <w:szCs w:val="22"/>
          <w:lang w:val="en-GB"/>
        </w:rPr>
      </w:pPr>
      <w:r w:rsidRPr="005F0652">
        <w:rPr>
          <w:rFonts w:eastAsiaTheme="minorEastAsia"/>
          <w:spacing w:val="-2"/>
          <w:sz w:val="22"/>
          <w:szCs w:val="22"/>
          <w:lang w:val="en-GB"/>
        </w:rPr>
        <w:t>India’s BoP position also worsened from 2007/08 to 2012/13, with deterioration in its current account deficit.</w:t>
      </w:r>
      <w:r w:rsidRPr="005F0652">
        <w:rPr>
          <w:rFonts w:eastAsiaTheme="minorEastAsia"/>
          <w:sz w:val="22"/>
          <w:szCs w:val="22"/>
          <w:vertAlign w:val="superscript"/>
          <w:lang w:val="en-GB"/>
        </w:rPr>
        <w:endnoteReference w:id="39"/>
      </w:r>
      <w:r w:rsidRPr="005F0652">
        <w:rPr>
          <w:rFonts w:eastAsiaTheme="minorEastAsia"/>
          <w:spacing w:val="-2"/>
          <w:sz w:val="22"/>
          <w:szCs w:val="22"/>
          <w:lang w:val="en-GB"/>
        </w:rPr>
        <w:t xml:space="preserve"> In 2011/12, India experienced an overall BoP deficit, which resulted in the loss of foreign exchange reserves. A rising current account deficit was matched with non-foreign direct investment capital flows, which were deemed risky and could flow out of the country at any time. India was facing multiple problems such as rising inflation, low growth, and a current account deficit. Economic growth showed a slowdown from 2011 to 2012 (see Exhibit 10). One of the causes of high inflation was the government’s high fiscal deficit, which was affecting the competitiveness of India’s exports, thus leading to the BoP current account deficit.</w:t>
      </w:r>
      <w:r w:rsidRPr="005F0652">
        <w:rPr>
          <w:rFonts w:eastAsiaTheme="minorEastAsia"/>
          <w:sz w:val="22"/>
          <w:szCs w:val="22"/>
          <w:vertAlign w:val="superscript"/>
          <w:lang w:val="en-GB"/>
        </w:rPr>
        <w:endnoteReference w:id="40"/>
      </w:r>
    </w:p>
    <w:p w14:paraId="3DDA0AD7" w14:textId="77777777" w:rsidR="005F0652" w:rsidRPr="005F0652" w:rsidRDefault="005F0652" w:rsidP="005F0652">
      <w:pPr>
        <w:jc w:val="both"/>
        <w:rPr>
          <w:rFonts w:eastAsiaTheme="minorEastAsia"/>
          <w:spacing w:val="-2"/>
          <w:sz w:val="22"/>
          <w:szCs w:val="22"/>
          <w:lang w:val="en-GB"/>
        </w:rPr>
      </w:pPr>
    </w:p>
    <w:p w14:paraId="70DEAC73" w14:textId="77777777" w:rsidR="005F0652" w:rsidRPr="005F0652" w:rsidRDefault="005F0652" w:rsidP="005F0652">
      <w:pPr>
        <w:jc w:val="both"/>
        <w:rPr>
          <w:rFonts w:eastAsiaTheme="minorEastAsia"/>
          <w:spacing w:val="-2"/>
          <w:sz w:val="22"/>
          <w:szCs w:val="22"/>
          <w:lang w:val="en-GB"/>
        </w:rPr>
      </w:pPr>
      <w:r w:rsidRPr="005F0652">
        <w:rPr>
          <w:rFonts w:eastAsiaTheme="minorEastAsia"/>
          <w:spacing w:val="-2"/>
          <w:sz w:val="22"/>
          <w:szCs w:val="22"/>
          <w:lang w:val="en-GB"/>
        </w:rPr>
        <w:t>In 2012/13, the RBI intervened in the foreign exchange market and took a series of measures: it tightened liquidity,</w:t>
      </w:r>
      <w:r w:rsidRPr="005F0652">
        <w:rPr>
          <w:rFonts w:eastAsiaTheme="minorEastAsia"/>
          <w:sz w:val="22"/>
          <w:szCs w:val="22"/>
          <w:vertAlign w:val="superscript"/>
          <w:lang w:val="en-GB"/>
        </w:rPr>
        <w:endnoteReference w:id="41"/>
      </w:r>
      <w:r w:rsidRPr="005F0652">
        <w:rPr>
          <w:rFonts w:eastAsiaTheme="minorEastAsia"/>
          <w:spacing w:val="-2"/>
          <w:sz w:val="22"/>
          <w:szCs w:val="22"/>
          <w:lang w:val="en-GB"/>
        </w:rPr>
        <w:t xml:space="preserve"> raised interest rates,</w:t>
      </w:r>
      <w:r w:rsidRPr="005F0652">
        <w:rPr>
          <w:rFonts w:eastAsiaTheme="minorEastAsia"/>
          <w:sz w:val="22"/>
          <w:szCs w:val="22"/>
          <w:vertAlign w:val="superscript"/>
          <w:lang w:val="en-GB"/>
        </w:rPr>
        <w:endnoteReference w:id="42"/>
      </w:r>
      <w:r w:rsidRPr="005F0652">
        <w:rPr>
          <w:rFonts w:eastAsiaTheme="minorEastAsia"/>
          <w:spacing w:val="-2"/>
          <w:sz w:val="22"/>
          <w:szCs w:val="22"/>
          <w:lang w:val="en-GB"/>
        </w:rPr>
        <w:t xml:space="preserve"> and curbed certain types of capital outflows. The government also raised the tariff on gold imports to bring down the current account deficit.</w:t>
      </w:r>
      <w:r w:rsidRPr="005F0652">
        <w:rPr>
          <w:rFonts w:eastAsiaTheme="minorEastAsia"/>
          <w:sz w:val="22"/>
          <w:szCs w:val="22"/>
          <w:vertAlign w:val="superscript"/>
          <w:lang w:val="en-GB"/>
        </w:rPr>
        <w:endnoteReference w:id="43"/>
      </w:r>
      <w:r w:rsidRPr="005F0652">
        <w:rPr>
          <w:rFonts w:eastAsiaTheme="minorEastAsia"/>
          <w:spacing w:val="-2"/>
          <w:sz w:val="22"/>
          <w:szCs w:val="22"/>
          <w:lang w:val="en-GB"/>
        </w:rPr>
        <w:t xml:space="preserve"> Poor economic performance took a toll on the banking sector’s performance as borrowers faced difficulty in repaying loans.</w:t>
      </w:r>
    </w:p>
    <w:p w14:paraId="298AA985" w14:textId="77777777" w:rsidR="005F0652" w:rsidRPr="005F0652" w:rsidRDefault="005F0652" w:rsidP="005F0652">
      <w:pPr>
        <w:jc w:val="both"/>
        <w:rPr>
          <w:rFonts w:eastAsiaTheme="minorEastAsia"/>
          <w:sz w:val="22"/>
          <w:szCs w:val="22"/>
          <w:lang w:val="en-GB"/>
        </w:rPr>
      </w:pPr>
    </w:p>
    <w:p w14:paraId="479622F7" w14:textId="77777777" w:rsidR="005F0652" w:rsidRPr="005F0652" w:rsidRDefault="005F0652" w:rsidP="005F0652">
      <w:pPr>
        <w:jc w:val="both"/>
        <w:rPr>
          <w:rFonts w:eastAsiaTheme="minorEastAsia"/>
          <w:sz w:val="22"/>
          <w:szCs w:val="22"/>
          <w:lang w:val="en-GB"/>
        </w:rPr>
      </w:pPr>
    </w:p>
    <w:p w14:paraId="65C83ACA" w14:textId="77777777" w:rsidR="005F0652" w:rsidRPr="005F0652" w:rsidRDefault="005F0652" w:rsidP="005F0652">
      <w:pPr>
        <w:keepNext/>
        <w:jc w:val="both"/>
        <w:rPr>
          <w:rFonts w:ascii="Arial" w:eastAsiaTheme="minorEastAsia" w:hAnsi="Arial" w:cs="Arial"/>
          <w:b/>
          <w:caps/>
          <w:lang w:val="en-GB"/>
        </w:rPr>
      </w:pPr>
      <w:r w:rsidRPr="005F0652">
        <w:rPr>
          <w:rFonts w:ascii="Arial" w:eastAsiaTheme="minorEastAsia" w:hAnsi="Arial" w:cs="Arial"/>
          <w:b/>
          <w:caps/>
          <w:lang w:val="en-GB"/>
        </w:rPr>
        <w:t>STRESSED ASSETS: THE ROAD TO THE BAD BANK</w:t>
      </w:r>
    </w:p>
    <w:p w14:paraId="4D844826" w14:textId="77777777" w:rsidR="005F0652" w:rsidRPr="005F0652" w:rsidRDefault="005F0652" w:rsidP="005F0652">
      <w:pPr>
        <w:jc w:val="both"/>
        <w:rPr>
          <w:rFonts w:eastAsiaTheme="minorEastAsia"/>
          <w:sz w:val="22"/>
          <w:szCs w:val="22"/>
          <w:lang w:val="en-GB"/>
        </w:rPr>
      </w:pPr>
    </w:p>
    <w:p w14:paraId="66D0C1CE"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Stressed assets in Indian commercial banks were a result of bank-specific and macroeconomic factors. Rajan said high NPAs in banks were a result of global and domestic economic slowdown, statutory delays in project approval, aggressive lending during financial upturn, laxity in credit-risk appraisal, wilful defaults, loan frauds, and corruption in banks’ lending practices.</w:t>
      </w:r>
      <w:r w:rsidRPr="005F0652">
        <w:rPr>
          <w:rFonts w:eastAsiaTheme="minorEastAsia"/>
          <w:sz w:val="22"/>
          <w:szCs w:val="22"/>
          <w:vertAlign w:val="superscript"/>
          <w:lang w:val="en-GB"/>
        </w:rPr>
        <w:endnoteReference w:id="44"/>
      </w:r>
      <w:r w:rsidRPr="005F0652">
        <w:rPr>
          <w:rFonts w:eastAsiaTheme="minorEastAsia"/>
          <w:sz w:val="22"/>
          <w:szCs w:val="22"/>
          <w:lang w:val="en-GB"/>
        </w:rPr>
        <w:t xml:space="preserve"> According to Charan Singh, former RBI Chair Professor at IIM Bangalore, the high NPAs in public sector banks were the result of inefficiencies in the credit allocation and recovery mechanisms of banks.</w:t>
      </w:r>
      <w:r w:rsidRPr="005F0652">
        <w:rPr>
          <w:rFonts w:eastAsiaTheme="minorEastAsia"/>
          <w:sz w:val="22"/>
          <w:szCs w:val="22"/>
          <w:vertAlign w:val="superscript"/>
          <w:lang w:val="en-GB"/>
        </w:rPr>
        <w:endnoteReference w:id="45"/>
      </w:r>
      <w:r w:rsidRPr="005F0652">
        <w:rPr>
          <w:rFonts w:eastAsiaTheme="minorEastAsia"/>
          <w:sz w:val="22"/>
          <w:szCs w:val="22"/>
          <w:lang w:val="en-GB"/>
        </w:rPr>
        <w:t xml:space="preserve"> Kalpana Morparia, chief executive officer of JP Morgan India, remarked that high NPAs in public sector banks were a result of exposure to projects these banks had invested in. When these projects exceeded time and cost budgets due to external factors, servicing debt became difficult, and, hence, restructuring was required.</w:t>
      </w:r>
      <w:r w:rsidRPr="005F0652">
        <w:rPr>
          <w:rFonts w:eastAsiaTheme="minorEastAsia"/>
          <w:sz w:val="22"/>
          <w:szCs w:val="22"/>
          <w:vertAlign w:val="superscript"/>
          <w:lang w:val="en-GB"/>
        </w:rPr>
        <w:endnoteReference w:id="46"/>
      </w:r>
      <w:r w:rsidRPr="005F0652">
        <w:rPr>
          <w:rFonts w:eastAsiaTheme="minorEastAsia"/>
          <w:sz w:val="22"/>
          <w:szCs w:val="22"/>
          <w:lang w:val="en-GB"/>
        </w:rPr>
        <w:t xml:space="preserve"> According to the government, the high NPAs in public sector banks were a result of several factors, including slothful domestic growth in the past, slow recovery of the global economy, and uncertainty in the global markets.</w:t>
      </w:r>
      <w:r w:rsidRPr="005F0652">
        <w:rPr>
          <w:rFonts w:eastAsiaTheme="minorEastAsia"/>
          <w:sz w:val="22"/>
          <w:szCs w:val="22"/>
          <w:vertAlign w:val="superscript"/>
          <w:lang w:val="en-GB"/>
        </w:rPr>
        <w:endnoteReference w:id="47"/>
      </w:r>
    </w:p>
    <w:p w14:paraId="71A7DA2B" w14:textId="77777777" w:rsidR="005F0652" w:rsidRPr="005F0652" w:rsidRDefault="005F0652" w:rsidP="005F0652">
      <w:pPr>
        <w:jc w:val="both"/>
        <w:rPr>
          <w:rFonts w:eastAsiaTheme="minorEastAsia"/>
          <w:sz w:val="22"/>
          <w:szCs w:val="22"/>
          <w:lang w:val="en-GB"/>
        </w:rPr>
      </w:pPr>
    </w:p>
    <w:p w14:paraId="4F6997C2"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 xml:space="preserve">According to Ram Mohan, professor at the Indian Institute of Management Ahmedabad, high NPAs in public sector banks were a result of the nature of loans made by public sector banks and the many shocks they had been exposed to. Incompetence and corruption could partially explain surging NPAs in banks. Almost half of the stressed assets were in sectors like infrastructure, iron and steel, mining, textiles, and aviation. The infrastructure boom of 2004–2008 was led by public sector banks, and they had greater </w:t>
      </w:r>
      <w:r w:rsidRPr="005F0652">
        <w:rPr>
          <w:rFonts w:eastAsiaTheme="minorEastAsia"/>
          <w:sz w:val="22"/>
          <w:szCs w:val="22"/>
          <w:lang w:val="en-GB"/>
        </w:rPr>
        <w:lastRenderedPageBreak/>
        <w:t>exposure to these sectors. Also, public sector banks were facing the lagged impact of the global financial crisis of 2008, which had affected banks worldwide.</w:t>
      </w:r>
      <w:r w:rsidRPr="005F0652">
        <w:rPr>
          <w:rFonts w:eastAsiaTheme="minorEastAsia"/>
          <w:sz w:val="22"/>
          <w:szCs w:val="22"/>
          <w:vertAlign w:val="superscript"/>
          <w:lang w:val="en-GB"/>
        </w:rPr>
        <w:endnoteReference w:id="48"/>
      </w:r>
      <w:r w:rsidRPr="005F0652">
        <w:rPr>
          <w:rFonts w:eastAsiaTheme="minorEastAsia"/>
          <w:sz w:val="22"/>
          <w:szCs w:val="22"/>
          <w:lang w:val="en-GB"/>
        </w:rPr>
        <w:t xml:space="preserve"> A popular press article highlighting the overview of a report by Viral Acharya, deputy governor at the RBI, mentioned that high NPAs in public sector banks were a result of their lending at non-optimal conditions to non-viable enterprises, welfare schemes, and lending to other public enterprises.</w:t>
      </w:r>
      <w:r w:rsidRPr="005F0652">
        <w:rPr>
          <w:rFonts w:eastAsiaTheme="minorEastAsia"/>
          <w:sz w:val="22"/>
          <w:szCs w:val="22"/>
          <w:vertAlign w:val="superscript"/>
          <w:lang w:val="en-GB"/>
        </w:rPr>
        <w:endnoteReference w:id="49"/>
      </w:r>
    </w:p>
    <w:p w14:paraId="20EFDC4C" w14:textId="77777777" w:rsidR="005F0652" w:rsidRPr="005F0652" w:rsidRDefault="005F0652" w:rsidP="005F0652">
      <w:pPr>
        <w:jc w:val="both"/>
        <w:rPr>
          <w:rFonts w:eastAsiaTheme="minorEastAsia"/>
          <w:sz w:val="22"/>
          <w:szCs w:val="22"/>
          <w:lang w:val="en-GB"/>
        </w:rPr>
      </w:pPr>
    </w:p>
    <w:p w14:paraId="2CE31BE3"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In a study that examined the determinants of NPAs in the Indian banking sector, construction expenditure, stock market index, GDP, foreign exchange reserves, and growth rate in per capita income were found to have had an inverse relationship with bank NPAs.</w:t>
      </w:r>
      <w:r w:rsidRPr="005F0652">
        <w:rPr>
          <w:rFonts w:eastAsiaTheme="minorEastAsia"/>
          <w:sz w:val="22"/>
          <w:szCs w:val="22"/>
          <w:vertAlign w:val="superscript"/>
          <w:lang w:val="en-GB"/>
        </w:rPr>
        <w:endnoteReference w:id="50"/>
      </w:r>
      <w:r w:rsidRPr="005F0652">
        <w:rPr>
          <w:rFonts w:eastAsiaTheme="minorEastAsia"/>
          <w:sz w:val="22"/>
          <w:szCs w:val="22"/>
          <w:lang w:val="en-GB"/>
        </w:rPr>
        <w:t xml:space="preserve"> Another study investigated the determinants of stressed assets in Indian commercial banks from 2003/04 to 2013/14. An increase in past credit growth, excessive lending by banks, poor screening, and adverse selection problems had led to an increase in the banks’ current stressed assets.</w:t>
      </w:r>
      <w:r w:rsidRPr="005F0652">
        <w:rPr>
          <w:rFonts w:eastAsiaTheme="minorEastAsia"/>
          <w:sz w:val="22"/>
          <w:szCs w:val="22"/>
          <w:vertAlign w:val="superscript"/>
          <w:lang w:val="en-GB"/>
        </w:rPr>
        <w:endnoteReference w:id="51"/>
      </w:r>
      <w:r w:rsidRPr="005F0652">
        <w:rPr>
          <w:rFonts w:eastAsiaTheme="minorEastAsia"/>
          <w:sz w:val="22"/>
          <w:szCs w:val="22"/>
          <w:lang w:val="en-GB"/>
        </w:rPr>
        <w:t xml:space="preserve"> </w:t>
      </w:r>
    </w:p>
    <w:p w14:paraId="1FB1A9DC" w14:textId="77777777" w:rsidR="005F0652" w:rsidRPr="005F0652" w:rsidRDefault="005F0652" w:rsidP="005F0652">
      <w:pPr>
        <w:jc w:val="both"/>
        <w:rPr>
          <w:rFonts w:eastAsiaTheme="minorEastAsia"/>
          <w:sz w:val="22"/>
          <w:szCs w:val="22"/>
          <w:lang w:val="en-GB"/>
        </w:rPr>
      </w:pPr>
    </w:p>
    <w:p w14:paraId="7DCE20F4"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It was feared that the demonetization move of 2016</w:t>
      </w:r>
      <w:r w:rsidRPr="005F0652">
        <w:rPr>
          <w:rFonts w:eastAsiaTheme="minorEastAsia"/>
          <w:sz w:val="22"/>
          <w:szCs w:val="22"/>
          <w:vertAlign w:val="superscript"/>
          <w:lang w:val="en-GB"/>
        </w:rPr>
        <w:endnoteReference w:id="52"/>
      </w:r>
      <w:r w:rsidRPr="005F0652">
        <w:rPr>
          <w:rFonts w:eastAsiaTheme="minorEastAsia"/>
          <w:sz w:val="22"/>
          <w:szCs w:val="22"/>
          <w:lang w:val="en-GB"/>
        </w:rPr>
        <w:t xml:space="preserve"> might also lead to an increase in NPAs: demonetization could lead to a liquidity crisis, which might affect the debt servicing capacity of small and medium-sized enterprises. Along with a delay in outstanding investment projects, this could result in increasing bank NPAs.</w:t>
      </w:r>
      <w:r w:rsidRPr="005F0652">
        <w:rPr>
          <w:rFonts w:eastAsiaTheme="minorEastAsia"/>
          <w:sz w:val="22"/>
          <w:szCs w:val="22"/>
          <w:vertAlign w:val="superscript"/>
          <w:lang w:val="en-GB"/>
        </w:rPr>
        <w:endnoteReference w:id="53"/>
      </w:r>
      <w:r w:rsidRPr="005F0652">
        <w:rPr>
          <w:rFonts w:eastAsiaTheme="minorEastAsia"/>
          <w:sz w:val="22"/>
          <w:szCs w:val="22"/>
          <w:lang w:val="en-GB"/>
        </w:rPr>
        <w:t xml:space="preserve"> </w:t>
      </w:r>
    </w:p>
    <w:p w14:paraId="67D32E25" w14:textId="77777777" w:rsidR="005F0652" w:rsidRPr="005F0652" w:rsidRDefault="005F0652" w:rsidP="005F0652">
      <w:pPr>
        <w:jc w:val="both"/>
        <w:rPr>
          <w:rFonts w:eastAsiaTheme="minorEastAsia"/>
          <w:sz w:val="22"/>
          <w:szCs w:val="22"/>
          <w:lang w:val="en-GB"/>
        </w:rPr>
      </w:pPr>
    </w:p>
    <w:p w14:paraId="2B9E24DF"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Robust economic growth and performance could take care of the rising NPA problem in Indian banks. A necessary prerequisite for this was greater public and private investment.</w:t>
      </w:r>
      <w:r w:rsidRPr="005F0652">
        <w:rPr>
          <w:rFonts w:eastAsiaTheme="minorEastAsia"/>
          <w:sz w:val="22"/>
          <w:szCs w:val="22"/>
          <w:vertAlign w:val="superscript"/>
          <w:lang w:val="en-GB"/>
        </w:rPr>
        <w:endnoteReference w:id="54"/>
      </w:r>
      <w:r w:rsidRPr="005F0652">
        <w:rPr>
          <w:rFonts w:eastAsiaTheme="minorEastAsia"/>
          <w:sz w:val="22"/>
          <w:szCs w:val="22"/>
          <w:lang w:val="en-GB"/>
        </w:rPr>
        <w:t xml:space="preserve"> In his study on stressed assets in Indian commercial banks, Amaresh Samantaraya highlighted that governance structure in banks may have played a crucial role in rising NPAs in banks.</w:t>
      </w:r>
      <w:r w:rsidRPr="005F0652">
        <w:rPr>
          <w:rFonts w:eastAsiaTheme="minorEastAsia"/>
          <w:sz w:val="22"/>
          <w:szCs w:val="22"/>
          <w:vertAlign w:val="superscript"/>
          <w:lang w:val="en-GB"/>
        </w:rPr>
        <w:endnoteReference w:id="55"/>
      </w:r>
      <w:r w:rsidRPr="005F0652">
        <w:rPr>
          <w:rFonts w:eastAsiaTheme="minorEastAsia"/>
          <w:sz w:val="22"/>
          <w:szCs w:val="22"/>
          <w:lang w:val="en-GB"/>
        </w:rPr>
        <w:t xml:space="preserve"> A popular press article pointed out that in the long-term structural issues like appraisal standards, credit delivery mechanisms and bank governance needed to be addressed to tackle the festering asset quality crisis in Indian public sector banks.</w:t>
      </w:r>
      <w:r w:rsidRPr="005F0652">
        <w:rPr>
          <w:rFonts w:eastAsiaTheme="minorEastAsia"/>
          <w:sz w:val="22"/>
          <w:szCs w:val="22"/>
          <w:vertAlign w:val="superscript"/>
          <w:lang w:val="en-GB"/>
        </w:rPr>
        <w:endnoteReference w:id="56"/>
      </w:r>
      <w:r w:rsidRPr="005F0652">
        <w:rPr>
          <w:rFonts w:eastAsiaTheme="minorEastAsia"/>
          <w:sz w:val="22"/>
          <w:szCs w:val="22"/>
          <w:lang w:val="en-GB"/>
        </w:rPr>
        <w:t xml:space="preserve"> </w:t>
      </w:r>
    </w:p>
    <w:p w14:paraId="6CF95A46" w14:textId="77777777" w:rsidR="005F0652" w:rsidRPr="005F0652" w:rsidRDefault="005F0652" w:rsidP="005F0652">
      <w:pPr>
        <w:jc w:val="both"/>
        <w:rPr>
          <w:rFonts w:eastAsiaTheme="minorEastAsia"/>
          <w:sz w:val="22"/>
          <w:szCs w:val="22"/>
          <w:lang w:val="en-GB"/>
        </w:rPr>
      </w:pPr>
    </w:p>
    <w:p w14:paraId="35091269" w14:textId="77777777" w:rsidR="005F0652" w:rsidRPr="005F0652" w:rsidRDefault="005F0652" w:rsidP="005F0652">
      <w:pPr>
        <w:jc w:val="both"/>
        <w:rPr>
          <w:rFonts w:eastAsiaTheme="minorEastAsia"/>
          <w:spacing w:val="-2"/>
          <w:sz w:val="22"/>
          <w:szCs w:val="22"/>
          <w:lang w:val="en-GB"/>
        </w:rPr>
      </w:pPr>
      <w:r w:rsidRPr="005F0652">
        <w:rPr>
          <w:rFonts w:eastAsiaTheme="minorEastAsia"/>
          <w:spacing w:val="-2"/>
          <w:sz w:val="22"/>
          <w:szCs w:val="22"/>
          <w:lang w:val="en-GB"/>
        </w:rPr>
        <w:t>Crony capitalism and political interference may have also influenced rising stressed assets in banks. According to Saurabh Tripathi, senior partner and managing director at the Boston Consulting Group, high NPAs were a result of economic governance. To put the blame entirely on public sector banks was to absolve the government and its political interference. The primary cause was not the public sector banks but the constraints and influence under which they operated.</w:t>
      </w:r>
      <w:r w:rsidRPr="005F0652">
        <w:rPr>
          <w:rFonts w:eastAsiaTheme="minorEastAsia"/>
          <w:spacing w:val="-2"/>
          <w:sz w:val="22"/>
          <w:szCs w:val="22"/>
          <w:vertAlign w:val="superscript"/>
          <w:lang w:val="en-GB"/>
        </w:rPr>
        <w:endnoteReference w:id="57"/>
      </w:r>
      <w:r w:rsidRPr="005F0652">
        <w:rPr>
          <w:rFonts w:eastAsiaTheme="minorEastAsia"/>
          <w:spacing w:val="-2"/>
          <w:sz w:val="22"/>
          <w:szCs w:val="22"/>
          <w:lang w:val="en-GB"/>
        </w:rPr>
        <w:t xml:space="preserve"> The political interference forced banks to lend to unviable business ventures, thus increasing their non-performing loans. The government pushed loans out of banks to the corporate business houses, making banks’ balance sheets red with rising bad loans.</w:t>
      </w:r>
      <w:r w:rsidRPr="005F0652">
        <w:rPr>
          <w:rFonts w:eastAsiaTheme="minorEastAsia"/>
          <w:spacing w:val="-2"/>
          <w:sz w:val="22"/>
          <w:szCs w:val="22"/>
          <w:vertAlign w:val="superscript"/>
          <w:lang w:val="en-GB"/>
        </w:rPr>
        <w:endnoteReference w:id="58"/>
      </w:r>
      <w:r w:rsidRPr="005F0652">
        <w:rPr>
          <w:rFonts w:eastAsiaTheme="minorEastAsia"/>
          <w:spacing w:val="-2"/>
          <w:sz w:val="22"/>
          <w:szCs w:val="22"/>
          <w:lang w:val="en-GB"/>
        </w:rPr>
        <w:t xml:space="preserve"> </w:t>
      </w:r>
    </w:p>
    <w:p w14:paraId="38141E09" w14:textId="77777777" w:rsidR="005F0652" w:rsidRPr="005F0652" w:rsidRDefault="005F0652" w:rsidP="005F0652">
      <w:pPr>
        <w:jc w:val="both"/>
        <w:rPr>
          <w:rFonts w:eastAsiaTheme="minorEastAsia"/>
          <w:sz w:val="22"/>
          <w:szCs w:val="22"/>
          <w:lang w:val="en-GB"/>
        </w:rPr>
      </w:pPr>
    </w:p>
    <w:p w14:paraId="76D11B94"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The executive director of the United Bank of India, Sanjay Arya, remarked that political interference was a challenge for recovery. He said that the bank was under pressure to give loans to small farmers and businesspeople in eastern states.</w:t>
      </w:r>
      <w:r w:rsidRPr="005F0652">
        <w:rPr>
          <w:rFonts w:eastAsiaTheme="minorEastAsia"/>
          <w:sz w:val="22"/>
          <w:szCs w:val="22"/>
          <w:vertAlign w:val="superscript"/>
          <w:lang w:val="en-GB"/>
        </w:rPr>
        <w:endnoteReference w:id="59"/>
      </w:r>
      <w:r w:rsidRPr="005F0652">
        <w:rPr>
          <w:rFonts w:eastAsiaTheme="minorEastAsia"/>
          <w:sz w:val="22"/>
          <w:szCs w:val="22"/>
          <w:lang w:val="en-GB"/>
        </w:rPr>
        <w:t xml:space="preserve"> High stressed assets in public sector banks were also a result of political meddling, where the government forced these banks to lend to the priority sector and fulfill certain social and development obligations. In the words of Mythili Bhusnurmath of the </w:t>
      </w:r>
      <w:r w:rsidRPr="005F0652">
        <w:rPr>
          <w:rFonts w:eastAsiaTheme="minorEastAsia"/>
          <w:i/>
          <w:sz w:val="22"/>
          <w:szCs w:val="22"/>
          <w:lang w:val="en-GB"/>
        </w:rPr>
        <w:t>Economic Times</w:t>
      </w:r>
      <w:r w:rsidRPr="005F0652">
        <w:rPr>
          <w:rFonts w:eastAsiaTheme="minorEastAsia"/>
          <w:sz w:val="22"/>
          <w:szCs w:val="22"/>
          <w:lang w:val="en-GB"/>
        </w:rPr>
        <w:t>, “The basic underlying cause for such a high [NPAs] ratio in the public sector banks is government ownership and political interference, and that remained unaddressed.”</w:t>
      </w:r>
      <w:r w:rsidRPr="005F0652">
        <w:rPr>
          <w:rFonts w:eastAsiaTheme="minorEastAsia"/>
          <w:sz w:val="22"/>
          <w:szCs w:val="22"/>
          <w:vertAlign w:val="superscript"/>
          <w:lang w:val="en-GB"/>
        </w:rPr>
        <w:endnoteReference w:id="60"/>
      </w:r>
      <w:r w:rsidRPr="005F0652">
        <w:rPr>
          <w:rFonts w:eastAsiaTheme="minorEastAsia"/>
          <w:sz w:val="22"/>
          <w:szCs w:val="22"/>
          <w:lang w:val="en-GB"/>
        </w:rPr>
        <w:t xml:space="preserve"> </w:t>
      </w:r>
    </w:p>
    <w:p w14:paraId="4F1BF493" w14:textId="77777777" w:rsidR="005F0652" w:rsidRPr="005F0652" w:rsidRDefault="005F0652" w:rsidP="005F0652">
      <w:pPr>
        <w:jc w:val="both"/>
        <w:rPr>
          <w:rFonts w:eastAsiaTheme="minorEastAsia"/>
          <w:sz w:val="22"/>
          <w:szCs w:val="22"/>
          <w:lang w:val="en-GB"/>
        </w:rPr>
      </w:pPr>
    </w:p>
    <w:p w14:paraId="7E829652"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 xml:space="preserve">The asset quality crisis had plagued the performance of commercial banks in India. The situation was worse for public sector banks, where surging bad loans had eroded the profitability, efficiency, and productivity of these government-controlled units. Policy-makers, regulators, and bank managers looked for measures that could curb the rise in stressed assets in these banks because stressed assets had strong implications for the nation’s macroeconomic and financial stability. </w:t>
      </w:r>
    </w:p>
    <w:p w14:paraId="72CDCFB5" w14:textId="77777777" w:rsidR="005F0652" w:rsidRPr="005F0652" w:rsidRDefault="005F0652" w:rsidP="005F0652">
      <w:pPr>
        <w:jc w:val="both"/>
        <w:rPr>
          <w:rFonts w:eastAsiaTheme="minorEastAsia"/>
          <w:sz w:val="22"/>
          <w:szCs w:val="22"/>
          <w:lang w:val="en-GB"/>
        </w:rPr>
      </w:pPr>
    </w:p>
    <w:p w14:paraId="5CA63FC6"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 xml:space="preserve">Indian commercial banks with high stressed assets, capital crunch, low profitability, and so on had contributed to what might have been termed “banking sector paralysis.” In the past, several measures were </w:t>
      </w:r>
      <w:r w:rsidRPr="005F0652">
        <w:rPr>
          <w:rFonts w:eastAsiaTheme="minorEastAsia"/>
          <w:sz w:val="22"/>
          <w:szCs w:val="22"/>
          <w:lang w:val="en-GB"/>
        </w:rPr>
        <w:lastRenderedPageBreak/>
        <w:t>proposed to tackle this massive problem in Indian banks. Some of the crucial measures were privatizing public sector banks, merging weaker banks with the stronger banks, recapitalizing banks, and setting up a bad bank. It was not surprising that the Government of India was not ready to give up its stake in the public sector banks, and so it preferred the consolidation route. Rajan said that the merger of an unhealthy bank with a healthy bank might create trouble for the healthy bank by transferring the risk of the weak bank onto the strong bank’s balance sheet, adversely affecting the books of the strong bank.</w:t>
      </w:r>
      <w:r w:rsidRPr="005F0652">
        <w:rPr>
          <w:rFonts w:eastAsiaTheme="minorEastAsia"/>
          <w:sz w:val="22"/>
          <w:szCs w:val="22"/>
          <w:vertAlign w:val="superscript"/>
          <w:lang w:val="en-GB"/>
        </w:rPr>
        <w:endnoteReference w:id="61"/>
      </w:r>
      <w:r w:rsidRPr="005F0652">
        <w:rPr>
          <w:rFonts w:eastAsiaTheme="minorEastAsia"/>
          <w:sz w:val="22"/>
          <w:szCs w:val="22"/>
          <w:lang w:val="en-GB"/>
        </w:rPr>
        <w:t xml:space="preserve"> Mohan argued that consolidation might not necessarily lead to strong banks. If all the public sector banks were facing stress, consolidation might only add to their problems. Further, human resource issues might aggravate the problem. Rajan also mentioned that privatizing banks was not an insurance and that taxpayers would not have to pay the bills for the failed banks.</w:t>
      </w:r>
      <w:r w:rsidRPr="005F0652">
        <w:rPr>
          <w:rFonts w:eastAsiaTheme="minorEastAsia"/>
          <w:sz w:val="22"/>
          <w:szCs w:val="22"/>
          <w:vertAlign w:val="superscript"/>
          <w:lang w:val="en-GB"/>
        </w:rPr>
        <w:endnoteReference w:id="62"/>
      </w:r>
      <w:r w:rsidRPr="005F0652">
        <w:rPr>
          <w:rFonts w:eastAsiaTheme="minorEastAsia"/>
          <w:sz w:val="22"/>
          <w:szCs w:val="22"/>
          <w:lang w:val="en-GB"/>
        </w:rPr>
        <w:t xml:space="preserve"> </w:t>
      </w:r>
    </w:p>
    <w:p w14:paraId="70E973DB" w14:textId="77777777" w:rsidR="005F0652" w:rsidRPr="005F0652" w:rsidRDefault="005F0652" w:rsidP="005F0652">
      <w:pPr>
        <w:jc w:val="both"/>
        <w:rPr>
          <w:rFonts w:eastAsiaTheme="minorEastAsia"/>
          <w:sz w:val="22"/>
          <w:szCs w:val="22"/>
          <w:lang w:val="en-GB"/>
        </w:rPr>
      </w:pPr>
    </w:p>
    <w:p w14:paraId="470E8C19"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According to a popular press article, the privatization of banks was not the answer to any kind of regulatory weaknesses in banks and would only trade one kind of management failure, like frauds, for another, such as mis-selling products.</w:t>
      </w:r>
      <w:r w:rsidRPr="005F0652">
        <w:rPr>
          <w:rFonts w:eastAsiaTheme="minorEastAsia"/>
          <w:sz w:val="22"/>
          <w:szCs w:val="22"/>
          <w:vertAlign w:val="superscript"/>
          <w:lang w:val="en-GB"/>
        </w:rPr>
        <w:endnoteReference w:id="63"/>
      </w:r>
      <w:r w:rsidRPr="005F0652">
        <w:rPr>
          <w:rFonts w:eastAsiaTheme="minorEastAsia"/>
          <w:sz w:val="22"/>
          <w:szCs w:val="22"/>
          <w:lang w:val="en-GB"/>
        </w:rPr>
        <w:t xml:space="preserve"> Without robust regulatory oversight, controls, and improved governance, the privatization of banks would not be effective in reducing fraud and undue risk. By contrast, the proponents of privatization argued that it made management more accountable to markets, induced competition in the banking sector, reduced the cost of intermediation, and bolstered bank profitability.</w:t>
      </w:r>
      <w:r w:rsidRPr="005F0652">
        <w:rPr>
          <w:rFonts w:eastAsiaTheme="minorEastAsia"/>
          <w:sz w:val="22"/>
          <w:szCs w:val="22"/>
          <w:vertAlign w:val="superscript"/>
          <w:lang w:val="en-GB"/>
        </w:rPr>
        <w:endnoteReference w:id="64"/>
      </w:r>
      <w:r w:rsidRPr="005F0652">
        <w:rPr>
          <w:rFonts w:eastAsiaTheme="minorEastAsia"/>
          <w:sz w:val="22"/>
          <w:szCs w:val="22"/>
          <w:lang w:val="en-GB"/>
        </w:rPr>
        <w:t xml:space="preserve"> </w:t>
      </w:r>
    </w:p>
    <w:p w14:paraId="14217885" w14:textId="77777777" w:rsidR="005F0652" w:rsidRPr="005F0652" w:rsidRDefault="005F0652" w:rsidP="005F0652">
      <w:pPr>
        <w:jc w:val="both"/>
        <w:rPr>
          <w:rFonts w:eastAsiaTheme="minorEastAsia"/>
          <w:sz w:val="22"/>
          <w:szCs w:val="22"/>
          <w:lang w:val="en-GB"/>
        </w:rPr>
      </w:pPr>
    </w:p>
    <w:p w14:paraId="63194D32" w14:textId="77777777" w:rsidR="005F0652" w:rsidRPr="000149EC" w:rsidRDefault="005F0652" w:rsidP="005F0652">
      <w:pPr>
        <w:jc w:val="both"/>
        <w:rPr>
          <w:rFonts w:eastAsiaTheme="minorEastAsia"/>
          <w:spacing w:val="-2"/>
          <w:sz w:val="22"/>
          <w:szCs w:val="22"/>
          <w:lang w:val="en-GB"/>
        </w:rPr>
      </w:pPr>
      <w:r w:rsidRPr="000149EC">
        <w:rPr>
          <w:rFonts w:eastAsiaTheme="minorEastAsia"/>
          <w:spacing w:val="-2"/>
          <w:sz w:val="22"/>
          <w:szCs w:val="22"/>
          <w:lang w:val="en-GB"/>
        </w:rPr>
        <w:t xml:space="preserve">Banks crippled with high NPAs could face capital crunch because their capital might be eroded. If this happened, this could mean that the government might have to recapitalize the banks. The 2015 AQR by the RBI revealed a huge increase in bank NPAs. In 2017/18, a federal budget allocation of </w:t>
      </w:r>
      <w:r w:rsidRPr="000149EC">
        <w:rPr>
          <w:rFonts w:ascii="Arial" w:eastAsiaTheme="minorEastAsia" w:hAnsi="Arial" w:cs="Arial"/>
          <w:spacing w:val="-2"/>
          <w:sz w:val="22"/>
          <w:szCs w:val="22"/>
          <w:lang w:val="en-GB"/>
        </w:rPr>
        <w:t>₹</w:t>
      </w:r>
      <w:r w:rsidRPr="000149EC">
        <w:rPr>
          <w:rFonts w:eastAsiaTheme="minorEastAsia"/>
          <w:spacing w:val="-2"/>
          <w:sz w:val="22"/>
          <w:szCs w:val="22"/>
          <w:lang w:val="en-GB"/>
        </w:rPr>
        <w:t xml:space="preserve">100 billion was made with a provision for additional necessary funds. In 2016/17, </w:t>
      </w:r>
      <w:r w:rsidRPr="000149EC">
        <w:rPr>
          <w:rFonts w:ascii="Arial" w:eastAsiaTheme="minorEastAsia" w:hAnsi="Arial" w:cs="Arial"/>
          <w:spacing w:val="-2"/>
          <w:sz w:val="22"/>
          <w:szCs w:val="22"/>
          <w:lang w:val="en-GB"/>
        </w:rPr>
        <w:t>₹</w:t>
      </w:r>
      <w:r w:rsidRPr="000149EC">
        <w:rPr>
          <w:rFonts w:eastAsiaTheme="minorEastAsia"/>
          <w:spacing w:val="-2"/>
          <w:sz w:val="22"/>
          <w:szCs w:val="22"/>
          <w:lang w:val="en-GB"/>
        </w:rPr>
        <w:t xml:space="preserve">250 billion was allocated for the recapitalization of banks. The recapitalization of banks would put constrains on the fiscal deficit of the government. </w:t>
      </w:r>
      <w:bookmarkStart w:id="17" w:name="_Hlk535746747"/>
      <w:r w:rsidRPr="000149EC">
        <w:rPr>
          <w:rFonts w:eastAsiaTheme="minorEastAsia"/>
          <w:spacing w:val="-2"/>
          <w:sz w:val="22"/>
          <w:szCs w:val="22"/>
          <w:lang w:val="en-GB"/>
        </w:rPr>
        <w:t>Deepak Parekh, chairman of the Housing Development Finance Corporation</w:t>
      </w:r>
      <w:bookmarkEnd w:id="17"/>
      <w:r w:rsidRPr="000149EC">
        <w:rPr>
          <w:rFonts w:eastAsiaTheme="minorEastAsia"/>
          <w:spacing w:val="-2"/>
          <w:sz w:val="22"/>
          <w:szCs w:val="22"/>
          <w:lang w:val="en-GB"/>
        </w:rPr>
        <w:t>, said that the RBI’s “sledgehammer” approach to containing NPAs might be very painful because it might lead to capital crunch in banks.</w:t>
      </w:r>
      <w:r w:rsidRPr="000149EC">
        <w:rPr>
          <w:rFonts w:eastAsiaTheme="minorEastAsia"/>
          <w:spacing w:val="-2"/>
          <w:sz w:val="22"/>
          <w:szCs w:val="22"/>
          <w:vertAlign w:val="superscript"/>
          <w:lang w:val="en-GB"/>
        </w:rPr>
        <w:endnoteReference w:id="65"/>
      </w:r>
      <w:r w:rsidRPr="000149EC">
        <w:rPr>
          <w:rFonts w:eastAsiaTheme="minorEastAsia"/>
          <w:spacing w:val="-2"/>
          <w:sz w:val="22"/>
          <w:szCs w:val="22"/>
          <w:lang w:val="en-GB"/>
        </w:rPr>
        <w:t xml:space="preserve"> </w:t>
      </w:r>
    </w:p>
    <w:p w14:paraId="5CB370EC" w14:textId="77777777" w:rsidR="005F0652" w:rsidRPr="005F0652" w:rsidRDefault="005F0652" w:rsidP="005F0652">
      <w:pPr>
        <w:jc w:val="both"/>
        <w:rPr>
          <w:rFonts w:eastAsiaTheme="minorEastAsia"/>
          <w:sz w:val="22"/>
          <w:szCs w:val="22"/>
          <w:lang w:val="en-GB"/>
        </w:rPr>
      </w:pPr>
    </w:p>
    <w:p w14:paraId="6AFFEDF1"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 xml:space="preserve">The RBI advocated for banks to recognize NPAs more accurately and to identify restructured standard advances as problem assets. An idea floating around was the establishment of a bad bank that could absorb the rising NPAs of public sector banks. It was like a bank selling its NPAs at a discounted price to an asset reconstruction company. The core idea was that a bad bank might focus on loan recovery, for which public sector banks need not bother so they could focus on new business and profitable opportunities. </w:t>
      </w:r>
    </w:p>
    <w:p w14:paraId="77581914" w14:textId="77777777" w:rsidR="005F0652" w:rsidRPr="005F0652" w:rsidRDefault="005F0652" w:rsidP="005F0652">
      <w:pPr>
        <w:jc w:val="both"/>
        <w:rPr>
          <w:rFonts w:eastAsiaTheme="minorEastAsia"/>
          <w:sz w:val="22"/>
          <w:szCs w:val="22"/>
          <w:lang w:val="en-GB"/>
        </w:rPr>
      </w:pPr>
    </w:p>
    <w:p w14:paraId="09C70F14"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Viral Acharya, deputy governor of the RBI, said that the bad bank solution was what India needed to prevent the bad loan wound from festering further.</w:t>
      </w:r>
      <w:r w:rsidRPr="005F0652">
        <w:rPr>
          <w:rFonts w:eastAsiaTheme="minorEastAsia"/>
          <w:sz w:val="22"/>
          <w:szCs w:val="22"/>
          <w:vertAlign w:val="superscript"/>
          <w:lang w:val="en-GB"/>
        </w:rPr>
        <w:endnoteReference w:id="66"/>
      </w:r>
      <w:r w:rsidRPr="005F0652">
        <w:rPr>
          <w:rFonts w:eastAsiaTheme="minorEastAsia"/>
          <w:sz w:val="22"/>
          <w:szCs w:val="22"/>
          <w:lang w:val="en-GB"/>
        </w:rPr>
        <w:t xml:space="preserve"> However, Rajan was against the idea of setting up a bad bank for surging NPAs in weak banks; rather, he felt that banks should recover their dues themselves. He also pointed out that cases where loans were mispriced and transferred to a bad bank could create further issues.</w:t>
      </w:r>
      <w:r w:rsidRPr="005F0652">
        <w:rPr>
          <w:rFonts w:eastAsiaTheme="minorEastAsia"/>
          <w:sz w:val="22"/>
          <w:szCs w:val="22"/>
          <w:vertAlign w:val="superscript"/>
          <w:lang w:val="en-GB"/>
        </w:rPr>
        <w:endnoteReference w:id="67"/>
      </w:r>
      <w:r w:rsidRPr="005F0652">
        <w:rPr>
          <w:rFonts w:eastAsiaTheme="minorEastAsia"/>
          <w:sz w:val="22"/>
          <w:szCs w:val="22"/>
          <w:lang w:val="en-GB"/>
        </w:rPr>
        <w:t xml:space="preserve"> </w:t>
      </w:r>
    </w:p>
    <w:p w14:paraId="349A1AA7" w14:textId="19EFCF00" w:rsidR="005F0652" w:rsidRDefault="005F0652" w:rsidP="005F0652">
      <w:pPr>
        <w:jc w:val="both"/>
        <w:rPr>
          <w:rFonts w:eastAsiaTheme="minorEastAsia"/>
          <w:sz w:val="22"/>
          <w:szCs w:val="22"/>
          <w:lang w:val="en-GB"/>
        </w:rPr>
      </w:pPr>
    </w:p>
    <w:p w14:paraId="6402FFB9" w14:textId="01140BC9" w:rsidR="00940815" w:rsidRPr="009029A5" w:rsidRDefault="00940815" w:rsidP="00940815">
      <w:pPr>
        <w:pStyle w:val="BodyTextMain"/>
        <w:rPr>
          <w:rFonts w:eastAsiaTheme="minorEastAsia"/>
        </w:rPr>
      </w:pPr>
      <w:r>
        <w:rPr>
          <w:rFonts w:eastAsiaTheme="minorEastAsia"/>
        </w:rPr>
        <w:t xml:space="preserve">Another solution mooted by some policy experts was creation of stressed asset funds. </w:t>
      </w:r>
      <w:r w:rsidRPr="009029A5">
        <w:rPr>
          <w:rFonts w:eastAsiaTheme="minorEastAsia"/>
        </w:rPr>
        <w:t xml:space="preserve">The government </w:t>
      </w:r>
      <w:r>
        <w:rPr>
          <w:rFonts w:eastAsiaTheme="minorEastAsia"/>
        </w:rPr>
        <w:t>believed that</w:t>
      </w:r>
      <w:r w:rsidRPr="009029A5">
        <w:rPr>
          <w:rFonts w:eastAsiaTheme="minorEastAsia"/>
        </w:rPr>
        <w:t xml:space="preserve"> stressed asset funds might be similar to a </w:t>
      </w:r>
      <w:r>
        <w:rPr>
          <w:rFonts w:eastAsiaTheme="minorEastAsia"/>
        </w:rPr>
        <w:t>bad bank–like</w:t>
      </w:r>
      <w:r w:rsidRPr="009029A5">
        <w:rPr>
          <w:rFonts w:eastAsiaTheme="minorEastAsia"/>
        </w:rPr>
        <w:t xml:space="preserve"> structure</w:t>
      </w:r>
      <w:r>
        <w:rPr>
          <w:rFonts w:eastAsiaTheme="minorEastAsia"/>
        </w:rPr>
        <w:t>—</w:t>
      </w:r>
      <w:r w:rsidRPr="009029A5">
        <w:rPr>
          <w:rFonts w:eastAsiaTheme="minorEastAsia"/>
        </w:rPr>
        <w:t>except in this case</w:t>
      </w:r>
      <w:r>
        <w:rPr>
          <w:rFonts w:eastAsiaTheme="minorEastAsia"/>
        </w:rPr>
        <w:t>,</w:t>
      </w:r>
      <w:r w:rsidRPr="009029A5">
        <w:rPr>
          <w:rFonts w:eastAsiaTheme="minorEastAsia"/>
        </w:rPr>
        <w:t xml:space="preserve"> the distressed assets would be bought instead of </w:t>
      </w:r>
      <w:r>
        <w:rPr>
          <w:rFonts w:eastAsiaTheme="minorEastAsia"/>
        </w:rPr>
        <w:t>directly</w:t>
      </w:r>
      <w:r w:rsidRPr="009029A5">
        <w:rPr>
          <w:rFonts w:eastAsiaTheme="minorEastAsia"/>
        </w:rPr>
        <w:t xml:space="preserve"> transferred.</w:t>
      </w:r>
      <w:r>
        <w:rPr>
          <w:rFonts w:eastAsiaTheme="minorEastAsia"/>
        </w:rPr>
        <w:t xml:space="preserve"> The </w:t>
      </w:r>
      <w:r w:rsidRPr="009029A5">
        <w:rPr>
          <w:rFonts w:eastAsiaTheme="minorEastAsia"/>
        </w:rPr>
        <w:t xml:space="preserve">State </w:t>
      </w:r>
      <w:r>
        <w:rPr>
          <w:rFonts w:eastAsiaTheme="minorEastAsia"/>
        </w:rPr>
        <w:t>Bank</w:t>
      </w:r>
      <w:r w:rsidRPr="009029A5">
        <w:rPr>
          <w:rFonts w:eastAsiaTheme="minorEastAsia"/>
        </w:rPr>
        <w:t xml:space="preserve"> of India and Brookfield Asset Management </w:t>
      </w:r>
      <w:r>
        <w:rPr>
          <w:rFonts w:eastAsiaTheme="minorEastAsia"/>
        </w:rPr>
        <w:t>set up</w:t>
      </w:r>
      <w:r w:rsidRPr="009029A5">
        <w:rPr>
          <w:rFonts w:eastAsiaTheme="minorEastAsia"/>
        </w:rPr>
        <w:t xml:space="preserve"> a joint venture </w:t>
      </w:r>
      <w:r>
        <w:rPr>
          <w:rFonts w:eastAsiaTheme="minorEastAsia"/>
        </w:rPr>
        <w:t>for a</w:t>
      </w:r>
      <w:r w:rsidRPr="009029A5">
        <w:rPr>
          <w:rFonts w:eastAsiaTheme="minorEastAsia"/>
        </w:rPr>
        <w:t xml:space="preserve"> stressed asset management fund in India.</w:t>
      </w:r>
      <w:r w:rsidRPr="00FA2C71">
        <w:rPr>
          <w:rStyle w:val="EndnoteReference"/>
          <w:rFonts w:eastAsiaTheme="minorEastAsia"/>
        </w:rPr>
        <w:endnoteReference w:id="68"/>
      </w:r>
      <w:r w:rsidRPr="009029A5">
        <w:rPr>
          <w:rFonts w:eastAsiaTheme="minorEastAsia"/>
        </w:rPr>
        <w:t xml:space="preserve"> </w:t>
      </w:r>
      <w:r>
        <w:rPr>
          <w:rFonts w:eastAsiaTheme="minorEastAsia"/>
        </w:rPr>
        <w:t>Investors</w:t>
      </w:r>
      <w:r w:rsidRPr="009029A5">
        <w:rPr>
          <w:rFonts w:eastAsiaTheme="minorEastAsia"/>
        </w:rPr>
        <w:t xml:space="preserve"> like Piramal </w:t>
      </w:r>
      <w:r>
        <w:rPr>
          <w:rFonts w:eastAsiaTheme="minorEastAsia"/>
        </w:rPr>
        <w:t>Enterprises</w:t>
      </w:r>
      <w:r w:rsidRPr="009029A5">
        <w:rPr>
          <w:rFonts w:eastAsiaTheme="minorEastAsia"/>
        </w:rPr>
        <w:t xml:space="preserve">, Bain Capital, </w:t>
      </w:r>
      <w:r>
        <w:rPr>
          <w:rFonts w:eastAsiaTheme="minorEastAsia"/>
        </w:rPr>
        <w:t xml:space="preserve">and </w:t>
      </w:r>
      <w:r w:rsidRPr="009029A5">
        <w:rPr>
          <w:rFonts w:eastAsiaTheme="minorEastAsia"/>
        </w:rPr>
        <w:t>Apollo Global</w:t>
      </w:r>
      <w:r>
        <w:rPr>
          <w:rFonts w:eastAsiaTheme="minorEastAsia"/>
        </w:rPr>
        <w:t xml:space="preserve"> Management were already</w:t>
      </w:r>
      <w:r w:rsidRPr="009029A5">
        <w:rPr>
          <w:rFonts w:eastAsiaTheme="minorEastAsia"/>
        </w:rPr>
        <w:t xml:space="preserve"> in line to purchase the stressed assets of distressed companies.</w:t>
      </w:r>
      <w:r w:rsidRPr="00FA2C71">
        <w:rPr>
          <w:rStyle w:val="EndnoteReference"/>
          <w:rFonts w:eastAsiaTheme="minorEastAsia"/>
        </w:rPr>
        <w:endnoteReference w:id="69"/>
      </w:r>
    </w:p>
    <w:p w14:paraId="02B3F09E" w14:textId="77777777" w:rsidR="00940815" w:rsidRPr="005F0652" w:rsidRDefault="00940815" w:rsidP="005F0652">
      <w:pPr>
        <w:jc w:val="both"/>
        <w:rPr>
          <w:rFonts w:eastAsiaTheme="minorEastAsia"/>
          <w:sz w:val="22"/>
          <w:szCs w:val="22"/>
          <w:lang w:val="en-GB"/>
        </w:rPr>
      </w:pPr>
    </w:p>
    <w:p w14:paraId="16FD4ED7"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The success or failure of these measures could be debated and would only be known after they had been implemented. The merger process, which started with the associate banks merging with the State Bank of India, was completed in April 2017.</w:t>
      </w:r>
      <w:r w:rsidRPr="005F0652">
        <w:rPr>
          <w:rFonts w:eastAsiaTheme="minorEastAsia"/>
          <w:sz w:val="22"/>
          <w:szCs w:val="22"/>
          <w:vertAlign w:val="superscript"/>
          <w:lang w:val="en-GB"/>
        </w:rPr>
        <w:endnoteReference w:id="70"/>
      </w:r>
    </w:p>
    <w:p w14:paraId="0EC63D3D" w14:textId="33B9FAC4" w:rsidR="005F0652" w:rsidRDefault="005F0652" w:rsidP="005F0652">
      <w:pPr>
        <w:jc w:val="both"/>
        <w:rPr>
          <w:rFonts w:eastAsiaTheme="minorEastAsia"/>
          <w:sz w:val="22"/>
          <w:szCs w:val="22"/>
          <w:lang w:val="en-GB"/>
        </w:rPr>
      </w:pPr>
    </w:p>
    <w:p w14:paraId="66280A4D" w14:textId="77777777" w:rsidR="005F0652" w:rsidRPr="005F0652" w:rsidRDefault="005F0652" w:rsidP="005F0652">
      <w:pPr>
        <w:keepNext/>
        <w:jc w:val="both"/>
        <w:rPr>
          <w:rFonts w:ascii="Arial" w:eastAsiaTheme="minorEastAsia" w:hAnsi="Arial" w:cs="Arial"/>
          <w:b/>
          <w:caps/>
          <w:lang w:val="en-GB"/>
        </w:rPr>
      </w:pPr>
      <w:r w:rsidRPr="005F0652">
        <w:rPr>
          <w:rFonts w:ascii="Arial" w:eastAsiaTheme="minorEastAsia" w:hAnsi="Arial" w:cs="Arial"/>
          <w:b/>
          <w:caps/>
          <w:lang w:val="en-GB"/>
        </w:rPr>
        <w:lastRenderedPageBreak/>
        <w:t>THE ROAD AHEAD</w:t>
      </w:r>
    </w:p>
    <w:p w14:paraId="29200E35" w14:textId="77777777" w:rsidR="005F0652" w:rsidRPr="005F0652" w:rsidRDefault="005F0652" w:rsidP="005F0652">
      <w:pPr>
        <w:keepNext/>
        <w:jc w:val="both"/>
        <w:rPr>
          <w:rFonts w:eastAsiaTheme="minorEastAsia"/>
          <w:sz w:val="22"/>
          <w:szCs w:val="22"/>
          <w:lang w:val="en-GB"/>
        </w:rPr>
      </w:pPr>
    </w:p>
    <w:p w14:paraId="4DCDBFC0"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India’s GDP growth rate increased from 7.2 per cent in 2014/15 to 7.6 per cent in 2015/16. Due to improvements in its macroeconomic performance, India was one of the fastest growing major economies, with promising long-term growth prospects.</w:t>
      </w:r>
      <w:r w:rsidRPr="005F0652">
        <w:rPr>
          <w:rFonts w:eastAsiaTheme="minorEastAsia"/>
          <w:sz w:val="22"/>
          <w:szCs w:val="22"/>
          <w:vertAlign w:val="superscript"/>
          <w:lang w:val="en-GB"/>
        </w:rPr>
        <w:endnoteReference w:id="71"/>
      </w:r>
      <w:r w:rsidRPr="005F0652">
        <w:rPr>
          <w:rFonts w:eastAsiaTheme="minorEastAsia"/>
          <w:sz w:val="22"/>
          <w:szCs w:val="22"/>
          <w:lang w:val="en-GB"/>
        </w:rPr>
        <w:t xml:space="preserve"> Consumer price index inflation declined from 5.9 per cent in 2014/15 to 4.8 per cent in April–December 2015.</w:t>
      </w:r>
      <w:r w:rsidRPr="005F0652">
        <w:rPr>
          <w:rFonts w:eastAsiaTheme="minorEastAsia"/>
          <w:sz w:val="22"/>
          <w:szCs w:val="22"/>
          <w:vertAlign w:val="superscript"/>
          <w:lang w:val="en-GB"/>
        </w:rPr>
        <w:endnoteReference w:id="72"/>
      </w:r>
      <w:r w:rsidRPr="005F0652">
        <w:rPr>
          <w:rFonts w:eastAsiaTheme="minorEastAsia"/>
          <w:sz w:val="22"/>
          <w:szCs w:val="22"/>
          <w:lang w:val="en-GB"/>
        </w:rPr>
        <w:t xml:space="preserve"> However, although the Indian economy had recovered since 2014/15, the problems of the banking sector continued to constrain credit growth. One of the impediments to economic growth in 2016/17 was poor bank credit growth (see Exhibit 11), which was partly due to the high NPAs (see Exhibit 12).</w:t>
      </w:r>
    </w:p>
    <w:p w14:paraId="694200F0" w14:textId="77777777" w:rsidR="005F0652" w:rsidRPr="005F0652" w:rsidRDefault="005F0652" w:rsidP="005F0652">
      <w:pPr>
        <w:jc w:val="both"/>
        <w:rPr>
          <w:rFonts w:eastAsiaTheme="minorEastAsia"/>
          <w:sz w:val="22"/>
          <w:szCs w:val="22"/>
          <w:lang w:val="en-GB"/>
        </w:rPr>
      </w:pPr>
    </w:p>
    <w:p w14:paraId="242AEF60"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 xml:space="preserve">It was quite clear that the asset quality crisis was one of the biggest challenges in the Indian banking sector. The AQR by the RBI made it clear that the problem was much larger in magnitude than originally thought because commercial banks had recorded extensive losses due to surging bad loans and their huge provisioning requirements. It was felt that the treatment of the asset quality crisis should be at the preventive level rather than at the curative level. The NPAs problem was deep-rooted, complex, and the outcome of a combination of political, bank-specific, and macroeconomic factors. </w:t>
      </w:r>
    </w:p>
    <w:p w14:paraId="1E2DF6D7" w14:textId="77777777" w:rsidR="005F0652" w:rsidRPr="005F0652" w:rsidRDefault="005F0652" w:rsidP="005F0652">
      <w:pPr>
        <w:jc w:val="both"/>
        <w:rPr>
          <w:rFonts w:eastAsiaTheme="minorEastAsia"/>
          <w:sz w:val="22"/>
          <w:szCs w:val="22"/>
          <w:lang w:val="en-GB"/>
        </w:rPr>
      </w:pPr>
    </w:p>
    <w:p w14:paraId="64635C16"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 xml:space="preserve">An important measure initiated was the passing of the </w:t>
      </w:r>
      <w:r w:rsidRPr="005F0652">
        <w:rPr>
          <w:rFonts w:eastAsiaTheme="minorEastAsia"/>
          <w:i/>
          <w:iCs/>
          <w:sz w:val="22"/>
          <w:szCs w:val="22"/>
          <w:lang w:val="en-GB"/>
        </w:rPr>
        <w:t>Insolvency and Bankruptcy Code, 2016</w:t>
      </w:r>
      <w:r w:rsidRPr="005F0652">
        <w:rPr>
          <w:rFonts w:eastAsiaTheme="minorEastAsia"/>
          <w:sz w:val="22"/>
          <w:szCs w:val="22"/>
          <w:lang w:val="en-GB"/>
        </w:rPr>
        <w:t xml:space="preserve"> (IBC), which discussed the ways that creditors could recover their claims from firms that had gone bankrupt. The IBC introduced a uniform insolvency code for companies, partnership firms, and individuals. It also had provisions for insolvency professionals, with the Insolvency and Bankruptcy Board of India as the regulatory body. Mohan pointed out that the code could do little about the problem of NPAs in banks; at best, the IBC could address future NPAs.</w:t>
      </w:r>
      <w:r w:rsidRPr="005F0652">
        <w:rPr>
          <w:rFonts w:eastAsiaTheme="minorEastAsia"/>
          <w:sz w:val="22"/>
          <w:szCs w:val="22"/>
          <w:vertAlign w:val="superscript"/>
          <w:lang w:val="en-GB"/>
        </w:rPr>
        <w:endnoteReference w:id="73"/>
      </w:r>
    </w:p>
    <w:p w14:paraId="52D0AADB" w14:textId="77777777" w:rsidR="005F0652" w:rsidRPr="005F0652" w:rsidRDefault="005F0652" w:rsidP="005F0652">
      <w:pPr>
        <w:jc w:val="both"/>
        <w:rPr>
          <w:rFonts w:eastAsiaTheme="minorEastAsia"/>
          <w:sz w:val="22"/>
          <w:szCs w:val="22"/>
          <w:lang w:val="en-GB"/>
        </w:rPr>
      </w:pPr>
    </w:p>
    <w:p w14:paraId="2A377EDC" w14:textId="77777777" w:rsidR="005F0652" w:rsidRPr="005F0652" w:rsidRDefault="005F0652" w:rsidP="005F0652">
      <w:pPr>
        <w:jc w:val="both"/>
        <w:rPr>
          <w:rFonts w:eastAsiaTheme="minorEastAsia"/>
          <w:spacing w:val="-4"/>
          <w:sz w:val="22"/>
          <w:szCs w:val="22"/>
          <w:lang w:val="en-GB"/>
        </w:rPr>
      </w:pPr>
      <w:r w:rsidRPr="005F0652">
        <w:rPr>
          <w:rFonts w:eastAsiaTheme="minorEastAsia"/>
          <w:spacing w:val="-4"/>
          <w:sz w:val="22"/>
          <w:szCs w:val="22"/>
          <w:lang w:val="en-GB"/>
        </w:rPr>
        <w:t xml:space="preserve">Another important debate surrounded disclosing the names of defaulters. Surging NPAs and the default on bad loans by big businesses and corporate houses was an important issue for the Supreme Court at regular intervals in 2016. The Supreme Court directed the RBI to disclose the names of defaulters with loans over </w:t>
      </w:r>
      <w:r w:rsidRPr="005F0652">
        <w:rPr>
          <w:rFonts w:ascii="Arial" w:eastAsiaTheme="minorEastAsia" w:hAnsi="Arial" w:cs="Arial"/>
          <w:spacing w:val="-4"/>
          <w:sz w:val="22"/>
          <w:szCs w:val="22"/>
          <w:lang w:val="en-GB"/>
        </w:rPr>
        <w:t>₹</w:t>
      </w:r>
      <w:r w:rsidRPr="005F0652">
        <w:rPr>
          <w:rFonts w:eastAsiaTheme="minorEastAsia"/>
          <w:spacing w:val="-4"/>
          <w:sz w:val="22"/>
          <w:szCs w:val="22"/>
          <w:lang w:val="en-GB"/>
        </w:rPr>
        <w:t>5 million.</w:t>
      </w:r>
      <w:r w:rsidRPr="005F0652">
        <w:rPr>
          <w:rFonts w:eastAsiaTheme="minorEastAsia"/>
          <w:spacing w:val="-4"/>
          <w:sz w:val="22"/>
          <w:szCs w:val="22"/>
          <w:vertAlign w:val="superscript"/>
          <w:lang w:val="en-GB"/>
        </w:rPr>
        <w:endnoteReference w:id="74"/>
      </w:r>
      <w:r w:rsidRPr="005F0652">
        <w:rPr>
          <w:rFonts w:eastAsiaTheme="minorEastAsia"/>
          <w:spacing w:val="-4"/>
          <w:sz w:val="22"/>
          <w:szCs w:val="22"/>
          <w:lang w:val="en-GB"/>
        </w:rPr>
        <w:t xml:space="preserve"> The question that remained unanswered was whether the list of bank defaulters should be made public. </w:t>
      </w:r>
    </w:p>
    <w:p w14:paraId="2E0A7598" w14:textId="77777777" w:rsidR="005F0652" w:rsidRPr="005F0652" w:rsidRDefault="005F0652" w:rsidP="005F0652">
      <w:pPr>
        <w:jc w:val="both"/>
        <w:rPr>
          <w:rFonts w:eastAsiaTheme="minorEastAsia"/>
          <w:spacing w:val="-4"/>
          <w:sz w:val="22"/>
          <w:szCs w:val="22"/>
          <w:lang w:val="en-GB"/>
        </w:rPr>
      </w:pPr>
    </w:p>
    <w:p w14:paraId="624E207C"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Although the Supreme Court was in favour of making the list public, the RBI did not support the idea. The surging bad loans might be the result of several factors, such as a corporation’s bad business and investment decisions; a slump in the domestic or global economy; bureaucratic hassles, with delays in regulatory clearances; inadequate skills of lenders in project appraisal and risk management; or political interference. Naming the defaulters would affect the lending of funds to businesses and discourage entrepreneurship.</w:t>
      </w:r>
      <w:r w:rsidRPr="005F0652">
        <w:rPr>
          <w:rFonts w:eastAsiaTheme="minorEastAsia"/>
          <w:sz w:val="22"/>
          <w:szCs w:val="22"/>
          <w:vertAlign w:val="superscript"/>
          <w:lang w:val="en-GB"/>
        </w:rPr>
        <w:endnoteReference w:id="75"/>
      </w:r>
      <w:r w:rsidRPr="005F0652">
        <w:rPr>
          <w:rFonts w:eastAsiaTheme="minorEastAsia"/>
          <w:sz w:val="22"/>
          <w:szCs w:val="22"/>
          <w:lang w:val="en-GB"/>
        </w:rPr>
        <w:t xml:space="preserve"> Further, the banks might also become overcautious in terms of lending; hence, the disclosure of defaulters’ names might not be a viable solution to the NPA problem.</w:t>
      </w:r>
    </w:p>
    <w:p w14:paraId="6A410DD6" w14:textId="77777777" w:rsidR="005F0652" w:rsidRPr="005F0652" w:rsidRDefault="005F0652" w:rsidP="005F0652">
      <w:pPr>
        <w:jc w:val="both"/>
        <w:rPr>
          <w:rFonts w:eastAsiaTheme="minorEastAsia"/>
          <w:sz w:val="22"/>
          <w:szCs w:val="22"/>
          <w:lang w:val="en-GB"/>
        </w:rPr>
      </w:pPr>
    </w:p>
    <w:p w14:paraId="5CBCADF2" w14:textId="77777777" w:rsidR="005F0652" w:rsidRPr="005F0652" w:rsidRDefault="005F0652" w:rsidP="005F0652">
      <w:pPr>
        <w:jc w:val="both"/>
        <w:rPr>
          <w:rFonts w:eastAsiaTheme="minorEastAsia"/>
          <w:sz w:val="22"/>
          <w:szCs w:val="22"/>
          <w:lang w:val="en-GB"/>
        </w:rPr>
      </w:pPr>
      <w:r w:rsidRPr="005F0652">
        <w:rPr>
          <w:rFonts w:eastAsiaTheme="minorEastAsia"/>
          <w:sz w:val="22"/>
          <w:szCs w:val="22"/>
          <w:lang w:val="en-GB"/>
        </w:rPr>
        <w:t>The government, policy-makers, analysts, and experts debated the NPA problem that confronted the sector in 2017. What had gone wrong with the Indian banking sector? Was the worst already behind it? What were possible solutions to the problem of NPAs? Was the privatization of state-owned banks a solution to the recurring problem of NPAs?</w:t>
      </w:r>
    </w:p>
    <w:p w14:paraId="3DCC5FA1" w14:textId="1D76F220" w:rsidR="009047DC" w:rsidRDefault="009047DC" w:rsidP="009047DC">
      <w:pPr>
        <w:pStyle w:val="BodyTextMain"/>
      </w:pPr>
    </w:p>
    <w:p w14:paraId="3A0D75EB" w14:textId="69884FD3" w:rsidR="009047DC" w:rsidRDefault="009047DC" w:rsidP="009047DC">
      <w:pPr>
        <w:pStyle w:val="BodyTextMain"/>
      </w:pPr>
      <w:r>
        <w:rPr>
          <w:noProof/>
        </w:rPr>
        <mc:AlternateContent>
          <mc:Choice Requires="wps">
            <w:drawing>
              <wp:anchor distT="45720" distB="45720" distL="114300" distR="114300" simplePos="0" relativeHeight="251659264" behindDoc="0" locked="0" layoutInCell="1" allowOverlap="1" wp14:anchorId="2922A76C" wp14:editId="34B2E013">
                <wp:simplePos x="0" y="0"/>
                <wp:positionH relativeFrom="column">
                  <wp:posOffset>1057275</wp:posOffset>
                </wp:positionH>
                <wp:positionV relativeFrom="paragraph">
                  <wp:posOffset>55880</wp:posOffset>
                </wp:positionV>
                <wp:extent cx="3402330" cy="1404620"/>
                <wp:effectExtent l="0" t="0" r="2667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330" cy="1404620"/>
                        </a:xfrm>
                        <a:prstGeom prst="rect">
                          <a:avLst/>
                        </a:prstGeom>
                        <a:solidFill>
                          <a:srgbClr val="FFFFFF"/>
                        </a:solidFill>
                        <a:ln w="9525">
                          <a:solidFill>
                            <a:srgbClr val="000000"/>
                          </a:solidFill>
                          <a:miter lim="800000"/>
                          <a:headEnd/>
                          <a:tailEnd/>
                        </a:ln>
                      </wps:spPr>
                      <wps:txbx>
                        <w:txbxContent>
                          <w:p w14:paraId="432E99EE" w14:textId="6403F89F" w:rsidR="009047DC" w:rsidRDefault="009047DC" w:rsidP="009047DC">
                            <w:pPr>
                              <w:pStyle w:val="Footnote"/>
                            </w:pPr>
                            <w:r>
                              <w:t>Ganesh Kumar Nidugala is a professor of economics at IIM Indore. Abhay Pant is an assistant professor of economics at IIM. Rohtak.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22A76C" id="_x0000_t202" coordsize="21600,21600" o:spt="202" path="m,l,21600r21600,l21600,xe">
                <v:stroke joinstyle="miter"/>
                <v:path gradientshapeok="t" o:connecttype="rect"/>
              </v:shapetype>
              <v:shape id="Text Box 2" o:spid="_x0000_s1026" type="#_x0000_t202" style="position:absolute;left:0;text-align:left;margin-left:83.25pt;margin-top:4.4pt;width:267.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">
                <v:textbox style="mso-fit-shape-to-text:t">
                  <w:txbxContent>
                    <w:p w14:paraId="432E99EE" w14:textId="6403F89F" w:rsidR="009047DC" w:rsidRDefault="009047DC" w:rsidP="009047DC">
                      <w:pPr>
                        <w:pStyle w:val="Footnote"/>
                      </w:pPr>
                      <w:r>
                        <w:t>Ganesh Kumar Nidugala is a professor of economics at IIM Indore. Abhay Pant is an assistant professor of economics at IIM. Rohtak.</w:t>
                      </w:r>
                    </w:p>
                  </w:txbxContent>
                </v:textbox>
                <w10:wrap type="square"/>
              </v:shape>
            </w:pict>
          </mc:Fallback>
        </mc:AlternateContent>
      </w:r>
    </w:p>
    <w:p w14:paraId="6A1D54A7" w14:textId="7580CEBE" w:rsidR="009047DC" w:rsidRDefault="009047DC" w:rsidP="009047DC">
      <w:pPr>
        <w:pStyle w:val="BodyTextMain"/>
      </w:pPr>
    </w:p>
    <w:p w14:paraId="3F387257" w14:textId="77777777" w:rsidR="009047DC" w:rsidRDefault="009047DC" w:rsidP="009047DC">
      <w:pPr>
        <w:pStyle w:val="BodyTextMain"/>
      </w:pPr>
    </w:p>
    <w:p w14:paraId="4A67B070" w14:textId="02457F7C" w:rsidR="005F0652" w:rsidRDefault="005F0652">
      <w:pPr>
        <w:spacing w:after="200" w:line="276" w:lineRule="auto"/>
        <w:rPr>
          <w:rFonts w:ascii="Arial" w:hAnsi="Arial" w:cs="Arial"/>
          <w:b/>
          <w:caps/>
        </w:rPr>
      </w:pPr>
      <w:r>
        <w:br w:type="page"/>
      </w:r>
    </w:p>
    <w:p w14:paraId="1ABA265F" w14:textId="77777777" w:rsidR="005F0652" w:rsidRPr="005F0652" w:rsidRDefault="005F0652" w:rsidP="005F0652">
      <w:pPr>
        <w:keepNext/>
        <w:jc w:val="center"/>
        <w:rPr>
          <w:rFonts w:ascii="Arial" w:eastAsiaTheme="minorEastAsia" w:hAnsi="Arial" w:cs="Arial"/>
          <w:b/>
          <w:caps/>
          <w:lang w:val="en-GB"/>
        </w:rPr>
      </w:pPr>
      <w:r w:rsidRPr="005F0652">
        <w:rPr>
          <w:rFonts w:ascii="Arial" w:eastAsiaTheme="minorEastAsia" w:hAnsi="Arial" w:cs="Arial"/>
          <w:b/>
          <w:caps/>
          <w:lang w:val="en-GB"/>
        </w:rPr>
        <w:lastRenderedPageBreak/>
        <w:t>EXHIBIT 1: RETURN ON EQUITY OF INDIAN COMMERCIAL BANKS (%)</w:t>
      </w:r>
    </w:p>
    <w:p w14:paraId="725EC747" w14:textId="77777777" w:rsidR="005F0652" w:rsidRPr="005F0652" w:rsidRDefault="005F0652" w:rsidP="005F0652">
      <w:pPr>
        <w:jc w:val="both"/>
        <w:rPr>
          <w:rFonts w:ascii="Arial" w:eastAsiaTheme="minorEastAsia" w:hAnsi="Arial" w:cs="Arial"/>
          <w:lang w:val="en-GB"/>
        </w:rPr>
      </w:pPr>
    </w:p>
    <w:tbl>
      <w:tblPr>
        <w:tblStyle w:val="TableGrid11"/>
        <w:tblW w:w="5000" w:type="pct"/>
        <w:jc w:val="center"/>
        <w:tblLayout w:type="fixed"/>
        <w:tblLook w:val="04A0" w:firstRow="1" w:lastRow="0" w:firstColumn="1" w:lastColumn="0" w:noHBand="0" w:noVBand="1"/>
      </w:tblPr>
      <w:tblGrid>
        <w:gridCol w:w="718"/>
        <w:gridCol w:w="1438"/>
        <w:gridCol w:w="1439"/>
        <w:gridCol w:w="1439"/>
        <w:gridCol w:w="1438"/>
        <w:gridCol w:w="1439"/>
        <w:gridCol w:w="1439"/>
      </w:tblGrid>
      <w:tr w:rsidR="005F0652" w:rsidRPr="005F0652" w14:paraId="3F0B87C7" w14:textId="77777777" w:rsidTr="00940815">
        <w:trPr>
          <w:trHeight w:val="259"/>
          <w:jc w:val="center"/>
        </w:trPr>
        <w:tc>
          <w:tcPr>
            <w:tcW w:w="718" w:type="dxa"/>
            <w:noWrap/>
            <w:vAlign w:val="center"/>
            <w:hideMark/>
          </w:tcPr>
          <w:p w14:paraId="390FD48C"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Year</w:t>
            </w:r>
          </w:p>
        </w:tc>
        <w:tc>
          <w:tcPr>
            <w:tcW w:w="1438" w:type="dxa"/>
            <w:noWrap/>
            <w:vAlign w:val="center"/>
            <w:hideMark/>
          </w:tcPr>
          <w:p w14:paraId="2F59CC1D"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State Bank of India &amp; Associates</w:t>
            </w:r>
          </w:p>
        </w:tc>
        <w:tc>
          <w:tcPr>
            <w:tcW w:w="1439" w:type="dxa"/>
            <w:noWrap/>
            <w:vAlign w:val="center"/>
            <w:hideMark/>
          </w:tcPr>
          <w:p w14:paraId="22F8326E"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Nationalized Banks</w:t>
            </w:r>
          </w:p>
        </w:tc>
        <w:tc>
          <w:tcPr>
            <w:tcW w:w="1439" w:type="dxa"/>
            <w:noWrap/>
            <w:vAlign w:val="center"/>
            <w:hideMark/>
          </w:tcPr>
          <w:p w14:paraId="26B35ACA"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Public Sector Banks</w:t>
            </w:r>
          </w:p>
        </w:tc>
        <w:tc>
          <w:tcPr>
            <w:tcW w:w="1438" w:type="dxa"/>
            <w:noWrap/>
            <w:vAlign w:val="center"/>
            <w:hideMark/>
          </w:tcPr>
          <w:p w14:paraId="49AEAD08"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Private Sector Banks</w:t>
            </w:r>
          </w:p>
        </w:tc>
        <w:tc>
          <w:tcPr>
            <w:tcW w:w="1439" w:type="dxa"/>
            <w:noWrap/>
            <w:vAlign w:val="center"/>
            <w:hideMark/>
          </w:tcPr>
          <w:p w14:paraId="4D30E7D8"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Foreign Banks</w:t>
            </w:r>
          </w:p>
        </w:tc>
        <w:tc>
          <w:tcPr>
            <w:tcW w:w="1439" w:type="dxa"/>
            <w:noWrap/>
            <w:vAlign w:val="center"/>
            <w:hideMark/>
          </w:tcPr>
          <w:p w14:paraId="683B1E6F"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All Scheduled Commercial Banks</w:t>
            </w:r>
          </w:p>
        </w:tc>
      </w:tr>
      <w:tr w:rsidR="005F0652" w:rsidRPr="005F0652" w14:paraId="2BCE6F38" w14:textId="77777777" w:rsidTr="00940815">
        <w:trPr>
          <w:trHeight w:val="259"/>
          <w:jc w:val="center"/>
        </w:trPr>
        <w:tc>
          <w:tcPr>
            <w:tcW w:w="718" w:type="dxa"/>
            <w:noWrap/>
            <w:vAlign w:val="center"/>
            <w:hideMark/>
          </w:tcPr>
          <w:p w14:paraId="3864B602"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2014</w:t>
            </w:r>
          </w:p>
        </w:tc>
        <w:tc>
          <w:tcPr>
            <w:tcW w:w="1438" w:type="dxa"/>
            <w:noWrap/>
            <w:vAlign w:val="center"/>
            <w:hideMark/>
          </w:tcPr>
          <w:p w14:paraId="0AA746F8"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10.03</w:t>
            </w:r>
          </w:p>
        </w:tc>
        <w:tc>
          <w:tcPr>
            <w:tcW w:w="1439" w:type="dxa"/>
            <w:noWrap/>
            <w:vAlign w:val="center"/>
            <w:hideMark/>
          </w:tcPr>
          <w:p w14:paraId="4E5A3C35"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7.78</w:t>
            </w:r>
          </w:p>
        </w:tc>
        <w:tc>
          <w:tcPr>
            <w:tcW w:w="1439" w:type="dxa"/>
            <w:noWrap/>
            <w:vAlign w:val="center"/>
            <w:hideMark/>
          </w:tcPr>
          <w:p w14:paraId="76C4AC38"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8.48</w:t>
            </w:r>
          </w:p>
        </w:tc>
        <w:tc>
          <w:tcPr>
            <w:tcW w:w="1438" w:type="dxa"/>
            <w:noWrap/>
            <w:vAlign w:val="center"/>
            <w:hideMark/>
          </w:tcPr>
          <w:p w14:paraId="720FE0EB"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16.22</w:t>
            </w:r>
          </w:p>
        </w:tc>
        <w:tc>
          <w:tcPr>
            <w:tcW w:w="1439" w:type="dxa"/>
            <w:noWrap/>
            <w:vAlign w:val="center"/>
            <w:hideMark/>
          </w:tcPr>
          <w:p w14:paraId="66348BE2"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9.03</w:t>
            </w:r>
          </w:p>
        </w:tc>
        <w:tc>
          <w:tcPr>
            <w:tcW w:w="1439" w:type="dxa"/>
            <w:noWrap/>
            <w:vAlign w:val="center"/>
            <w:hideMark/>
          </w:tcPr>
          <w:p w14:paraId="08E74854"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10.69</w:t>
            </w:r>
          </w:p>
        </w:tc>
      </w:tr>
      <w:tr w:rsidR="005F0652" w:rsidRPr="005F0652" w14:paraId="08EF8EA7" w14:textId="77777777" w:rsidTr="00940815">
        <w:trPr>
          <w:trHeight w:val="259"/>
          <w:jc w:val="center"/>
        </w:trPr>
        <w:tc>
          <w:tcPr>
            <w:tcW w:w="718" w:type="dxa"/>
            <w:noWrap/>
            <w:vAlign w:val="center"/>
            <w:hideMark/>
          </w:tcPr>
          <w:p w14:paraId="298D93BB"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2015</w:t>
            </w:r>
          </w:p>
        </w:tc>
        <w:tc>
          <w:tcPr>
            <w:tcW w:w="1438" w:type="dxa"/>
            <w:noWrap/>
            <w:vAlign w:val="center"/>
            <w:hideMark/>
          </w:tcPr>
          <w:p w14:paraId="3769455A"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10.56</w:t>
            </w:r>
          </w:p>
        </w:tc>
        <w:tc>
          <w:tcPr>
            <w:tcW w:w="1439" w:type="dxa"/>
            <w:noWrap/>
            <w:vAlign w:val="center"/>
            <w:hideMark/>
          </w:tcPr>
          <w:p w14:paraId="5C964E0F"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6.44</w:t>
            </w:r>
          </w:p>
        </w:tc>
        <w:tc>
          <w:tcPr>
            <w:tcW w:w="1439" w:type="dxa"/>
            <w:noWrap/>
            <w:vAlign w:val="center"/>
            <w:hideMark/>
          </w:tcPr>
          <w:p w14:paraId="0D3D706A"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7.76</w:t>
            </w:r>
          </w:p>
        </w:tc>
        <w:tc>
          <w:tcPr>
            <w:tcW w:w="1438" w:type="dxa"/>
            <w:noWrap/>
            <w:vAlign w:val="center"/>
            <w:hideMark/>
          </w:tcPr>
          <w:p w14:paraId="090E599E"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15.74</w:t>
            </w:r>
          </w:p>
        </w:tc>
        <w:tc>
          <w:tcPr>
            <w:tcW w:w="1439" w:type="dxa"/>
            <w:noWrap/>
            <w:vAlign w:val="center"/>
            <w:hideMark/>
          </w:tcPr>
          <w:p w14:paraId="0690C457"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10.24</w:t>
            </w:r>
          </w:p>
        </w:tc>
        <w:tc>
          <w:tcPr>
            <w:tcW w:w="1439" w:type="dxa"/>
            <w:noWrap/>
            <w:vAlign w:val="center"/>
            <w:hideMark/>
          </w:tcPr>
          <w:p w14:paraId="7AC8EB15"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10.42</w:t>
            </w:r>
          </w:p>
        </w:tc>
      </w:tr>
      <w:tr w:rsidR="005F0652" w:rsidRPr="005F0652" w14:paraId="2B77059B" w14:textId="77777777" w:rsidTr="00940815">
        <w:trPr>
          <w:trHeight w:val="259"/>
          <w:jc w:val="center"/>
        </w:trPr>
        <w:tc>
          <w:tcPr>
            <w:tcW w:w="718" w:type="dxa"/>
            <w:noWrap/>
            <w:vAlign w:val="center"/>
            <w:hideMark/>
          </w:tcPr>
          <w:p w14:paraId="69404042"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2016</w:t>
            </w:r>
          </w:p>
        </w:tc>
        <w:tc>
          <w:tcPr>
            <w:tcW w:w="1438" w:type="dxa"/>
            <w:noWrap/>
            <w:vAlign w:val="center"/>
            <w:hideMark/>
          </w:tcPr>
          <w:p w14:paraId="60EE0887"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6.78</w:t>
            </w:r>
          </w:p>
        </w:tc>
        <w:tc>
          <w:tcPr>
            <w:tcW w:w="1439" w:type="dxa"/>
            <w:noWrap/>
            <w:vAlign w:val="center"/>
            <w:hideMark/>
          </w:tcPr>
          <w:p w14:paraId="26CA1A1B"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−8.52</w:t>
            </w:r>
          </w:p>
        </w:tc>
        <w:tc>
          <w:tcPr>
            <w:tcW w:w="1439" w:type="dxa"/>
            <w:noWrap/>
            <w:vAlign w:val="center"/>
            <w:hideMark/>
          </w:tcPr>
          <w:p w14:paraId="32584956"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−3.47</w:t>
            </w:r>
          </w:p>
        </w:tc>
        <w:tc>
          <w:tcPr>
            <w:tcW w:w="1438" w:type="dxa"/>
            <w:noWrap/>
            <w:vAlign w:val="center"/>
            <w:hideMark/>
          </w:tcPr>
          <w:p w14:paraId="000245AF"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13.81</w:t>
            </w:r>
          </w:p>
        </w:tc>
        <w:tc>
          <w:tcPr>
            <w:tcW w:w="1439" w:type="dxa"/>
            <w:noWrap/>
            <w:vAlign w:val="center"/>
            <w:hideMark/>
          </w:tcPr>
          <w:p w14:paraId="7237EB17"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8.00</w:t>
            </w:r>
          </w:p>
        </w:tc>
        <w:tc>
          <w:tcPr>
            <w:tcW w:w="1439" w:type="dxa"/>
            <w:noWrap/>
            <w:vAlign w:val="center"/>
            <w:hideMark/>
          </w:tcPr>
          <w:p w14:paraId="6642CB1D"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3.59</w:t>
            </w:r>
          </w:p>
        </w:tc>
      </w:tr>
    </w:tbl>
    <w:p w14:paraId="101EDEA2" w14:textId="77777777" w:rsidR="005F0652" w:rsidRPr="005F0652" w:rsidRDefault="005F0652" w:rsidP="005F0652">
      <w:pPr>
        <w:jc w:val="both"/>
        <w:rPr>
          <w:rFonts w:ascii="Arial" w:eastAsiaTheme="minorEastAsia" w:hAnsi="Arial" w:cs="Arial"/>
          <w:lang w:val="en-GB"/>
        </w:rPr>
      </w:pPr>
    </w:p>
    <w:p w14:paraId="0B4F9FBB" w14:textId="77777777" w:rsidR="005F0652" w:rsidRPr="005F0652" w:rsidRDefault="005F0652" w:rsidP="005F0652">
      <w:pPr>
        <w:jc w:val="both"/>
        <w:rPr>
          <w:rFonts w:ascii="Arial" w:eastAsiaTheme="minorEastAsia" w:hAnsi="Arial" w:cs="Arial"/>
          <w:sz w:val="17"/>
          <w:szCs w:val="17"/>
          <w:lang w:val="en-GB"/>
        </w:rPr>
      </w:pPr>
      <w:r w:rsidRPr="005F0652">
        <w:rPr>
          <w:rFonts w:ascii="Arial" w:eastAsiaTheme="minorEastAsia" w:hAnsi="Arial" w:cs="Arial"/>
          <w:sz w:val="17"/>
          <w:szCs w:val="17"/>
          <w:lang w:val="en-GB"/>
        </w:rPr>
        <w:t>Note: All figures are for the financial year April 1 to March 31.</w:t>
      </w:r>
    </w:p>
    <w:p w14:paraId="08AF893A" w14:textId="77777777" w:rsidR="005F0652" w:rsidRPr="005F0652" w:rsidRDefault="005F0652" w:rsidP="005F0652">
      <w:pPr>
        <w:jc w:val="both"/>
        <w:rPr>
          <w:rFonts w:ascii="Arial" w:eastAsiaTheme="minorEastAsia" w:hAnsi="Arial" w:cs="Arial"/>
          <w:i/>
          <w:sz w:val="17"/>
          <w:szCs w:val="17"/>
          <w:lang w:val="en-GB"/>
        </w:rPr>
      </w:pPr>
      <w:r w:rsidRPr="005F0652">
        <w:rPr>
          <w:rFonts w:ascii="Arial" w:eastAsiaTheme="minorEastAsia" w:hAnsi="Arial" w:cs="Arial"/>
          <w:sz w:val="17"/>
          <w:szCs w:val="17"/>
          <w:lang w:val="en-GB"/>
        </w:rPr>
        <w:t xml:space="preserve">Source: Database on Indian Economy, Reserve Bank of India, accessed January 9, 2017, https://dbie.rbi.org.in/DBIE/dbie.rbi?site=publications. </w:t>
      </w:r>
    </w:p>
    <w:p w14:paraId="513023B3" w14:textId="77777777" w:rsidR="005F0652" w:rsidRPr="005F0652" w:rsidRDefault="005F0652" w:rsidP="005F0652">
      <w:pPr>
        <w:jc w:val="both"/>
        <w:rPr>
          <w:rFonts w:ascii="Arial" w:eastAsiaTheme="minorEastAsia" w:hAnsi="Arial" w:cs="Arial"/>
          <w:lang w:val="en-GB"/>
        </w:rPr>
      </w:pPr>
    </w:p>
    <w:p w14:paraId="3ED67B9E" w14:textId="77777777" w:rsidR="005F0652" w:rsidRPr="005F0652" w:rsidRDefault="005F0652" w:rsidP="005F0652">
      <w:pPr>
        <w:jc w:val="both"/>
        <w:rPr>
          <w:rFonts w:ascii="Arial" w:eastAsiaTheme="minorEastAsia" w:hAnsi="Arial" w:cs="Arial"/>
          <w:lang w:val="en-GB"/>
        </w:rPr>
      </w:pPr>
    </w:p>
    <w:p w14:paraId="45514453" w14:textId="77777777" w:rsidR="005F0652" w:rsidRPr="005F0652" w:rsidRDefault="005F0652" w:rsidP="005F0652">
      <w:pPr>
        <w:keepNext/>
        <w:jc w:val="center"/>
        <w:rPr>
          <w:rFonts w:ascii="Arial" w:eastAsiaTheme="minorEastAsia" w:hAnsi="Arial" w:cs="Arial"/>
          <w:b/>
          <w:caps/>
          <w:lang w:val="en-GB"/>
        </w:rPr>
      </w:pPr>
      <w:r w:rsidRPr="005F0652">
        <w:rPr>
          <w:rFonts w:ascii="Arial" w:eastAsiaTheme="minorEastAsia" w:hAnsi="Arial" w:cs="Arial"/>
          <w:b/>
          <w:caps/>
          <w:lang w:val="en-GB"/>
        </w:rPr>
        <w:t>EXHIBIT 2: RETURN ON ASSETS OF INDIAN COMMERCIAL BANKS (%)</w:t>
      </w:r>
    </w:p>
    <w:p w14:paraId="59B6FB84" w14:textId="77777777" w:rsidR="005F0652" w:rsidRPr="005F0652" w:rsidRDefault="005F0652" w:rsidP="005F0652">
      <w:pPr>
        <w:jc w:val="both"/>
        <w:rPr>
          <w:rFonts w:ascii="Arial" w:eastAsiaTheme="minorEastAsia" w:hAnsi="Arial" w:cs="Arial"/>
          <w:lang w:val="en-GB"/>
        </w:rPr>
      </w:pPr>
    </w:p>
    <w:tbl>
      <w:tblPr>
        <w:tblStyle w:val="TableGrid11"/>
        <w:tblW w:w="5000" w:type="pct"/>
        <w:jc w:val="center"/>
        <w:tblLayout w:type="fixed"/>
        <w:tblLook w:val="04A0" w:firstRow="1" w:lastRow="0" w:firstColumn="1" w:lastColumn="0" w:noHBand="0" w:noVBand="1"/>
      </w:tblPr>
      <w:tblGrid>
        <w:gridCol w:w="645"/>
        <w:gridCol w:w="1450"/>
        <w:gridCol w:w="1451"/>
        <w:gridCol w:w="1451"/>
        <w:gridCol w:w="1451"/>
        <w:gridCol w:w="1451"/>
        <w:gridCol w:w="1451"/>
      </w:tblGrid>
      <w:tr w:rsidR="005F0652" w:rsidRPr="005F0652" w14:paraId="2BC331D7" w14:textId="77777777" w:rsidTr="00940815">
        <w:trPr>
          <w:trHeight w:val="259"/>
          <w:jc w:val="center"/>
        </w:trPr>
        <w:tc>
          <w:tcPr>
            <w:tcW w:w="635" w:type="dxa"/>
            <w:noWrap/>
            <w:vAlign w:val="center"/>
            <w:hideMark/>
          </w:tcPr>
          <w:p w14:paraId="5BDBEF36"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Year</w:t>
            </w:r>
          </w:p>
        </w:tc>
        <w:tc>
          <w:tcPr>
            <w:tcW w:w="1425" w:type="dxa"/>
            <w:noWrap/>
            <w:vAlign w:val="center"/>
            <w:hideMark/>
          </w:tcPr>
          <w:p w14:paraId="1F74D8EA"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State Bank of India &amp; Associates</w:t>
            </w:r>
          </w:p>
        </w:tc>
        <w:tc>
          <w:tcPr>
            <w:tcW w:w="1425" w:type="dxa"/>
            <w:noWrap/>
            <w:vAlign w:val="center"/>
            <w:hideMark/>
          </w:tcPr>
          <w:p w14:paraId="60B24ADE"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Nationalized Banks</w:t>
            </w:r>
          </w:p>
        </w:tc>
        <w:tc>
          <w:tcPr>
            <w:tcW w:w="1425" w:type="dxa"/>
            <w:noWrap/>
            <w:vAlign w:val="center"/>
            <w:hideMark/>
          </w:tcPr>
          <w:p w14:paraId="32EF19E4"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Public Sector Banks</w:t>
            </w:r>
          </w:p>
        </w:tc>
        <w:tc>
          <w:tcPr>
            <w:tcW w:w="1425" w:type="dxa"/>
            <w:noWrap/>
            <w:vAlign w:val="center"/>
            <w:hideMark/>
          </w:tcPr>
          <w:p w14:paraId="19C1013E"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Private Sector Banks</w:t>
            </w:r>
          </w:p>
        </w:tc>
        <w:tc>
          <w:tcPr>
            <w:tcW w:w="1425" w:type="dxa"/>
            <w:noWrap/>
            <w:vAlign w:val="center"/>
            <w:hideMark/>
          </w:tcPr>
          <w:p w14:paraId="1C5970F5"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Foreign Banks</w:t>
            </w:r>
          </w:p>
        </w:tc>
        <w:tc>
          <w:tcPr>
            <w:tcW w:w="1425" w:type="dxa"/>
            <w:noWrap/>
            <w:vAlign w:val="center"/>
            <w:hideMark/>
          </w:tcPr>
          <w:p w14:paraId="2E4F1AC8"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All Scheduled Commercial Banks</w:t>
            </w:r>
          </w:p>
        </w:tc>
      </w:tr>
      <w:tr w:rsidR="005F0652" w:rsidRPr="005F0652" w14:paraId="3B081D0B" w14:textId="77777777" w:rsidTr="00940815">
        <w:trPr>
          <w:trHeight w:val="259"/>
          <w:jc w:val="center"/>
        </w:trPr>
        <w:tc>
          <w:tcPr>
            <w:tcW w:w="635" w:type="dxa"/>
            <w:noWrap/>
            <w:vAlign w:val="center"/>
            <w:hideMark/>
          </w:tcPr>
          <w:p w14:paraId="7A5BCE02"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2014</w:t>
            </w:r>
          </w:p>
        </w:tc>
        <w:tc>
          <w:tcPr>
            <w:tcW w:w="1425" w:type="dxa"/>
            <w:noWrap/>
            <w:vAlign w:val="center"/>
            <w:hideMark/>
          </w:tcPr>
          <w:p w14:paraId="2EFB18D1"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0.63</w:t>
            </w:r>
          </w:p>
        </w:tc>
        <w:tc>
          <w:tcPr>
            <w:tcW w:w="1425" w:type="dxa"/>
            <w:noWrap/>
            <w:vAlign w:val="center"/>
            <w:hideMark/>
          </w:tcPr>
          <w:p w14:paraId="71F3C797"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0.45</w:t>
            </w:r>
          </w:p>
        </w:tc>
        <w:tc>
          <w:tcPr>
            <w:tcW w:w="1425" w:type="dxa"/>
            <w:noWrap/>
            <w:vAlign w:val="center"/>
            <w:hideMark/>
          </w:tcPr>
          <w:p w14:paraId="303CD881"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0.50</w:t>
            </w:r>
          </w:p>
        </w:tc>
        <w:tc>
          <w:tcPr>
            <w:tcW w:w="1425" w:type="dxa"/>
            <w:noWrap/>
            <w:vAlign w:val="center"/>
            <w:hideMark/>
          </w:tcPr>
          <w:p w14:paraId="294A8F07"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1.65</w:t>
            </w:r>
          </w:p>
        </w:tc>
        <w:tc>
          <w:tcPr>
            <w:tcW w:w="1425" w:type="dxa"/>
            <w:noWrap/>
            <w:vAlign w:val="center"/>
            <w:hideMark/>
          </w:tcPr>
          <w:p w14:paraId="2C5DC1EE"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1.54</w:t>
            </w:r>
          </w:p>
        </w:tc>
        <w:tc>
          <w:tcPr>
            <w:tcW w:w="1425" w:type="dxa"/>
            <w:noWrap/>
            <w:vAlign w:val="center"/>
            <w:hideMark/>
          </w:tcPr>
          <w:p w14:paraId="23E59EC1"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0.81</w:t>
            </w:r>
          </w:p>
        </w:tc>
      </w:tr>
      <w:tr w:rsidR="005F0652" w:rsidRPr="005F0652" w14:paraId="56E1A71C" w14:textId="77777777" w:rsidTr="00940815">
        <w:trPr>
          <w:trHeight w:val="259"/>
          <w:jc w:val="center"/>
        </w:trPr>
        <w:tc>
          <w:tcPr>
            <w:tcW w:w="635" w:type="dxa"/>
            <w:noWrap/>
            <w:vAlign w:val="center"/>
            <w:hideMark/>
          </w:tcPr>
          <w:p w14:paraId="414EFB0C"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2015</w:t>
            </w:r>
          </w:p>
        </w:tc>
        <w:tc>
          <w:tcPr>
            <w:tcW w:w="1425" w:type="dxa"/>
            <w:noWrap/>
            <w:vAlign w:val="center"/>
            <w:hideMark/>
          </w:tcPr>
          <w:p w14:paraId="0E01E337"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0.66</w:t>
            </w:r>
          </w:p>
        </w:tc>
        <w:tc>
          <w:tcPr>
            <w:tcW w:w="1425" w:type="dxa"/>
            <w:noWrap/>
            <w:vAlign w:val="center"/>
            <w:hideMark/>
          </w:tcPr>
          <w:p w14:paraId="79765F03"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0.37</w:t>
            </w:r>
          </w:p>
        </w:tc>
        <w:tc>
          <w:tcPr>
            <w:tcW w:w="1425" w:type="dxa"/>
            <w:noWrap/>
            <w:vAlign w:val="center"/>
            <w:hideMark/>
          </w:tcPr>
          <w:p w14:paraId="4D27F278"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0.46</w:t>
            </w:r>
          </w:p>
        </w:tc>
        <w:tc>
          <w:tcPr>
            <w:tcW w:w="1425" w:type="dxa"/>
            <w:noWrap/>
            <w:vAlign w:val="center"/>
            <w:hideMark/>
          </w:tcPr>
          <w:p w14:paraId="108DD384"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1.68</w:t>
            </w:r>
          </w:p>
        </w:tc>
        <w:tc>
          <w:tcPr>
            <w:tcW w:w="1425" w:type="dxa"/>
            <w:noWrap/>
            <w:vAlign w:val="center"/>
            <w:hideMark/>
          </w:tcPr>
          <w:p w14:paraId="2BF83457"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1.84</w:t>
            </w:r>
          </w:p>
        </w:tc>
        <w:tc>
          <w:tcPr>
            <w:tcW w:w="1425" w:type="dxa"/>
            <w:noWrap/>
            <w:vAlign w:val="center"/>
            <w:hideMark/>
          </w:tcPr>
          <w:p w14:paraId="6BFCA8B9"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0.81</w:t>
            </w:r>
          </w:p>
        </w:tc>
      </w:tr>
      <w:tr w:rsidR="005F0652" w:rsidRPr="005F0652" w14:paraId="1A5DAC3E" w14:textId="77777777" w:rsidTr="00940815">
        <w:trPr>
          <w:trHeight w:val="259"/>
          <w:jc w:val="center"/>
        </w:trPr>
        <w:tc>
          <w:tcPr>
            <w:tcW w:w="635" w:type="dxa"/>
            <w:noWrap/>
            <w:vAlign w:val="center"/>
            <w:hideMark/>
          </w:tcPr>
          <w:p w14:paraId="29D4B836"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2016</w:t>
            </w:r>
          </w:p>
        </w:tc>
        <w:tc>
          <w:tcPr>
            <w:tcW w:w="1425" w:type="dxa"/>
            <w:noWrap/>
            <w:vAlign w:val="center"/>
            <w:hideMark/>
          </w:tcPr>
          <w:p w14:paraId="60ABBDB1"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0.42</w:t>
            </w:r>
          </w:p>
        </w:tc>
        <w:tc>
          <w:tcPr>
            <w:tcW w:w="1425" w:type="dxa"/>
            <w:noWrap/>
            <w:vAlign w:val="center"/>
            <w:hideMark/>
          </w:tcPr>
          <w:p w14:paraId="3799137B"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−0.49</w:t>
            </w:r>
          </w:p>
        </w:tc>
        <w:tc>
          <w:tcPr>
            <w:tcW w:w="1425" w:type="dxa"/>
            <w:noWrap/>
            <w:vAlign w:val="center"/>
            <w:hideMark/>
          </w:tcPr>
          <w:p w14:paraId="068D29E8"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−0.20</w:t>
            </w:r>
          </w:p>
        </w:tc>
        <w:tc>
          <w:tcPr>
            <w:tcW w:w="1425" w:type="dxa"/>
            <w:noWrap/>
            <w:vAlign w:val="center"/>
            <w:hideMark/>
          </w:tcPr>
          <w:p w14:paraId="708D630C"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1.50</w:t>
            </w:r>
          </w:p>
        </w:tc>
        <w:tc>
          <w:tcPr>
            <w:tcW w:w="1425" w:type="dxa"/>
            <w:noWrap/>
            <w:vAlign w:val="center"/>
            <w:hideMark/>
          </w:tcPr>
          <w:p w14:paraId="7B1DC548"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1.45</w:t>
            </w:r>
          </w:p>
        </w:tc>
        <w:tc>
          <w:tcPr>
            <w:tcW w:w="1425" w:type="dxa"/>
            <w:noWrap/>
            <w:vAlign w:val="center"/>
            <w:hideMark/>
          </w:tcPr>
          <w:p w14:paraId="40265A29"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0.31</w:t>
            </w:r>
          </w:p>
        </w:tc>
      </w:tr>
    </w:tbl>
    <w:p w14:paraId="16A575BB" w14:textId="77777777" w:rsidR="005F0652" w:rsidRPr="005F0652" w:rsidRDefault="005F0652" w:rsidP="005F0652">
      <w:pPr>
        <w:jc w:val="both"/>
        <w:rPr>
          <w:rFonts w:ascii="Arial" w:eastAsiaTheme="minorEastAsia" w:hAnsi="Arial" w:cs="Arial"/>
          <w:lang w:val="en-GB"/>
        </w:rPr>
      </w:pPr>
    </w:p>
    <w:p w14:paraId="64A24B0B" w14:textId="77777777" w:rsidR="005F0652" w:rsidRPr="005F0652" w:rsidRDefault="005F0652" w:rsidP="005F0652">
      <w:pPr>
        <w:jc w:val="both"/>
        <w:rPr>
          <w:rFonts w:ascii="Arial" w:eastAsiaTheme="minorEastAsia" w:hAnsi="Arial" w:cs="Arial"/>
          <w:sz w:val="17"/>
          <w:szCs w:val="17"/>
          <w:lang w:val="en-GB"/>
        </w:rPr>
      </w:pPr>
      <w:r w:rsidRPr="005F0652">
        <w:rPr>
          <w:rFonts w:ascii="Arial" w:eastAsiaTheme="minorEastAsia" w:hAnsi="Arial" w:cs="Arial"/>
          <w:sz w:val="17"/>
          <w:szCs w:val="17"/>
          <w:lang w:val="en-GB"/>
        </w:rPr>
        <w:t>Note: All figures are for the financial year April 1 to March 31.</w:t>
      </w:r>
    </w:p>
    <w:p w14:paraId="4125C31B" w14:textId="77777777" w:rsidR="005F0652" w:rsidRPr="005F0652" w:rsidRDefault="005F0652" w:rsidP="005F0652">
      <w:pPr>
        <w:jc w:val="both"/>
        <w:rPr>
          <w:rFonts w:ascii="Arial" w:eastAsiaTheme="minorEastAsia" w:hAnsi="Arial" w:cs="Arial"/>
          <w:i/>
          <w:sz w:val="17"/>
          <w:szCs w:val="17"/>
          <w:lang w:val="en-GB"/>
        </w:rPr>
      </w:pPr>
      <w:r w:rsidRPr="005F0652">
        <w:rPr>
          <w:rFonts w:ascii="Arial" w:eastAsiaTheme="minorEastAsia" w:hAnsi="Arial" w:cs="Arial"/>
          <w:sz w:val="17"/>
          <w:szCs w:val="17"/>
          <w:lang w:val="en-GB"/>
        </w:rPr>
        <w:t xml:space="preserve">Source: Database on Indian Economy, Reserve Bank of India, accessed January 9, 2017, https://dbie.rbi.org.in/DBIE/dbie.rbi?site=publications. </w:t>
      </w:r>
    </w:p>
    <w:p w14:paraId="60BAC20A" w14:textId="77777777" w:rsidR="005F0652" w:rsidRPr="005F0652" w:rsidRDefault="005F0652" w:rsidP="005F0652">
      <w:pPr>
        <w:jc w:val="both"/>
        <w:rPr>
          <w:rFonts w:ascii="Arial" w:eastAsiaTheme="minorEastAsia" w:hAnsi="Arial" w:cs="Arial"/>
          <w:lang w:val="en-GB"/>
        </w:rPr>
      </w:pPr>
    </w:p>
    <w:p w14:paraId="77B2F4A9" w14:textId="77777777" w:rsidR="005F0652" w:rsidRPr="005F0652" w:rsidRDefault="005F0652" w:rsidP="005F0652">
      <w:pPr>
        <w:jc w:val="both"/>
        <w:rPr>
          <w:rFonts w:ascii="Arial" w:eastAsiaTheme="minorEastAsia" w:hAnsi="Arial" w:cs="Arial"/>
          <w:lang w:val="en-GB"/>
        </w:rPr>
      </w:pPr>
    </w:p>
    <w:p w14:paraId="27610157" w14:textId="77777777" w:rsidR="005F0652" w:rsidRPr="005F0652" w:rsidRDefault="005F0652" w:rsidP="005F0652">
      <w:pPr>
        <w:keepNext/>
        <w:jc w:val="center"/>
        <w:rPr>
          <w:rFonts w:ascii="Arial" w:eastAsiaTheme="minorEastAsia" w:hAnsi="Arial" w:cs="Arial"/>
          <w:b/>
          <w:caps/>
          <w:lang w:val="en-GB"/>
        </w:rPr>
      </w:pPr>
      <w:r w:rsidRPr="005F0652">
        <w:rPr>
          <w:rFonts w:ascii="Arial" w:eastAsiaTheme="minorEastAsia" w:hAnsi="Arial" w:cs="Arial"/>
          <w:b/>
          <w:caps/>
          <w:lang w:val="en-GB"/>
        </w:rPr>
        <w:t>EXHIBIT 3: NET INTEREST MARGIN OF INDIAN COMMERCIAL BANKS (%)</w:t>
      </w:r>
    </w:p>
    <w:p w14:paraId="4F7D2984" w14:textId="77777777" w:rsidR="005F0652" w:rsidRPr="005F0652" w:rsidRDefault="005F0652" w:rsidP="005F0652">
      <w:pPr>
        <w:jc w:val="both"/>
        <w:rPr>
          <w:rFonts w:ascii="Arial" w:eastAsiaTheme="minorEastAsia" w:hAnsi="Arial" w:cs="Arial"/>
          <w:lang w:val="en-GB"/>
        </w:rPr>
      </w:pPr>
    </w:p>
    <w:tbl>
      <w:tblPr>
        <w:tblStyle w:val="TableGrid11"/>
        <w:tblW w:w="5000" w:type="pct"/>
        <w:jc w:val="center"/>
        <w:tblLayout w:type="fixed"/>
        <w:tblLook w:val="04A0" w:firstRow="1" w:lastRow="0" w:firstColumn="1" w:lastColumn="0" w:noHBand="0" w:noVBand="1"/>
      </w:tblPr>
      <w:tblGrid>
        <w:gridCol w:w="661"/>
        <w:gridCol w:w="1449"/>
        <w:gridCol w:w="1448"/>
        <w:gridCol w:w="1448"/>
        <w:gridCol w:w="1448"/>
        <w:gridCol w:w="1448"/>
        <w:gridCol w:w="1448"/>
      </w:tblGrid>
      <w:tr w:rsidR="005F0652" w:rsidRPr="005F0652" w14:paraId="30C7CDFC" w14:textId="77777777" w:rsidTr="00940815">
        <w:trPr>
          <w:trHeight w:val="259"/>
          <w:jc w:val="center"/>
        </w:trPr>
        <w:tc>
          <w:tcPr>
            <w:tcW w:w="630" w:type="dxa"/>
            <w:noWrap/>
            <w:vAlign w:val="center"/>
            <w:hideMark/>
          </w:tcPr>
          <w:p w14:paraId="0FAE8EAA"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Year</w:t>
            </w:r>
          </w:p>
        </w:tc>
        <w:tc>
          <w:tcPr>
            <w:tcW w:w="1383" w:type="dxa"/>
            <w:noWrap/>
            <w:vAlign w:val="center"/>
            <w:hideMark/>
          </w:tcPr>
          <w:p w14:paraId="36A3BDD7"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State Bank of India &amp; Associates</w:t>
            </w:r>
          </w:p>
        </w:tc>
        <w:tc>
          <w:tcPr>
            <w:tcW w:w="1383" w:type="dxa"/>
            <w:noWrap/>
            <w:vAlign w:val="center"/>
            <w:hideMark/>
          </w:tcPr>
          <w:p w14:paraId="42B6AFC8"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Nationalized Banks</w:t>
            </w:r>
          </w:p>
        </w:tc>
        <w:tc>
          <w:tcPr>
            <w:tcW w:w="1383" w:type="dxa"/>
            <w:noWrap/>
            <w:vAlign w:val="center"/>
            <w:hideMark/>
          </w:tcPr>
          <w:p w14:paraId="75825ADA"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Public Sector Banks</w:t>
            </w:r>
          </w:p>
        </w:tc>
        <w:tc>
          <w:tcPr>
            <w:tcW w:w="1383" w:type="dxa"/>
            <w:noWrap/>
            <w:vAlign w:val="center"/>
            <w:hideMark/>
          </w:tcPr>
          <w:p w14:paraId="24E45D2D"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Private Sector Banks</w:t>
            </w:r>
          </w:p>
        </w:tc>
        <w:tc>
          <w:tcPr>
            <w:tcW w:w="1383" w:type="dxa"/>
            <w:noWrap/>
            <w:vAlign w:val="center"/>
            <w:hideMark/>
          </w:tcPr>
          <w:p w14:paraId="67D7441D"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Foreign Banks</w:t>
            </w:r>
          </w:p>
        </w:tc>
        <w:tc>
          <w:tcPr>
            <w:tcW w:w="1383" w:type="dxa"/>
            <w:noWrap/>
            <w:vAlign w:val="center"/>
            <w:hideMark/>
          </w:tcPr>
          <w:p w14:paraId="485CF24A"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All Scheduled Commercial Banks</w:t>
            </w:r>
          </w:p>
        </w:tc>
      </w:tr>
      <w:tr w:rsidR="005F0652" w:rsidRPr="005F0652" w14:paraId="4A05E043" w14:textId="77777777" w:rsidTr="00940815">
        <w:trPr>
          <w:trHeight w:val="259"/>
          <w:jc w:val="center"/>
        </w:trPr>
        <w:tc>
          <w:tcPr>
            <w:tcW w:w="630" w:type="dxa"/>
            <w:noWrap/>
            <w:vAlign w:val="center"/>
            <w:hideMark/>
          </w:tcPr>
          <w:p w14:paraId="7C3612DC"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2014</w:t>
            </w:r>
          </w:p>
        </w:tc>
        <w:tc>
          <w:tcPr>
            <w:tcW w:w="1383" w:type="dxa"/>
            <w:noWrap/>
            <w:vAlign w:val="center"/>
            <w:hideMark/>
          </w:tcPr>
          <w:p w14:paraId="417E8BB7"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2.87</w:t>
            </w:r>
          </w:p>
        </w:tc>
        <w:tc>
          <w:tcPr>
            <w:tcW w:w="1383" w:type="dxa"/>
            <w:noWrap/>
            <w:vAlign w:val="center"/>
            <w:hideMark/>
          </w:tcPr>
          <w:p w14:paraId="2EC2C6D2"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2.28</w:t>
            </w:r>
          </w:p>
        </w:tc>
        <w:tc>
          <w:tcPr>
            <w:tcW w:w="1383" w:type="dxa"/>
            <w:noWrap/>
            <w:vAlign w:val="center"/>
            <w:hideMark/>
          </w:tcPr>
          <w:p w14:paraId="015229E1"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2.45</w:t>
            </w:r>
          </w:p>
        </w:tc>
        <w:tc>
          <w:tcPr>
            <w:tcW w:w="1383" w:type="dxa"/>
            <w:noWrap/>
            <w:vAlign w:val="center"/>
            <w:hideMark/>
          </w:tcPr>
          <w:p w14:paraId="481D4A12"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3.31</w:t>
            </w:r>
          </w:p>
        </w:tc>
        <w:tc>
          <w:tcPr>
            <w:tcW w:w="1383" w:type="dxa"/>
            <w:noWrap/>
            <w:vAlign w:val="center"/>
            <w:hideMark/>
          </w:tcPr>
          <w:p w14:paraId="26AF6A43"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3.54</w:t>
            </w:r>
          </w:p>
        </w:tc>
        <w:tc>
          <w:tcPr>
            <w:tcW w:w="1383" w:type="dxa"/>
            <w:noWrap/>
            <w:vAlign w:val="center"/>
            <w:hideMark/>
          </w:tcPr>
          <w:p w14:paraId="328C437D"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2.70</w:t>
            </w:r>
          </w:p>
        </w:tc>
      </w:tr>
      <w:tr w:rsidR="005F0652" w:rsidRPr="005F0652" w14:paraId="7FD78CCD" w14:textId="77777777" w:rsidTr="00940815">
        <w:trPr>
          <w:trHeight w:val="259"/>
          <w:jc w:val="center"/>
        </w:trPr>
        <w:tc>
          <w:tcPr>
            <w:tcW w:w="630" w:type="dxa"/>
            <w:noWrap/>
            <w:vAlign w:val="center"/>
            <w:hideMark/>
          </w:tcPr>
          <w:p w14:paraId="5E79399D"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2015</w:t>
            </w:r>
          </w:p>
        </w:tc>
        <w:tc>
          <w:tcPr>
            <w:tcW w:w="1383" w:type="dxa"/>
            <w:noWrap/>
            <w:vAlign w:val="center"/>
            <w:hideMark/>
          </w:tcPr>
          <w:p w14:paraId="6BA41C9E"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2.81</w:t>
            </w:r>
          </w:p>
        </w:tc>
        <w:tc>
          <w:tcPr>
            <w:tcW w:w="1383" w:type="dxa"/>
            <w:noWrap/>
            <w:vAlign w:val="center"/>
            <w:hideMark/>
          </w:tcPr>
          <w:p w14:paraId="11EAB869"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2.15</w:t>
            </w:r>
          </w:p>
        </w:tc>
        <w:tc>
          <w:tcPr>
            <w:tcW w:w="1383" w:type="dxa"/>
            <w:noWrap/>
            <w:vAlign w:val="center"/>
            <w:hideMark/>
          </w:tcPr>
          <w:p w14:paraId="74B153E8"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2.35</w:t>
            </w:r>
          </w:p>
        </w:tc>
        <w:tc>
          <w:tcPr>
            <w:tcW w:w="1383" w:type="dxa"/>
            <w:noWrap/>
            <w:vAlign w:val="center"/>
            <w:hideMark/>
          </w:tcPr>
          <w:p w14:paraId="51ECDB39"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3.37</w:t>
            </w:r>
          </w:p>
        </w:tc>
        <w:tc>
          <w:tcPr>
            <w:tcW w:w="1383" w:type="dxa"/>
            <w:noWrap/>
            <w:vAlign w:val="center"/>
            <w:hideMark/>
          </w:tcPr>
          <w:p w14:paraId="06A301F0"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3.54</w:t>
            </w:r>
          </w:p>
        </w:tc>
        <w:tc>
          <w:tcPr>
            <w:tcW w:w="1383" w:type="dxa"/>
            <w:noWrap/>
            <w:vAlign w:val="center"/>
            <w:hideMark/>
          </w:tcPr>
          <w:p w14:paraId="368DFAB4"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2.64</w:t>
            </w:r>
          </w:p>
        </w:tc>
      </w:tr>
      <w:tr w:rsidR="005F0652" w:rsidRPr="005F0652" w14:paraId="658B832C" w14:textId="77777777" w:rsidTr="00940815">
        <w:trPr>
          <w:trHeight w:val="259"/>
          <w:jc w:val="center"/>
        </w:trPr>
        <w:tc>
          <w:tcPr>
            <w:tcW w:w="630" w:type="dxa"/>
            <w:noWrap/>
            <w:vAlign w:val="center"/>
            <w:hideMark/>
          </w:tcPr>
          <w:p w14:paraId="0B418445"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2016</w:t>
            </w:r>
          </w:p>
        </w:tc>
        <w:tc>
          <w:tcPr>
            <w:tcW w:w="1383" w:type="dxa"/>
            <w:noWrap/>
            <w:vAlign w:val="center"/>
            <w:hideMark/>
          </w:tcPr>
          <w:p w14:paraId="6B7BFED7"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2.64</w:t>
            </w:r>
          </w:p>
        </w:tc>
        <w:tc>
          <w:tcPr>
            <w:tcW w:w="1383" w:type="dxa"/>
            <w:noWrap/>
            <w:vAlign w:val="center"/>
            <w:hideMark/>
          </w:tcPr>
          <w:p w14:paraId="0EEC6BA7"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2.06</w:t>
            </w:r>
          </w:p>
        </w:tc>
        <w:tc>
          <w:tcPr>
            <w:tcW w:w="1383" w:type="dxa"/>
            <w:noWrap/>
            <w:vAlign w:val="center"/>
            <w:hideMark/>
          </w:tcPr>
          <w:p w14:paraId="1EEAAEBA"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2.23</w:t>
            </w:r>
          </w:p>
        </w:tc>
        <w:tc>
          <w:tcPr>
            <w:tcW w:w="1383" w:type="dxa"/>
            <w:noWrap/>
            <w:vAlign w:val="center"/>
            <w:hideMark/>
          </w:tcPr>
          <w:p w14:paraId="2C3DCCDE"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3.45</w:t>
            </w:r>
          </w:p>
        </w:tc>
        <w:tc>
          <w:tcPr>
            <w:tcW w:w="1383" w:type="dxa"/>
            <w:noWrap/>
            <w:vAlign w:val="center"/>
            <w:hideMark/>
          </w:tcPr>
          <w:p w14:paraId="59E93C6F"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3.60</w:t>
            </w:r>
          </w:p>
        </w:tc>
        <w:tc>
          <w:tcPr>
            <w:tcW w:w="1383" w:type="dxa"/>
            <w:noWrap/>
            <w:vAlign w:val="center"/>
            <w:hideMark/>
          </w:tcPr>
          <w:p w14:paraId="63C05BB8"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2.60</w:t>
            </w:r>
          </w:p>
        </w:tc>
      </w:tr>
    </w:tbl>
    <w:p w14:paraId="34342D51" w14:textId="77777777" w:rsidR="005F0652" w:rsidRPr="005F0652" w:rsidRDefault="005F0652" w:rsidP="005F0652">
      <w:pPr>
        <w:jc w:val="both"/>
        <w:rPr>
          <w:rFonts w:ascii="Arial" w:eastAsiaTheme="minorEastAsia" w:hAnsi="Arial" w:cs="Arial"/>
          <w:lang w:val="en-GB"/>
        </w:rPr>
      </w:pPr>
    </w:p>
    <w:p w14:paraId="50BB3957" w14:textId="77777777" w:rsidR="005F0652" w:rsidRPr="005F0652" w:rsidRDefault="005F0652" w:rsidP="005F0652">
      <w:pPr>
        <w:jc w:val="both"/>
        <w:rPr>
          <w:rFonts w:ascii="Arial" w:eastAsiaTheme="minorEastAsia" w:hAnsi="Arial" w:cs="Arial"/>
          <w:sz w:val="17"/>
          <w:szCs w:val="17"/>
          <w:lang w:val="en-GB"/>
        </w:rPr>
      </w:pPr>
      <w:r w:rsidRPr="005F0652">
        <w:rPr>
          <w:rFonts w:ascii="Arial" w:eastAsiaTheme="minorEastAsia" w:hAnsi="Arial" w:cs="Arial"/>
          <w:sz w:val="17"/>
          <w:szCs w:val="17"/>
          <w:lang w:val="en-GB"/>
        </w:rPr>
        <w:t>Note: All figures are for the financial year April 1 to March 31.</w:t>
      </w:r>
    </w:p>
    <w:p w14:paraId="3993B24C" w14:textId="77777777" w:rsidR="005F0652" w:rsidRPr="005F0652" w:rsidRDefault="005F0652" w:rsidP="005F0652">
      <w:pPr>
        <w:jc w:val="both"/>
        <w:rPr>
          <w:rFonts w:ascii="Arial" w:eastAsiaTheme="minorEastAsia" w:hAnsi="Arial" w:cs="Arial"/>
          <w:i/>
          <w:sz w:val="17"/>
          <w:szCs w:val="17"/>
          <w:lang w:val="en-GB"/>
        </w:rPr>
      </w:pPr>
      <w:r w:rsidRPr="005F0652">
        <w:rPr>
          <w:rFonts w:ascii="Arial" w:eastAsiaTheme="minorEastAsia" w:hAnsi="Arial" w:cs="Arial"/>
          <w:sz w:val="17"/>
          <w:szCs w:val="17"/>
          <w:lang w:val="en-GB"/>
        </w:rPr>
        <w:t xml:space="preserve">Source: Database on Indian Economy, Reserve Bank of India, accessed January 9, 2017, https://dbie.rbi.org.in/DBIE/dbie.rbi?site=publications. </w:t>
      </w:r>
    </w:p>
    <w:p w14:paraId="722BD277" w14:textId="77777777" w:rsidR="005F0652" w:rsidRPr="005F0652" w:rsidRDefault="005F0652" w:rsidP="005F0652">
      <w:pPr>
        <w:jc w:val="both"/>
        <w:rPr>
          <w:rFonts w:ascii="Arial" w:eastAsiaTheme="minorEastAsia" w:hAnsi="Arial" w:cs="Arial"/>
          <w:lang w:val="en-GB"/>
        </w:rPr>
      </w:pPr>
    </w:p>
    <w:p w14:paraId="16361CAA" w14:textId="77777777" w:rsidR="005F0652" w:rsidRPr="005F0652" w:rsidRDefault="005F0652" w:rsidP="005F0652">
      <w:pPr>
        <w:jc w:val="both"/>
        <w:rPr>
          <w:rFonts w:ascii="Arial" w:eastAsiaTheme="minorEastAsia" w:hAnsi="Arial" w:cs="Arial"/>
          <w:lang w:val="en-GB"/>
        </w:rPr>
      </w:pPr>
    </w:p>
    <w:p w14:paraId="34F65BEF" w14:textId="77777777" w:rsidR="005F0652" w:rsidRPr="005F0652" w:rsidRDefault="005F0652" w:rsidP="005F0652">
      <w:pPr>
        <w:keepNext/>
        <w:jc w:val="center"/>
        <w:rPr>
          <w:rFonts w:ascii="Arial" w:eastAsiaTheme="minorEastAsia" w:hAnsi="Arial" w:cs="Arial"/>
          <w:b/>
          <w:caps/>
          <w:lang w:val="en-GB"/>
        </w:rPr>
      </w:pPr>
      <w:r w:rsidRPr="005F0652">
        <w:rPr>
          <w:rFonts w:ascii="Arial" w:eastAsiaTheme="minorEastAsia" w:hAnsi="Arial" w:cs="Arial"/>
          <w:b/>
          <w:caps/>
          <w:lang w:val="en-GB"/>
        </w:rPr>
        <w:t>EXHIBIT 4: CREDIT DEPOSIT RATIO OF INDIAN COMMERCIAL BANKS (%)</w:t>
      </w:r>
    </w:p>
    <w:p w14:paraId="6A319FD0" w14:textId="77777777" w:rsidR="005F0652" w:rsidRPr="005F0652" w:rsidRDefault="005F0652" w:rsidP="005F0652">
      <w:pPr>
        <w:jc w:val="both"/>
        <w:rPr>
          <w:rFonts w:ascii="Arial" w:eastAsiaTheme="minorEastAsia" w:hAnsi="Arial" w:cs="Arial"/>
          <w:lang w:val="en-GB"/>
        </w:rPr>
      </w:pPr>
    </w:p>
    <w:tbl>
      <w:tblPr>
        <w:tblStyle w:val="TableGrid11"/>
        <w:tblW w:w="5000" w:type="pct"/>
        <w:jc w:val="center"/>
        <w:tblLayout w:type="fixed"/>
        <w:tblLook w:val="04A0" w:firstRow="1" w:lastRow="0" w:firstColumn="1" w:lastColumn="0" w:noHBand="0" w:noVBand="1"/>
      </w:tblPr>
      <w:tblGrid>
        <w:gridCol w:w="664"/>
        <w:gridCol w:w="1447"/>
        <w:gridCol w:w="1448"/>
        <w:gridCol w:w="1448"/>
        <w:gridCol w:w="1447"/>
        <w:gridCol w:w="1448"/>
        <w:gridCol w:w="1448"/>
      </w:tblGrid>
      <w:tr w:rsidR="005F0652" w:rsidRPr="005F0652" w14:paraId="78E04829" w14:textId="77777777" w:rsidTr="00940815">
        <w:trPr>
          <w:trHeight w:val="259"/>
          <w:jc w:val="center"/>
        </w:trPr>
        <w:tc>
          <w:tcPr>
            <w:tcW w:w="664" w:type="dxa"/>
            <w:noWrap/>
            <w:vAlign w:val="center"/>
            <w:hideMark/>
          </w:tcPr>
          <w:p w14:paraId="0CCCCD0D"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Year</w:t>
            </w:r>
          </w:p>
        </w:tc>
        <w:tc>
          <w:tcPr>
            <w:tcW w:w="1447" w:type="dxa"/>
            <w:noWrap/>
            <w:vAlign w:val="center"/>
            <w:hideMark/>
          </w:tcPr>
          <w:p w14:paraId="27E32113"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State Bank of India &amp; Associates</w:t>
            </w:r>
          </w:p>
        </w:tc>
        <w:tc>
          <w:tcPr>
            <w:tcW w:w="1448" w:type="dxa"/>
            <w:noWrap/>
            <w:vAlign w:val="center"/>
            <w:hideMark/>
          </w:tcPr>
          <w:p w14:paraId="4F7895F7"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Nationalized Banks</w:t>
            </w:r>
          </w:p>
        </w:tc>
        <w:tc>
          <w:tcPr>
            <w:tcW w:w="1448" w:type="dxa"/>
            <w:noWrap/>
            <w:vAlign w:val="center"/>
            <w:hideMark/>
          </w:tcPr>
          <w:p w14:paraId="601E0A2F"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Public Sector Banks</w:t>
            </w:r>
          </w:p>
        </w:tc>
        <w:tc>
          <w:tcPr>
            <w:tcW w:w="1447" w:type="dxa"/>
            <w:noWrap/>
            <w:vAlign w:val="center"/>
            <w:hideMark/>
          </w:tcPr>
          <w:p w14:paraId="7B7984A9"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Private Sector Banks</w:t>
            </w:r>
          </w:p>
        </w:tc>
        <w:tc>
          <w:tcPr>
            <w:tcW w:w="1448" w:type="dxa"/>
            <w:noWrap/>
            <w:vAlign w:val="center"/>
            <w:hideMark/>
          </w:tcPr>
          <w:p w14:paraId="7FE3548E"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Foreign Banks</w:t>
            </w:r>
          </w:p>
        </w:tc>
        <w:tc>
          <w:tcPr>
            <w:tcW w:w="1448" w:type="dxa"/>
            <w:noWrap/>
            <w:vAlign w:val="center"/>
            <w:hideMark/>
          </w:tcPr>
          <w:p w14:paraId="4F2FD3E1"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All Scheduled Commercial Banks</w:t>
            </w:r>
          </w:p>
        </w:tc>
      </w:tr>
      <w:tr w:rsidR="005F0652" w:rsidRPr="005F0652" w14:paraId="0C9796CC" w14:textId="77777777" w:rsidTr="00940815">
        <w:trPr>
          <w:trHeight w:val="259"/>
          <w:jc w:val="center"/>
        </w:trPr>
        <w:tc>
          <w:tcPr>
            <w:tcW w:w="664" w:type="dxa"/>
            <w:noWrap/>
            <w:vAlign w:val="center"/>
            <w:hideMark/>
          </w:tcPr>
          <w:p w14:paraId="4F3D3C89"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2014</w:t>
            </w:r>
          </w:p>
        </w:tc>
        <w:tc>
          <w:tcPr>
            <w:tcW w:w="1447" w:type="dxa"/>
            <w:noWrap/>
            <w:vAlign w:val="center"/>
            <w:hideMark/>
          </w:tcPr>
          <w:p w14:paraId="7B48467B"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85.57</w:t>
            </w:r>
          </w:p>
        </w:tc>
        <w:tc>
          <w:tcPr>
            <w:tcW w:w="1448" w:type="dxa"/>
            <w:noWrap/>
            <w:vAlign w:val="center"/>
            <w:hideMark/>
          </w:tcPr>
          <w:p w14:paraId="1EC4E069"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74.29</w:t>
            </w:r>
          </w:p>
        </w:tc>
        <w:tc>
          <w:tcPr>
            <w:tcW w:w="1448" w:type="dxa"/>
            <w:noWrap/>
            <w:vAlign w:val="center"/>
            <w:hideMark/>
          </w:tcPr>
          <w:p w14:paraId="01E1DC36"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77.42</w:t>
            </w:r>
          </w:p>
        </w:tc>
        <w:tc>
          <w:tcPr>
            <w:tcW w:w="1447" w:type="dxa"/>
            <w:noWrap/>
            <w:vAlign w:val="center"/>
            <w:hideMark/>
          </w:tcPr>
          <w:p w14:paraId="50C9C2B5"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84.37</w:t>
            </w:r>
          </w:p>
        </w:tc>
        <w:tc>
          <w:tcPr>
            <w:tcW w:w="1448" w:type="dxa"/>
            <w:noWrap/>
            <w:vAlign w:val="center"/>
            <w:hideMark/>
          </w:tcPr>
          <w:p w14:paraId="673F7158"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82.60</w:t>
            </w:r>
          </w:p>
        </w:tc>
        <w:tc>
          <w:tcPr>
            <w:tcW w:w="1448" w:type="dxa"/>
            <w:noWrap/>
            <w:vAlign w:val="center"/>
            <w:hideMark/>
          </w:tcPr>
          <w:p w14:paraId="07EC3AC7"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78.93</w:t>
            </w:r>
          </w:p>
        </w:tc>
      </w:tr>
      <w:tr w:rsidR="005F0652" w:rsidRPr="005F0652" w14:paraId="2334C3F3" w14:textId="77777777" w:rsidTr="00940815">
        <w:trPr>
          <w:trHeight w:val="259"/>
          <w:jc w:val="center"/>
        </w:trPr>
        <w:tc>
          <w:tcPr>
            <w:tcW w:w="664" w:type="dxa"/>
            <w:noWrap/>
            <w:vAlign w:val="center"/>
            <w:hideMark/>
          </w:tcPr>
          <w:p w14:paraId="2E80D3EC"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2015</w:t>
            </w:r>
          </w:p>
        </w:tc>
        <w:tc>
          <w:tcPr>
            <w:tcW w:w="1447" w:type="dxa"/>
            <w:noWrap/>
            <w:vAlign w:val="center"/>
            <w:hideMark/>
          </w:tcPr>
          <w:p w14:paraId="1F4EC6F9"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82.07</w:t>
            </w:r>
          </w:p>
        </w:tc>
        <w:tc>
          <w:tcPr>
            <w:tcW w:w="1448" w:type="dxa"/>
            <w:noWrap/>
            <w:vAlign w:val="center"/>
            <w:hideMark/>
          </w:tcPr>
          <w:p w14:paraId="2C3407D0"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73.77</w:t>
            </w:r>
          </w:p>
        </w:tc>
        <w:tc>
          <w:tcPr>
            <w:tcW w:w="1448" w:type="dxa"/>
            <w:noWrap/>
            <w:vAlign w:val="center"/>
            <w:hideMark/>
          </w:tcPr>
          <w:p w14:paraId="631C89BB"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76.12</w:t>
            </w:r>
          </w:p>
        </w:tc>
        <w:tc>
          <w:tcPr>
            <w:tcW w:w="1447" w:type="dxa"/>
            <w:noWrap/>
            <w:vAlign w:val="center"/>
            <w:hideMark/>
          </w:tcPr>
          <w:p w14:paraId="58DCBC99"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86.36</w:t>
            </w:r>
          </w:p>
        </w:tc>
        <w:tc>
          <w:tcPr>
            <w:tcW w:w="1448" w:type="dxa"/>
            <w:noWrap/>
            <w:vAlign w:val="center"/>
            <w:hideMark/>
          </w:tcPr>
          <w:p w14:paraId="273C287A"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80.85</w:t>
            </w:r>
          </w:p>
        </w:tc>
        <w:tc>
          <w:tcPr>
            <w:tcW w:w="1448" w:type="dxa"/>
            <w:noWrap/>
            <w:vAlign w:val="center"/>
            <w:hideMark/>
          </w:tcPr>
          <w:p w14:paraId="49E9A391"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78.32</w:t>
            </w:r>
          </w:p>
        </w:tc>
      </w:tr>
      <w:tr w:rsidR="005F0652" w:rsidRPr="005F0652" w14:paraId="3E338FDD" w14:textId="77777777" w:rsidTr="00940815">
        <w:trPr>
          <w:trHeight w:val="259"/>
          <w:jc w:val="center"/>
        </w:trPr>
        <w:tc>
          <w:tcPr>
            <w:tcW w:w="664" w:type="dxa"/>
            <w:noWrap/>
            <w:vAlign w:val="center"/>
            <w:hideMark/>
          </w:tcPr>
          <w:p w14:paraId="3A4E05B0"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2016</w:t>
            </w:r>
          </w:p>
        </w:tc>
        <w:tc>
          <w:tcPr>
            <w:tcW w:w="1447" w:type="dxa"/>
            <w:noWrap/>
            <w:vAlign w:val="center"/>
            <w:hideMark/>
          </w:tcPr>
          <w:p w14:paraId="5E3D048E"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82.54</w:t>
            </w:r>
          </w:p>
        </w:tc>
        <w:tc>
          <w:tcPr>
            <w:tcW w:w="1448" w:type="dxa"/>
            <w:noWrap/>
            <w:vAlign w:val="center"/>
            <w:hideMark/>
          </w:tcPr>
          <w:p w14:paraId="65E4B0B2"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71.38</w:t>
            </w:r>
          </w:p>
        </w:tc>
        <w:tc>
          <w:tcPr>
            <w:tcW w:w="1448" w:type="dxa"/>
            <w:noWrap/>
            <w:vAlign w:val="center"/>
            <w:hideMark/>
          </w:tcPr>
          <w:p w14:paraId="115B9933"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74.72</w:t>
            </w:r>
          </w:p>
        </w:tc>
        <w:tc>
          <w:tcPr>
            <w:tcW w:w="1447" w:type="dxa"/>
            <w:noWrap/>
            <w:vAlign w:val="center"/>
            <w:hideMark/>
          </w:tcPr>
          <w:p w14:paraId="0210E8A9"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90.30</w:t>
            </w:r>
          </w:p>
        </w:tc>
        <w:tc>
          <w:tcPr>
            <w:tcW w:w="1448" w:type="dxa"/>
            <w:noWrap/>
            <w:vAlign w:val="center"/>
            <w:hideMark/>
          </w:tcPr>
          <w:p w14:paraId="5DBA5889"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79.24</w:t>
            </w:r>
          </w:p>
        </w:tc>
        <w:tc>
          <w:tcPr>
            <w:tcW w:w="1448" w:type="dxa"/>
            <w:noWrap/>
            <w:vAlign w:val="center"/>
            <w:hideMark/>
          </w:tcPr>
          <w:p w14:paraId="50E36201"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78.24</w:t>
            </w:r>
          </w:p>
        </w:tc>
      </w:tr>
    </w:tbl>
    <w:p w14:paraId="5B22E068" w14:textId="77777777" w:rsidR="005F0652" w:rsidRPr="005F0652" w:rsidRDefault="005F0652" w:rsidP="005F0652">
      <w:pPr>
        <w:jc w:val="both"/>
        <w:rPr>
          <w:rFonts w:ascii="Arial" w:eastAsiaTheme="minorEastAsia" w:hAnsi="Arial" w:cs="Arial"/>
          <w:lang w:val="en-GB"/>
        </w:rPr>
      </w:pPr>
    </w:p>
    <w:p w14:paraId="6407EECA" w14:textId="77777777" w:rsidR="005F0652" w:rsidRPr="005F0652" w:rsidRDefault="005F0652" w:rsidP="005F0652">
      <w:pPr>
        <w:jc w:val="both"/>
        <w:rPr>
          <w:rFonts w:ascii="Arial" w:eastAsiaTheme="minorEastAsia" w:hAnsi="Arial" w:cs="Arial"/>
          <w:sz w:val="17"/>
          <w:szCs w:val="17"/>
          <w:lang w:val="en-GB"/>
        </w:rPr>
      </w:pPr>
      <w:r w:rsidRPr="005F0652">
        <w:rPr>
          <w:rFonts w:ascii="Arial" w:eastAsiaTheme="minorEastAsia" w:hAnsi="Arial" w:cs="Arial"/>
          <w:sz w:val="17"/>
          <w:szCs w:val="17"/>
          <w:lang w:val="en-GB"/>
        </w:rPr>
        <w:t>Note: All figures are for the financial year April 1 to March 31.</w:t>
      </w:r>
    </w:p>
    <w:p w14:paraId="1F60A2A3" w14:textId="77777777" w:rsidR="005F0652" w:rsidRPr="005F0652" w:rsidRDefault="005F0652" w:rsidP="005F0652">
      <w:pPr>
        <w:jc w:val="both"/>
        <w:rPr>
          <w:rFonts w:ascii="Arial" w:eastAsiaTheme="minorEastAsia" w:hAnsi="Arial" w:cs="Arial"/>
          <w:i/>
          <w:sz w:val="17"/>
          <w:szCs w:val="17"/>
          <w:lang w:val="en-GB"/>
        </w:rPr>
      </w:pPr>
      <w:r w:rsidRPr="005F0652">
        <w:rPr>
          <w:rFonts w:ascii="Arial" w:eastAsiaTheme="minorEastAsia" w:hAnsi="Arial" w:cs="Arial"/>
          <w:sz w:val="17"/>
          <w:szCs w:val="17"/>
          <w:lang w:val="en-GB"/>
        </w:rPr>
        <w:t xml:space="preserve">Source: Database on Indian Economy, Reserve Bank of India, accessed January 9, 2017, https://dbie.rbi.org.in/DBIE/dbie.rbi?site=publications. </w:t>
      </w:r>
    </w:p>
    <w:p w14:paraId="1007663D" w14:textId="77777777" w:rsidR="005F0652" w:rsidRDefault="005F0652" w:rsidP="005F0652">
      <w:pPr>
        <w:pStyle w:val="BodyTextMain"/>
      </w:pPr>
    </w:p>
    <w:p w14:paraId="29428769" w14:textId="77777777" w:rsidR="005F0652" w:rsidRPr="005F0652" w:rsidRDefault="005F0652" w:rsidP="005F0652">
      <w:pPr>
        <w:keepNext/>
        <w:jc w:val="center"/>
        <w:rPr>
          <w:rFonts w:ascii="Arial" w:eastAsiaTheme="minorEastAsia" w:hAnsi="Arial" w:cs="Arial"/>
          <w:b/>
          <w:caps/>
          <w:lang w:val="en-GB"/>
        </w:rPr>
      </w:pPr>
      <w:r w:rsidRPr="005F0652">
        <w:rPr>
          <w:rFonts w:ascii="Arial" w:eastAsiaTheme="minorEastAsia" w:hAnsi="Arial" w:cs="Arial"/>
          <w:b/>
          <w:caps/>
          <w:lang w:val="en-GB"/>
        </w:rPr>
        <w:lastRenderedPageBreak/>
        <w:t>EXHIBIT 5: GROSS NPAs, NET NPAs, AND TOTAL STRESSED ASSETS OF INDIAN COMMERCIAL BANKS (% OF ADVANCES)</w:t>
      </w:r>
    </w:p>
    <w:p w14:paraId="78518136" w14:textId="77777777" w:rsidR="005F0652" w:rsidRPr="005F0652" w:rsidRDefault="005F0652" w:rsidP="005F0652">
      <w:pPr>
        <w:jc w:val="both"/>
        <w:rPr>
          <w:rFonts w:ascii="Arial" w:eastAsiaTheme="minorEastAsia" w:hAnsi="Arial" w:cs="Arial"/>
          <w:lang w:val="en-GB"/>
        </w:rPr>
      </w:pPr>
    </w:p>
    <w:tbl>
      <w:tblPr>
        <w:tblStyle w:val="TableGrid12"/>
        <w:tblW w:w="0" w:type="auto"/>
        <w:jc w:val="center"/>
        <w:tblLayout w:type="fixed"/>
        <w:tblLook w:val="04A0" w:firstRow="1" w:lastRow="0" w:firstColumn="1" w:lastColumn="0" w:noHBand="0" w:noVBand="1"/>
      </w:tblPr>
      <w:tblGrid>
        <w:gridCol w:w="715"/>
        <w:gridCol w:w="1775"/>
        <w:gridCol w:w="1775"/>
        <w:gridCol w:w="1775"/>
      </w:tblGrid>
      <w:tr w:rsidR="005F0652" w:rsidRPr="005F0652" w14:paraId="37AE9E31" w14:textId="77777777" w:rsidTr="00940815">
        <w:trPr>
          <w:trHeight w:val="288"/>
          <w:jc w:val="center"/>
        </w:trPr>
        <w:tc>
          <w:tcPr>
            <w:tcW w:w="715" w:type="dxa"/>
            <w:noWrap/>
            <w:vAlign w:val="center"/>
            <w:hideMark/>
          </w:tcPr>
          <w:p w14:paraId="69D6EC0D"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Year</w:t>
            </w:r>
          </w:p>
        </w:tc>
        <w:tc>
          <w:tcPr>
            <w:tcW w:w="1775" w:type="dxa"/>
            <w:noWrap/>
            <w:vAlign w:val="center"/>
            <w:hideMark/>
          </w:tcPr>
          <w:p w14:paraId="752A9D3D"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Gross NPAs</w:t>
            </w:r>
          </w:p>
        </w:tc>
        <w:tc>
          <w:tcPr>
            <w:tcW w:w="1775" w:type="dxa"/>
            <w:noWrap/>
            <w:vAlign w:val="center"/>
            <w:hideMark/>
          </w:tcPr>
          <w:p w14:paraId="7EDF2A49"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Net NPAs</w:t>
            </w:r>
          </w:p>
        </w:tc>
        <w:tc>
          <w:tcPr>
            <w:tcW w:w="1775" w:type="dxa"/>
            <w:noWrap/>
            <w:vAlign w:val="center"/>
            <w:hideMark/>
          </w:tcPr>
          <w:p w14:paraId="52663FE9"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Total Stressed Assets</w:t>
            </w:r>
          </w:p>
        </w:tc>
      </w:tr>
      <w:tr w:rsidR="005F0652" w:rsidRPr="005F0652" w14:paraId="6DCBAA67" w14:textId="77777777" w:rsidTr="00940815">
        <w:trPr>
          <w:trHeight w:val="288"/>
          <w:jc w:val="center"/>
        </w:trPr>
        <w:tc>
          <w:tcPr>
            <w:tcW w:w="715" w:type="dxa"/>
            <w:noWrap/>
            <w:vAlign w:val="center"/>
            <w:hideMark/>
          </w:tcPr>
          <w:p w14:paraId="40F7A1C1"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2014</w:t>
            </w:r>
          </w:p>
        </w:tc>
        <w:tc>
          <w:tcPr>
            <w:tcW w:w="1775" w:type="dxa"/>
            <w:noWrap/>
            <w:vAlign w:val="center"/>
            <w:hideMark/>
          </w:tcPr>
          <w:p w14:paraId="77054ECA"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4.1</w:t>
            </w:r>
          </w:p>
        </w:tc>
        <w:tc>
          <w:tcPr>
            <w:tcW w:w="1775" w:type="dxa"/>
            <w:noWrap/>
            <w:vAlign w:val="center"/>
            <w:hideMark/>
          </w:tcPr>
          <w:p w14:paraId="21AC87E2"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2.2</w:t>
            </w:r>
          </w:p>
        </w:tc>
        <w:tc>
          <w:tcPr>
            <w:tcW w:w="1775" w:type="dxa"/>
            <w:noWrap/>
            <w:vAlign w:val="center"/>
            <w:hideMark/>
          </w:tcPr>
          <w:p w14:paraId="72E59D2D"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10.0</w:t>
            </w:r>
          </w:p>
        </w:tc>
      </w:tr>
      <w:tr w:rsidR="005F0652" w:rsidRPr="005F0652" w14:paraId="258F92E1" w14:textId="77777777" w:rsidTr="00940815">
        <w:trPr>
          <w:trHeight w:val="288"/>
          <w:jc w:val="center"/>
        </w:trPr>
        <w:tc>
          <w:tcPr>
            <w:tcW w:w="715" w:type="dxa"/>
            <w:noWrap/>
            <w:vAlign w:val="center"/>
            <w:hideMark/>
          </w:tcPr>
          <w:p w14:paraId="3955105A"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2015</w:t>
            </w:r>
          </w:p>
        </w:tc>
        <w:tc>
          <w:tcPr>
            <w:tcW w:w="1775" w:type="dxa"/>
            <w:noWrap/>
            <w:vAlign w:val="center"/>
            <w:hideMark/>
          </w:tcPr>
          <w:p w14:paraId="0F612BEF"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4.6</w:t>
            </w:r>
          </w:p>
        </w:tc>
        <w:tc>
          <w:tcPr>
            <w:tcW w:w="1775" w:type="dxa"/>
            <w:noWrap/>
            <w:vAlign w:val="center"/>
            <w:hideMark/>
          </w:tcPr>
          <w:p w14:paraId="1DDF1E22"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2.5</w:t>
            </w:r>
          </w:p>
        </w:tc>
        <w:tc>
          <w:tcPr>
            <w:tcW w:w="1775" w:type="dxa"/>
            <w:noWrap/>
            <w:vAlign w:val="center"/>
            <w:hideMark/>
          </w:tcPr>
          <w:p w14:paraId="1393BB92"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11.1</w:t>
            </w:r>
          </w:p>
        </w:tc>
      </w:tr>
      <w:tr w:rsidR="005F0652" w:rsidRPr="005F0652" w14:paraId="69693A07" w14:textId="77777777" w:rsidTr="00940815">
        <w:trPr>
          <w:trHeight w:val="288"/>
          <w:jc w:val="center"/>
        </w:trPr>
        <w:tc>
          <w:tcPr>
            <w:tcW w:w="715" w:type="dxa"/>
            <w:noWrap/>
            <w:vAlign w:val="center"/>
            <w:hideMark/>
          </w:tcPr>
          <w:p w14:paraId="1002761E"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2016</w:t>
            </w:r>
          </w:p>
        </w:tc>
        <w:tc>
          <w:tcPr>
            <w:tcW w:w="1775" w:type="dxa"/>
            <w:noWrap/>
            <w:vAlign w:val="center"/>
            <w:hideMark/>
          </w:tcPr>
          <w:p w14:paraId="497A0F1A"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7.6</w:t>
            </w:r>
          </w:p>
        </w:tc>
        <w:tc>
          <w:tcPr>
            <w:tcW w:w="1775" w:type="dxa"/>
            <w:noWrap/>
            <w:vAlign w:val="center"/>
            <w:hideMark/>
          </w:tcPr>
          <w:p w14:paraId="6AA226BE"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4.6</w:t>
            </w:r>
          </w:p>
        </w:tc>
        <w:tc>
          <w:tcPr>
            <w:tcW w:w="1775" w:type="dxa"/>
            <w:noWrap/>
            <w:vAlign w:val="center"/>
            <w:hideMark/>
          </w:tcPr>
          <w:p w14:paraId="69B5401B"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11.5</w:t>
            </w:r>
          </w:p>
        </w:tc>
      </w:tr>
    </w:tbl>
    <w:p w14:paraId="04E3FFCE" w14:textId="77777777" w:rsidR="005F0652" w:rsidRPr="005F0652" w:rsidRDefault="005F0652" w:rsidP="005F0652">
      <w:pPr>
        <w:jc w:val="both"/>
        <w:rPr>
          <w:rFonts w:ascii="Arial" w:eastAsiaTheme="minorEastAsia" w:hAnsi="Arial" w:cs="Arial"/>
          <w:lang w:val="en-GB"/>
        </w:rPr>
      </w:pPr>
    </w:p>
    <w:p w14:paraId="39D92C79" w14:textId="77777777" w:rsidR="005F0652" w:rsidRPr="005F0652" w:rsidRDefault="005F0652" w:rsidP="005F0652">
      <w:pPr>
        <w:jc w:val="both"/>
        <w:rPr>
          <w:rFonts w:ascii="Arial" w:eastAsiaTheme="minorEastAsia" w:hAnsi="Arial" w:cs="Arial"/>
          <w:sz w:val="17"/>
          <w:szCs w:val="17"/>
          <w:lang w:val="en-GB"/>
        </w:rPr>
      </w:pPr>
      <w:r w:rsidRPr="005F0652">
        <w:rPr>
          <w:rFonts w:ascii="Arial" w:eastAsiaTheme="minorEastAsia" w:hAnsi="Arial" w:cs="Arial"/>
          <w:sz w:val="17"/>
          <w:szCs w:val="17"/>
          <w:lang w:val="en-GB"/>
        </w:rPr>
        <w:t>Note: All figures are for the financial year April 1 to March 31; NPAs = non-performing assets.</w:t>
      </w:r>
    </w:p>
    <w:p w14:paraId="5B8BDEFE" w14:textId="77777777" w:rsidR="005F0652" w:rsidRPr="005F0652" w:rsidRDefault="005F0652" w:rsidP="005F0652">
      <w:pPr>
        <w:jc w:val="both"/>
        <w:rPr>
          <w:rFonts w:ascii="Arial" w:eastAsiaTheme="minorEastAsia" w:hAnsi="Arial" w:cs="Arial"/>
          <w:spacing w:val="-6"/>
          <w:sz w:val="17"/>
          <w:szCs w:val="17"/>
          <w:lang w:val="en-GB"/>
        </w:rPr>
      </w:pPr>
      <w:r w:rsidRPr="005F0652">
        <w:rPr>
          <w:rFonts w:ascii="Arial" w:eastAsiaTheme="minorEastAsia" w:hAnsi="Arial" w:cs="Arial"/>
          <w:spacing w:val="-6"/>
          <w:sz w:val="17"/>
          <w:szCs w:val="17"/>
          <w:lang w:val="en-GB"/>
        </w:rPr>
        <w:t xml:space="preserve">Sources: “Bank NPAs May Hit 8.5% by March,” </w:t>
      </w:r>
      <w:r w:rsidRPr="005F0652">
        <w:rPr>
          <w:rFonts w:ascii="Arial" w:eastAsiaTheme="minorEastAsia" w:hAnsi="Arial" w:cs="Arial"/>
          <w:i/>
          <w:spacing w:val="-6"/>
          <w:sz w:val="17"/>
          <w:szCs w:val="17"/>
          <w:lang w:val="en-GB"/>
        </w:rPr>
        <w:t>Hindu</w:t>
      </w:r>
      <w:r w:rsidRPr="005F0652">
        <w:rPr>
          <w:rFonts w:ascii="Arial" w:eastAsiaTheme="minorEastAsia" w:hAnsi="Arial" w:cs="Arial"/>
          <w:spacing w:val="-6"/>
          <w:sz w:val="17"/>
          <w:szCs w:val="17"/>
          <w:lang w:val="en-GB"/>
        </w:rPr>
        <w:t xml:space="preserve">, June 28, 2016, www.thehindu.com/business/Economy/Bank-NPAs-may-hit-8.5-by-March/article14406693.ece; Alvarez &amp; Marsal, </w:t>
      </w:r>
      <w:r w:rsidRPr="005F0652">
        <w:rPr>
          <w:rFonts w:ascii="Arial" w:eastAsiaTheme="minorEastAsia" w:hAnsi="Arial" w:cs="Arial"/>
          <w:i/>
          <w:spacing w:val="-6"/>
          <w:sz w:val="17"/>
          <w:szCs w:val="17"/>
          <w:lang w:val="en-GB"/>
        </w:rPr>
        <w:t>Outlook for Stressed Assets Market in India</w:t>
      </w:r>
      <w:r w:rsidRPr="005F0652">
        <w:rPr>
          <w:rFonts w:ascii="Arial" w:eastAsiaTheme="minorEastAsia" w:hAnsi="Arial" w:cs="Arial"/>
          <w:spacing w:val="-6"/>
          <w:sz w:val="17"/>
          <w:szCs w:val="17"/>
          <w:lang w:val="en-GB"/>
        </w:rPr>
        <w:t>, 2014, accessed January 12, 2017, www.alvarezandmarsal.com/sites/default/files/sidebar-callouts/india-stressed-assets.pdf.</w:t>
      </w:r>
    </w:p>
    <w:p w14:paraId="1FF6A997" w14:textId="77777777" w:rsidR="005F0652" w:rsidRPr="005F0652" w:rsidRDefault="005F0652" w:rsidP="005F0652">
      <w:pPr>
        <w:jc w:val="both"/>
        <w:rPr>
          <w:rFonts w:ascii="Arial" w:eastAsiaTheme="minorEastAsia" w:hAnsi="Arial" w:cs="Arial"/>
          <w:lang w:val="en-GB"/>
        </w:rPr>
      </w:pPr>
    </w:p>
    <w:p w14:paraId="54D4CE3C" w14:textId="77777777" w:rsidR="005F0652" w:rsidRPr="005F0652" w:rsidRDefault="005F0652" w:rsidP="005F0652">
      <w:pPr>
        <w:jc w:val="both"/>
        <w:rPr>
          <w:rFonts w:ascii="Arial" w:eastAsiaTheme="minorEastAsia" w:hAnsi="Arial" w:cs="Arial"/>
          <w:lang w:val="en-GB"/>
        </w:rPr>
      </w:pPr>
    </w:p>
    <w:p w14:paraId="02F8BF79" w14:textId="77777777" w:rsidR="005F0652" w:rsidRPr="005F0652" w:rsidRDefault="005F0652" w:rsidP="005F0652">
      <w:pPr>
        <w:keepNext/>
        <w:jc w:val="center"/>
        <w:rPr>
          <w:rFonts w:ascii="Arial" w:eastAsiaTheme="minorEastAsia" w:hAnsi="Arial" w:cs="Arial"/>
          <w:b/>
          <w:caps/>
          <w:lang w:val="en-GB"/>
        </w:rPr>
      </w:pPr>
      <w:r w:rsidRPr="005F0652">
        <w:rPr>
          <w:rFonts w:ascii="Arial" w:eastAsiaTheme="minorEastAsia" w:hAnsi="Arial" w:cs="Arial"/>
          <w:b/>
          <w:caps/>
          <w:lang w:val="en-GB"/>
        </w:rPr>
        <w:t>EXHIBIT 6: GROSS NPAs TO GROSS ADVANCES (%)</w:t>
      </w:r>
    </w:p>
    <w:p w14:paraId="1BD6391C" w14:textId="77777777" w:rsidR="005F0652" w:rsidRPr="005F0652" w:rsidRDefault="005F0652" w:rsidP="005F0652">
      <w:pPr>
        <w:jc w:val="both"/>
        <w:rPr>
          <w:rFonts w:ascii="Arial" w:eastAsiaTheme="minorEastAsia" w:hAnsi="Arial" w:cs="Arial"/>
          <w:lang w:val="en-GB"/>
        </w:rPr>
      </w:pPr>
    </w:p>
    <w:tbl>
      <w:tblPr>
        <w:tblStyle w:val="TableGrid2"/>
        <w:tblW w:w="5000" w:type="pct"/>
        <w:jc w:val="center"/>
        <w:tblLayout w:type="fixed"/>
        <w:tblLook w:val="04A0" w:firstRow="1" w:lastRow="0" w:firstColumn="1" w:lastColumn="0" w:noHBand="0" w:noVBand="1"/>
      </w:tblPr>
      <w:tblGrid>
        <w:gridCol w:w="708"/>
        <w:gridCol w:w="1728"/>
        <w:gridCol w:w="1728"/>
        <w:gridCol w:w="1729"/>
        <w:gridCol w:w="1728"/>
        <w:gridCol w:w="1729"/>
      </w:tblGrid>
      <w:tr w:rsidR="005F0652" w:rsidRPr="005F0652" w14:paraId="329C602C" w14:textId="77777777" w:rsidTr="00940815">
        <w:trPr>
          <w:trHeight w:val="288"/>
          <w:jc w:val="center"/>
        </w:trPr>
        <w:tc>
          <w:tcPr>
            <w:tcW w:w="708" w:type="dxa"/>
            <w:noWrap/>
            <w:vAlign w:val="center"/>
            <w:hideMark/>
          </w:tcPr>
          <w:p w14:paraId="0459AAD7"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Year</w:t>
            </w:r>
          </w:p>
        </w:tc>
        <w:tc>
          <w:tcPr>
            <w:tcW w:w="1728" w:type="dxa"/>
            <w:noWrap/>
            <w:vAlign w:val="center"/>
            <w:hideMark/>
          </w:tcPr>
          <w:p w14:paraId="7EFB9F0B"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State Bank of India &amp; Associates</w:t>
            </w:r>
          </w:p>
        </w:tc>
        <w:tc>
          <w:tcPr>
            <w:tcW w:w="1728" w:type="dxa"/>
            <w:noWrap/>
            <w:vAlign w:val="center"/>
            <w:hideMark/>
          </w:tcPr>
          <w:p w14:paraId="161157E5"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Nationalized Banks</w:t>
            </w:r>
          </w:p>
        </w:tc>
        <w:tc>
          <w:tcPr>
            <w:tcW w:w="1729" w:type="dxa"/>
            <w:noWrap/>
            <w:vAlign w:val="center"/>
            <w:hideMark/>
          </w:tcPr>
          <w:p w14:paraId="32659913"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Private Sector Banks</w:t>
            </w:r>
          </w:p>
        </w:tc>
        <w:tc>
          <w:tcPr>
            <w:tcW w:w="1728" w:type="dxa"/>
            <w:noWrap/>
            <w:vAlign w:val="center"/>
            <w:hideMark/>
          </w:tcPr>
          <w:p w14:paraId="7EAE402C"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Foreign Banks</w:t>
            </w:r>
          </w:p>
        </w:tc>
        <w:tc>
          <w:tcPr>
            <w:tcW w:w="1729" w:type="dxa"/>
            <w:noWrap/>
            <w:vAlign w:val="center"/>
            <w:hideMark/>
          </w:tcPr>
          <w:p w14:paraId="7DE0C2C1"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All Scheduled Commercial Banks</w:t>
            </w:r>
          </w:p>
        </w:tc>
      </w:tr>
      <w:tr w:rsidR="005F0652" w:rsidRPr="005F0652" w14:paraId="55E6ED82" w14:textId="77777777" w:rsidTr="00940815">
        <w:trPr>
          <w:trHeight w:val="288"/>
          <w:jc w:val="center"/>
        </w:trPr>
        <w:tc>
          <w:tcPr>
            <w:tcW w:w="708" w:type="dxa"/>
            <w:noWrap/>
            <w:vAlign w:val="center"/>
            <w:hideMark/>
          </w:tcPr>
          <w:p w14:paraId="34224DC7"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2014</w:t>
            </w:r>
          </w:p>
        </w:tc>
        <w:tc>
          <w:tcPr>
            <w:tcW w:w="1728" w:type="dxa"/>
            <w:noWrap/>
            <w:vAlign w:val="center"/>
            <w:hideMark/>
          </w:tcPr>
          <w:p w14:paraId="230EA44F"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4.96</w:t>
            </w:r>
          </w:p>
        </w:tc>
        <w:tc>
          <w:tcPr>
            <w:tcW w:w="1728" w:type="dxa"/>
            <w:noWrap/>
            <w:vAlign w:val="center"/>
            <w:hideMark/>
          </w:tcPr>
          <w:p w14:paraId="03C23C73"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4.09</w:t>
            </w:r>
          </w:p>
        </w:tc>
        <w:tc>
          <w:tcPr>
            <w:tcW w:w="1729" w:type="dxa"/>
            <w:noWrap/>
            <w:vAlign w:val="center"/>
            <w:hideMark/>
          </w:tcPr>
          <w:p w14:paraId="4D95C1C5"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1.78</w:t>
            </w:r>
          </w:p>
        </w:tc>
        <w:tc>
          <w:tcPr>
            <w:tcW w:w="1728" w:type="dxa"/>
            <w:noWrap/>
            <w:vAlign w:val="center"/>
            <w:hideMark/>
          </w:tcPr>
          <w:p w14:paraId="0537930A"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3.86</w:t>
            </w:r>
          </w:p>
        </w:tc>
        <w:tc>
          <w:tcPr>
            <w:tcW w:w="1729" w:type="dxa"/>
            <w:noWrap/>
            <w:vAlign w:val="center"/>
            <w:hideMark/>
          </w:tcPr>
          <w:p w14:paraId="40108C66"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3.83</w:t>
            </w:r>
          </w:p>
        </w:tc>
      </w:tr>
      <w:tr w:rsidR="005F0652" w:rsidRPr="005F0652" w14:paraId="47DCCAC6" w14:textId="77777777" w:rsidTr="00940815">
        <w:trPr>
          <w:trHeight w:val="288"/>
          <w:jc w:val="center"/>
        </w:trPr>
        <w:tc>
          <w:tcPr>
            <w:tcW w:w="708" w:type="dxa"/>
            <w:noWrap/>
            <w:vAlign w:val="center"/>
            <w:hideMark/>
          </w:tcPr>
          <w:p w14:paraId="173286DF"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2015</w:t>
            </w:r>
          </w:p>
        </w:tc>
        <w:tc>
          <w:tcPr>
            <w:tcW w:w="1728" w:type="dxa"/>
            <w:noWrap/>
            <w:vAlign w:val="center"/>
            <w:hideMark/>
          </w:tcPr>
          <w:p w14:paraId="086CC90B"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4.28</w:t>
            </w:r>
          </w:p>
        </w:tc>
        <w:tc>
          <w:tcPr>
            <w:tcW w:w="1728" w:type="dxa"/>
            <w:noWrap/>
            <w:vAlign w:val="center"/>
            <w:hideMark/>
          </w:tcPr>
          <w:p w14:paraId="50696F08"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5.26</w:t>
            </w:r>
          </w:p>
        </w:tc>
        <w:tc>
          <w:tcPr>
            <w:tcW w:w="1729" w:type="dxa"/>
            <w:noWrap/>
            <w:vAlign w:val="center"/>
            <w:hideMark/>
          </w:tcPr>
          <w:p w14:paraId="77D55D0B"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2.10</w:t>
            </w:r>
          </w:p>
        </w:tc>
        <w:tc>
          <w:tcPr>
            <w:tcW w:w="1728" w:type="dxa"/>
            <w:noWrap/>
            <w:vAlign w:val="center"/>
            <w:hideMark/>
          </w:tcPr>
          <w:p w14:paraId="4F5F78B7"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3.20</w:t>
            </w:r>
          </w:p>
        </w:tc>
        <w:tc>
          <w:tcPr>
            <w:tcW w:w="1729" w:type="dxa"/>
            <w:noWrap/>
            <w:vAlign w:val="center"/>
            <w:hideMark/>
          </w:tcPr>
          <w:p w14:paraId="1CA6D8ED"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4.27</w:t>
            </w:r>
          </w:p>
        </w:tc>
      </w:tr>
      <w:tr w:rsidR="005F0652" w:rsidRPr="005F0652" w14:paraId="0E85EC49" w14:textId="77777777" w:rsidTr="00940815">
        <w:trPr>
          <w:trHeight w:val="288"/>
          <w:jc w:val="center"/>
        </w:trPr>
        <w:tc>
          <w:tcPr>
            <w:tcW w:w="708" w:type="dxa"/>
            <w:noWrap/>
            <w:vAlign w:val="center"/>
            <w:hideMark/>
          </w:tcPr>
          <w:p w14:paraId="7C5BDD20"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2016</w:t>
            </w:r>
          </w:p>
        </w:tc>
        <w:tc>
          <w:tcPr>
            <w:tcW w:w="1728" w:type="dxa"/>
            <w:noWrap/>
            <w:vAlign w:val="center"/>
            <w:hideMark/>
          </w:tcPr>
          <w:p w14:paraId="6B3F149A"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6.40</w:t>
            </w:r>
          </w:p>
        </w:tc>
        <w:tc>
          <w:tcPr>
            <w:tcW w:w="1728" w:type="dxa"/>
            <w:noWrap/>
            <w:vAlign w:val="center"/>
            <w:hideMark/>
          </w:tcPr>
          <w:p w14:paraId="6E063B13"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10.69</w:t>
            </w:r>
          </w:p>
        </w:tc>
        <w:tc>
          <w:tcPr>
            <w:tcW w:w="1729" w:type="dxa"/>
            <w:noWrap/>
            <w:vAlign w:val="center"/>
            <w:hideMark/>
          </w:tcPr>
          <w:p w14:paraId="00152DBC"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2.83</w:t>
            </w:r>
          </w:p>
        </w:tc>
        <w:tc>
          <w:tcPr>
            <w:tcW w:w="1728" w:type="dxa"/>
            <w:noWrap/>
            <w:vAlign w:val="center"/>
            <w:hideMark/>
          </w:tcPr>
          <w:p w14:paraId="47883314"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4.20</w:t>
            </w:r>
          </w:p>
        </w:tc>
        <w:tc>
          <w:tcPr>
            <w:tcW w:w="1729" w:type="dxa"/>
            <w:noWrap/>
            <w:vAlign w:val="center"/>
            <w:hideMark/>
          </w:tcPr>
          <w:p w14:paraId="4F1C5F6E"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7.49</w:t>
            </w:r>
          </w:p>
        </w:tc>
      </w:tr>
    </w:tbl>
    <w:p w14:paraId="42C66085" w14:textId="77777777" w:rsidR="005F0652" w:rsidRPr="005F0652" w:rsidRDefault="005F0652" w:rsidP="005F0652">
      <w:pPr>
        <w:jc w:val="both"/>
        <w:rPr>
          <w:rFonts w:ascii="Arial" w:eastAsiaTheme="minorEastAsia" w:hAnsi="Arial" w:cs="Arial"/>
          <w:lang w:val="en-GB"/>
        </w:rPr>
      </w:pPr>
    </w:p>
    <w:p w14:paraId="4F71AA67" w14:textId="77777777" w:rsidR="005F0652" w:rsidRPr="005F0652" w:rsidRDefault="005F0652" w:rsidP="005F0652">
      <w:pPr>
        <w:jc w:val="both"/>
        <w:rPr>
          <w:rFonts w:ascii="Arial" w:eastAsiaTheme="minorEastAsia" w:hAnsi="Arial" w:cs="Arial"/>
          <w:sz w:val="17"/>
          <w:szCs w:val="17"/>
          <w:lang w:val="en-GB"/>
        </w:rPr>
      </w:pPr>
      <w:r w:rsidRPr="005F0652">
        <w:rPr>
          <w:rFonts w:ascii="Arial" w:eastAsiaTheme="minorEastAsia" w:hAnsi="Arial" w:cs="Arial"/>
          <w:sz w:val="17"/>
          <w:szCs w:val="17"/>
          <w:lang w:val="en-GB"/>
        </w:rPr>
        <w:t>Note: All figures are for the financial year April 1 to March 31; NPAs = non-performing assets.</w:t>
      </w:r>
    </w:p>
    <w:p w14:paraId="56A31452" w14:textId="77777777" w:rsidR="005F0652" w:rsidRPr="005F0652" w:rsidRDefault="005F0652" w:rsidP="005F0652">
      <w:pPr>
        <w:jc w:val="both"/>
        <w:rPr>
          <w:rFonts w:ascii="Arial" w:eastAsiaTheme="minorEastAsia" w:hAnsi="Arial" w:cs="Arial"/>
          <w:i/>
          <w:sz w:val="17"/>
          <w:szCs w:val="17"/>
          <w:lang w:val="en-GB"/>
        </w:rPr>
      </w:pPr>
      <w:r w:rsidRPr="005F0652">
        <w:rPr>
          <w:rFonts w:ascii="Arial" w:eastAsiaTheme="minorEastAsia" w:hAnsi="Arial" w:cs="Arial"/>
          <w:sz w:val="17"/>
          <w:szCs w:val="17"/>
          <w:lang w:val="en-GB"/>
        </w:rPr>
        <w:t>Source: Database on Indian Economy, Reserve Bank of India, accessed January 9, 2017, https://dbie.rbi.org.in/DBIE/dbie.rbi?site=publications.</w:t>
      </w:r>
    </w:p>
    <w:p w14:paraId="494F8500" w14:textId="77777777" w:rsidR="005F0652" w:rsidRPr="005F0652" w:rsidRDefault="005F0652" w:rsidP="005F0652">
      <w:pPr>
        <w:jc w:val="both"/>
        <w:rPr>
          <w:rFonts w:ascii="Arial" w:eastAsiaTheme="minorEastAsia" w:hAnsi="Arial" w:cs="Arial"/>
          <w:lang w:val="en-GB"/>
        </w:rPr>
      </w:pPr>
    </w:p>
    <w:p w14:paraId="0AAE2A78" w14:textId="77777777" w:rsidR="005F0652" w:rsidRPr="005F0652" w:rsidRDefault="005F0652" w:rsidP="005F0652">
      <w:pPr>
        <w:jc w:val="both"/>
        <w:rPr>
          <w:rFonts w:ascii="Arial" w:eastAsiaTheme="minorEastAsia" w:hAnsi="Arial" w:cs="Arial"/>
          <w:lang w:val="en-GB"/>
        </w:rPr>
      </w:pPr>
    </w:p>
    <w:p w14:paraId="569FEC6C" w14:textId="77777777" w:rsidR="005F0652" w:rsidRPr="005F0652" w:rsidRDefault="005F0652" w:rsidP="005F0652">
      <w:pPr>
        <w:keepNext/>
        <w:jc w:val="center"/>
        <w:rPr>
          <w:rFonts w:ascii="Arial" w:eastAsiaTheme="minorEastAsia" w:hAnsi="Arial" w:cs="Arial"/>
          <w:b/>
          <w:caps/>
          <w:lang w:val="en-GB"/>
        </w:rPr>
      </w:pPr>
      <w:r w:rsidRPr="005F0652">
        <w:rPr>
          <w:rFonts w:ascii="Arial" w:eastAsiaTheme="minorEastAsia" w:hAnsi="Arial" w:cs="Arial"/>
          <w:b/>
          <w:caps/>
          <w:lang w:val="en-GB"/>
        </w:rPr>
        <w:t>EXHIBIT 7: NET NPAs TO NET ADVANCES (%)</w:t>
      </w:r>
    </w:p>
    <w:p w14:paraId="503DD93A" w14:textId="77777777" w:rsidR="005F0652" w:rsidRPr="005F0652" w:rsidRDefault="005F0652" w:rsidP="005F0652">
      <w:pPr>
        <w:jc w:val="both"/>
        <w:rPr>
          <w:rFonts w:ascii="Arial" w:eastAsiaTheme="minorEastAsia" w:hAnsi="Arial" w:cs="Arial"/>
          <w:lang w:val="en-GB"/>
        </w:rPr>
      </w:pPr>
    </w:p>
    <w:tbl>
      <w:tblPr>
        <w:tblStyle w:val="TableGrid2"/>
        <w:tblW w:w="0" w:type="auto"/>
        <w:jc w:val="center"/>
        <w:tblLayout w:type="fixed"/>
        <w:tblLook w:val="04A0" w:firstRow="1" w:lastRow="0" w:firstColumn="1" w:lastColumn="0" w:noHBand="0" w:noVBand="1"/>
      </w:tblPr>
      <w:tblGrid>
        <w:gridCol w:w="635"/>
        <w:gridCol w:w="1707"/>
        <w:gridCol w:w="1708"/>
        <w:gridCol w:w="1707"/>
        <w:gridCol w:w="1708"/>
      </w:tblGrid>
      <w:tr w:rsidR="005F0652" w:rsidRPr="005F0652" w14:paraId="144600CD" w14:textId="77777777" w:rsidTr="00940815">
        <w:trPr>
          <w:trHeight w:val="288"/>
          <w:jc w:val="center"/>
        </w:trPr>
        <w:tc>
          <w:tcPr>
            <w:tcW w:w="635" w:type="dxa"/>
            <w:noWrap/>
            <w:vAlign w:val="center"/>
            <w:hideMark/>
          </w:tcPr>
          <w:p w14:paraId="6FC378C8"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Year</w:t>
            </w:r>
          </w:p>
        </w:tc>
        <w:tc>
          <w:tcPr>
            <w:tcW w:w="1707" w:type="dxa"/>
            <w:noWrap/>
            <w:vAlign w:val="center"/>
            <w:hideMark/>
          </w:tcPr>
          <w:p w14:paraId="38FD9462"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Public Sector Banks</w:t>
            </w:r>
          </w:p>
        </w:tc>
        <w:tc>
          <w:tcPr>
            <w:tcW w:w="1708" w:type="dxa"/>
            <w:noWrap/>
            <w:vAlign w:val="center"/>
            <w:hideMark/>
          </w:tcPr>
          <w:p w14:paraId="733233AA"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Private Sector Banks</w:t>
            </w:r>
          </w:p>
        </w:tc>
        <w:tc>
          <w:tcPr>
            <w:tcW w:w="1707" w:type="dxa"/>
            <w:noWrap/>
            <w:vAlign w:val="center"/>
            <w:hideMark/>
          </w:tcPr>
          <w:p w14:paraId="67F4E635"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Foreign Banks</w:t>
            </w:r>
          </w:p>
        </w:tc>
        <w:tc>
          <w:tcPr>
            <w:tcW w:w="1708" w:type="dxa"/>
            <w:noWrap/>
            <w:vAlign w:val="center"/>
            <w:hideMark/>
          </w:tcPr>
          <w:p w14:paraId="39307D5C"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All Scheduled Commercial Banks</w:t>
            </w:r>
          </w:p>
        </w:tc>
      </w:tr>
      <w:tr w:rsidR="005F0652" w:rsidRPr="005F0652" w14:paraId="4408D328" w14:textId="77777777" w:rsidTr="00940815">
        <w:trPr>
          <w:trHeight w:val="288"/>
          <w:jc w:val="center"/>
        </w:trPr>
        <w:tc>
          <w:tcPr>
            <w:tcW w:w="635" w:type="dxa"/>
            <w:noWrap/>
            <w:vAlign w:val="center"/>
            <w:hideMark/>
          </w:tcPr>
          <w:p w14:paraId="5C996BCC"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2014</w:t>
            </w:r>
          </w:p>
        </w:tc>
        <w:tc>
          <w:tcPr>
            <w:tcW w:w="1707" w:type="dxa"/>
            <w:noWrap/>
            <w:vAlign w:val="center"/>
            <w:hideMark/>
          </w:tcPr>
          <w:p w14:paraId="04C95B36"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2.56</w:t>
            </w:r>
          </w:p>
        </w:tc>
        <w:tc>
          <w:tcPr>
            <w:tcW w:w="1708" w:type="dxa"/>
            <w:noWrap/>
            <w:vAlign w:val="center"/>
            <w:hideMark/>
          </w:tcPr>
          <w:p w14:paraId="3BBCE1E3"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0.65</w:t>
            </w:r>
          </w:p>
        </w:tc>
        <w:tc>
          <w:tcPr>
            <w:tcW w:w="1707" w:type="dxa"/>
            <w:noWrap/>
            <w:vAlign w:val="center"/>
            <w:hideMark/>
          </w:tcPr>
          <w:p w14:paraId="58328EF1"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1.10</w:t>
            </w:r>
          </w:p>
        </w:tc>
        <w:tc>
          <w:tcPr>
            <w:tcW w:w="1708" w:type="dxa"/>
            <w:noWrap/>
            <w:vAlign w:val="center"/>
            <w:hideMark/>
          </w:tcPr>
          <w:p w14:paraId="26A28659"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2.10</w:t>
            </w:r>
          </w:p>
        </w:tc>
      </w:tr>
      <w:tr w:rsidR="005F0652" w:rsidRPr="005F0652" w14:paraId="552623D6" w14:textId="77777777" w:rsidTr="00940815">
        <w:trPr>
          <w:trHeight w:val="288"/>
          <w:jc w:val="center"/>
        </w:trPr>
        <w:tc>
          <w:tcPr>
            <w:tcW w:w="635" w:type="dxa"/>
            <w:noWrap/>
            <w:vAlign w:val="center"/>
            <w:hideMark/>
          </w:tcPr>
          <w:p w14:paraId="219982AB"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2015</w:t>
            </w:r>
          </w:p>
        </w:tc>
        <w:tc>
          <w:tcPr>
            <w:tcW w:w="1707" w:type="dxa"/>
            <w:noWrap/>
            <w:vAlign w:val="center"/>
            <w:hideMark/>
          </w:tcPr>
          <w:p w14:paraId="1936AB7F"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2.90</w:t>
            </w:r>
          </w:p>
        </w:tc>
        <w:tc>
          <w:tcPr>
            <w:tcW w:w="1708" w:type="dxa"/>
            <w:noWrap/>
            <w:vAlign w:val="center"/>
            <w:hideMark/>
          </w:tcPr>
          <w:p w14:paraId="615DE4A7"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0.89</w:t>
            </w:r>
          </w:p>
        </w:tc>
        <w:tc>
          <w:tcPr>
            <w:tcW w:w="1707" w:type="dxa"/>
            <w:noWrap/>
            <w:vAlign w:val="center"/>
            <w:hideMark/>
          </w:tcPr>
          <w:p w14:paraId="6A19B960"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0.50</w:t>
            </w:r>
          </w:p>
        </w:tc>
        <w:tc>
          <w:tcPr>
            <w:tcW w:w="1708" w:type="dxa"/>
            <w:noWrap/>
            <w:vAlign w:val="center"/>
            <w:hideMark/>
          </w:tcPr>
          <w:p w14:paraId="77E9887D"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2.40</w:t>
            </w:r>
          </w:p>
        </w:tc>
      </w:tr>
      <w:tr w:rsidR="005F0652" w:rsidRPr="005F0652" w14:paraId="1817D8DB" w14:textId="77777777" w:rsidTr="00940815">
        <w:trPr>
          <w:trHeight w:val="288"/>
          <w:jc w:val="center"/>
        </w:trPr>
        <w:tc>
          <w:tcPr>
            <w:tcW w:w="635" w:type="dxa"/>
            <w:noWrap/>
            <w:vAlign w:val="center"/>
            <w:hideMark/>
          </w:tcPr>
          <w:p w14:paraId="3339AF78"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2016</w:t>
            </w:r>
          </w:p>
        </w:tc>
        <w:tc>
          <w:tcPr>
            <w:tcW w:w="1707" w:type="dxa"/>
            <w:noWrap/>
            <w:vAlign w:val="center"/>
            <w:hideMark/>
          </w:tcPr>
          <w:p w14:paraId="470D698E"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5.75</w:t>
            </w:r>
          </w:p>
        </w:tc>
        <w:tc>
          <w:tcPr>
            <w:tcW w:w="1708" w:type="dxa"/>
            <w:noWrap/>
            <w:vAlign w:val="center"/>
            <w:hideMark/>
          </w:tcPr>
          <w:p w14:paraId="68975A0E"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1.38</w:t>
            </w:r>
          </w:p>
        </w:tc>
        <w:tc>
          <w:tcPr>
            <w:tcW w:w="1707" w:type="dxa"/>
            <w:noWrap/>
            <w:vAlign w:val="center"/>
            <w:hideMark/>
          </w:tcPr>
          <w:p w14:paraId="1166B364"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0.69</w:t>
            </w:r>
          </w:p>
        </w:tc>
        <w:tc>
          <w:tcPr>
            <w:tcW w:w="1708" w:type="dxa"/>
            <w:noWrap/>
            <w:vAlign w:val="center"/>
            <w:hideMark/>
          </w:tcPr>
          <w:p w14:paraId="2BFCB0D0"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4.60</w:t>
            </w:r>
          </w:p>
        </w:tc>
      </w:tr>
    </w:tbl>
    <w:p w14:paraId="65E7135C" w14:textId="77777777" w:rsidR="005F0652" w:rsidRPr="005F0652" w:rsidRDefault="005F0652" w:rsidP="005F0652">
      <w:pPr>
        <w:jc w:val="both"/>
        <w:rPr>
          <w:rFonts w:ascii="Arial" w:eastAsiaTheme="minorEastAsia" w:hAnsi="Arial" w:cs="Arial"/>
          <w:lang w:val="en-GB"/>
        </w:rPr>
      </w:pPr>
    </w:p>
    <w:p w14:paraId="6CDEAD66" w14:textId="77777777" w:rsidR="005F0652" w:rsidRPr="005F0652" w:rsidRDefault="005F0652" w:rsidP="005F0652">
      <w:pPr>
        <w:jc w:val="both"/>
        <w:rPr>
          <w:rFonts w:ascii="Arial" w:eastAsiaTheme="minorEastAsia" w:hAnsi="Arial" w:cs="Arial"/>
          <w:sz w:val="17"/>
          <w:szCs w:val="17"/>
          <w:lang w:val="en-GB"/>
        </w:rPr>
      </w:pPr>
      <w:r w:rsidRPr="005F0652">
        <w:rPr>
          <w:rFonts w:ascii="Arial" w:eastAsiaTheme="minorEastAsia" w:hAnsi="Arial" w:cs="Arial"/>
          <w:sz w:val="17"/>
          <w:szCs w:val="17"/>
          <w:lang w:val="en-GB"/>
        </w:rPr>
        <w:t>Note: All figures are for the financial year April 1 to March 31; NPAs = non-performing assets.</w:t>
      </w:r>
    </w:p>
    <w:p w14:paraId="35AF215C" w14:textId="77777777" w:rsidR="005F0652" w:rsidRPr="005F0652" w:rsidRDefault="005F0652" w:rsidP="005F0652">
      <w:pPr>
        <w:jc w:val="both"/>
        <w:rPr>
          <w:rFonts w:ascii="Arial" w:eastAsiaTheme="minorEastAsia" w:hAnsi="Arial" w:cs="Arial"/>
          <w:sz w:val="17"/>
          <w:szCs w:val="17"/>
          <w:lang w:val="en-GB"/>
        </w:rPr>
      </w:pPr>
      <w:r w:rsidRPr="005F0652">
        <w:rPr>
          <w:rFonts w:ascii="Arial" w:hAnsi="Arial" w:cs="Arial"/>
          <w:sz w:val="17"/>
          <w:szCs w:val="17"/>
          <w:lang w:val="en-GB"/>
        </w:rPr>
        <w:t>Sources: Indian Banks’ Association (website), accessed January 12, 2017, www.iba.org.in/; “</w:t>
      </w:r>
      <w:r w:rsidRPr="005F0652">
        <w:rPr>
          <w:rFonts w:ascii="Arial" w:eastAsiaTheme="minorEastAsia" w:hAnsi="Arial" w:cs="Arial"/>
          <w:spacing w:val="-6"/>
          <w:sz w:val="17"/>
          <w:szCs w:val="17"/>
          <w:lang w:val="en-GB"/>
        </w:rPr>
        <w:t xml:space="preserve">“Bank NPAs May Hit 8.5% by March,” </w:t>
      </w:r>
      <w:r w:rsidRPr="005F0652">
        <w:rPr>
          <w:rFonts w:ascii="Arial" w:eastAsiaTheme="minorEastAsia" w:hAnsi="Arial" w:cs="Arial"/>
          <w:i/>
          <w:spacing w:val="-6"/>
          <w:sz w:val="17"/>
          <w:szCs w:val="17"/>
          <w:lang w:val="en-GB"/>
        </w:rPr>
        <w:t>Hindu</w:t>
      </w:r>
      <w:r w:rsidRPr="005F0652">
        <w:rPr>
          <w:rFonts w:ascii="Arial" w:eastAsiaTheme="minorEastAsia" w:hAnsi="Arial" w:cs="Arial"/>
          <w:spacing w:val="-6"/>
          <w:sz w:val="17"/>
          <w:szCs w:val="17"/>
          <w:lang w:val="en-GB"/>
        </w:rPr>
        <w:t>, June 28, 2016, www.thehindu.com/business/Economy/Bank-NPAs-may-hit-8.5-by-March/article14406693.ece.</w:t>
      </w:r>
      <w:r w:rsidRPr="005F0652" w:rsidDel="009C5A2B">
        <w:rPr>
          <w:rFonts w:ascii="Arial" w:hAnsi="Arial" w:cs="Arial"/>
          <w:sz w:val="17"/>
          <w:szCs w:val="17"/>
          <w:lang w:val="en-GB"/>
        </w:rPr>
        <w:t xml:space="preserve"> </w:t>
      </w:r>
    </w:p>
    <w:p w14:paraId="426845B5" w14:textId="77777777" w:rsidR="005F0652" w:rsidRDefault="005F0652" w:rsidP="005F0652">
      <w:pPr>
        <w:pStyle w:val="BodyTextMain"/>
      </w:pPr>
    </w:p>
    <w:p w14:paraId="33A805A5" w14:textId="77777777" w:rsidR="005F0652" w:rsidRDefault="005F0652" w:rsidP="005F0652">
      <w:pPr>
        <w:pStyle w:val="BodyTextMain"/>
      </w:pPr>
    </w:p>
    <w:p w14:paraId="2C48990B" w14:textId="77777777" w:rsidR="005F0652" w:rsidRDefault="005F0652" w:rsidP="005F0652">
      <w:pPr>
        <w:pStyle w:val="BodyTextMain"/>
      </w:pPr>
    </w:p>
    <w:p w14:paraId="702DB003" w14:textId="77777777" w:rsidR="005F0652" w:rsidRDefault="005F0652" w:rsidP="005F0652">
      <w:pPr>
        <w:pStyle w:val="BodyTextMain"/>
      </w:pPr>
    </w:p>
    <w:p w14:paraId="54F24D4A" w14:textId="42130EDB" w:rsidR="005F0652" w:rsidRDefault="005F0652">
      <w:pPr>
        <w:spacing w:after="200" w:line="276" w:lineRule="auto"/>
        <w:rPr>
          <w:rFonts w:ascii="Arial" w:hAnsi="Arial" w:cs="Arial"/>
          <w:b/>
          <w:caps/>
        </w:rPr>
      </w:pPr>
      <w:r>
        <w:br w:type="page"/>
      </w:r>
    </w:p>
    <w:p w14:paraId="3916E27B" w14:textId="77777777" w:rsidR="005F0652" w:rsidRPr="005F0652" w:rsidRDefault="005F0652" w:rsidP="005F0652">
      <w:pPr>
        <w:keepNext/>
        <w:jc w:val="center"/>
        <w:rPr>
          <w:rFonts w:ascii="Arial" w:eastAsiaTheme="minorEastAsia" w:hAnsi="Arial" w:cs="Arial"/>
          <w:b/>
          <w:caps/>
          <w:lang w:val="en-GB"/>
        </w:rPr>
      </w:pPr>
      <w:r w:rsidRPr="005F0652">
        <w:rPr>
          <w:rFonts w:ascii="Arial" w:eastAsiaTheme="minorEastAsia" w:hAnsi="Arial" w:cs="Arial"/>
          <w:b/>
          <w:caps/>
          <w:lang w:val="en-GB"/>
        </w:rPr>
        <w:lastRenderedPageBreak/>
        <w:t>EXHIBIT 8: CHANGES IN NPA IDENTIFICATION PROCESS, per AQR 2015</w:t>
      </w:r>
    </w:p>
    <w:p w14:paraId="3DFB6B4A" w14:textId="77777777" w:rsidR="005F0652" w:rsidRPr="005F0652" w:rsidRDefault="005F0652" w:rsidP="005F0652">
      <w:pPr>
        <w:jc w:val="both"/>
        <w:rPr>
          <w:rFonts w:ascii="Arial" w:eastAsiaTheme="minorEastAsia" w:hAnsi="Arial" w:cs="Arial"/>
          <w:lang w:val="en-GB"/>
        </w:rPr>
      </w:pPr>
    </w:p>
    <w:tbl>
      <w:tblPr>
        <w:tblStyle w:val="TableGrid2"/>
        <w:tblW w:w="5000" w:type="pct"/>
        <w:jc w:val="center"/>
        <w:tblLayout w:type="fixed"/>
        <w:tblCellMar>
          <w:top w:w="58" w:type="dxa"/>
          <w:left w:w="115" w:type="dxa"/>
          <w:bottom w:w="58" w:type="dxa"/>
          <w:right w:w="115" w:type="dxa"/>
        </w:tblCellMar>
        <w:tblLook w:val="04A0" w:firstRow="1" w:lastRow="0" w:firstColumn="1" w:lastColumn="0" w:noHBand="0" w:noVBand="1"/>
      </w:tblPr>
      <w:tblGrid>
        <w:gridCol w:w="1802"/>
        <w:gridCol w:w="3774"/>
        <w:gridCol w:w="3774"/>
      </w:tblGrid>
      <w:tr w:rsidR="005F0652" w:rsidRPr="005F0652" w14:paraId="0A7BD604" w14:textId="77777777" w:rsidTr="00940815">
        <w:trPr>
          <w:trHeight w:val="315"/>
          <w:jc w:val="center"/>
        </w:trPr>
        <w:tc>
          <w:tcPr>
            <w:tcW w:w="1802" w:type="dxa"/>
            <w:noWrap/>
            <w:vAlign w:val="center"/>
            <w:hideMark/>
          </w:tcPr>
          <w:p w14:paraId="714FD138" w14:textId="77777777" w:rsidR="005F0652" w:rsidRPr="005F0652" w:rsidRDefault="005F0652" w:rsidP="005F0652">
            <w:pPr>
              <w:jc w:val="center"/>
              <w:rPr>
                <w:rFonts w:ascii="Arial" w:eastAsiaTheme="minorEastAsia" w:hAnsi="Arial" w:cs="Arial"/>
                <w:b/>
                <w:bCs/>
                <w:lang w:val="en-GB"/>
              </w:rPr>
            </w:pPr>
            <w:r w:rsidRPr="005F0652">
              <w:rPr>
                <w:rFonts w:ascii="Arial" w:eastAsiaTheme="minorEastAsia" w:hAnsi="Arial" w:cs="Arial"/>
                <w:b/>
                <w:bCs/>
                <w:lang w:val="en-GB"/>
              </w:rPr>
              <w:t>Particulars</w:t>
            </w:r>
          </w:p>
        </w:tc>
        <w:tc>
          <w:tcPr>
            <w:tcW w:w="3774" w:type="dxa"/>
            <w:noWrap/>
            <w:vAlign w:val="center"/>
            <w:hideMark/>
          </w:tcPr>
          <w:p w14:paraId="1E1A3B4B" w14:textId="77777777" w:rsidR="005F0652" w:rsidRPr="005F0652" w:rsidRDefault="005F0652" w:rsidP="005F0652">
            <w:pPr>
              <w:jc w:val="center"/>
              <w:rPr>
                <w:rFonts w:ascii="Arial" w:eastAsiaTheme="minorEastAsia" w:hAnsi="Arial" w:cs="Arial"/>
                <w:b/>
                <w:bCs/>
                <w:lang w:val="en-GB"/>
              </w:rPr>
            </w:pPr>
            <w:r w:rsidRPr="005F0652">
              <w:rPr>
                <w:rFonts w:ascii="Arial" w:eastAsiaTheme="minorEastAsia" w:hAnsi="Arial" w:cs="Arial"/>
                <w:b/>
                <w:bCs/>
                <w:lang w:val="en-GB"/>
              </w:rPr>
              <w:t>Previous Norm</w:t>
            </w:r>
          </w:p>
        </w:tc>
        <w:tc>
          <w:tcPr>
            <w:tcW w:w="3774" w:type="dxa"/>
            <w:noWrap/>
            <w:vAlign w:val="center"/>
            <w:hideMark/>
          </w:tcPr>
          <w:p w14:paraId="6F618017" w14:textId="77777777" w:rsidR="005F0652" w:rsidRPr="005F0652" w:rsidRDefault="005F0652" w:rsidP="005F0652">
            <w:pPr>
              <w:jc w:val="center"/>
              <w:rPr>
                <w:rFonts w:ascii="Arial" w:eastAsiaTheme="minorEastAsia" w:hAnsi="Arial" w:cs="Arial"/>
                <w:b/>
                <w:bCs/>
                <w:lang w:val="en-GB"/>
              </w:rPr>
            </w:pPr>
            <w:r w:rsidRPr="005F0652">
              <w:rPr>
                <w:rFonts w:ascii="Arial" w:eastAsiaTheme="minorEastAsia" w:hAnsi="Arial" w:cs="Arial"/>
                <w:b/>
                <w:bCs/>
                <w:lang w:val="en-GB"/>
              </w:rPr>
              <w:t>Revised Norm (per AQR 2015)</w:t>
            </w:r>
          </w:p>
        </w:tc>
      </w:tr>
      <w:tr w:rsidR="005F0652" w:rsidRPr="005F0652" w14:paraId="38B4F743" w14:textId="77777777" w:rsidTr="00940815">
        <w:trPr>
          <w:trHeight w:val="315"/>
          <w:jc w:val="center"/>
        </w:trPr>
        <w:tc>
          <w:tcPr>
            <w:tcW w:w="1802" w:type="dxa"/>
            <w:noWrap/>
            <w:hideMark/>
          </w:tcPr>
          <w:p w14:paraId="4BCDFB0B" w14:textId="77777777" w:rsidR="005F0652" w:rsidRPr="005F0652" w:rsidRDefault="005F0652" w:rsidP="005F0652">
            <w:pPr>
              <w:rPr>
                <w:rFonts w:ascii="Arial" w:eastAsiaTheme="minorEastAsia" w:hAnsi="Arial" w:cs="Arial"/>
                <w:lang w:val="en-GB"/>
              </w:rPr>
            </w:pPr>
            <w:r w:rsidRPr="005F0652">
              <w:rPr>
                <w:rFonts w:ascii="Arial" w:eastAsiaTheme="minorEastAsia" w:hAnsi="Arial" w:cs="Arial"/>
                <w:lang w:val="en-GB"/>
              </w:rPr>
              <w:t>Stressed Assets/NPAs</w:t>
            </w:r>
          </w:p>
        </w:tc>
        <w:tc>
          <w:tcPr>
            <w:tcW w:w="3774" w:type="dxa"/>
            <w:noWrap/>
            <w:hideMark/>
          </w:tcPr>
          <w:p w14:paraId="3824B98D" w14:textId="77777777" w:rsidR="005F0652" w:rsidRPr="005F0652" w:rsidRDefault="005F0652" w:rsidP="005F0652">
            <w:pPr>
              <w:rPr>
                <w:rFonts w:ascii="Arial" w:eastAsiaTheme="minorEastAsia" w:hAnsi="Arial" w:cs="Arial"/>
                <w:lang w:val="en-GB"/>
              </w:rPr>
            </w:pPr>
            <w:r w:rsidRPr="005F0652">
              <w:rPr>
                <w:rFonts w:ascii="Arial" w:eastAsiaTheme="minorEastAsia" w:hAnsi="Arial" w:cs="Arial"/>
                <w:lang w:val="en-GB"/>
              </w:rPr>
              <w:t>Restructured standard advances were treated differently from problem assets, and banks resorted to the evergreening of accounts. The same loan exposure was classified as good by one bank and bad by another.</w:t>
            </w:r>
          </w:p>
        </w:tc>
        <w:tc>
          <w:tcPr>
            <w:tcW w:w="3774" w:type="dxa"/>
            <w:noWrap/>
            <w:hideMark/>
          </w:tcPr>
          <w:p w14:paraId="73EF26EB" w14:textId="77777777" w:rsidR="005F0652" w:rsidRPr="005F0652" w:rsidRDefault="005F0652" w:rsidP="005F0652">
            <w:pPr>
              <w:rPr>
                <w:rFonts w:ascii="Arial" w:eastAsiaTheme="minorEastAsia" w:hAnsi="Arial" w:cs="Arial"/>
                <w:lang w:val="en-GB"/>
              </w:rPr>
            </w:pPr>
            <w:r w:rsidRPr="005F0652">
              <w:rPr>
                <w:rFonts w:ascii="Arial" w:eastAsiaTheme="minorEastAsia" w:hAnsi="Arial" w:cs="Arial"/>
                <w:lang w:val="en-GB"/>
              </w:rPr>
              <w:t>Under AQR, banks reported a higher level of stressed assets and were hiding them under the practice of forbearance. Gross NPAs plus restructured standard advances to gross advances highlighted the true picture of total stressed assets in banks. Banks were postponing NPAs recognition, and AQR forced banks to recognize restructured standard advances as problem assets. Banks had to increase provisioning for these restructured standard accounts.</w:t>
            </w:r>
          </w:p>
        </w:tc>
      </w:tr>
      <w:tr w:rsidR="005F0652" w:rsidRPr="005F0652" w14:paraId="133B513C" w14:textId="77777777" w:rsidTr="00940815">
        <w:trPr>
          <w:trHeight w:val="300"/>
          <w:jc w:val="center"/>
        </w:trPr>
        <w:tc>
          <w:tcPr>
            <w:tcW w:w="1802" w:type="dxa"/>
            <w:noWrap/>
            <w:hideMark/>
          </w:tcPr>
          <w:p w14:paraId="117EA2C7" w14:textId="77777777" w:rsidR="005F0652" w:rsidRPr="005F0652" w:rsidRDefault="005F0652" w:rsidP="005F0652">
            <w:pPr>
              <w:rPr>
                <w:rFonts w:ascii="Arial" w:eastAsiaTheme="minorEastAsia" w:hAnsi="Arial" w:cs="Arial"/>
                <w:lang w:val="en-GB"/>
              </w:rPr>
            </w:pPr>
            <w:r w:rsidRPr="005F0652">
              <w:rPr>
                <w:rFonts w:ascii="Arial" w:eastAsiaTheme="minorEastAsia" w:hAnsi="Arial" w:cs="Arial"/>
                <w:lang w:val="en-GB"/>
              </w:rPr>
              <w:t>Loss Assets</w:t>
            </w:r>
          </w:p>
        </w:tc>
        <w:tc>
          <w:tcPr>
            <w:tcW w:w="3774" w:type="dxa"/>
            <w:noWrap/>
            <w:hideMark/>
          </w:tcPr>
          <w:p w14:paraId="4237732D" w14:textId="77777777" w:rsidR="005F0652" w:rsidRPr="005F0652" w:rsidRDefault="005F0652" w:rsidP="005F0652">
            <w:pPr>
              <w:rPr>
                <w:rFonts w:ascii="Arial" w:eastAsiaTheme="minorEastAsia" w:hAnsi="Arial" w:cs="Arial"/>
                <w:lang w:val="en-GB"/>
              </w:rPr>
            </w:pPr>
            <w:r w:rsidRPr="005F0652">
              <w:rPr>
                <w:rFonts w:ascii="Arial" w:eastAsiaTheme="minorEastAsia" w:hAnsi="Arial" w:cs="Arial"/>
                <w:lang w:val="en-GB"/>
              </w:rPr>
              <w:t>100%</w:t>
            </w:r>
          </w:p>
        </w:tc>
        <w:tc>
          <w:tcPr>
            <w:tcW w:w="3774" w:type="dxa"/>
            <w:noWrap/>
            <w:hideMark/>
          </w:tcPr>
          <w:p w14:paraId="644A58BE" w14:textId="77777777" w:rsidR="005F0652" w:rsidRPr="005F0652" w:rsidRDefault="005F0652" w:rsidP="005F0652">
            <w:pPr>
              <w:rPr>
                <w:rFonts w:ascii="Arial" w:eastAsiaTheme="minorEastAsia" w:hAnsi="Arial" w:cs="Arial"/>
                <w:lang w:val="en-GB"/>
              </w:rPr>
            </w:pPr>
            <w:r w:rsidRPr="005F0652">
              <w:rPr>
                <w:rFonts w:ascii="Arial" w:eastAsiaTheme="minorEastAsia" w:hAnsi="Arial" w:cs="Arial"/>
                <w:lang w:val="en-GB"/>
              </w:rPr>
              <w:t>100%</w:t>
            </w:r>
          </w:p>
        </w:tc>
      </w:tr>
      <w:tr w:rsidR="005F0652" w:rsidRPr="005F0652" w14:paraId="6462DA90" w14:textId="77777777" w:rsidTr="00940815">
        <w:trPr>
          <w:trHeight w:val="300"/>
          <w:jc w:val="center"/>
        </w:trPr>
        <w:tc>
          <w:tcPr>
            <w:tcW w:w="1802" w:type="dxa"/>
            <w:noWrap/>
            <w:hideMark/>
          </w:tcPr>
          <w:p w14:paraId="65A826F6" w14:textId="77777777" w:rsidR="005F0652" w:rsidRPr="005F0652" w:rsidRDefault="005F0652" w:rsidP="005F0652">
            <w:pPr>
              <w:rPr>
                <w:rFonts w:ascii="Arial" w:eastAsiaTheme="minorEastAsia" w:hAnsi="Arial" w:cs="Arial"/>
                <w:lang w:val="en-GB"/>
              </w:rPr>
            </w:pPr>
            <w:r w:rsidRPr="005F0652">
              <w:rPr>
                <w:rFonts w:ascii="Arial" w:eastAsiaTheme="minorEastAsia" w:hAnsi="Arial" w:cs="Arial"/>
                <w:lang w:val="en-GB"/>
              </w:rPr>
              <w:t>Doubtful Assets</w:t>
            </w:r>
          </w:p>
        </w:tc>
        <w:tc>
          <w:tcPr>
            <w:tcW w:w="3774" w:type="dxa"/>
            <w:noWrap/>
            <w:hideMark/>
          </w:tcPr>
          <w:p w14:paraId="7EEBA619" w14:textId="77777777" w:rsidR="005F0652" w:rsidRPr="005F0652" w:rsidRDefault="005F0652" w:rsidP="005F0652">
            <w:pPr>
              <w:rPr>
                <w:rFonts w:ascii="Arial" w:eastAsiaTheme="minorEastAsia" w:hAnsi="Arial" w:cs="Arial"/>
                <w:lang w:val="en-GB"/>
              </w:rPr>
            </w:pPr>
            <w:r w:rsidRPr="005F0652">
              <w:rPr>
                <w:rFonts w:ascii="Arial" w:eastAsiaTheme="minorEastAsia" w:hAnsi="Arial" w:cs="Arial"/>
                <w:lang w:val="en-GB"/>
              </w:rPr>
              <w:t>40%</w:t>
            </w:r>
          </w:p>
        </w:tc>
        <w:tc>
          <w:tcPr>
            <w:tcW w:w="3774" w:type="dxa"/>
            <w:noWrap/>
            <w:hideMark/>
          </w:tcPr>
          <w:p w14:paraId="314FFB27" w14:textId="77777777" w:rsidR="005F0652" w:rsidRPr="005F0652" w:rsidRDefault="005F0652" w:rsidP="005F0652">
            <w:pPr>
              <w:rPr>
                <w:rFonts w:ascii="Arial" w:eastAsiaTheme="minorEastAsia" w:hAnsi="Arial" w:cs="Arial"/>
                <w:lang w:val="en-GB"/>
              </w:rPr>
            </w:pPr>
            <w:r w:rsidRPr="005F0652">
              <w:rPr>
                <w:rFonts w:ascii="Arial" w:eastAsiaTheme="minorEastAsia" w:hAnsi="Arial" w:cs="Arial"/>
                <w:lang w:val="en-GB"/>
              </w:rPr>
              <w:t>40%</w:t>
            </w:r>
          </w:p>
        </w:tc>
      </w:tr>
      <w:tr w:rsidR="005F0652" w:rsidRPr="005F0652" w14:paraId="092541FB" w14:textId="77777777" w:rsidTr="00940815">
        <w:trPr>
          <w:trHeight w:val="300"/>
          <w:jc w:val="center"/>
        </w:trPr>
        <w:tc>
          <w:tcPr>
            <w:tcW w:w="1802" w:type="dxa"/>
            <w:noWrap/>
            <w:hideMark/>
          </w:tcPr>
          <w:p w14:paraId="3F67A685" w14:textId="77777777" w:rsidR="005F0652" w:rsidRPr="005F0652" w:rsidRDefault="005F0652" w:rsidP="005F0652">
            <w:pPr>
              <w:rPr>
                <w:rFonts w:ascii="Arial" w:eastAsiaTheme="minorEastAsia" w:hAnsi="Arial" w:cs="Arial"/>
                <w:lang w:val="en-GB"/>
              </w:rPr>
            </w:pPr>
            <w:r w:rsidRPr="005F0652">
              <w:rPr>
                <w:rFonts w:ascii="Arial" w:eastAsiaTheme="minorEastAsia" w:hAnsi="Arial" w:cs="Arial"/>
                <w:lang w:val="en-GB"/>
              </w:rPr>
              <w:t>Substandard Assets</w:t>
            </w:r>
          </w:p>
        </w:tc>
        <w:tc>
          <w:tcPr>
            <w:tcW w:w="3774" w:type="dxa"/>
            <w:noWrap/>
            <w:vAlign w:val="center"/>
            <w:hideMark/>
          </w:tcPr>
          <w:p w14:paraId="066C1EDA" w14:textId="77777777" w:rsidR="005F0652" w:rsidRPr="005F0652" w:rsidRDefault="005F0652" w:rsidP="005F0652">
            <w:pPr>
              <w:rPr>
                <w:rFonts w:ascii="Arial" w:eastAsiaTheme="minorEastAsia" w:hAnsi="Arial" w:cs="Arial"/>
                <w:lang w:val="en-GB"/>
              </w:rPr>
            </w:pPr>
            <w:r w:rsidRPr="005F0652">
              <w:rPr>
                <w:rFonts w:ascii="Arial" w:eastAsiaTheme="minorEastAsia" w:hAnsi="Arial" w:cs="Arial"/>
                <w:lang w:val="en-GB"/>
              </w:rPr>
              <w:t>15%</w:t>
            </w:r>
          </w:p>
          <w:p w14:paraId="7CE83F33" w14:textId="77777777" w:rsidR="005F0652" w:rsidRPr="005F0652" w:rsidRDefault="005F0652" w:rsidP="005F0652">
            <w:pPr>
              <w:rPr>
                <w:rFonts w:ascii="Arial" w:eastAsiaTheme="minorEastAsia" w:hAnsi="Arial" w:cs="Arial"/>
                <w:lang w:val="en-GB"/>
              </w:rPr>
            </w:pPr>
            <w:r w:rsidRPr="005F0652">
              <w:rPr>
                <w:rFonts w:ascii="Arial" w:eastAsiaTheme="minorEastAsia" w:hAnsi="Arial" w:cs="Arial"/>
                <w:lang w:val="en-GB"/>
              </w:rPr>
              <w:t>(additional 10% for unsecured exposures)</w:t>
            </w:r>
          </w:p>
        </w:tc>
        <w:tc>
          <w:tcPr>
            <w:tcW w:w="3774" w:type="dxa"/>
            <w:noWrap/>
            <w:hideMark/>
          </w:tcPr>
          <w:p w14:paraId="74CD7598" w14:textId="77777777" w:rsidR="005F0652" w:rsidRPr="005F0652" w:rsidRDefault="005F0652" w:rsidP="005F0652">
            <w:pPr>
              <w:rPr>
                <w:rFonts w:ascii="Arial" w:eastAsiaTheme="minorEastAsia" w:hAnsi="Arial" w:cs="Arial"/>
                <w:lang w:val="en-GB"/>
              </w:rPr>
            </w:pPr>
            <w:r w:rsidRPr="005F0652">
              <w:rPr>
                <w:rFonts w:ascii="Arial" w:eastAsiaTheme="minorEastAsia" w:hAnsi="Arial" w:cs="Arial"/>
                <w:lang w:val="en-GB"/>
              </w:rPr>
              <w:t>15%</w:t>
            </w:r>
          </w:p>
        </w:tc>
      </w:tr>
    </w:tbl>
    <w:p w14:paraId="7560F41A" w14:textId="77777777" w:rsidR="005F0652" w:rsidRPr="005F0652" w:rsidRDefault="005F0652" w:rsidP="005F0652">
      <w:pPr>
        <w:jc w:val="both"/>
        <w:rPr>
          <w:rFonts w:ascii="Arial" w:eastAsiaTheme="minorEastAsia" w:hAnsi="Arial" w:cs="Arial"/>
          <w:lang w:val="en-GB"/>
        </w:rPr>
      </w:pPr>
    </w:p>
    <w:p w14:paraId="238172F2" w14:textId="77777777" w:rsidR="005F0652" w:rsidRPr="005F0652" w:rsidRDefault="005F0652" w:rsidP="005F0652">
      <w:pPr>
        <w:jc w:val="both"/>
        <w:rPr>
          <w:rFonts w:ascii="Arial" w:hAnsi="Arial" w:cs="Arial"/>
          <w:sz w:val="17"/>
          <w:szCs w:val="17"/>
          <w:lang w:val="en-GB"/>
        </w:rPr>
      </w:pPr>
      <w:r w:rsidRPr="005F0652">
        <w:rPr>
          <w:rFonts w:ascii="Arial" w:eastAsiaTheme="minorEastAsia" w:hAnsi="Arial" w:cs="Arial"/>
          <w:sz w:val="17"/>
          <w:szCs w:val="17"/>
          <w:lang w:val="en-GB"/>
        </w:rPr>
        <w:t xml:space="preserve">Note: NPAs = non-performing assets; AQR = asset quality review. </w:t>
      </w:r>
      <w:r w:rsidRPr="005F0652">
        <w:rPr>
          <w:rFonts w:ascii="Arial" w:hAnsi="Arial" w:cs="Arial"/>
          <w:sz w:val="17"/>
          <w:szCs w:val="17"/>
          <w:lang w:val="en-GB"/>
        </w:rPr>
        <w:t>AQR forced banks to recognize restructured advances as NPAs because these restructured advances were a kind of problem loan. This resulted in a large amount of stressed assets on banks’ balance sheets.</w:t>
      </w:r>
    </w:p>
    <w:p w14:paraId="38237E2A" w14:textId="77777777" w:rsidR="005F0652" w:rsidRPr="005F0652" w:rsidRDefault="005F0652" w:rsidP="005F0652">
      <w:pPr>
        <w:jc w:val="both"/>
        <w:rPr>
          <w:rFonts w:ascii="Arial" w:hAnsi="Arial" w:cs="Arial"/>
          <w:sz w:val="17"/>
          <w:szCs w:val="17"/>
          <w:lang w:val="en-GB"/>
        </w:rPr>
      </w:pPr>
      <w:r w:rsidRPr="005F0652">
        <w:rPr>
          <w:rFonts w:ascii="Arial" w:hAnsi="Arial" w:cs="Arial"/>
          <w:sz w:val="17"/>
          <w:szCs w:val="17"/>
          <w:lang w:val="en-GB"/>
        </w:rPr>
        <w:t xml:space="preserve">Source: Madhura Karnik, “Indian Banks Have a Lot More Bad Loans than They Initially Thought,” Quartz India, June 29, 2016, accessed September 24, 2019, https://qz.com/718650/indian-banks-have-a-lot-more-bad-loans-than-they-initially-thought; </w:t>
      </w:r>
      <w:r w:rsidRPr="005F0652">
        <w:rPr>
          <w:rFonts w:ascii="Arial" w:hAnsi="Arial" w:cs="Arial"/>
          <w:spacing w:val="-4"/>
          <w:sz w:val="17"/>
          <w:szCs w:val="17"/>
          <w:lang w:val="en-GB"/>
        </w:rPr>
        <w:t xml:space="preserve">Amaresh Samantaraya, “Procyclical Credit Growth and Bank NPAs in India,” </w:t>
      </w:r>
      <w:r w:rsidRPr="005F0652">
        <w:rPr>
          <w:rFonts w:ascii="Arial" w:hAnsi="Arial" w:cs="Arial"/>
          <w:i/>
          <w:spacing w:val="-4"/>
          <w:sz w:val="17"/>
          <w:szCs w:val="17"/>
          <w:lang w:val="en-GB"/>
        </w:rPr>
        <w:t>Economic and Political Weekly</w:t>
      </w:r>
      <w:r w:rsidRPr="005F0652">
        <w:rPr>
          <w:rFonts w:ascii="Arial" w:hAnsi="Arial" w:cs="Arial"/>
          <w:spacing w:val="-4"/>
          <w:sz w:val="17"/>
          <w:szCs w:val="17"/>
          <w:lang w:val="en-GB"/>
        </w:rPr>
        <w:t xml:space="preserve"> 51, no. 12 (2016); </w:t>
      </w:r>
      <w:r w:rsidRPr="005F0652">
        <w:rPr>
          <w:rFonts w:ascii="Arial" w:hAnsi="Arial" w:cs="Arial"/>
          <w:sz w:val="17"/>
          <w:szCs w:val="17"/>
          <w:lang w:val="en-GB"/>
        </w:rPr>
        <w:t xml:space="preserve">Manojit Saha, “Asset Quality Review and Its Impact on Banks,” </w:t>
      </w:r>
      <w:r w:rsidRPr="005F0652">
        <w:rPr>
          <w:rFonts w:ascii="Arial" w:hAnsi="Arial" w:cs="Arial"/>
          <w:i/>
          <w:sz w:val="17"/>
          <w:szCs w:val="17"/>
          <w:lang w:val="en-GB"/>
        </w:rPr>
        <w:t>Hindu</w:t>
      </w:r>
      <w:r w:rsidRPr="005F0652">
        <w:rPr>
          <w:rFonts w:ascii="Arial" w:hAnsi="Arial" w:cs="Arial"/>
          <w:sz w:val="17"/>
          <w:szCs w:val="17"/>
          <w:lang w:val="en-GB"/>
        </w:rPr>
        <w:t xml:space="preserve">, July 17, 2016, accessed July 7, 2019, www.thehindu.com/business/Industry/Asset-Quality-Review-and-its-impact-on-banks/article14494282.ece; </w:t>
      </w:r>
      <w:r w:rsidRPr="005F0652">
        <w:rPr>
          <w:rFonts w:ascii="Arial" w:hAnsi="Arial" w:cs="Arial"/>
          <w:spacing w:val="-6"/>
          <w:sz w:val="17"/>
          <w:szCs w:val="17"/>
          <w:lang w:val="en-GB"/>
        </w:rPr>
        <w:t xml:space="preserve">Manojit Saha, “Extend Restructuring Leeway till April 2016: Banks to RBI,” </w:t>
      </w:r>
      <w:r w:rsidRPr="005F0652">
        <w:rPr>
          <w:rFonts w:ascii="Arial" w:hAnsi="Arial" w:cs="Arial"/>
          <w:i/>
          <w:iCs/>
          <w:spacing w:val="-6"/>
          <w:sz w:val="17"/>
          <w:szCs w:val="17"/>
          <w:lang w:val="en-GB"/>
        </w:rPr>
        <w:t>Business Standard</w:t>
      </w:r>
      <w:r w:rsidRPr="005F0652">
        <w:rPr>
          <w:rFonts w:ascii="Arial" w:hAnsi="Arial" w:cs="Arial"/>
          <w:spacing w:val="-6"/>
          <w:sz w:val="17"/>
          <w:szCs w:val="17"/>
          <w:lang w:val="en-GB"/>
        </w:rPr>
        <w:t>, October 15, 2014, accessed July 4, 2019, www.business-standard.com/article/finance/extend-restructuring-leeway-till-april-2016-banks-to-rbi-114101500011_1.html.</w:t>
      </w:r>
    </w:p>
    <w:p w14:paraId="14945E8B" w14:textId="77777777" w:rsidR="005F0652" w:rsidRDefault="005F0652" w:rsidP="005F0652">
      <w:pPr>
        <w:pStyle w:val="BodyTextMain"/>
      </w:pPr>
    </w:p>
    <w:p w14:paraId="6B5BCD55" w14:textId="77777777" w:rsidR="005F0652" w:rsidRDefault="005F0652" w:rsidP="005F0652">
      <w:pPr>
        <w:pStyle w:val="BodyTextMain"/>
      </w:pPr>
    </w:p>
    <w:p w14:paraId="6F67C0AA" w14:textId="77777777" w:rsidR="005F0652" w:rsidRDefault="005F0652" w:rsidP="005F0652">
      <w:pPr>
        <w:pStyle w:val="BodyTextMain"/>
      </w:pPr>
    </w:p>
    <w:p w14:paraId="268F551E" w14:textId="77777777" w:rsidR="005F0652" w:rsidRDefault="005F0652" w:rsidP="005F0652">
      <w:pPr>
        <w:pStyle w:val="BodyTextMain"/>
      </w:pPr>
    </w:p>
    <w:p w14:paraId="24D5FEC9" w14:textId="77777777" w:rsidR="005F0652" w:rsidRDefault="005F0652" w:rsidP="005F0652">
      <w:pPr>
        <w:pStyle w:val="BodyTextMain"/>
      </w:pPr>
    </w:p>
    <w:p w14:paraId="5EC4EA62" w14:textId="77777777" w:rsidR="005F0652" w:rsidRDefault="005F0652" w:rsidP="005F0652">
      <w:pPr>
        <w:pStyle w:val="BodyTextMain"/>
      </w:pPr>
    </w:p>
    <w:p w14:paraId="0DFB0BCC" w14:textId="0F843A80" w:rsidR="005F0652" w:rsidRDefault="005F0652">
      <w:pPr>
        <w:spacing w:after="200" w:line="276" w:lineRule="auto"/>
        <w:rPr>
          <w:rFonts w:ascii="Arial" w:hAnsi="Arial" w:cs="Arial"/>
          <w:b/>
          <w:caps/>
        </w:rPr>
      </w:pPr>
      <w:r>
        <w:br w:type="page"/>
      </w:r>
    </w:p>
    <w:p w14:paraId="25519B31" w14:textId="77777777" w:rsidR="005F0652" w:rsidRDefault="005F0652" w:rsidP="005F0652">
      <w:pPr>
        <w:pStyle w:val="BodyTextMain"/>
        <w:sectPr w:rsidR="005F0652" w:rsidSect="00751E0B">
          <w:headerReference w:type="default" r:id="rId10"/>
          <w:endnotePr>
            <w:numFmt w:val="decimal"/>
          </w:endnotePr>
          <w:pgSz w:w="12240" w:h="15840" w:code="1"/>
          <w:pgMar w:top="1080" w:right="1440" w:bottom="1440" w:left="1440" w:header="1080" w:footer="720" w:gutter="0"/>
          <w:cols w:space="720"/>
          <w:titlePg/>
          <w:docGrid w:linePitch="360"/>
        </w:sectPr>
      </w:pPr>
    </w:p>
    <w:p w14:paraId="0333152B" w14:textId="77777777" w:rsidR="005F0652" w:rsidRPr="005F0652" w:rsidRDefault="005F0652" w:rsidP="005F0652">
      <w:pPr>
        <w:keepNext/>
        <w:jc w:val="center"/>
        <w:rPr>
          <w:rFonts w:ascii="Arial" w:eastAsiaTheme="minorEastAsia" w:hAnsi="Arial" w:cs="Arial"/>
          <w:b/>
          <w:caps/>
          <w:lang w:val="en-GB"/>
        </w:rPr>
      </w:pPr>
      <w:r w:rsidRPr="005F0652">
        <w:rPr>
          <w:rFonts w:ascii="Arial" w:eastAsiaTheme="minorEastAsia" w:hAnsi="Arial" w:cs="Arial"/>
          <w:b/>
          <w:caps/>
          <w:lang w:val="en-GB"/>
        </w:rPr>
        <w:lastRenderedPageBreak/>
        <w:t>EXHIBIT 9: Bank RESTRUCTURED ADVANCES, by Group (in ₹ MILLION)</w:t>
      </w:r>
    </w:p>
    <w:p w14:paraId="59BFB636" w14:textId="77777777" w:rsidR="005F0652" w:rsidRPr="005F0652" w:rsidRDefault="005F0652" w:rsidP="005F0652">
      <w:pPr>
        <w:jc w:val="both"/>
        <w:rPr>
          <w:rFonts w:ascii="Arial" w:eastAsiaTheme="minorEastAsia" w:hAnsi="Arial" w:cs="Arial"/>
          <w:lang w:val="en-GB"/>
        </w:rPr>
      </w:pPr>
    </w:p>
    <w:tbl>
      <w:tblPr>
        <w:tblStyle w:val="TableGrid3"/>
        <w:tblW w:w="5000" w:type="pct"/>
        <w:jc w:val="center"/>
        <w:tblLayout w:type="fixed"/>
        <w:tblLook w:val="04A0" w:firstRow="1" w:lastRow="0" w:firstColumn="1" w:lastColumn="0" w:noHBand="0" w:noVBand="1"/>
      </w:tblPr>
      <w:tblGrid>
        <w:gridCol w:w="841"/>
        <w:gridCol w:w="2098"/>
        <w:gridCol w:w="1178"/>
        <w:gridCol w:w="1031"/>
        <w:gridCol w:w="1030"/>
        <w:gridCol w:w="1178"/>
        <w:gridCol w:w="1178"/>
        <w:gridCol w:w="1030"/>
        <w:gridCol w:w="1030"/>
        <w:gridCol w:w="1178"/>
        <w:gridCol w:w="1178"/>
      </w:tblGrid>
      <w:tr w:rsidR="005F0652" w:rsidRPr="005F0652" w14:paraId="47337C3C" w14:textId="77777777" w:rsidTr="00940815">
        <w:trPr>
          <w:trHeight w:val="288"/>
          <w:jc w:val="center"/>
        </w:trPr>
        <w:tc>
          <w:tcPr>
            <w:tcW w:w="810" w:type="dxa"/>
            <w:vMerge w:val="restart"/>
            <w:vAlign w:val="center"/>
            <w:hideMark/>
          </w:tcPr>
          <w:p w14:paraId="2ABE1A2D"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Year</w:t>
            </w:r>
          </w:p>
        </w:tc>
        <w:tc>
          <w:tcPr>
            <w:tcW w:w="2020" w:type="dxa"/>
            <w:vMerge w:val="restart"/>
            <w:vAlign w:val="center"/>
            <w:hideMark/>
          </w:tcPr>
          <w:p w14:paraId="59FEF1AF"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Bank</w:t>
            </w:r>
          </w:p>
        </w:tc>
        <w:tc>
          <w:tcPr>
            <w:tcW w:w="4253" w:type="dxa"/>
            <w:gridSpan w:val="4"/>
            <w:noWrap/>
            <w:vAlign w:val="center"/>
            <w:hideMark/>
          </w:tcPr>
          <w:p w14:paraId="248AAF67"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Loans Subjected to Restructuring</w:t>
            </w:r>
          </w:p>
        </w:tc>
        <w:tc>
          <w:tcPr>
            <w:tcW w:w="5386" w:type="dxa"/>
            <w:gridSpan w:val="5"/>
            <w:noWrap/>
            <w:vAlign w:val="center"/>
            <w:hideMark/>
          </w:tcPr>
          <w:p w14:paraId="7777BA50"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Corporate Debt Restructured</w:t>
            </w:r>
          </w:p>
        </w:tc>
      </w:tr>
      <w:tr w:rsidR="005F0652" w:rsidRPr="005F0652" w14:paraId="15F66A70" w14:textId="77777777" w:rsidTr="00940815">
        <w:trPr>
          <w:cantSplit/>
          <w:trHeight w:val="2096"/>
          <w:jc w:val="center"/>
        </w:trPr>
        <w:tc>
          <w:tcPr>
            <w:tcW w:w="810" w:type="dxa"/>
            <w:vMerge/>
            <w:vAlign w:val="center"/>
            <w:hideMark/>
          </w:tcPr>
          <w:p w14:paraId="1D31D64D" w14:textId="77777777" w:rsidR="005F0652" w:rsidRPr="005F0652" w:rsidRDefault="005F0652" w:rsidP="005F0652">
            <w:pPr>
              <w:rPr>
                <w:rFonts w:ascii="Arial" w:eastAsiaTheme="minorEastAsia" w:hAnsi="Arial" w:cs="Arial"/>
                <w:b/>
                <w:sz w:val="18"/>
                <w:szCs w:val="18"/>
                <w:lang w:val="en-GB"/>
              </w:rPr>
            </w:pPr>
          </w:p>
        </w:tc>
        <w:tc>
          <w:tcPr>
            <w:tcW w:w="2020" w:type="dxa"/>
            <w:vMerge/>
            <w:vAlign w:val="center"/>
            <w:hideMark/>
          </w:tcPr>
          <w:p w14:paraId="1BF70CE9" w14:textId="77777777" w:rsidR="005F0652" w:rsidRPr="005F0652" w:rsidRDefault="005F0652" w:rsidP="005F0652">
            <w:pPr>
              <w:rPr>
                <w:rFonts w:ascii="Arial" w:eastAsiaTheme="minorEastAsia" w:hAnsi="Arial" w:cs="Arial"/>
                <w:b/>
                <w:sz w:val="18"/>
                <w:szCs w:val="18"/>
                <w:lang w:val="en-GB"/>
              </w:rPr>
            </w:pPr>
          </w:p>
        </w:tc>
        <w:tc>
          <w:tcPr>
            <w:tcW w:w="1134" w:type="dxa"/>
            <w:textDirection w:val="btLr"/>
            <w:vAlign w:val="center"/>
            <w:hideMark/>
          </w:tcPr>
          <w:p w14:paraId="6FB6FE50" w14:textId="77777777" w:rsidR="005F0652" w:rsidRPr="005F0652" w:rsidRDefault="005F0652" w:rsidP="005F0652">
            <w:pPr>
              <w:ind w:left="113" w:right="113"/>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Standard Assets during the Year</w:t>
            </w:r>
          </w:p>
        </w:tc>
        <w:tc>
          <w:tcPr>
            <w:tcW w:w="993" w:type="dxa"/>
            <w:textDirection w:val="btLr"/>
            <w:vAlign w:val="center"/>
            <w:hideMark/>
          </w:tcPr>
          <w:p w14:paraId="5A4741B1" w14:textId="77777777" w:rsidR="005F0652" w:rsidRPr="005F0652" w:rsidRDefault="005F0652" w:rsidP="005F0652">
            <w:pPr>
              <w:ind w:left="113" w:right="113"/>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Substandard Assets during the Year</w:t>
            </w:r>
          </w:p>
        </w:tc>
        <w:tc>
          <w:tcPr>
            <w:tcW w:w="992" w:type="dxa"/>
            <w:textDirection w:val="btLr"/>
            <w:vAlign w:val="center"/>
            <w:hideMark/>
          </w:tcPr>
          <w:p w14:paraId="7AAFFC3D" w14:textId="77777777" w:rsidR="005F0652" w:rsidRPr="005F0652" w:rsidRDefault="005F0652" w:rsidP="005F0652">
            <w:pPr>
              <w:ind w:left="113" w:right="113"/>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Doubtful Assets during the Year</w:t>
            </w:r>
          </w:p>
        </w:tc>
        <w:tc>
          <w:tcPr>
            <w:tcW w:w="1134" w:type="dxa"/>
            <w:textDirection w:val="btLr"/>
            <w:vAlign w:val="center"/>
            <w:hideMark/>
          </w:tcPr>
          <w:p w14:paraId="4C6CA14D" w14:textId="77777777" w:rsidR="005F0652" w:rsidRPr="005F0652" w:rsidRDefault="005F0652" w:rsidP="005F0652">
            <w:pPr>
              <w:ind w:left="113" w:right="113"/>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Total 1</w:t>
            </w:r>
          </w:p>
          <w:p w14:paraId="7E74EB99" w14:textId="77777777" w:rsidR="005F0652" w:rsidRPr="005F0652" w:rsidRDefault="005F0652" w:rsidP="005F0652">
            <w:pPr>
              <w:ind w:left="113" w:right="113"/>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[(1)+(2)+(3)]</w:t>
            </w:r>
          </w:p>
        </w:tc>
        <w:tc>
          <w:tcPr>
            <w:tcW w:w="1134" w:type="dxa"/>
            <w:textDirection w:val="btLr"/>
            <w:vAlign w:val="center"/>
            <w:hideMark/>
          </w:tcPr>
          <w:p w14:paraId="667F4A9C" w14:textId="77777777" w:rsidR="005F0652" w:rsidRPr="005F0652" w:rsidRDefault="005F0652" w:rsidP="005F0652">
            <w:pPr>
              <w:ind w:left="113" w:right="113"/>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Standard Assets during the Year</w:t>
            </w:r>
          </w:p>
        </w:tc>
        <w:tc>
          <w:tcPr>
            <w:tcW w:w="992" w:type="dxa"/>
            <w:textDirection w:val="btLr"/>
            <w:vAlign w:val="center"/>
            <w:hideMark/>
          </w:tcPr>
          <w:p w14:paraId="3C5E3098" w14:textId="77777777" w:rsidR="005F0652" w:rsidRPr="005F0652" w:rsidRDefault="005F0652" w:rsidP="005F0652">
            <w:pPr>
              <w:ind w:left="113" w:right="113"/>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Substandard Assets during the Year</w:t>
            </w:r>
          </w:p>
        </w:tc>
        <w:tc>
          <w:tcPr>
            <w:tcW w:w="992" w:type="dxa"/>
            <w:textDirection w:val="btLr"/>
            <w:vAlign w:val="center"/>
            <w:hideMark/>
          </w:tcPr>
          <w:p w14:paraId="047AFC9B" w14:textId="77777777" w:rsidR="005F0652" w:rsidRPr="005F0652" w:rsidRDefault="005F0652" w:rsidP="005F0652">
            <w:pPr>
              <w:ind w:left="113" w:right="113"/>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Doubtful Assets during the Year</w:t>
            </w:r>
          </w:p>
        </w:tc>
        <w:tc>
          <w:tcPr>
            <w:tcW w:w="1134" w:type="dxa"/>
            <w:textDirection w:val="btLr"/>
            <w:vAlign w:val="center"/>
            <w:hideMark/>
          </w:tcPr>
          <w:p w14:paraId="7D39816C" w14:textId="77777777" w:rsidR="005F0652" w:rsidRPr="005F0652" w:rsidRDefault="005F0652" w:rsidP="005F0652">
            <w:pPr>
              <w:ind w:left="113" w:right="113"/>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Total 2</w:t>
            </w:r>
          </w:p>
          <w:p w14:paraId="22271881" w14:textId="77777777" w:rsidR="005F0652" w:rsidRPr="005F0652" w:rsidRDefault="005F0652" w:rsidP="005F0652">
            <w:pPr>
              <w:ind w:left="113" w:right="113"/>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[(5)+(6)+(7)]</w:t>
            </w:r>
          </w:p>
        </w:tc>
        <w:tc>
          <w:tcPr>
            <w:tcW w:w="1134" w:type="dxa"/>
            <w:textDirection w:val="btLr"/>
            <w:vAlign w:val="center"/>
            <w:hideMark/>
          </w:tcPr>
          <w:p w14:paraId="50E3C18A" w14:textId="77777777" w:rsidR="005F0652" w:rsidRPr="005F0652" w:rsidRDefault="005F0652" w:rsidP="005F0652">
            <w:pPr>
              <w:ind w:left="113" w:right="113"/>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Total 3</w:t>
            </w:r>
          </w:p>
          <w:p w14:paraId="4C849935" w14:textId="77777777" w:rsidR="005F0652" w:rsidRPr="005F0652" w:rsidRDefault="005F0652" w:rsidP="005F0652">
            <w:pPr>
              <w:ind w:left="113" w:right="113"/>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[(4)+(8)]</w:t>
            </w:r>
          </w:p>
        </w:tc>
      </w:tr>
      <w:tr w:rsidR="005F0652" w:rsidRPr="005F0652" w14:paraId="54557AA0" w14:textId="77777777" w:rsidTr="00940815">
        <w:trPr>
          <w:trHeight w:val="288"/>
          <w:jc w:val="center"/>
        </w:trPr>
        <w:tc>
          <w:tcPr>
            <w:tcW w:w="810" w:type="dxa"/>
            <w:vMerge/>
            <w:tcBorders>
              <w:bottom w:val="single" w:sz="4" w:space="0" w:color="auto"/>
            </w:tcBorders>
            <w:vAlign w:val="center"/>
            <w:hideMark/>
          </w:tcPr>
          <w:p w14:paraId="295DF88C" w14:textId="77777777" w:rsidR="005F0652" w:rsidRPr="005F0652" w:rsidRDefault="005F0652" w:rsidP="005F0652">
            <w:pPr>
              <w:rPr>
                <w:rFonts w:ascii="Arial" w:eastAsiaTheme="minorEastAsia" w:hAnsi="Arial" w:cs="Arial"/>
                <w:b/>
                <w:sz w:val="18"/>
                <w:szCs w:val="18"/>
                <w:lang w:val="en-GB"/>
              </w:rPr>
            </w:pPr>
          </w:p>
        </w:tc>
        <w:tc>
          <w:tcPr>
            <w:tcW w:w="2020" w:type="dxa"/>
            <w:vMerge/>
            <w:tcBorders>
              <w:bottom w:val="single" w:sz="4" w:space="0" w:color="auto"/>
            </w:tcBorders>
            <w:vAlign w:val="center"/>
            <w:hideMark/>
          </w:tcPr>
          <w:p w14:paraId="1514CCA2" w14:textId="77777777" w:rsidR="005F0652" w:rsidRPr="005F0652" w:rsidRDefault="005F0652" w:rsidP="005F0652">
            <w:pPr>
              <w:rPr>
                <w:rFonts w:ascii="Arial" w:eastAsiaTheme="minorEastAsia" w:hAnsi="Arial" w:cs="Arial"/>
                <w:b/>
                <w:sz w:val="18"/>
                <w:szCs w:val="18"/>
                <w:lang w:val="en-GB"/>
              </w:rPr>
            </w:pPr>
          </w:p>
        </w:tc>
        <w:tc>
          <w:tcPr>
            <w:tcW w:w="1134" w:type="dxa"/>
            <w:tcBorders>
              <w:bottom w:val="single" w:sz="4" w:space="0" w:color="auto"/>
            </w:tcBorders>
            <w:vAlign w:val="center"/>
            <w:hideMark/>
          </w:tcPr>
          <w:p w14:paraId="59FB180D"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(1)</w:t>
            </w:r>
          </w:p>
        </w:tc>
        <w:tc>
          <w:tcPr>
            <w:tcW w:w="993" w:type="dxa"/>
            <w:tcBorders>
              <w:bottom w:val="single" w:sz="4" w:space="0" w:color="auto"/>
            </w:tcBorders>
            <w:vAlign w:val="center"/>
            <w:hideMark/>
          </w:tcPr>
          <w:p w14:paraId="10D68337"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(2)</w:t>
            </w:r>
          </w:p>
        </w:tc>
        <w:tc>
          <w:tcPr>
            <w:tcW w:w="992" w:type="dxa"/>
            <w:tcBorders>
              <w:bottom w:val="single" w:sz="4" w:space="0" w:color="auto"/>
            </w:tcBorders>
            <w:vAlign w:val="center"/>
            <w:hideMark/>
          </w:tcPr>
          <w:p w14:paraId="10749C51"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(3)</w:t>
            </w:r>
          </w:p>
        </w:tc>
        <w:tc>
          <w:tcPr>
            <w:tcW w:w="1134" w:type="dxa"/>
            <w:tcBorders>
              <w:bottom w:val="single" w:sz="4" w:space="0" w:color="auto"/>
            </w:tcBorders>
            <w:vAlign w:val="center"/>
            <w:hideMark/>
          </w:tcPr>
          <w:p w14:paraId="649D7FE7"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(4)</w:t>
            </w:r>
          </w:p>
        </w:tc>
        <w:tc>
          <w:tcPr>
            <w:tcW w:w="1134" w:type="dxa"/>
            <w:tcBorders>
              <w:bottom w:val="single" w:sz="4" w:space="0" w:color="auto"/>
            </w:tcBorders>
            <w:vAlign w:val="center"/>
            <w:hideMark/>
          </w:tcPr>
          <w:p w14:paraId="0940AEC4"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(5)</w:t>
            </w:r>
          </w:p>
        </w:tc>
        <w:tc>
          <w:tcPr>
            <w:tcW w:w="992" w:type="dxa"/>
            <w:tcBorders>
              <w:bottom w:val="single" w:sz="4" w:space="0" w:color="auto"/>
            </w:tcBorders>
            <w:vAlign w:val="center"/>
            <w:hideMark/>
          </w:tcPr>
          <w:p w14:paraId="117D539F"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(6)</w:t>
            </w:r>
          </w:p>
        </w:tc>
        <w:tc>
          <w:tcPr>
            <w:tcW w:w="992" w:type="dxa"/>
            <w:tcBorders>
              <w:bottom w:val="single" w:sz="4" w:space="0" w:color="auto"/>
            </w:tcBorders>
            <w:vAlign w:val="center"/>
            <w:hideMark/>
          </w:tcPr>
          <w:p w14:paraId="0FFDBA01"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(7)</w:t>
            </w:r>
          </w:p>
        </w:tc>
        <w:tc>
          <w:tcPr>
            <w:tcW w:w="1134" w:type="dxa"/>
            <w:tcBorders>
              <w:bottom w:val="single" w:sz="4" w:space="0" w:color="auto"/>
            </w:tcBorders>
            <w:vAlign w:val="center"/>
            <w:hideMark/>
          </w:tcPr>
          <w:p w14:paraId="13D57788"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(8)</w:t>
            </w:r>
          </w:p>
        </w:tc>
        <w:tc>
          <w:tcPr>
            <w:tcW w:w="1134" w:type="dxa"/>
            <w:tcBorders>
              <w:bottom w:val="single" w:sz="4" w:space="0" w:color="auto"/>
            </w:tcBorders>
            <w:vAlign w:val="center"/>
            <w:hideMark/>
          </w:tcPr>
          <w:p w14:paraId="7F575499"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(9)</w:t>
            </w:r>
          </w:p>
        </w:tc>
      </w:tr>
      <w:tr w:rsidR="005F0652" w:rsidRPr="005F0652" w14:paraId="73E7551C" w14:textId="77777777" w:rsidTr="00940815">
        <w:trPr>
          <w:trHeight w:val="288"/>
          <w:jc w:val="center"/>
        </w:trPr>
        <w:tc>
          <w:tcPr>
            <w:tcW w:w="810" w:type="dxa"/>
            <w:tcBorders>
              <w:bottom w:val="dotted" w:sz="4" w:space="0" w:color="auto"/>
            </w:tcBorders>
            <w:noWrap/>
            <w:vAlign w:val="center"/>
            <w:hideMark/>
          </w:tcPr>
          <w:p w14:paraId="6E4E2E81" w14:textId="77777777" w:rsidR="005F0652" w:rsidRPr="005F0652" w:rsidRDefault="005F0652" w:rsidP="005F0652">
            <w:pPr>
              <w:jc w:val="center"/>
              <w:rPr>
                <w:rFonts w:ascii="Arial" w:eastAsiaTheme="minorEastAsia" w:hAnsi="Arial" w:cs="Arial"/>
                <w:sz w:val="18"/>
                <w:szCs w:val="18"/>
                <w:lang w:val="en-GB"/>
              </w:rPr>
            </w:pPr>
            <w:bookmarkStart w:id="19" w:name="_Hlk535503367"/>
            <w:r w:rsidRPr="005F0652">
              <w:rPr>
                <w:rFonts w:ascii="Arial" w:eastAsiaTheme="minorEastAsia" w:hAnsi="Arial" w:cs="Arial"/>
                <w:sz w:val="18"/>
                <w:szCs w:val="18"/>
                <w:lang w:val="en-GB"/>
              </w:rPr>
              <w:t>2016</w:t>
            </w:r>
          </w:p>
        </w:tc>
        <w:tc>
          <w:tcPr>
            <w:tcW w:w="2020" w:type="dxa"/>
            <w:tcBorders>
              <w:bottom w:val="dotted" w:sz="4" w:space="0" w:color="auto"/>
            </w:tcBorders>
            <w:vAlign w:val="center"/>
            <w:hideMark/>
          </w:tcPr>
          <w:p w14:paraId="485AF7A9" w14:textId="77777777" w:rsidR="005F0652" w:rsidRPr="005F0652" w:rsidRDefault="005F0652" w:rsidP="005F0652">
            <w:pPr>
              <w:rPr>
                <w:rFonts w:ascii="Arial" w:eastAsiaTheme="minorEastAsia" w:hAnsi="Arial" w:cs="Arial"/>
                <w:spacing w:val="-6"/>
                <w:sz w:val="18"/>
                <w:szCs w:val="18"/>
                <w:lang w:val="en-GB"/>
              </w:rPr>
            </w:pPr>
            <w:r w:rsidRPr="005F0652">
              <w:rPr>
                <w:rFonts w:ascii="Arial" w:eastAsiaTheme="minorEastAsia" w:hAnsi="Arial" w:cs="Arial"/>
                <w:spacing w:val="-6"/>
                <w:sz w:val="18"/>
                <w:szCs w:val="18"/>
                <w:lang w:val="en-GB"/>
              </w:rPr>
              <w:t>State Bank of India &amp; Its Associates</w:t>
            </w:r>
          </w:p>
        </w:tc>
        <w:tc>
          <w:tcPr>
            <w:tcW w:w="1134" w:type="dxa"/>
            <w:tcBorders>
              <w:bottom w:val="dotted" w:sz="4" w:space="0" w:color="auto"/>
            </w:tcBorders>
            <w:noWrap/>
            <w:vAlign w:val="center"/>
            <w:hideMark/>
          </w:tcPr>
          <w:p w14:paraId="64DBDE57"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367,135</w:t>
            </w:r>
          </w:p>
        </w:tc>
        <w:tc>
          <w:tcPr>
            <w:tcW w:w="993" w:type="dxa"/>
            <w:tcBorders>
              <w:bottom w:val="dotted" w:sz="4" w:space="0" w:color="auto"/>
            </w:tcBorders>
            <w:noWrap/>
            <w:vAlign w:val="center"/>
            <w:hideMark/>
          </w:tcPr>
          <w:p w14:paraId="61EDA88A"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17,129</w:t>
            </w:r>
          </w:p>
        </w:tc>
        <w:tc>
          <w:tcPr>
            <w:tcW w:w="992" w:type="dxa"/>
            <w:tcBorders>
              <w:bottom w:val="dotted" w:sz="4" w:space="0" w:color="auto"/>
            </w:tcBorders>
            <w:noWrap/>
            <w:vAlign w:val="center"/>
            <w:hideMark/>
          </w:tcPr>
          <w:p w14:paraId="7567966A"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127,471</w:t>
            </w:r>
          </w:p>
        </w:tc>
        <w:tc>
          <w:tcPr>
            <w:tcW w:w="1134" w:type="dxa"/>
            <w:tcBorders>
              <w:bottom w:val="dotted" w:sz="4" w:space="0" w:color="auto"/>
            </w:tcBorders>
            <w:noWrap/>
            <w:vAlign w:val="center"/>
            <w:hideMark/>
          </w:tcPr>
          <w:p w14:paraId="22024A02"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511,735</w:t>
            </w:r>
          </w:p>
        </w:tc>
        <w:tc>
          <w:tcPr>
            <w:tcW w:w="1134" w:type="dxa"/>
            <w:tcBorders>
              <w:bottom w:val="dotted" w:sz="4" w:space="0" w:color="auto"/>
            </w:tcBorders>
            <w:noWrap/>
            <w:vAlign w:val="center"/>
            <w:hideMark/>
          </w:tcPr>
          <w:p w14:paraId="4CDDFEF9"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248,750</w:t>
            </w:r>
          </w:p>
        </w:tc>
        <w:tc>
          <w:tcPr>
            <w:tcW w:w="992" w:type="dxa"/>
            <w:tcBorders>
              <w:bottom w:val="dotted" w:sz="4" w:space="0" w:color="auto"/>
            </w:tcBorders>
            <w:noWrap/>
            <w:vAlign w:val="center"/>
            <w:hideMark/>
          </w:tcPr>
          <w:p w14:paraId="7B8B84E6"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22,012</w:t>
            </w:r>
          </w:p>
        </w:tc>
        <w:tc>
          <w:tcPr>
            <w:tcW w:w="992" w:type="dxa"/>
            <w:tcBorders>
              <w:bottom w:val="dotted" w:sz="4" w:space="0" w:color="auto"/>
            </w:tcBorders>
            <w:noWrap/>
            <w:vAlign w:val="center"/>
            <w:hideMark/>
          </w:tcPr>
          <w:p w14:paraId="327661B8"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163,204</w:t>
            </w:r>
          </w:p>
        </w:tc>
        <w:tc>
          <w:tcPr>
            <w:tcW w:w="1134" w:type="dxa"/>
            <w:tcBorders>
              <w:bottom w:val="dotted" w:sz="4" w:space="0" w:color="auto"/>
            </w:tcBorders>
            <w:noWrap/>
            <w:vAlign w:val="center"/>
            <w:hideMark/>
          </w:tcPr>
          <w:p w14:paraId="028F948F"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433,967</w:t>
            </w:r>
          </w:p>
        </w:tc>
        <w:tc>
          <w:tcPr>
            <w:tcW w:w="1134" w:type="dxa"/>
            <w:tcBorders>
              <w:bottom w:val="dotted" w:sz="4" w:space="0" w:color="auto"/>
            </w:tcBorders>
            <w:noWrap/>
            <w:vAlign w:val="center"/>
            <w:hideMark/>
          </w:tcPr>
          <w:p w14:paraId="5942D4B7"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945,702</w:t>
            </w:r>
          </w:p>
        </w:tc>
      </w:tr>
      <w:tr w:rsidR="005F0652" w:rsidRPr="005F0652" w14:paraId="5094A927" w14:textId="77777777" w:rsidTr="00940815">
        <w:trPr>
          <w:trHeight w:val="288"/>
          <w:jc w:val="center"/>
        </w:trPr>
        <w:tc>
          <w:tcPr>
            <w:tcW w:w="810" w:type="dxa"/>
            <w:tcBorders>
              <w:top w:val="dotted" w:sz="4" w:space="0" w:color="auto"/>
              <w:bottom w:val="dotted" w:sz="4" w:space="0" w:color="auto"/>
            </w:tcBorders>
            <w:noWrap/>
            <w:vAlign w:val="center"/>
            <w:hideMark/>
          </w:tcPr>
          <w:p w14:paraId="0CB901D8"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2016</w:t>
            </w:r>
          </w:p>
        </w:tc>
        <w:tc>
          <w:tcPr>
            <w:tcW w:w="2020" w:type="dxa"/>
            <w:tcBorders>
              <w:top w:val="dotted" w:sz="4" w:space="0" w:color="auto"/>
              <w:bottom w:val="dotted" w:sz="4" w:space="0" w:color="auto"/>
            </w:tcBorders>
            <w:vAlign w:val="center"/>
            <w:hideMark/>
          </w:tcPr>
          <w:p w14:paraId="308879E3" w14:textId="77777777" w:rsidR="005F0652" w:rsidRPr="005F0652" w:rsidRDefault="005F0652" w:rsidP="005F0652">
            <w:pPr>
              <w:rPr>
                <w:rFonts w:ascii="Arial" w:eastAsiaTheme="minorEastAsia" w:hAnsi="Arial" w:cs="Arial"/>
                <w:spacing w:val="-6"/>
                <w:sz w:val="18"/>
                <w:szCs w:val="18"/>
                <w:lang w:val="en-GB"/>
              </w:rPr>
            </w:pPr>
            <w:r w:rsidRPr="005F0652">
              <w:rPr>
                <w:rFonts w:ascii="Arial" w:eastAsiaTheme="minorEastAsia" w:hAnsi="Arial" w:cs="Arial"/>
                <w:spacing w:val="-6"/>
                <w:sz w:val="18"/>
                <w:szCs w:val="18"/>
                <w:lang w:val="en-GB"/>
              </w:rPr>
              <w:t>Nationalized Banks</w:t>
            </w:r>
          </w:p>
        </w:tc>
        <w:tc>
          <w:tcPr>
            <w:tcW w:w="1134" w:type="dxa"/>
            <w:tcBorders>
              <w:top w:val="dotted" w:sz="4" w:space="0" w:color="auto"/>
              <w:bottom w:val="dotted" w:sz="4" w:space="0" w:color="auto"/>
            </w:tcBorders>
            <w:noWrap/>
            <w:vAlign w:val="center"/>
            <w:hideMark/>
          </w:tcPr>
          <w:p w14:paraId="7EB8B8B3"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1,240,439</w:t>
            </w:r>
          </w:p>
        </w:tc>
        <w:tc>
          <w:tcPr>
            <w:tcW w:w="993" w:type="dxa"/>
            <w:tcBorders>
              <w:top w:val="dotted" w:sz="4" w:space="0" w:color="auto"/>
              <w:bottom w:val="dotted" w:sz="4" w:space="0" w:color="auto"/>
            </w:tcBorders>
            <w:noWrap/>
            <w:vAlign w:val="center"/>
            <w:hideMark/>
          </w:tcPr>
          <w:p w14:paraId="0F92B6EC"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245,564</w:t>
            </w:r>
          </w:p>
        </w:tc>
        <w:tc>
          <w:tcPr>
            <w:tcW w:w="992" w:type="dxa"/>
            <w:tcBorders>
              <w:top w:val="dotted" w:sz="4" w:space="0" w:color="auto"/>
              <w:bottom w:val="dotted" w:sz="4" w:space="0" w:color="auto"/>
            </w:tcBorders>
            <w:noWrap/>
            <w:vAlign w:val="center"/>
            <w:hideMark/>
          </w:tcPr>
          <w:p w14:paraId="0A803402"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386,321</w:t>
            </w:r>
          </w:p>
        </w:tc>
        <w:tc>
          <w:tcPr>
            <w:tcW w:w="1134" w:type="dxa"/>
            <w:tcBorders>
              <w:top w:val="dotted" w:sz="4" w:space="0" w:color="auto"/>
              <w:bottom w:val="dotted" w:sz="4" w:space="0" w:color="auto"/>
            </w:tcBorders>
            <w:noWrap/>
            <w:vAlign w:val="center"/>
            <w:hideMark/>
          </w:tcPr>
          <w:p w14:paraId="7357F402"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1,872,324</w:t>
            </w:r>
          </w:p>
        </w:tc>
        <w:tc>
          <w:tcPr>
            <w:tcW w:w="1134" w:type="dxa"/>
            <w:tcBorders>
              <w:top w:val="dotted" w:sz="4" w:space="0" w:color="auto"/>
              <w:bottom w:val="dotted" w:sz="4" w:space="0" w:color="auto"/>
            </w:tcBorders>
            <w:noWrap/>
            <w:vAlign w:val="center"/>
            <w:hideMark/>
          </w:tcPr>
          <w:p w14:paraId="1038F547"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518,044</w:t>
            </w:r>
          </w:p>
        </w:tc>
        <w:tc>
          <w:tcPr>
            <w:tcW w:w="992" w:type="dxa"/>
            <w:tcBorders>
              <w:top w:val="dotted" w:sz="4" w:space="0" w:color="auto"/>
              <w:bottom w:val="dotted" w:sz="4" w:space="0" w:color="auto"/>
            </w:tcBorders>
            <w:noWrap/>
            <w:vAlign w:val="center"/>
            <w:hideMark/>
          </w:tcPr>
          <w:p w14:paraId="742664B4"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186,287</w:t>
            </w:r>
          </w:p>
        </w:tc>
        <w:tc>
          <w:tcPr>
            <w:tcW w:w="992" w:type="dxa"/>
            <w:tcBorders>
              <w:top w:val="dotted" w:sz="4" w:space="0" w:color="auto"/>
              <w:bottom w:val="dotted" w:sz="4" w:space="0" w:color="auto"/>
            </w:tcBorders>
            <w:noWrap/>
            <w:vAlign w:val="center"/>
            <w:hideMark/>
          </w:tcPr>
          <w:p w14:paraId="7FF24B44"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398,396</w:t>
            </w:r>
          </w:p>
        </w:tc>
        <w:tc>
          <w:tcPr>
            <w:tcW w:w="1134" w:type="dxa"/>
            <w:tcBorders>
              <w:top w:val="dotted" w:sz="4" w:space="0" w:color="auto"/>
              <w:bottom w:val="dotted" w:sz="4" w:space="0" w:color="auto"/>
            </w:tcBorders>
            <w:noWrap/>
            <w:vAlign w:val="center"/>
            <w:hideMark/>
          </w:tcPr>
          <w:p w14:paraId="0D3E75E7"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1102,727</w:t>
            </w:r>
          </w:p>
        </w:tc>
        <w:tc>
          <w:tcPr>
            <w:tcW w:w="1134" w:type="dxa"/>
            <w:tcBorders>
              <w:top w:val="dotted" w:sz="4" w:space="0" w:color="auto"/>
              <w:bottom w:val="dotted" w:sz="4" w:space="0" w:color="auto"/>
            </w:tcBorders>
            <w:noWrap/>
            <w:vAlign w:val="center"/>
            <w:hideMark/>
          </w:tcPr>
          <w:p w14:paraId="303DDEAF"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2,975,051</w:t>
            </w:r>
          </w:p>
        </w:tc>
      </w:tr>
      <w:tr w:rsidR="005F0652" w:rsidRPr="005F0652" w14:paraId="30BFC714" w14:textId="77777777" w:rsidTr="00940815">
        <w:trPr>
          <w:trHeight w:val="288"/>
          <w:jc w:val="center"/>
        </w:trPr>
        <w:tc>
          <w:tcPr>
            <w:tcW w:w="810" w:type="dxa"/>
            <w:tcBorders>
              <w:top w:val="dotted" w:sz="4" w:space="0" w:color="auto"/>
              <w:bottom w:val="dotted" w:sz="4" w:space="0" w:color="auto"/>
            </w:tcBorders>
            <w:noWrap/>
            <w:vAlign w:val="center"/>
            <w:hideMark/>
          </w:tcPr>
          <w:p w14:paraId="722A253E"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2016</w:t>
            </w:r>
          </w:p>
        </w:tc>
        <w:tc>
          <w:tcPr>
            <w:tcW w:w="2020" w:type="dxa"/>
            <w:tcBorders>
              <w:top w:val="dotted" w:sz="4" w:space="0" w:color="auto"/>
              <w:bottom w:val="dotted" w:sz="4" w:space="0" w:color="auto"/>
            </w:tcBorders>
            <w:vAlign w:val="center"/>
            <w:hideMark/>
          </w:tcPr>
          <w:p w14:paraId="55E3A0D3" w14:textId="77777777" w:rsidR="005F0652" w:rsidRPr="005F0652" w:rsidRDefault="005F0652" w:rsidP="005F0652">
            <w:pPr>
              <w:rPr>
                <w:rFonts w:ascii="Arial" w:eastAsiaTheme="minorEastAsia" w:hAnsi="Arial" w:cs="Arial"/>
                <w:spacing w:val="-6"/>
                <w:sz w:val="18"/>
                <w:szCs w:val="18"/>
                <w:lang w:val="en-GB"/>
              </w:rPr>
            </w:pPr>
            <w:r w:rsidRPr="005F0652">
              <w:rPr>
                <w:rFonts w:ascii="Arial" w:eastAsiaTheme="minorEastAsia" w:hAnsi="Arial" w:cs="Arial"/>
                <w:spacing w:val="-6"/>
                <w:sz w:val="18"/>
                <w:szCs w:val="18"/>
                <w:lang w:val="en-GB"/>
              </w:rPr>
              <w:t>Private Sector Banks</w:t>
            </w:r>
          </w:p>
        </w:tc>
        <w:tc>
          <w:tcPr>
            <w:tcW w:w="1134" w:type="dxa"/>
            <w:tcBorders>
              <w:top w:val="dotted" w:sz="4" w:space="0" w:color="auto"/>
              <w:bottom w:val="dotted" w:sz="4" w:space="0" w:color="auto"/>
            </w:tcBorders>
            <w:noWrap/>
            <w:vAlign w:val="center"/>
            <w:hideMark/>
          </w:tcPr>
          <w:p w14:paraId="189DAEAC"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171,399</w:t>
            </w:r>
          </w:p>
        </w:tc>
        <w:tc>
          <w:tcPr>
            <w:tcW w:w="993" w:type="dxa"/>
            <w:tcBorders>
              <w:top w:val="dotted" w:sz="4" w:space="0" w:color="auto"/>
              <w:bottom w:val="dotted" w:sz="4" w:space="0" w:color="auto"/>
            </w:tcBorders>
            <w:noWrap/>
            <w:vAlign w:val="center"/>
            <w:hideMark/>
          </w:tcPr>
          <w:p w14:paraId="7442C529"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6,154</w:t>
            </w:r>
          </w:p>
        </w:tc>
        <w:tc>
          <w:tcPr>
            <w:tcW w:w="992" w:type="dxa"/>
            <w:tcBorders>
              <w:top w:val="dotted" w:sz="4" w:space="0" w:color="auto"/>
              <w:bottom w:val="dotted" w:sz="4" w:space="0" w:color="auto"/>
            </w:tcBorders>
            <w:noWrap/>
            <w:vAlign w:val="center"/>
            <w:hideMark/>
          </w:tcPr>
          <w:p w14:paraId="4092BD71"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64,072</w:t>
            </w:r>
          </w:p>
        </w:tc>
        <w:tc>
          <w:tcPr>
            <w:tcW w:w="1134" w:type="dxa"/>
            <w:tcBorders>
              <w:top w:val="dotted" w:sz="4" w:space="0" w:color="auto"/>
              <w:bottom w:val="dotted" w:sz="4" w:space="0" w:color="auto"/>
            </w:tcBorders>
            <w:noWrap/>
            <w:vAlign w:val="center"/>
            <w:hideMark/>
          </w:tcPr>
          <w:p w14:paraId="587A6227"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241,625</w:t>
            </w:r>
          </w:p>
        </w:tc>
        <w:tc>
          <w:tcPr>
            <w:tcW w:w="1134" w:type="dxa"/>
            <w:tcBorders>
              <w:top w:val="dotted" w:sz="4" w:space="0" w:color="auto"/>
              <w:bottom w:val="dotted" w:sz="4" w:space="0" w:color="auto"/>
            </w:tcBorders>
            <w:noWrap/>
            <w:vAlign w:val="center"/>
            <w:hideMark/>
          </w:tcPr>
          <w:p w14:paraId="6A1464A8"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140,898</w:t>
            </w:r>
          </w:p>
        </w:tc>
        <w:tc>
          <w:tcPr>
            <w:tcW w:w="992" w:type="dxa"/>
            <w:tcBorders>
              <w:top w:val="dotted" w:sz="4" w:space="0" w:color="auto"/>
              <w:bottom w:val="dotted" w:sz="4" w:space="0" w:color="auto"/>
            </w:tcBorders>
            <w:noWrap/>
            <w:vAlign w:val="center"/>
            <w:hideMark/>
          </w:tcPr>
          <w:p w14:paraId="2B666FDA"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5,353</w:t>
            </w:r>
          </w:p>
        </w:tc>
        <w:tc>
          <w:tcPr>
            <w:tcW w:w="992" w:type="dxa"/>
            <w:tcBorders>
              <w:top w:val="dotted" w:sz="4" w:space="0" w:color="auto"/>
              <w:bottom w:val="dotted" w:sz="4" w:space="0" w:color="auto"/>
            </w:tcBorders>
            <w:noWrap/>
            <w:vAlign w:val="center"/>
            <w:hideMark/>
          </w:tcPr>
          <w:p w14:paraId="13DDCA7A"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82,719</w:t>
            </w:r>
          </w:p>
        </w:tc>
        <w:tc>
          <w:tcPr>
            <w:tcW w:w="1134" w:type="dxa"/>
            <w:tcBorders>
              <w:top w:val="dotted" w:sz="4" w:space="0" w:color="auto"/>
              <w:bottom w:val="dotted" w:sz="4" w:space="0" w:color="auto"/>
            </w:tcBorders>
            <w:noWrap/>
            <w:vAlign w:val="center"/>
            <w:hideMark/>
          </w:tcPr>
          <w:p w14:paraId="3EAD5A5A"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228,970</w:t>
            </w:r>
          </w:p>
        </w:tc>
        <w:tc>
          <w:tcPr>
            <w:tcW w:w="1134" w:type="dxa"/>
            <w:tcBorders>
              <w:top w:val="dotted" w:sz="4" w:space="0" w:color="auto"/>
              <w:bottom w:val="dotted" w:sz="4" w:space="0" w:color="auto"/>
            </w:tcBorders>
            <w:noWrap/>
            <w:vAlign w:val="center"/>
            <w:hideMark/>
          </w:tcPr>
          <w:p w14:paraId="1B6FF2BC"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470,595</w:t>
            </w:r>
          </w:p>
        </w:tc>
      </w:tr>
      <w:tr w:rsidR="005F0652" w:rsidRPr="005F0652" w14:paraId="7473D11A" w14:textId="77777777" w:rsidTr="00940815">
        <w:trPr>
          <w:trHeight w:val="288"/>
          <w:jc w:val="center"/>
        </w:trPr>
        <w:tc>
          <w:tcPr>
            <w:tcW w:w="810" w:type="dxa"/>
            <w:tcBorders>
              <w:top w:val="dotted" w:sz="4" w:space="0" w:color="auto"/>
              <w:bottom w:val="single" w:sz="4" w:space="0" w:color="auto"/>
            </w:tcBorders>
            <w:noWrap/>
            <w:vAlign w:val="center"/>
            <w:hideMark/>
          </w:tcPr>
          <w:p w14:paraId="48450742"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2016</w:t>
            </w:r>
          </w:p>
        </w:tc>
        <w:tc>
          <w:tcPr>
            <w:tcW w:w="2020" w:type="dxa"/>
            <w:tcBorders>
              <w:top w:val="dotted" w:sz="4" w:space="0" w:color="auto"/>
              <w:bottom w:val="single" w:sz="4" w:space="0" w:color="auto"/>
            </w:tcBorders>
            <w:vAlign w:val="center"/>
            <w:hideMark/>
          </w:tcPr>
          <w:p w14:paraId="1B344346" w14:textId="77777777" w:rsidR="005F0652" w:rsidRPr="005F0652" w:rsidRDefault="005F0652" w:rsidP="005F0652">
            <w:pPr>
              <w:rPr>
                <w:rFonts w:ascii="Arial" w:eastAsiaTheme="minorEastAsia" w:hAnsi="Arial" w:cs="Arial"/>
                <w:spacing w:val="-6"/>
                <w:sz w:val="18"/>
                <w:szCs w:val="18"/>
                <w:lang w:val="en-GB"/>
              </w:rPr>
            </w:pPr>
            <w:r w:rsidRPr="005F0652">
              <w:rPr>
                <w:rFonts w:ascii="Arial" w:eastAsiaTheme="minorEastAsia" w:hAnsi="Arial" w:cs="Arial"/>
                <w:spacing w:val="-6"/>
                <w:sz w:val="18"/>
                <w:szCs w:val="18"/>
                <w:lang w:val="en-GB"/>
              </w:rPr>
              <w:t>Foreign Banks</w:t>
            </w:r>
          </w:p>
        </w:tc>
        <w:tc>
          <w:tcPr>
            <w:tcW w:w="1134" w:type="dxa"/>
            <w:tcBorders>
              <w:top w:val="dotted" w:sz="4" w:space="0" w:color="auto"/>
              <w:bottom w:val="single" w:sz="4" w:space="0" w:color="auto"/>
            </w:tcBorders>
            <w:noWrap/>
            <w:vAlign w:val="center"/>
            <w:hideMark/>
          </w:tcPr>
          <w:p w14:paraId="3F05952B"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9,929</w:t>
            </w:r>
          </w:p>
        </w:tc>
        <w:tc>
          <w:tcPr>
            <w:tcW w:w="993" w:type="dxa"/>
            <w:tcBorders>
              <w:top w:val="dotted" w:sz="4" w:space="0" w:color="auto"/>
              <w:bottom w:val="single" w:sz="4" w:space="0" w:color="auto"/>
            </w:tcBorders>
            <w:noWrap/>
            <w:vAlign w:val="center"/>
            <w:hideMark/>
          </w:tcPr>
          <w:p w14:paraId="54386A10"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1,957</w:t>
            </w:r>
          </w:p>
        </w:tc>
        <w:tc>
          <w:tcPr>
            <w:tcW w:w="992" w:type="dxa"/>
            <w:tcBorders>
              <w:top w:val="dotted" w:sz="4" w:space="0" w:color="auto"/>
              <w:bottom w:val="single" w:sz="4" w:space="0" w:color="auto"/>
            </w:tcBorders>
            <w:noWrap/>
            <w:vAlign w:val="center"/>
            <w:hideMark/>
          </w:tcPr>
          <w:p w14:paraId="1349C0AE"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5,150</w:t>
            </w:r>
          </w:p>
        </w:tc>
        <w:tc>
          <w:tcPr>
            <w:tcW w:w="1134" w:type="dxa"/>
            <w:tcBorders>
              <w:top w:val="dotted" w:sz="4" w:space="0" w:color="auto"/>
              <w:bottom w:val="single" w:sz="4" w:space="0" w:color="auto"/>
            </w:tcBorders>
            <w:noWrap/>
            <w:vAlign w:val="center"/>
            <w:hideMark/>
          </w:tcPr>
          <w:p w14:paraId="0F719706"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17,035</w:t>
            </w:r>
          </w:p>
        </w:tc>
        <w:tc>
          <w:tcPr>
            <w:tcW w:w="1134" w:type="dxa"/>
            <w:tcBorders>
              <w:top w:val="dotted" w:sz="4" w:space="0" w:color="auto"/>
              <w:bottom w:val="single" w:sz="4" w:space="0" w:color="auto"/>
            </w:tcBorders>
            <w:noWrap/>
            <w:vAlign w:val="center"/>
            <w:hideMark/>
          </w:tcPr>
          <w:p w14:paraId="13BB836B"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1,859</w:t>
            </w:r>
          </w:p>
        </w:tc>
        <w:tc>
          <w:tcPr>
            <w:tcW w:w="992" w:type="dxa"/>
            <w:tcBorders>
              <w:top w:val="dotted" w:sz="4" w:space="0" w:color="auto"/>
              <w:bottom w:val="single" w:sz="4" w:space="0" w:color="auto"/>
            </w:tcBorders>
            <w:noWrap/>
            <w:vAlign w:val="center"/>
            <w:hideMark/>
          </w:tcPr>
          <w:p w14:paraId="1BAD693A"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0</w:t>
            </w:r>
          </w:p>
        </w:tc>
        <w:tc>
          <w:tcPr>
            <w:tcW w:w="992" w:type="dxa"/>
            <w:tcBorders>
              <w:top w:val="dotted" w:sz="4" w:space="0" w:color="auto"/>
              <w:bottom w:val="single" w:sz="4" w:space="0" w:color="auto"/>
            </w:tcBorders>
            <w:noWrap/>
            <w:vAlign w:val="center"/>
            <w:hideMark/>
          </w:tcPr>
          <w:p w14:paraId="66AAA93D"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11,968</w:t>
            </w:r>
          </w:p>
        </w:tc>
        <w:tc>
          <w:tcPr>
            <w:tcW w:w="1134" w:type="dxa"/>
            <w:tcBorders>
              <w:top w:val="dotted" w:sz="4" w:space="0" w:color="auto"/>
              <w:bottom w:val="single" w:sz="4" w:space="0" w:color="auto"/>
            </w:tcBorders>
            <w:noWrap/>
            <w:vAlign w:val="center"/>
            <w:hideMark/>
          </w:tcPr>
          <w:p w14:paraId="3C2B7AD4"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13,827</w:t>
            </w:r>
          </w:p>
        </w:tc>
        <w:tc>
          <w:tcPr>
            <w:tcW w:w="1134" w:type="dxa"/>
            <w:tcBorders>
              <w:top w:val="dotted" w:sz="4" w:space="0" w:color="auto"/>
              <w:bottom w:val="single" w:sz="4" w:space="0" w:color="auto"/>
            </w:tcBorders>
            <w:noWrap/>
            <w:vAlign w:val="center"/>
            <w:hideMark/>
          </w:tcPr>
          <w:p w14:paraId="6B13DF8B"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30,862</w:t>
            </w:r>
          </w:p>
        </w:tc>
      </w:tr>
      <w:tr w:rsidR="005F0652" w:rsidRPr="005F0652" w14:paraId="77BD796B" w14:textId="77777777" w:rsidTr="00940815">
        <w:trPr>
          <w:trHeight w:val="288"/>
          <w:jc w:val="center"/>
        </w:trPr>
        <w:tc>
          <w:tcPr>
            <w:tcW w:w="810" w:type="dxa"/>
            <w:tcBorders>
              <w:bottom w:val="dotted" w:sz="4" w:space="0" w:color="auto"/>
            </w:tcBorders>
            <w:noWrap/>
            <w:vAlign w:val="center"/>
            <w:hideMark/>
          </w:tcPr>
          <w:p w14:paraId="1A29CB28"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2015</w:t>
            </w:r>
          </w:p>
        </w:tc>
        <w:tc>
          <w:tcPr>
            <w:tcW w:w="2020" w:type="dxa"/>
            <w:tcBorders>
              <w:bottom w:val="dotted" w:sz="4" w:space="0" w:color="auto"/>
            </w:tcBorders>
            <w:vAlign w:val="center"/>
            <w:hideMark/>
          </w:tcPr>
          <w:p w14:paraId="506388FC" w14:textId="77777777" w:rsidR="005F0652" w:rsidRPr="005F0652" w:rsidRDefault="005F0652" w:rsidP="005F0652">
            <w:pPr>
              <w:rPr>
                <w:rFonts w:ascii="Arial" w:eastAsiaTheme="minorEastAsia" w:hAnsi="Arial" w:cs="Arial"/>
                <w:spacing w:val="-6"/>
                <w:sz w:val="18"/>
                <w:szCs w:val="18"/>
                <w:lang w:val="en-GB"/>
              </w:rPr>
            </w:pPr>
            <w:r w:rsidRPr="005F0652">
              <w:rPr>
                <w:rFonts w:ascii="Arial" w:eastAsiaTheme="minorEastAsia" w:hAnsi="Arial" w:cs="Arial"/>
                <w:spacing w:val="-6"/>
                <w:sz w:val="18"/>
                <w:szCs w:val="18"/>
                <w:lang w:val="en-GB"/>
              </w:rPr>
              <w:t>State Bank of India &amp; Its Associates</w:t>
            </w:r>
          </w:p>
        </w:tc>
        <w:tc>
          <w:tcPr>
            <w:tcW w:w="1134" w:type="dxa"/>
            <w:tcBorders>
              <w:bottom w:val="dotted" w:sz="4" w:space="0" w:color="auto"/>
            </w:tcBorders>
            <w:noWrap/>
            <w:vAlign w:val="center"/>
            <w:hideMark/>
          </w:tcPr>
          <w:p w14:paraId="158B0204"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443,401</w:t>
            </w:r>
          </w:p>
        </w:tc>
        <w:tc>
          <w:tcPr>
            <w:tcW w:w="993" w:type="dxa"/>
            <w:tcBorders>
              <w:bottom w:val="dotted" w:sz="4" w:space="0" w:color="auto"/>
            </w:tcBorders>
            <w:noWrap/>
            <w:vAlign w:val="center"/>
            <w:hideMark/>
          </w:tcPr>
          <w:p w14:paraId="10D91E76"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16,790</w:t>
            </w:r>
          </w:p>
        </w:tc>
        <w:tc>
          <w:tcPr>
            <w:tcW w:w="992" w:type="dxa"/>
            <w:tcBorders>
              <w:bottom w:val="dotted" w:sz="4" w:space="0" w:color="auto"/>
            </w:tcBorders>
            <w:noWrap/>
            <w:vAlign w:val="center"/>
            <w:hideMark/>
          </w:tcPr>
          <w:p w14:paraId="74724186"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86,841</w:t>
            </w:r>
          </w:p>
        </w:tc>
        <w:tc>
          <w:tcPr>
            <w:tcW w:w="1134" w:type="dxa"/>
            <w:tcBorders>
              <w:bottom w:val="dotted" w:sz="4" w:space="0" w:color="auto"/>
            </w:tcBorders>
            <w:noWrap/>
            <w:vAlign w:val="center"/>
            <w:hideMark/>
          </w:tcPr>
          <w:p w14:paraId="5E489568"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547,031</w:t>
            </w:r>
          </w:p>
        </w:tc>
        <w:tc>
          <w:tcPr>
            <w:tcW w:w="1134" w:type="dxa"/>
            <w:tcBorders>
              <w:bottom w:val="dotted" w:sz="4" w:space="0" w:color="auto"/>
            </w:tcBorders>
            <w:noWrap/>
            <w:vAlign w:val="center"/>
            <w:hideMark/>
          </w:tcPr>
          <w:p w14:paraId="2198ADFF"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427,883</w:t>
            </w:r>
          </w:p>
        </w:tc>
        <w:tc>
          <w:tcPr>
            <w:tcW w:w="992" w:type="dxa"/>
            <w:tcBorders>
              <w:bottom w:val="dotted" w:sz="4" w:space="0" w:color="auto"/>
            </w:tcBorders>
            <w:noWrap/>
            <w:vAlign w:val="center"/>
            <w:hideMark/>
          </w:tcPr>
          <w:p w14:paraId="7957C2BC"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27,280</w:t>
            </w:r>
          </w:p>
        </w:tc>
        <w:tc>
          <w:tcPr>
            <w:tcW w:w="992" w:type="dxa"/>
            <w:tcBorders>
              <w:bottom w:val="dotted" w:sz="4" w:space="0" w:color="auto"/>
            </w:tcBorders>
            <w:noWrap/>
            <w:vAlign w:val="center"/>
            <w:hideMark/>
          </w:tcPr>
          <w:p w14:paraId="36D6A1DB"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64,054</w:t>
            </w:r>
          </w:p>
        </w:tc>
        <w:tc>
          <w:tcPr>
            <w:tcW w:w="1134" w:type="dxa"/>
            <w:tcBorders>
              <w:bottom w:val="dotted" w:sz="4" w:space="0" w:color="auto"/>
            </w:tcBorders>
            <w:noWrap/>
            <w:vAlign w:val="center"/>
            <w:hideMark/>
          </w:tcPr>
          <w:p w14:paraId="630C1643"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519,217</w:t>
            </w:r>
          </w:p>
        </w:tc>
        <w:tc>
          <w:tcPr>
            <w:tcW w:w="1134" w:type="dxa"/>
            <w:tcBorders>
              <w:bottom w:val="dotted" w:sz="4" w:space="0" w:color="auto"/>
            </w:tcBorders>
            <w:noWrap/>
            <w:vAlign w:val="center"/>
            <w:hideMark/>
          </w:tcPr>
          <w:p w14:paraId="61BF0206"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1,066,248</w:t>
            </w:r>
          </w:p>
        </w:tc>
      </w:tr>
      <w:tr w:rsidR="005F0652" w:rsidRPr="005F0652" w14:paraId="07546DF2" w14:textId="77777777" w:rsidTr="00940815">
        <w:trPr>
          <w:trHeight w:val="288"/>
          <w:jc w:val="center"/>
        </w:trPr>
        <w:tc>
          <w:tcPr>
            <w:tcW w:w="810" w:type="dxa"/>
            <w:tcBorders>
              <w:top w:val="dotted" w:sz="4" w:space="0" w:color="auto"/>
              <w:bottom w:val="dotted" w:sz="4" w:space="0" w:color="auto"/>
            </w:tcBorders>
            <w:noWrap/>
            <w:vAlign w:val="center"/>
            <w:hideMark/>
          </w:tcPr>
          <w:p w14:paraId="3AE7E486"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2015</w:t>
            </w:r>
          </w:p>
        </w:tc>
        <w:tc>
          <w:tcPr>
            <w:tcW w:w="2020" w:type="dxa"/>
            <w:tcBorders>
              <w:top w:val="dotted" w:sz="4" w:space="0" w:color="auto"/>
              <w:bottom w:val="dotted" w:sz="4" w:space="0" w:color="auto"/>
            </w:tcBorders>
            <w:vAlign w:val="center"/>
            <w:hideMark/>
          </w:tcPr>
          <w:p w14:paraId="6D36BCD2" w14:textId="77777777" w:rsidR="005F0652" w:rsidRPr="005F0652" w:rsidRDefault="005F0652" w:rsidP="005F0652">
            <w:pPr>
              <w:rPr>
                <w:rFonts w:ascii="Arial" w:eastAsiaTheme="minorEastAsia" w:hAnsi="Arial" w:cs="Arial"/>
                <w:spacing w:val="-6"/>
                <w:sz w:val="18"/>
                <w:szCs w:val="18"/>
                <w:lang w:val="en-GB"/>
              </w:rPr>
            </w:pPr>
            <w:r w:rsidRPr="005F0652">
              <w:rPr>
                <w:rFonts w:ascii="Arial" w:eastAsiaTheme="minorEastAsia" w:hAnsi="Arial" w:cs="Arial"/>
                <w:spacing w:val="-6"/>
                <w:sz w:val="18"/>
                <w:szCs w:val="18"/>
                <w:lang w:val="en-GB"/>
              </w:rPr>
              <w:t>Nationalized Banks</w:t>
            </w:r>
          </w:p>
        </w:tc>
        <w:tc>
          <w:tcPr>
            <w:tcW w:w="1134" w:type="dxa"/>
            <w:tcBorders>
              <w:top w:val="dotted" w:sz="4" w:space="0" w:color="auto"/>
              <w:bottom w:val="dotted" w:sz="4" w:space="0" w:color="auto"/>
            </w:tcBorders>
            <w:noWrap/>
            <w:vAlign w:val="center"/>
            <w:hideMark/>
          </w:tcPr>
          <w:p w14:paraId="67F6C3D1"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2,139,829</w:t>
            </w:r>
          </w:p>
        </w:tc>
        <w:tc>
          <w:tcPr>
            <w:tcW w:w="993" w:type="dxa"/>
            <w:tcBorders>
              <w:top w:val="dotted" w:sz="4" w:space="0" w:color="auto"/>
              <w:bottom w:val="dotted" w:sz="4" w:space="0" w:color="auto"/>
            </w:tcBorders>
            <w:noWrap/>
            <w:vAlign w:val="center"/>
            <w:hideMark/>
          </w:tcPr>
          <w:p w14:paraId="00C308C3"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111,546</w:t>
            </w:r>
          </w:p>
        </w:tc>
        <w:tc>
          <w:tcPr>
            <w:tcW w:w="992" w:type="dxa"/>
            <w:tcBorders>
              <w:top w:val="dotted" w:sz="4" w:space="0" w:color="auto"/>
              <w:bottom w:val="dotted" w:sz="4" w:space="0" w:color="auto"/>
            </w:tcBorders>
            <w:noWrap/>
            <w:vAlign w:val="center"/>
            <w:hideMark/>
          </w:tcPr>
          <w:p w14:paraId="5533E087"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167,127</w:t>
            </w:r>
          </w:p>
        </w:tc>
        <w:tc>
          <w:tcPr>
            <w:tcW w:w="1134" w:type="dxa"/>
            <w:tcBorders>
              <w:top w:val="dotted" w:sz="4" w:space="0" w:color="auto"/>
              <w:bottom w:val="dotted" w:sz="4" w:space="0" w:color="auto"/>
            </w:tcBorders>
            <w:noWrap/>
            <w:vAlign w:val="center"/>
            <w:hideMark/>
          </w:tcPr>
          <w:p w14:paraId="42398405"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2,418,502</w:t>
            </w:r>
          </w:p>
        </w:tc>
        <w:tc>
          <w:tcPr>
            <w:tcW w:w="1134" w:type="dxa"/>
            <w:tcBorders>
              <w:top w:val="dotted" w:sz="4" w:space="0" w:color="auto"/>
              <w:bottom w:val="dotted" w:sz="4" w:space="0" w:color="auto"/>
            </w:tcBorders>
            <w:noWrap/>
            <w:vAlign w:val="center"/>
            <w:hideMark/>
          </w:tcPr>
          <w:p w14:paraId="338A851D"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1,002,372</w:t>
            </w:r>
          </w:p>
        </w:tc>
        <w:tc>
          <w:tcPr>
            <w:tcW w:w="992" w:type="dxa"/>
            <w:tcBorders>
              <w:top w:val="dotted" w:sz="4" w:space="0" w:color="auto"/>
              <w:bottom w:val="dotted" w:sz="4" w:space="0" w:color="auto"/>
            </w:tcBorders>
            <w:noWrap/>
            <w:vAlign w:val="center"/>
            <w:hideMark/>
          </w:tcPr>
          <w:p w14:paraId="64218672"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129,719</w:t>
            </w:r>
          </w:p>
        </w:tc>
        <w:tc>
          <w:tcPr>
            <w:tcW w:w="992" w:type="dxa"/>
            <w:tcBorders>
              <w:top w:val="dotted" w:sz="4" w:space="0" w:color="auto"/>
              <w:bottom w:val="dotted" w:sz="4" w:space="0" w:color="auto"/>
            </w:tcBorders>
            <w:noWrap/>
            <w:vAlign w:val="center"/>
            <w:hideMark/>
          </w:tcPr>
          <w:p w14:paraId="752FA63E"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151,687</w:t>
            </w:r>
          </w:p>
        </w:tc>
        <w:tc>
          <w:tcPr>
            <w:tcW w:w="1134" w:type="dxa"/>
            <w:tcBorders>
              <w:top w:val="dotted" w:sz="4" w:space="0" w:color="auto"/>
              <w:bottom w:val="dotted" w:sz="4" w:space="0" w:color="auto"/>
            </w:tcBorders>
            <w:noWrap/>
            <w:vAlign w:val="center"/>
            <w:hideMark/>
          </w:tcPr>
          <w:p w14:paraId="400988C4"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1,283,778</w:t>
            </w:r>
          </w:p>
        </w:tc>
        <w:tc>
          <w:tcPr>
            <w:tcW w:w="1134" w:type="dxa"/>
            <w:tcBorders>
              <w:top w:val="dotted" w:sz="4" w:space="0" w:color="auto"/>
              <w:bottom w:val="dotted" w:sz="4" w:space="0" w:color="auto"/>
            </w:tcBorders>
            <w:noWrap/>
            <w:vAlign w:val="center"/>
            <w:hideMark/>
          </w:tcPr>
          <w:p w14:paraId="48D0A4F0"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3,702,280</w:t>
            </w:r>
          </w:p>
        </w:tc>
      </w:tr>
      <w:tr w:rsidR="005F0652" w:rsidRPr="005F0652" w14:paraId="1127611A" w14:textId="77777777" w:rsidTr="00940815">
        <w:trPr>
          <w:trHeight w:val="288"/>
          <w:jc w:val="center"/>
        </w:trPr>
        <w:tc>
          <w:tcPr>
            <w:tcW w:w="810" w:type="dxa"/>
            <w:tcBorders>
              <w:top w:val="dotted" w:sz="4" w:space="0" w:color="auto"/>
              <w:bottom w:val="dotted" w:sz="4" w:space="0" w:color="auto"/>
            </w:tcBorders>
            <w:noWrap/>
            <w:vAlign w:val="center"/>
            <w:hideMark/>
          </w:tcPr>
          <w:p w14:paraId="4D0A9FD3"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2015</w:t>
            </w:r>
          </w:p>
        </w:tc>
        <w:tc>
          <w:tcPr>
            <w:tcW w:w="2020" w:type="dxa"/>
            <w:tcBorders>
              <w:top w:val="dotted" w:sz="4" w:space="0" w:color="auto"/>
              <w:bottom w:val="dotted" w:sz="4" w:space="0" w:color="auto"/>
            </w:tcBorders>
            <w:vAlign w:val="center"/>
            <w:hideMark/>
          </w:tcPr>
          <w:p w14:paraId="2BA2435C" w14:textId="77777777" w:rsidR="005F0652" w:rsidRPr="005F0652" w:rsidRDefault="005F0652" w:rsidP="005F0652">
            <w:pPr>
              <w:rPr>
                <w:rFonts w:ascii="Arial" w:eastAsiaTheme="minorEastAsia" w:hAnsi="Arial" w:cs="Arial"/>
                <w:spacing w:val="-6"/>
                <w:sz w:val="18"/>
                <w:szCs w:val="18"/>
                <w:lang w:val="en-GB"/>
              </w:rPr>
            </w:pPr>
            <w:r w:rsidRPr="005F0652">
              <w:rPr>
                <w:rFonts w:ascii="Arial" w:eastAsiaTheme="minorEastAsia" w:hAnsi="Arial" w:cs="Arial"/>
                <w:spacing w:val="-6"/>
                <w:sz w:val="18"/>
                <w:szCs w:val="18"/>
                <w:lang w:val="en-GB"/>
              </w:rPr>
              <w:t>Private Sector Banks</w:t>
            </w:r>
          </w:p>
        </w:tc>
        <w:tc>
          <w:tcPr>
            <w:tcW w:w="1134" w:type="dxa"/>
            <w:tcBorders>
              <w:top w:val="dotted" w:sz="4" w:space="0" w:color="auto"/>
              <w:bottom w:val="dotted" w:sz="4" w:space="0" w:color="auto"/>
            </w:tcBorders>
            <w:noWrap/>
            <w:vAlign w:val="center"/>
            <w:hideMark/>
          </w:tcPr>
          <w:p w14:paraId="0AFEF4DF"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171,112</w:t>
            </w:r>
          </w:p>
        </w:tc>
        <w:tc>
          <w:tcPr>
            <w:tcW w:w="993" w:type="dxa"/>
            <w:tcBorders>
              <w:top w:val="dotted" w:sz="4" w:space="0" w:color="auto"/>
              <w:bottom w:val="dotted" w:sz="4" w:space="0" w:color="auto"/>
            </w:tcBorders>
            <w:noWrap/>
            <w:vAlign w:val="center"/>
            <w:hideMark/>
          </w:tcPr>
          <w:p w14:paraId="7204B752"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10,234</w:t>
            </w:r>
          </w:p>
        </w:tc>
        <w:tc>
          <w:tcPr>
            <w:tcW w:w="992" w:type="dxa"/>
            <w:tcBorders>
              <w:top w:val="dotted" w:sz="4" w:space="0" w:color="auto"/>
              <w:bottom w:val="dotted" w:sz="4" w:space="0" w:color="auto"/>
            </w:tcBorders>
            <w:noWrap/>
            <w:vAlign w:val="center"/>
            <w:hideMark/>
          </w:tcPr>
          <w:p w14:paraId="39F9BA5A"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25,901</w:t>
            </w:r>
          </w:p>
        </w:tc>
        <w:tc>
          <w:tcPr>
            <w:tcW w:w="1134" w:type="dxa"/>
            <w:tcBorders>
              <w:top w:val="dotted" w:sz="4" w:space="0" w:color="auto"/>
              <w:bottom w:val="dotted" w:sz="4" w:space="0" w:color="auto"/>
            </w:tcBorders>
            <w:noWrap/>
            <w:vAlign w:val="center"/>
            <w:hideMark/>
          </w:tcPr>
          <w:p w14:paraId="3C6EE863"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207,248</w:t>
            </w:r>
          </w:p>
        </w:tc>
        <w:tc>
          <w:tcPr>
            <w:tcW w:w="1134" w:type="dxa"/>
            <w:tcBorders>
              <w:top w:val="dotted" w:sz="4" w:space="0" w:color="auto"/>
              <w:bottom w:val="dotted" w:sz="4" w:space="0" w:color="auto"/>
            </w:tcBorders>
            <w:noWrap/>
            <w:vAlign w:val="center"/>
            <w:hideMark/>
          </w:tcPr>
          <w:p w14:paraId="05D5E1B4"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198,494</w:t>
            </w:r>
          </w:p>
        </w:tc>
        <w:tc>
          <w:tcPr>
            <w:tcW w:w="992" w:type="dxa"/>
            <w:tcBorders>
              <w:top w:val="dotted" w:sz="4" w:space="0" w:color="auto"/>
              <w:bottom w:val="dotted" w:sz="4" w:space="0" w:color="auto"/>
            </w:tcBorders>
            <w:noWrap/>
            <w:vAlign w:val="center"/>
            <w:hideMark/>
          </w:tcPr>
          <w:p w14:paraId="794071A8"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5,354</w:t>
            </w:r>
          </w:p>
        </w:tc>
        <w:tc>
          <w:tcPr>
            <w:tcW w:w="992" w:type="dxa"/>
            <w:tcBorders>
              <w:top w:val="dotted" w:sz="4" w:space="0" w:color="auto"/>
              <w:bottom w:val="dotted" w:sz="4" w:space="0" w:color="auto"/>
            </w:tcBorders>
            <w:noWrap/>
            <w:vAlign w:val="center"/>
            <w:hideMark/>
          </w:tcPr>
          <w:p w14:paraId="38552DDF"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50,698</w:t>
            </w:r>
          </w:p>
        </w:tc>
        <w:tc>
          <w:tcPr>
            <w:tcW w:w="1134" w:type="dxa"/>
            <w:tcBorders>
              <w:top w:val="dotted" w:sz="4" w:space="0" w:color="auto"/>
              <w:bottom w:val="dotted" w:sz="4" w:space="0" w:color="auto"/>
            </w:tcBorders>
            <w:noWrap/>
            <w:vAlign w:val="center"/>
            <w:hideMark/>
          </w:tcPr>
          <w:p w14:paraId="36CD96F5"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254,546</w:t>
            </w:r>
          </w:p>
        </w:tc>
        <w:tc>
          <w:tcPr>
            <w:tcW w:w="1134" w:type="dxa"/>
            <w:tcBorders>
              <w:top w:val="dotted" w:sz="4" w:space="0" w:color="auto"/>
              <w:bottom w:val="dotted" w:sz="4" w:space="0" w:color="auto"/>
            </w:tcBorders>
            <w:noWrap/>
            <w:vAlign w:val="center"/>
            <w:hideMark/>
          </w:tcPr>
          <w:p w14:paraId="082511C5"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461,794</w:t>
            </w:r>
          </w:p>
        </w:tc>
      </w:tr>
      <w:tr w:rsidR="005F0652" w:rsidRPr="005F0652" w14:paraId="79620AC7" w14:textId="77777777" w:rsidTr="00940815">
        <w:trPr>
          <w:trHeight w:val="288"/>
          <w:jc w:val="center"/>
        </w:trPr>
        <w:tc>
          <w:tcPr>
            <w:tcW w:w="810" w:type="dxa"/>
            <w:tcBorders>
              <w:top w:val="dotted" w:sz="4" w:space="0" w:color="auto"/>
              <w:bottom w:val="single" w:sz="4" w:space="0" w:color="auto"/>
            </w:tcBorders>
            <w:noWrap/>
            <w:vAlign w:val="center"/>
            <w:hideMark/>
          </w:tcPr>
          <w:p w14:paraId="2EC4CE34"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2015</w:t>
            </w:r>
          </w:p>
        </w:tc>
        <w:tc>
          <w:tcPr>
            <w:tcW w:w="2020" w:type="dxa"/>
            <w:tcBorders>
              <w:top w:val="dotted" w:sz="4" w:space="0" w:color="auto"/>
              <w:bottom w:val="single" w:sz="4" w:space="0" w:color="auto"/>
            </w:tcBorders>
            <w:vAlign w:val="center"/>
            <w:hideMark/>
          </w:tcPr>
          <w:p w14:paraId="4F277DBA" w14:textId="77777777" w:rsidR="005F0652" w:rsidRPr="005F0652" w:rsidRDefault="005F0652" w:rsidP="005F0652">
            <w:pPr>
              <w:rPr>
                <w:rFonts w:ascii="Arial" w:eastAsiaTheme="minorEastAsia" w:hAnsi="Arial" w:cs="Arial"/>
                <w:spacing w:val="-6"/>
                <w:sz w:val="18"/>
                <w:szCs w:val="18"/>
                <w:lang w:val="en-GB"/>
              </w:rPr>
            </w:pPr>
            <w:r w:rsidRPr="005F0652">
              <w:rPr>
                <w:rFonts w:ascii="Arial" w:eastAsiaTheme="minorEastAsia" w:hAnsi="Arial" w:cs="Arial"/>
                <w:spacing w:val="-6"/>
                <w:sz w:val="18"/>
                <w:szCs w:val="18"/>
                <w:lang w:val="en-GB"/>
              </w:rPr>
              <w:t>Foreign Banks</w:t>
            </w:r>
          </w:p>
        </w:tc>
        <w:tc>
          <w:tcPr>
            <w:tcW w:w="1134" w:type="dxa"/>
            <w:tcBorders>
              <w:top w:val="dotted" w:sz="4" w:space="0" w:color="auto"/>
              <w:bottom w:val="single" w:sz="4" w:space="0" w:color="auto"/>
            </w:tcBorders>
            <w:noWrap/>
            <w:vAlign w:val="center"/>
            <w:hideMark/>
          </w:tcPr>
          <w:p w14:paraId="390F246F"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534</w:t>
            </w:r>
          </w:p>
        </w:tc>
        <w:tc>
          <w:tcPr>
            <w:tcW w:w="993" w:type="dxa"/>
            <w:tcBorders>
              <w:top w:val="dotted" w:sz="4" w:space="0" w:color="auto"/>
              <w:bottom w:val="single" w:sz="4" w:space="0" w:color="auto"/>
            </w:tcBorders>
            <w:noWrap/>
            <w:vAlign w:val="center"/>
            <w:hideMark/>
          </w:tcPr>
          <w:p w14:paraId="14F58454"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1,720</w:t>
            </w:r>
          </w:p>
        </w:tc>
        <w:tc>
          <w:tcPr>
            <w:tcW w:w="992" w:type="dxa"/>
            <w:tcBorders>
              <w:top w:val="dotted" w:sz="4" w:space="0" w:color="auto"/>
              <w:bottom w:val="single" w:sz="4" w:space="0" w:color="auto"/>
            </w:tcBorders>
            <w:noWrap/>
            <w:vAlign w:val="center"/>
            <w:hideMark/>
          </w:tcPr>
          <w:p w14:paraId="29E2415D"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3,754</w:t>
            </w:r>
          </w:p>
        </w:tc>
        <w:tc>
          <w:tcPr>
            <w:tcW w:w="1134" w:type="dxa"/>
            <w:tcBorders>
              <w:top w:val="dotted" w:sz="4" w:space="0" w:color="auto"/>
              <w:bottom w:val="single" w:sz="4" w:space="0" w:color="auto"/>
            </w:tcBorders>
            <w:noWrap/>
            <w:vAlign w:val="center"/>
            <w:hideMark/>
          </w:tcPr>
          <w:p w14:paraId="67F26520"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6,008</w:t>
            </w:r>
          </w:p>
        </w:tc>
        <w:tc>
          <w:tcPr>
            <w:tcW w:w="1134" w:type="dxa"/>
            <w:tcBorders>
              <w:top w:val="dotted" w:sz="4" w:space="0" w:color="auto"/>
              <w:bottom w:val="single" w:sz="4" w:space="0" w:color="auto"/>
            </w:tcBorders>
            <w:noWrap/>
            <w:vAlign w:val="center"/>
            <w:hideMark/>
          </w:tcPr>
          <w:p w14:paraId="591E5C62"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3,136</w:t>
            </w:r>
          </w:p>
        </w:tc>
        <w:tc>
          <w:tcPr>
            <w:tcW w:w="992" w:type="dxa"/>
            <w:tcBorders>
              <w:top w:val="dotted" w:sz="4" w:space="0" w:color="auto"/>
              <w:bottom w:val="single" w:sz="4" w:space="0" w:color="auto"/>
            </w:tcBorders>
            <w:noWrap/>
            <w:vAlign w:val="center"/>
            <w:hideMark/>
          </w:tcPr>
          <w:p w14:paraId="7CCAFAAF"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0</w:t>
            </w:r>
          </w:p>
        </w:tc>
        <w:tc>
          <w:tcPr>
            <w:tcW w:w="992" w:type="dxa"/>
            <w:tcBorders>
              <w:top w:val="dotted" w:sz="4" w:space="0" w:color="auto"/>
              <w:bottom w:val="single" w:sz="4" w:space="0" w:color="auto"/>
            </w:tcBorders>
            <w:noWrap/>
            <w:vAlign w:val="center"/>
            <w:hideMark/>
          </w:tcPr>
          <w:p w14:paraId="11FFF8AC"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6,626</w:t>
            </w:r>
          </w:p>
        </w:tc>
        <w:tc>
          <w:tcPr>
            <w:tcW w:w="1134" w:type="dxa"/>
            <w:tcBorders>
              <w:top w:val="dotted" w:sz="4" w:space="0" w:color="auto"/>
              <w:bottom w:val="single" w:sz="4" w:space="0" w:color="auto"/>
            </w:tcBorders>
            <w:noWrap/>
            <w:vAlign w:val="center"/>
            <w:hideMark/>
          </w:tcPr>
          <w:p w14:paraId="23F3A3F2"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9,762</w:t>
            </w:r>
          </w:p>
        </w:tc>
        <w:tc>
          <w:tcPr>
            <w:tcW w:w="1134" w:type="dxa"/>
            <w:tcBorders>
              <w:top w:val="dotted" w:sz="4" w:space="0" w:color="auto"/>
              <w:bottom w:val="single" w:sz="4" w:space="0" w:color="auto"/>
            </w:tcBorders>
            <w:noWrap/>
            <w:vAlign w:val="center"/>
            <w:hideMark/>
          </w:tcPr>
          <w:p w14:paraId="54E53D00"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15,770</w:t>
            </w:r>
          </w:p>
        </w:tc>
      </w:tr>
      <w:tr w:rsidR="005F0652" w:rsidRPr="005F0652" w14:paraId="24F1DDF7" w14:textId="77777777" w:rsidTr="00940815">
        <w:trPr>
          <w:trHeight w:val="288"/>
          <w:jc w:val="center"/>
        </w:trPr>
        <w:tc>
          <w:tcPr>
            <w:tcW w:w="810" w:type="dxa"/>
            <w:tcBorders>
              <w:bottom w:val="dotted" w:sz="4" w:space="0" w:color="auto"/>
            </w:tcBorders>
            <w:noWrap/>
            <w:vAlign w:val="center"/>
            <w:hideMark/>
          </w:tcPr>
          <w:p w14:paraId="41447612"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2014</w:t>
            </w:r>
          </w:p>
        </w:tc>
        <w:tc>
          <w:tcPr>
            <w:tcW w:w="2020" w:type="dxa"/>
            <w:tcBorders>
              <w:bottom w:val="dotted" w:sz="4" w:space="0" w:color="auto"/>
            </w:tcBorders>
            <w:vAlign w:val="center"/>
            <w:hideMark/>
          </w:tcPr>
          <w:p w14:paraId="7A725B17" w14:textId="77777777" w:rsidR="005F0652" w:rsidRPr="005F0652" w:rsidRDefault="005F0652" w:rsidP="005F0652">
            <w:pPr>
              <w:rPr>
                <w:rFonts w:ascii="Arial" w:eastAsiaTheme="minorEastAsia" w:hAnsi="Arial" w:cs="Arial"/>
                <w:spacing w:val="-6"/>
                <w:sz w:val="18"/>
                <w:szCs w:val="18"/>
                <w:lang w:val="en-GB"/>
              </w:rPr>
            </w:pPr>
            <w:r w:rsidRPr="005F0652">
              <w:rPr>
                <w:rFonts w:ascii="Arial" w:eastAsiaTheme="minorEastAsia" w:hAnsi="Arial" w:cs="Arial"/>
                <w:spacing w:val="-6"/>
                <w:sz w:val="18"/>
                <w:szCs w:val="18"/>
                <w:lang w:val="en-GB"/>
              </w:rPr>
              <w:t>State Bank of India &amp; Its Associates</w:t>
            </w:r>
          </w:p>
        </w:tc>
        <w:tc>
          <w:tcPr>
            <w:tcW w:w="1134" w:type="dxa"/>
            <w:tcBorders>
              <w:bottom w:val="dotted" w:sz="4" w:space="0" w:color="auto"/>
            </w:tcBorders>
            <w:noWrap/>
            <w:vAlign w:val="center"/>
            <w:hideMark/>
          </w:tcPr>
          <w:p w14:paraId="101D774C"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316,683</w:t>
            </w:r>
          </w:p>
        </w:tc>
        <w:tc>
          <w:tcPr>
            <w:tcW w:w="993" w:type="dxa"/>
            <w:tcBorders>
              <w:bottom w:val="dotted" w:sz="4" w:space="0" w:color="auto"/>
            </w:tcBorders>
            <w:noWrap/>
            <w:vAlign w:val="center"/>
            <w:hideMark/>
          </w:tcPr>
          <w:p w14:paraId="55764E7D"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30,568</w:t>
            </w:r>
          </w:p>
        </w:tc>
        <w:tc>
          <w:tcPr>
            <w:tcW w:w="992" w:type="dxa"/>
            <w:tcBorders>
              <w:bottom w:val="dotted" w:sz="4" w:space="0" w:color="auto"/>
            </w:tcBorders>
            <w:noWrap/>
            <w:vAlign w:val="center"/>
            <w:hideMark/>
          </w:tcPr>
          <w:p w14:paraId="36ADEDDF"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82,724</w:t>
            </w:r>
          </w:p>
        </w:tc>
        <w:tc>
          <w:tcPr>
            <w:tcW w:w="1134" w:type="dxa"/>
            <w:tcBorders>
              <w:bottom w:val="dotted" w:sz="4" w:space="0" w:color="auto"/>
            </w:tcBorders>
            <w:noWrap/>
            <w:vAlign w:val="center"/>
            <w:hideMark/>
          </w:tcPr>
          <w:p w14:paraId="498B6365"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429,974</w:t>
            </w:r>
          </w:p>
        </w:tc>
        <w:tc>
          <w:tcPr>
            <w:tcW w:w="1134" w:type="dxa"/>
            <w:tcBorders>
              <w:bottom w:val="dotted" w:sz="4" w:space="0" w:color="auto"/>
            </w:tcBorders>
            <w:noWrap/>
            <w:vAlign w:val="center"/>
            <w:hideMark/>
          </w:tcPr>
          <w:p w14:paraId="0370FC4D"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351,455</w:t>
            </w:r>
          </w:p>
        </w:tc>
        <w:tc>
          <w:tcPr>
            <w:tcW w:w="992" w:type="dxa"/>
            <w:tcBorders>
              <w:bottom w:val="dotted" w:sz="4" w:space="0" w:color="auto"/>
            </w:tcBorders>
            <w:noWrap/>
            <w:vAlign w:val="center"/>
            <w:hideMark/>
          </w:tcPr>
          <w:p w14:paraId="208BCAF3"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14,216</w:t>
            </w:r>
          </w:p>
        </w:tc>
        <w:tc>
          <w:tcPr>
            <w:tcW w:w="992" w:type="dxa"/>
            <w:tcBorders>
              <w:bottom w:val="dotted" w:sz="4" w:space="0" w:color="auto"/>
            </w:tcBorders>
            <w:noWrap/>
            <w:vAlign w:val="center"/>
            <w:hideMark/>
          </w:tcPr>
          <w:p w14:paraId="2DF58FDD"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69,238</w:t>
            </w:r>
          </w:p>
        </w:tc>
        <w:tc>
          <w:tcPr>
            <w:tcW w:w="1134" w:type="dxa"/>
            <w:tcBorders>
              <w:bottom w:val="dotted" w:sz="4" w:space="0" w:color="auto"/>
            </w:tcBorders>
            <w:noWrap/>
            <w:vAlign w:val="center"/>
            <w:hideMark/>
          </w:tcPr>
          <w:p w14:paraId="409CE4FB"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434,909</w:t>
            </w:r>
          </w:p>
        </w:tc>
        <w:tc>
          <w:tcPr>
            <w:tcW w:w="1134" w:type="dxa"/>
            <w:tcBorders>
              <w:bottom w:val="dotted" w:sz="4" w:space="0" w:color="auto"/>
            </w:tcBorders>
            <w:noWrap/>
            <w:vAlign w:val="center"/>
            <w:hideMark/>
          </w:tcPr>
          <w:p w14:paraId="5E0946E6"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864,884</w:t>
            </w:r>
          </w:p>
        </w:tc>
      </w:tr>
      <w:tr w:rsidR="005F0652" w:rsidRPr="005F0652" w14:paraId="100E5E4C" w14:textId="77777777" w:rsidTr="00940815">
        <w:trPr>
          <w:trHeight w:val="288"/>
          <w:jc w:val="center"/>
        </w:trPr>
        <w:tc>
          <w:tcPr>
            <w:tcW w:w="810" w:type="dxa"/>
            <w:tcBorders>
              <w:top w:val="dotted" w:sz="4" w:space="0" w:color="auto"/>
              <w:bottom w:val="dotted" w:sz="4" w:space="0" w:color="auto"/>
            </w:tcBorders>
            <w:noWrap/>
            <w:vAlign w:val="center"/>
            <w:hideMark/>
          </w:tcPr>
          <w:p w14:paraId="6DDD2299"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2014</w:t>
            </w:r>
          </w:p>
        </w:tc>
        <w:tc>
          <w:tcPr>
            <w:tcW w:w="2020" w:type="dxa"/>
            <w:tcBorders>
              <w:top w:val="dotted" w:sz="4" w:space="0" w:color="auto"/>
              <w:bottom w:val="dotted" w:sz="4" w:space="0" w:color="auto"/>
            </w:tcBorders>
            <w:vAlign w:val="center"/>
            <w:hideMark/>
          </w:tcPr>
          <w:p w14:paraId="57852790" w14:textId="77777777" w:rsidR="005F0652" w:rsidRPr="005F0652" w:rsidRDefault="005F0652" w:rsidP="005F0652">
            <w:pPr>
              <w:rPr>
                <w:rFonts w:ascii="Arial" w:eastAsiaTheme="minorEastAsia" w:hAnsi="Arial" w:cs="Arial"/>
                <w:spacing w:val="-6"/>
                <w:sz w:val="18"/>
                <w:szCs w:val="18"/>
                <w:lang w:val="en-GB"/>
              </w:rPr>
            </w:pPr>
            <w:r w:rsidRPr="005F0652">
              <w:rPr>
                <w:rFonts w:ascii="Arial" w:eastAsiaTheme="minorEastAsia" w:hAnsi="Arial" w:cs="Arial"/>
                <w:spacing w:val="-6"/>
                <w:sz w:val="18"/>
                <w:szCs w:val="18"/>
                <w:lang w:val="en-GB"/>
              </w:rPr>
              <w:t>Nationalized Banks</w:t>
            </w:r>
          </w:p>
        </w:tc>
        <w:tc>
          <w:tcPr>
            <w:tcW w:w="1134" w:type="dxa"/>
            <w:tcBorders>
              <w:top w:val="dotted" w:sz="4" w:space="0" w:color="auto"/>
              <w:bottom w:val="dotted" w:sz="4" w:space="0" w:color="auto"/>
            </w:tcBorders>
            <w:noWrap/>
            <w:vAlign w:val="center"/>
            <w:hideMark/>
          </w:tcPr>
          <w:p w14:paraId="2A4BB361"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1,735,287</w:t>
            </w:r>
          </w:p>
        </w:tc>
        <w:tc>
          <w:tcPr>
            <w:tcW w:w="993" w:type="dxa"/>
            <w:tcBorders>
              <w:top w:val="dotted" w:sz="4" w:space="0" w:color="auto"/>
              <w:bottom w:val="dotted" w:sz="4" w:space="0" w:color="auto"/>
            </w:tcBorders>
            <w:noWrap/>
            <w:vAlign w:val="center"/>
            <w:hideMark/>
          </w:tcPr>
          <w:p w14:paraId="352D5194"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100,519</w:t>
            </w:r>
          </w:p>
        </w:tc>
        <w:tc>
          <w:tcPr>
            <w:tcW w:w="992" w:type="dxa"/>
            <w:tcBorders>
              <w:top w:val="dotted" w:sz="4" w:space="0" w:color="auto"/>
              <w:bottom w:val="dotted" w:sz="4" w:space="0" w:color="auto"/>
            </w:tcBorders>
            <w:noWrap/>
            <w:vAlign w:val="center"/>
            <w:hideMark/>
          </w:tcPr>
          <w:p w14:paraId="269F5D3B"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127,800</w:t>
            </w:r>
          </w:p>
        </w:tc>
        <w:tc>
          <w:tcPr>
            <w:tcW w:w="1134" w:type="dxa"/>
            <w:tcBorders>
              <w:top w:val="dotted" w:sz="4" w:space="0" w:color="auto"/>
              <w:bottom w:val="dotted" w:sz="4" w:space="0" w:color="auto"/>
            </w:tcBorders>
            <w:noWrap/>
            <w:vAlign w:val="center"/>
            <w:hideMark/>
          </w:tcPr>
          <w:p w14:paraId="4AC85854"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1,963,606</w:t>
            </w:r>
          </w:p>
        </w:tc>
        <w:tc>
          <w:tcPr>
            <w:tcW w:w="1134" w:type="dxa"/>
            <w:tcBorders>
              <w:top w:val="dotted" w:sz="4" w:space="0" w:color="auto"/>
              <w:bottom w:val="dotted" w:sz="4" w:space="0" w:color="auto"/>
            </w:tcBorders>
            <w:noWrap/>
            <w:vAlign w:val="center"/>
            <w:hideMark/>
          </w:tcPr>
          <w:p w14:paraId="02F17BB1"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856,473</w:t>
            </w:r>
          </w:p>
        </w:tc>
        <w:tc>
          <w:tcPr>
            <w:tcW w:w="992" w:type="dxa"/>
            <w:tcBorders>
              <w:top w:val="dotted" w:sz="4" w:space="0" w:color="auto"/>
              <w:bottom w:val="dotted" w:sz="4" w:space="0" w:color="auto"/>
            </w:tcBorders>
            <w:noWrap/>
            <w:vAlign w:val="center"/>
            <w:hideMark/>
          </w:tcPr>
          <w:p w14:paraId="0522DB5E"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67,477</w:t>
            </w:r>
          </w:p>
        </w:tc>
        <w:tc>
          <w:tcPr>
            <w:tcW w:w="992" w:type="dxa"/>
            <w:tcBorders>
              <w:top w:val="dotted" w:sz="4" w:space="0" w:color="auto"/>
              <w:bottom w:val="dotted" w:sz="4" w:space="0" w:color="auto"/>
            </w:tcBorders>
            <w:noWrap/>
            <w:vAlign w:val="center"/>
            <w:hideMark/>
          </w:tcPr>
          <w:p w14:paraId="2546631E"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55,008</w:t>
            </w:r>
          </w:p>
        </w:tc>
        <w:tc>
          <w:tcPr>
            <w:tcW w:w="1134" w:type="dxa"/>
            <w:tcBorders>
              <w:top w:val="dotted" w:sz="4" w:space="0" w:color="auto"/>
              <w:bottom w:val="dotted" w:sz="4" w:space="0" w:color="auto"/>
            </w:tcBorders>
            <w:noWrap/>
            <w:vAlign w:val="center"/>
            <w:hideMark/>
          </w:tcPr>
          <w:p w14:paraId="185548B0"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978,958</w:t>
            </w:r>
          </w:p>
        </w:tc>
        <w:tc>
          <w:tcPr>
            <w:tcW w:w="1134" w:type="dxa"/>
            <w:tcBorders>
              <w:top w:val="dotted" w:sz="4" w:space="0" w:color="auto"/>
              <w:bottom w:val="dotted" w:sz="4" w:space="0" w:color="auto"/>
            </w:tcBorders>
            <w:noWrap/>
            <w:vAlign w:val="center"/>
            <w:hideMark/>
          </w:tcPr>
          <w:p w14:paraId="1AD24784"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2,942,564</w:t>
            </w:r>
          </w:p>
        </w:tc>
      </w:tr>
      <w:tr w:rsidR="005F0652" w:rsidRPr="005F0652" w14:paraId="700C49FB" w14:textId="77777777" w:rsidTr="00940815">
        <w:trPr>
          <w:trHeight w:val="288"/>
          <w:jc w:val="center"/>
        </w:trPr>
        <w:tc>
          <w:tcPr>
            <w:tcW w:w="810" w:type="dxa"/>
            <w:tcBorders>
              <w:top w:val="dotted" w:sz="4" w:space="0" w:color="auto"/>
              <w:bottom w:val="dotted" w:sz="4" w:space="0" w:color="auto"/>
            </w:tcBorders>
            <w:noWrap/>
            <w:vAlign w:val="center"/>
            <w:hideMark/>
          </w:tcPr>
          <w:p w14:paraId="12444272"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2014</w:t>
            </w:r>
          </w:p>
        </w:tc>
        <w:tc>
          <w:tcPr>
            <w:tcW w:w="2020" w:type="dxa"/>
            <w:tcBorders>
              <w:top w:val="dotted" w:sz="4" w:space="0" w:color="auto"/>
              <w:bottom w:val="dotted" w:sz="4" w:space="0" w:color="auto"/>
            </w:tcBorders>
            <w:vAlign w:val="center"/>
            <w:hideMark/>
          </w:tcPr>
          <w:p w14:paraId="5FB5CD6A" w14:textId="77777777" w:rsidR="005F0652" w:rsidRPr="005F0652" w:rsidRDefault="005F0652" w:rsidP="005F0652">
            <w:pPr>
              <w:rPr>
                <w:rFonts w:ascii="Arial" w:eastAsiaTheme="minorEastAsia" w:hAnsi="Arial" w:cs="Arial"/>
                <w:spacing w:val="-6"/>
                <w:sz w:val="18"/>
                <w:szCs w:val="18"/>
                <w:lang w:val="en-GB"/>
              </w:rPr>
            </w:pPr>
            <w:r w:rsidRPr="005F0652">
              <w:rPr>
                <w:rFonts w:ascii="Arial" w:eastAsiaTheme="minorEastAsia" w:hAnsi="Arial" w:cs="Arial"/>
                <w:spacing w:val="-6"/>
                <w:sz w:val="18"/>
                <w:szCs w:val="18"/>
                <w:lang w:val="en-GB"/>
              </w:rPr>
              <w:t>Private Sector Banks</w:t>
            </w:r>
          </w:p>
        </w:tc>
        <w:tc>
          <w:tcPr>
            <w:tcW w:w="1134" w:type="dxa"/>
            <w:tcBorders>
              <w:top w:val="dotted" w:sz="4" w:space="0" w:color="auto"/>
              <w:bottom w:val="dotted" w:sz="4" w:space="0" w:color="auto"/>
            </w:tcBorders>
            <w:noWrap/>
            <w:vAlign w:val="center"/>
            <w:hideMark/>
          </w:tcPr>
          <w:p w14:paraId="5C965454"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128,439</w:t>
            </w:r>
          </w:p>
        </w:tc>
        <w:tc>
          <w:tcPr>
            <w:tcW w:w="993" w:type="dxa"/>
            <w:tcBorders>
              <w:top w:val="dotted" w:sz="4" w:space="0" w:color="auto"/>
              <w:bottom w:val="dotted" w:sz="4" w:space="0" w:color="auto"/>
            </w:tcBorders>
            <w:noWrap/>
            <w:vAlign w:val="center"/>
            <w:hideMark/>
          </w:tcPr>
          <w:p w14:paraId="0E2E0392"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3,582</w:t>
            </w:r>
          </w:p>
        </w:tc>
        <w:tc>
          <w:tcPr>
            <w:tcW w:w="992" w:type="dxa"/>
            <w:tcBorders>
              <w:top w:val="dotted" w:sz="4" w:space="0" w:color="auto"/>
              <w:bottom w:val="dotted" w:sz="4" w:space="0" w:color="auto"/>
            </w:tcBorders>
            <w:noWrap/>
            <w:vAlign w:val="center"/>
            <w:hideMark/>
          </w:tcPr>
          <w:p w14:paraId="164B9E7B"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19,859</w:t>
            </w:r>
          </w:p>
        </w:tc>
        <w:tc>
          <w:tcPr>
            <w:tcW w:w="1134" w:type="dxa"/>
            <w:tcBorders>
              <w:top w:val="dotted" w:sz="4" w:space="0" w:color="auto"/>
              <w:bottom w:val="dotted" w:sz="4" w:space="0" w:color="auto"/>
            </w:tcBorders>
            <w:noWrap/>
            <w:vAlign w:val="center"/>
            <w:hideMark/>
          </w:tcPr>
          <w:p w14:paraId="6E0B8F20"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151,880</w:t>
            </w:r>
          </w:p>
        </w:tc>
        <w:tc>
          <w:tcPr>
            <w:tcW w:w="1134" w:type="dxa"/>
            <w:tcBorders>
              <w:top w:val="dotted" w:sz="4" w:space="0" w:color="auto"/>
              <w:bottom w:val="dotted" w:sz="4" w:space="0" w:color="auto"/>
            </w:tcBorders>
            <w:noWrap/>
            <w:vAlign w:val="center"/>
            <w:hideMark/>
          </w:tcPr>
          <w:p w14:paraId="4C7EB28A"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172,005</w:t>
            </w:r>
          </w:p>
        </w:tc>
        <w:tc>
          <w:tcPr>
            <w:tcW w:w="992" w:type="dxa"/>
            <w:tcBorders>
              <w:top w:val="dotted" w:sz="4" w:space="0" w:color="auto"/>
              <w:bottom w:val="dotted" w:sz="4" w:space="0" w:color="auto"/>
            </w:tcBorders>
            <w:noWrap/>
            <w:vAlign w:val="center"/>
            <w:hideMark/>
          </w:tcPr>
          <w:p w14:paraId="339431F9"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1,678</w:t>
            </w:r>
          </w:p>
        </w:tc>
        <w:tc>
          <w:tcPr>
            <w:tcW w:w="992" w:type="dxa"/>
            <w:tcBorders>
              <w:top w:val="dotted" w:sz="4" w:space="0" w:color="auto"/>
              <w:bottom w:val="dotted" w:sz="4" w:space="0" w:color="auto"/>
            </w:tcBorders>
            <w:noWrap/>
            <w:vAlign w:val="center"/>
            <w:hideMark/>
          </w:tcPr>
          <w:p w14:paraId="574DEF21"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14,051</w:t>
            </w:r>
          </w:p>
        </w:tc>
        <w:tc>
          <w:tcPr>
            <w:tcW w:w="1134" w:type="dxa"/>
            <w:tcBorders>
              <w:top w:val="dotted" w:sz="4" w:space="0" w:color="auto"/>
              <w:bottom w:val="dotted" w:sz="4" w:space="0" w:color="auto"/>
            </w:tcBorders>
            <w:noWrap/>
            <w:vAlign w:val="center"/>
            <w:hideMark/>
          </w:tcPr>
          <w:p w14:paraId="63DB9E60"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187,734</w:t>
            </w:r>
          </w:p>
        </w:tc>
        <w:tc>
          <w:tcPr>
            <w:tcW w:w="1134" w:type="dxa"/>
            <w:tcBorders>
              <w:top w:val="dotted" w:sz="4" w:space="0" w:color="auto"/>
              <w:bottom w:val="dotted" w:sz="4" w:space="0" w:color="auto"/>
            </w:tcBorders>
            <w:noWrap/>
            <w:vAlign w:val="center"/>
            <w:hideMark/>
          </w:tcPr>
          <w:p w14:paraId="7B57BD76"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339,613</w:t>
            </w:r>
          </w:p>
        </w:tc>
      </w:tr>
      <w:tr w:rsidR="005F0652" w:rsidRPr="005F0652" w14:paraId="3E793952" w14:textId="77777777" w:rsidTr="00940815">
        <w:trPr>
          <w:trHeight w:val="288"/>
          <w:jc w:val="center"/>
        </w:trPr>
        <w:tc>
          <w:tcPr>
            <w:tcW w:w="810" w:type="dxa"/>
            <w:tcBorders>
              <w:top w:val="dotted" w:sz="4" w:space="0" w:color="auto"/>
            </w:tcBorders>
            <w:noWrap/>
            <w:vAlign w:val="center"/>
            <w:hideMark/>
          </w:tcPr>
          <w:p w14:paraId="227F149A"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2014</w:t>
            </w:r>
          </w:p>
        </w:tc>
        <w:tc>
          <w:tcPr>
            <w:tcW w:w="2020" w:type="dxa"/>
            <w:tcBorders>
              <w:top w:val="dotted" w:sz="4" w:space="0" w:color="auto"/>
            </w:tcBorders>
            <w:vAlign w:val="center"/>
            <w:hideMark/>
          </w:tcPr>
          <w:p w14:paraId="00461983" w14:textId="77777777" w:rsidR="005F0652" w:rsidRPr="005F0652" w:rsidRDefault="005F0652" w:rsidP="005F0652">
            <w:pPr>
              <w:rPr>
                <w:rFonts w:ascii="Arial" w:eastAsiaTheme="minorEastAsia" w:hAnsi="Arial" w:cs="Arial"/>
                <w:spacing w:val="-6"/>
                <w:sz w:val="18"/>
                <w:szCs w:val="18"/>
                <w:lang w:val="en-GB"/>
              </w:rPr>
            </w:pPr>
            <w:r w:rsidRPr="005F0652">
              <w:rPr>
                <w:rFonts w:ascii="Arial" w:eastAsiaTheme="minorEastAsia" w:hAnsi="Arial" w:cs="Arial"/>
                <w:spacing w:val="-6"/>
                <w:sz w:val="18"/>
                <w:szCs w:val="18"/>
                <w:lang w:val="en-GB"/>
              </w:rPr>
              <w:t>Foreign Banks</w:t>
            </w:r>
          </w:p>
        </w:tc>
        <w:tc>
          <w:tcPr>
            <w:tcW w:w="1134" w:type="dxa"/>
            <w:tcBorders>
              <w:top w:val="dotted" w:sz="4" w:space="0" w:color="auto"/>
            </w:tcBorders>
            <w:noWrap/>
            <w:vAlign w:val="center"/>
            <w:hideMark/>
          </w:tcPr>
          <w:p w14:paraId="1C4D6798"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787</w:t>
            </w:r>
          </w:p>
        </w:tc>
        <w:tc>
          <w:tcPr>
            <w:tcW w:w="993" w:type="dxa"/>
            <w:tcBorders>
              <w:top w:val="dotted" w:sz="4" w:space="0" w:color="auto"/>
            </w:tcBorders>
            <w:noWrap/>
            <w:vAlign w:val="center"/>
            <w:hideMark/>
          </w:tcPr>
          <w:p w14:paraId="608C041D"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376</w:t>
            </w:r>
          </w:p>
        </w:tc>
        <w:tc>
          <w:tcPr>
            <w:tcW w:w="992" w:type="dxa"/>
            <w:tcBorders>
              <w:top w:val="dotted" w:sz="4" w:space="0" w:color="auto"/>
            </w:tcBorders>
            <w:noWrap/>
            <w:vAlign w:val="center"/>
            <w:hideMark/>
          </w:tcPr>
          <w:p w14:paraId="7686C936"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4,038</w:t>
            </w:r>
          </w:p>
        </w:tc>
        <w:tc>
          <w:tcPr>
            <w:tcW w:w="1134" w:type="dxa"/>
            <w:tcBorders>
              <w:top w:val="dotted" w:sz="4" w:space="0" w:color="auto"/>
            </w:tcBorders>
            <w:noWrap/>
            <w:vAlign w:val="center"/>
            <w:hideMark/>
          </w:tcPr>
          <w:p w14:paraId="2BE22669"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5,200</w:t>
            </w:r>
          </w:p>
        </w:tc>
        <w:tc>
          <w:tcPr>
            <w:tcW w:w="1134" w:type="dxa"/>
            <w:tcBorders>
              <w:top w:val="dotted" w:sz="4" w:space="0" w:color="auto"/>
            </w:tcBorders>
            <w:noWrap/>
            <w:vAlign w:val="center"/>
            <w:hideMark/>
          </w:tcPr>
          <w:p w14:paraId="1DE8657C"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2,048</w:t>
            </w:r>
          </w:p>
        </w:tc>
        <w:tc>
          <w:tcPr>
            <w:tcW w:w="992" w:type="dxa"/>
            <w:tcBorders>
              <w:top w:val="dotted" w:sz="4" w:space="0" w:color="auto"/>
            </w:tcBorders>
            <w:noWrap/>
            <w:vAlign w:val="center"/>
            <w:hideMark/>
          </w:tcPr>
          <w:p w14:paraId="778A09A1"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249</w:t>
            </w:r>
          </w:p>
        </w:tc>
        <w:tc>
          <w:tcPr>
            <w:tcW w:w="992" w:type="dxa"/>
            <w:tcBorders>
              <w:top w:val="dotted" w:sz="4" w:space="0" w:color="auto"/>
            </w:tcBorders>
            <w:noWrap/>
            <w:vAlign w:val="center"/>
            <w:hideMark/>
          </w:tcPr>
          <w:p w14:paraId="05A05F8D"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4,719</w:t>
            </w:r>
          </w:p>
        </w:tc>
        <w:tc>
          <w:tcPr>
            <w:tcW w:w="1134" w:type="dxa"/>
            <w:tcBorders>
              <w:top w:val="dotted" w:sz="4" w:space="0" w:color="auto"/>
            </w:tcBorders>
            <w:noWrap/>
            <w:vAlign w:val="center"/>
            <w:hideMark/>
          </w:tcPr>
          <w:p w14:paraId="747E53A6"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7,016</w:t>
            </w:r>
          </w:p>
        </w:tc>
        <w:tc>
          <w:tcPr>
            <w:tcW w:w="1134" w:type="dxa"/>
            <w:tcBorders>
              <w:top w:val="dotted" w:sz="4" w:space="0" w:color="auto"/>
            </w:tcBorders>
            <w:noWrap/>
            <w:vAlign w:val="center"/>
            <w:hideMark/>
          </w:tcPr>
          <w:p w14:paraId="2D5C06AF"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12,216</w:t>
            </w:r>
          </w:p>
        </w:tc>
      </w:tr>
      <w:bookmarkEnd w:id="19"/>
    </w:tbl>
    <w:p w14:paraId="4B98DF25" w14:textId="77777777" w:rsidR="005F0652" w:rsidRPr="005F0652" w:rsidRDefault="005F0652" w:rsidP="005F0652">
      <w:pPr>
        <w:jc w:val="both"/>
        <w:rPr>
          <w:rFonts w:ascii="Arial" w:eastAsiaTheme="minorEastAsia" w:hAnsi="Arial" w:cs="Arial"/>
          <w:lang w:val="en-GB"/>
        </w:rPr>
      </w:pPr>
    </w:p>
    <w:p w14:paraId="42B57EE9" w14:textId="77777777" w:rsidR="005F0652" w:rsidRPr="005F0652" w:rsidRDefault="005F0652" w:rsidP="005F0652">
      <w:pPr>
        <w:jc w:val="both"/>
        <w:rPr>
          <w:rFonts w:ascii="Arial" w:eastAsiaTheme="minorEastAsia" w:hAnsi="Arial" w:cs="Arial"/>
          <w:sz w:val="17"/>
          <w:szCs w:val="17"/>
          <w:lang w:val="en-GB"/>
        </w:rPr>
      </w:pPr>
      <w:r w:rsidRPr="005F0652">
        <w:rPr>
          <w:rFonts w:ascii="Arial" w:eastAsiaTheme="minorEastAsia" w:hAnsi="Arial" w:cs="Arial"/>
          <w:sz w:val="17"/>
          <w:szCs w:val="17"/>
          <w:lang w:val="en-GB"/>
        </w:rPr>
        <w:t>Note: All figures are for the financial year April 1 to March 31; ₹ = INR = Indian rupees.</w:t>
      </w:r>
    </w:p>
    <w:p w14:paraId="47D27CC6" w14:textId="77777777" w:rsidR="005F0652" w:rsidRPr="005F0652" w:rsidRDefault="005F0652" w:rsidP="005F0652">
      <w:pPr>
        <w:jc w:val="both"/>
        <w:rPr>
          <w:rFonts w:ascii="Arial" w:eastAsiaTheme="minorEastAsia" w:hAnsi="Arial" w:cs="Arial"/>
          <w:i/>
          <w:sz w:val="17"/>
          <w:szCs w:val="17"/>
          <w:lang w:val="en-GB"/>
        </w:rPr>
      </w:pPr>
      <w:r w:rsidRPr="005F0652">
        <w:rPr>
          <w:rFonts w:ascii="Arial" w:eastAsiaTheme="minorEastAsia" w:hAnsi="Arial" w:cs="Arial"/>
          <w:sz w:val="17"/>
          <w:szCs w:val="17"/>
          <w:lang w:val="en-GB"/>
        </w:rPr>
        <w:t>Source: Database on Indian Economy, Reserve Bank of India, accessed January 14, 2017, https://dbie.rbi.org.in/DBIE/dbie.rbi?site=publications.</w:t>
      </w:r>
    </w:p>
    <w:p w14:paraId="2B022907" w14:textId="66389FA6" w:rsidR="005F0652" w:rsidRDefault="005F0652" w:rsidP="005F0652">
      <w:pPr>
        <w:pStyle w:val="BodyTextMain"/>
      </w:pPr>
    </w:p>
    <w:p w14:paraId="1E14039B" w14:textId="77777777" w:rsidR="005F0652" w:rsidRDefault="005F0652" w:rsidP="005F0652">
      <w:pPr>
        <w:pStyle w:val="BodyTextMain"/>
      </w:pPr>
    </w:p>
    <w:p w14:paraId="2777970D" w14:textId="77777777" w:rsidR="005F0652" w:rsidRDefault="005F0652" w:rsidP="005F0652">
      <w:pPr>
        <w:pStyle w:val="BodyTextMain"/>
      </w:pPr>
    </w:p>
    <w:p w14:paraId="4FFFAFE3" w14:textId="77777777" w:rsidR="005F0652" w:rsidRDefault="005F0652" w:rsidP="005F0652">
      <w:pPr>
        <w:pStyle w:val="BodyTextMain"/>
      </w:pPr>
    </w:p>
    <w:p w14:paraId="54D4FB09" w14:textId="77777777" w:rsidR="005F0652" w:rsidRDefault="005F0652">
      <w:pPr>
        <w:spacing w:after="200" w:line="276" w:lineRule="auto"/>
      </w:pPr>
      <w:r>
        <w:br w:type="page"/>
      </w:r>
    </w:p>
    <w:p w14:paraId="2D2C2ACB" w14:textId="77777777" w:rsidR="005F0652" w:rsidRDefault="005F0652">
      <w:pPr>
        <w:spacing w:after="200" w:line="276" w:lineRule="auto"/>
        <w:sectPr w:rsidR="005F0652" w:rsidSect="005F0652">
          <w:headerReference w:type="default" r:id="rId11"/>
          <w:endnotePr>
            <w:numFmt w:val="decimal"/>
          </w:endnotePr>
          <w:pgSz w:w="15840" w:h="12240" w:orient="landscape" w:code="1"/>
          <w:pgMar w:top="1440" w:right="1440" w:bottom="1440" w:left="1440" w:header="1080" w:footer="720" w:gutter="0"/>
          <w:cols w:space="720"/>
          <w:docGrid w:linePitch="360"/>
        </w:sectPr>
      </w:pPr>
    </w:p>
    <w:p w14:paraId="3FEC5698" w14:textId="77777777" w:rsidR="005F0652" w:rsidRPr="005F0652" w:rsidRDefault="005F0652" w:rsidP="005F0652">
      <w:pPr>
        <w:keepNext/>
        <w:jc w:val="center"/>
        <w:rPr>
          <w:rFonts w:ascii="Arial" w:eastAsiaTheme="minorEastAsia" w:hAnsi="Arial" w:cs="Arial"/>
          <w:b/>
          <w:caps/>
          <w:lang w:val="en-GB"/>
        </w:rPr>
      </w:pPr>
      <w:r w:rsidRPr="005F0652">
        <w:rPr>
          <w:rFonts w:ascii="Arial" w:eastAsiaTheme="minorEastAsia" w:hAnsi="Arial" w:cs="Arial"/>
          <w:b/>
          <w:caps/>
          <w:lang w:val="en-GB"/>
        </w:rPr>
        <w:lastRenderedPageBreak/>
        <w:t>EXHIBIT 10: ANNUAL PERCENTAGE CHANGE IN KEY ECONOMIC INDICATORS</w:t>
      </w:r>
    </w:p>
    <w:p w14:paraId="68C2E8DF" w14:textId="77777777" w:rsidR="005F0652" w:rsidRPr="005F0652" w:rsidRDefault="005F0652" w:rsidP="005F0652">
      <w:pPr>
        <w:jc w:val="both"/>
        <w:rPr>
          <w:rFonts w:ascii="Arial" w:eastAsiaTheme="minorEastAsia" w:hAnsi="Arial" w:cs="Arial"/>
          <w:lang w:val="en-GB"/>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5"/>
        <w:gridCol w:w="720"/>
        <w:gridCol w:w="720"/>
        <w:gridCol w:w="720"/>
        <w:gridCol w:w="720"/>
        <w:gridCol w:w="720"/>
        <w:gridCol w:w="720"/>
        <w:gridCol w:w="720"/>
        <w:gridCol w:w="720"/>
        <w:gridCol w:w="815"/>
      </w:tblGrid>
      <w:tr w:rsidR="005F0652" w:rsidRPr="005F0652" w14:paraId="609E6DDC" w14:textId="77777777" w:rsidTr="00940815">
        <w:trPr>
          <w:trHeight w:val="60"/>
          <w:jc w:val="center"/>
        </w:trPr>
        <w:tc>
          <w:tcPr>
            <w:tcW w:w="2785" w:type="dxa"/>
            <w:noWrap/>
            <w:vAlign w:val="center"/>
            <w:hideMark/>
          </w:tcPr>
          <w:p w14:paraId="186CA32F" w14:textId="77777777" w:rsidR="005F0652" w:rsidRPr="005F0652" w:rsidRDefault="005F0652" w:rsidP="005F0652">
            <w:pPr>
              <w:jc w:val="center"/>
              <w:rPr>
                <w:rFonts w:ascii="Arial" w:eastAsiaTheme="minorEastAsia" w:hAnsi="Arial" w:cs="Arial"/>
                <w:b/>
                <w:sz w:val="18"/>
                <w:szCs w:val="18"/>
                <w:lang w:val="en-GB" w:bidi="hi-IN"/>
              </w:rPr>
            </w:pPr>
            <w:r w:rsidRPr="005F0652">
              <w:rPr>
                <w:rFonts w:ascii="Arial" w:eastAsiaTheme="minorEastAsia" w:hAnsi="Arial" w:cs="Arial"/>
                <w:b/>
                <w:sz w:val="18"/>
                <w:szCs w:val="18"/>
                <w:lang w:val="en-GB" w:bidi="hi-IN"/>
              </w:rPr>
              <w:t>Indicator</w:t>
            </w:r>
          </w:p>
        </w:tc>
        <w:tc>
          <w:tcPr>
            <w:tcW w:w="720" w:type="dxa"/>
            <w:noWrap/>
            <w:vAlign w:val="center"/>
            <w:hideMark/>
          </w:tcPr>
          <w:p w14:paraId="1ABCF255"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2008</w:t>
            </w:r>
          </w:p>
        </w:tc>
        <w:tc>
          <w:tcPr>
            <w:tcW w:w="720" w:type="dxa"/>
            <w:noWrap/>
            <w:vAlign w:val="center"/>
            <w:hideMark/>
          </w:tcPr>
          <w:p w14:paraId="5DA95974"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2009</w:t>
            </w:r>
          </w:p>
        </w:tc>
        <w:tc>
          <w:tcPr>
            <w:tcW w:w="720" w:type="dxa"/>
            <w:noWrap/>
            <w:vAlign w:val="center"/>
            <w:hideMark/>
          </w:tcPr>
          <w:p w14:paraId="44D9A848"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2010</w:t>
            </w:r>
          </w:p>
        </w:tc>
        <w:tc>
          <w:tcPr>
            <w:tcW w:w="720" w:type="dxa"/>
            <w:noWrap/>
            <w:vAlign w:val="center"/>
            <w:hideMark/>
          </w:tcPr>
          <w:p w14:paraId="6D19B6A2"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2011</w:t>
            </w:r>
          </w:p>
        </w:tc>
        <w:tc>
          <w:tcPr>
            <w:tcW w:w="720" w:type="dxa"/>
            <w:noWrap/>
            <w:vAlign w:val="center"/>
            <w:hideMark/>
          </w:tcPr>
          <w:p w14:paraId="0E8054F3"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2012</w:t>
            </w:r>
          </w:p>
        </w:tc>
        <w:tc>
          <w:tcPr>
            <w:tcW w:w="720" w:type="dxa"/>
            <w:noWrap/>
            <w:vAlign w:val="center"/>
            <w:hideMark/>
          </w:tcPr>
          <w:p w14:paraId="6C47978F"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2013</w:t>
            </w:r>
          </w:p>
        </w:tc>
        <w:tc>
          <w:tcPr>
            <w:tcW w:w="720" w:type="dxa"/>
            <w:vAlign w:val="center"/>
          </w:tcPr>
          <w:p w14:paraId="118E4C60"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2014</w:t>
            </w:r>
          </w:p>
        </w:tc>
        <w:tc>
          <w:tcPr>
            <w:tcW w:w="720" w:type="dxa"/>
            <w:vAlign w:val="center"/>
          </w:tcPr>
          <w:p w14:paraId="1B14C96E"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2015</w:t>
            </w:r>
          </w:p>
        </w:tc>
        <w:tc>
          <w:tcPr>
            <w:tcW w:w="815" w:type="dxa"/>
            <w:vAlign w:val="center"/>
          </w:tcPr>
          <w:p w14:paraId="0780508A"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2016</w:t>
            </w:r>
          </w:p>
        </w:tc>
      </w:tr>
      <w:tr w:rsidR="005F0652" w:rsidRPr="005F0652" w14:paraId="1FD675E4" w14:textId="77777777" w:rsidTr="00940815">
        <w:trPr>
          <w:trHeight w:val="60"/>
          <w:jc w:val="center"/>
        </w:trPr>
        <w:tc>
          <w:tcPr>
            <w:tcW w:w="2785" w:type="dxa"/>
            <w:noWrap/>
            <w:vAlign w:val="center"/>
            <w:hideMark/>
          </w:tcPr>
          <w:p w14:paraId="38E985D0" w14:textId="77777777" w:rsidR="005F0652" w:rsidRPr="005F0652" w:rsidRDefault="005F0652" w:rsidP="005F0652">
            <w:pPr>
              <w:rPr>
                <w:rFonts w:ascii="Arial" w:eastAsiaTheme="minorEastAsia" w:hAnsi="Arial" w:cs="Arial"/>
                <w:sz w:val="18"/>
                <w:szCs w:val="18"/>
                <w:lang w:val="en-GB" w:bidi="hi-IN"/>
              </w:rPr>
            </w:pPr>
            <w:r w:rsidRPr="005F0652">
              <w:rPr>
                <w:rFonts w:ascii="Arial" w:eastAsiaTheme="minorEastAsia" w:hAnsi="Arial" w:cs="Arial"/>
                <w:sz w:val="18"/>
                <w:szCs w:val="18"/>
                <w:lang w:val="en-GB" w:bidi="hi-IN"/>
              </w:rPr>
              <w:t>Real GDP growth</w:t>
            </w:r>
          </w:p>
        </w:tc>
        <w:tc>
          <w:tcPr>
            <w:tcW w:w="720" w:type="dxa"/>
            <w:noWrap/>
            <w:vAlign w:val="center"/>
            <w:hideMark/>
          </w:tcPr>
          <w:p w14:paraId="71BF3DD3"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9.32</w:t>
            </w:r>
          </w:p>
        </w:tc>
        <w:tc>
          <w:tcPr>
            <w:tcW w:w="720" w:type="dxa"/>
            <w:noWrap/>
            <w:vAlign w:val="center"/>
            <w:hideMark/>
          </w:tcPr>
          <w:p w14:paraId="50B3A982"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6.72</w:t>
            </w:r>
          </w:p>
        </w:tc>
        <w:tc>
          <w:tcPr>
            <w:tcW w:w="720" w:type="dxa"/>
            <w:noWrap/>
            <w:vAlign w:val="center"/>
            <w:hideMark/>
          </w:tcPr>
          <w:p w14:paraId="177AC2C3"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8.59</w:t>
            </w:r>
          </w:p>
        </w:tc>
        <w:tc>
          <w:tcPr>
            <w:tcW w:w="720" w:type="dxa"/>
            <w:noWrap/>
            <w:vAlign w:val="center"/>
            <w:hideMark/>
          </w:tcPr>
          <w:p w14:paraId="5B8E60D8"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9.32</w:t>
            </w:r>
          </w:p>
        </w:tc>
        <w:tc>
          <w:tcPr>
            <w:tcW w:w="720" w:type="dxa"/>
            <w:noWrap/>
            <w:vAlign w:val="center"/>
            <w:hideMark/>
          </w:tcPr>
          <w:p w14:paraId="00262C8B"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6.21</w:t>
            </w:r>
          </w:p>
        </w:tc>
        <w:tc>
          <w:tcPr>
            <w:tcW w:w="720" w:type="dxa"/>
            <w:noWrap/>
            <w:vAlign w:val="center"/>
            <w:hideMark/>
          </w:tcPr>
          <w:p w14:paraId="53877D74"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5.60</w:t>
            </w:r>
          </w:p>
        </w:tc>
        <w:tc>
          <w:tcPr>
            <w:tcW w:w="720" w:type="dxa"/>
            <w:vAlign w:val="center"/>
          </w:tcPr>
          <w:p w14:paraId="0FE4A463" w14:textId="77777777" w:rsidR="005F0652" w:rsidRPr="005F0652" w:rsidRDefault="005F0652" w:rsidP="005F0652">
            <w:pPr>
              <w:jc w:val="right"/>
              <w:rPr>
                <w:rFonts w:ascii="Arial" w:eastAsiaTheme="minorEastAsia" w:hAnsi="Arial" w:cs="Arial"/>
                <w:sz w:val="18"/>
                <w:szCs w:val="18"/>
                <w:lang w:val="en-GB"/>
              </w:rPr>
            </w:pPr>
            <w:r w:rsidRPr="005F0652">
              <w:rPr>
                <w:rFonts w:ascii="Arial" w:hAnsi="Arial" w:cs="Arial"/>
                <w:sz w:val="18"/>
                <w:szCs w:val="18"/>
                <w:lang w:val="en-GB" w:eastAsia="en-IN"/>
              </w:rPr>
              <w:t>6.60</w:t>
            </w:r>
          </w:p>
        </w:tc>
        <w:tc>
          <w:tcPr>
            <w:tcW w:w="720" w:type="dxa"/>
            <w:vAlign w:val="center"/>
          </w:tcPr>
          <w:p w14:paraId="51831247" w14:textId="77777777" w:rsidR="005F0652" w:rsidRPr="005F0652" w:rsidRDefault="005F0652" w:rsidP="005F0652">
            <w:pPr>
              <w:jc w:val="right"/>
              <w:rPr>
                <w:rFonts w:ascii="Arial" w:eastAsiaTheme="minorEastAsia" w:hAnsi="Arial" w:cs="Arial"/>
                <w:sz w:val="18"/>
                <w:szCs w:val="18"/>
                <w:lang w:val="en-GB"/>
              </w:rPr>
            </w:pPr>
            <w:r w:rsidRPr="005F0652">
              <w:rPr>
                <w:rFonts w:ascii="Arial" w:hAnsi="Arial" w:cs="Arial"/>
                <w:sz w:val="18"/>
                <w:szCs w:val="18"/>
                <w:lang w:val="en-GB" w:eastAsia="en-IN"/>
              </w:rPr>
              <w:t>7.20</w:t>
            </w:r>
          </w:p>
        </w:tc>
        <w:tc>
          <w:tcPr>
            <w:tcW w:w="815" w:type="dxa"/>
            <w:vAlign w:val="center"/>
          </w:tcPr>
          <w:p w14:paraId="2C60FCFE" w14:textId="77777777" w:rsidR="005F0652" w:rsidRPr="005F0652" w:rsidRDefault="005F0652" w:rsidP="005F0652">
            <w:pPr>
              <w:jc w:val="right"/>
              <w:rPr>
                <w:rFonts w:ascii="Arial" w:eastAsiaTheme="minorEastAsia" w:hAnsi="Arial" w:cs="Arial"/>
                <w:sz w:val="18"/>
                <w:szCs w:val="18"/>
                <w:lang w:val="en-GB"/>
              </w:rPr>
            </w:pPr>
            <w:r w:rsidRPr="005F0652">
              <w:rPr>
                <w:rFonts w:ascii="Arial" w:hAnsi="Arial" w:cs="Arial"/>
                <w:sz w:val="18"/>
                <w:szCs w:val="18"/>
                <w:lang w:val="en-GB" w:eastAsia="en-IN"/>
              </w:rPr>
              <w:t>7.60</w:t>
            </w:r>
          </w:p>
        </w:tc>
      </w:tr>
      <w:tr w:rsidR="005F0652" w:rsidRPr="005F0652" w14:paraId="1A86D9BE" w14:textId="77777777" w:rsidTr="00940815">
        <w:trPr>
          <w:trHeight w:val="60"/>
          <w:jc w:val="center"/>
        </w:trPr>
        <w:tc>
          <w:tcPr>
            <w:tcW w:w="2785" w:type="dxa"/>
            <w:noWrap/>
            <w:vAlign w:val="center"/>
          </w:tcPr>
          <w:p w14:paraId="01756899" w14:textId="77777777" w:rsidR="005F0652" w:rsidRPr="005F0652" w:rsidRDefault="005F0652" w:rsidP="005F0652">
            <w:pPr>
              <w:rPr>
                <w:rFonts w:ascii="Arial" w:eastAsiaTheme="minorEastAsia" w:hAnsi="Arial" w:cs="Arial"/>
                <w:sz w:val="18"/>
                <w:szCs w:val="18"/>
                <w:lang w:val="en-GB" w:bidi="hi-IN"/>
              </w:rPr>
            </w:pPr>
            <w:r w:rsidRPr="005F0652">
              <w:rPr>
                <w:rFonts w:ascii="Arial" w:eastAsiaTheme="minorEastAsia" w:hAnsi="Arial" w:cs="Arial"/>
                <w:sz w:val="18"/>
                <w:szCs w:val="18"/>
                <w:lang w:val="en-GB" w:bidi="hi-IN"/>
              </w:rPr>
              <w:t>Growth rate of agriculture &amp; allied sectors</w:t>
            </w:r>
          </w:p>
        </w:tc>
        <w:tc>
          <w:tcPr>
            <w:tcW w:w="720" w:type="dxa"/>
            <w:noWrap/>
            <w:vAlign w:val="center"/>
          </w:tcPr>
          <w:p w14:paraId="103A74FA"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5.80</w:t>
            </w:r>
          </w:p>
        </w:tc>
        <w:tc>
          <w:tcPr>
            <w:tcW w:w="720" w:type="dxa"/>
            <w:noWrap/>
            <w:vAlign w:val="center"/>
          </w:tcPr>
          <w:p w14:paraId="2DA64190"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0.09</w:t>
            </w:r>
          </w:p>
        </w:tc>
        <w:tc>
          <w:tcPr>
            <w:tcW w:w="720" w:type="dxa"/>
            <w:noWrap/>
            <w:vAlign w:val="center"/>
          </w:tcPr>
          <w:p w14:paraId="5E2DECC4"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0.81</w:t>
            </w:r>
          </w:p>
        </w:tc>
        <w:tc>
          <w:tcPr>
            <w:tcW w:w="720" w:type="dxa"/>
            <w:noWrap/>
            <w:vAlign w:val="center"/>
          </w:tcPr>
          <w:p w14:paraId="22E10D49"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7.94</w:t>
            </w:r>
          </w:p>
        </w:tc>
        <w:tc>
          <w:tcPr>
            <w:tcW w:w="720" w:type="dxa"/>
            <w:noWrap/>
            <w:vAlign w:val="center"/>
          </w:tcPr>
          <w:p w14:paraId="2EC75EDF"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3.65</w:t>
            </w:r>
          </w:p>
        </w:tc>
        <w:tc>
          <w:tcPr>
            <w:tcW w:w="720" w:type="dxa"/>
            <w:noWrap/>
            <w:vAlign w:val="center"/>
          </w:tcPr>
          <w:p w14:paraId="318F5114"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1.50</w:t>
            </w:r>
          </w:p>
        </w:tc>
        <w:tc>
          <w:tcPr>
            <w:tcW w:w="720" w:type="dxa"/>
            <w:vAlign w:val="center"/>
          </w:tcPr>
          <w:p w14:paraId="62262B5A"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4.20</w:t>
            </w:r>
          </w:p>
        </w:tc>
        <w:tc>
          <w:tcPr>
            <w:tcW w:w="720" w:type="dxa"/>
            <w:vAlign w:val="center"/>
          </w:tcPr>
          <w:p w14:paraId="6D5A19A6"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−0.20</w:t>
            </w:r>
          </w:p>
        </w:tc>
        <w:tc>
          <w:tcPr>
            <w:tcW w:w="815" w:type="dxa"/>
            <w:vAlign w:val="center"/>
          </w:tcPr>
          <w:p w14:paraId="3496DC1B"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1.10</w:t>
            </w:r>
          </w:p>
        </w:tc>
      </w:tr>
      <w:tr w:rsidR="005F0652" w:rsidRPr="005F0652" w14:paraId="0051609D" w14:textId="77777777" w:rsidTr="00940815">
        <w:trPr>
          <w:trHeight w:val="60"/>
          <w:jc w:val="center"/>
        </w:trPr>
        <w:tc>
          <w:tcPr>
            <w:tcW w:w="2785" w:type="dxa"/>
            <w:noWrap/>
            <w:vAlign w:val="center"/>
          </w:tcPr>
          <w:p w14:paraId="425C1102" w14:textId="77777777" w:rsidR="005F0652" w:rsidRPr="005F0652" w:rsidRDefault="005F0652" w:rsidP="005F0652">
            <w:pPr>
              <w:rPr>
                <w:rFonts w:ascii="Arial" w:eastAsiaTheme="minorEastAsia" w:hAnsi="Arial" w:cs="Arial"/>
                <w:sz w:val="18"/>
                <w:szCs w:val="18"/>
                <w:lang w:val="en-GB" w:bidi="hi-IN"/>
              </w:rPr>
            </w:pPr>
            <w:r w:rsidRPr="005F0652">
              <w:rPr>
                <w:rFonts w:ascii="Arial" w:eastAsiaTheme="minorEastAsia" w:hAnsi="Arial" w:cs="Arial"/>
                <w:sz w:val="18"/>
                <w:szCs w:val="18"/>
                <w:lang w:val="en-GB" w:bidi="hi-IN"/>
              </w:rPr>
              <w:t>Growth rate of industry</w:t>
            </w:r>
          </w:p>
        </w:tc>
        <w:tc>
          <w:tcPr>
            <w:tcW w:w="720" w:type="dxa"/>
            <w:noWrap/>
            <w:vAlign w:val="center"/>
          </w:tcPr>
          <w:p w14:paraId="61056266"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9.67</w:t>
            </w:r>
          </w:p>
        </w:tc>
        <w:tc>
          <w:tcPr>
            <w:tcW w:w="720" w:type="dxa"/>
            <w:noWrap/>
            <w:vAlign w:val="center"/>
          </w:tcPr>
          <w:p w14:paraId="269CD9BE"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4.44</w:t>
            </w:r>
          </w:p>
        </w:tc>
        <w:tc>
          <w:tcPr>
            <w:tcW w:w="720" w:type="dxa"/>
            <w:noWrap/>
            <w:vAlign w:val="center"/>
          </w:tcPr>
          <w:p w14:paraId="6A5A1D12"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9.16</w:t>
            </w:r>
          </w:p>
        </w:tc>
        <w:tc>
          <w:tcPr>
            <w:tcW w:w="720" w:type="dxa"/>
            <w:noWrap/>
            <w:vAlign w:val="center"/>
          </w:tcPr>
          <w:p w14:paraId="1E1A2D95"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9.16</w:t>
            </w:r>
          </w:p>
        </w:tc>
        <w:tc>
          <w:tcPr>
            <w:tcW w:w="720" w:type="dxa"/>
            <w:noWrap/>
            <w:vAlign w:val="center"/>
          </w:tcPr>
          <w:p w14:paraId="6D537223"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3.49</w:t>
            </w:r>
          </w:p>
        </w:tc>
        <w:tc>
          <w:tcPr>
            <w:tcW w:w="720" w:type="dxa"/>
            <w:noWrap/>
            <w:vAlign w:val="center"/>
          </w:tcPr>
          <w:p w14:paraId="354E8DB8"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3.60</w:t>
            </w:r>
          </w:p>
        </w:tc>
        <w:tc>
          <w:tcPr>
            <w:tcW w:w="720" w:type="dxa"/>
            <w:vAlign w:val="center"/>
          </w:tcPr>
          <w:p w14:paraId="219F9FFE"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5.00</w:t>
            </w:r>
          </w:p>
        </w:tc>
        <w:tc>
          <w:tcPr>
            <w:tcW w:w="720" w:type="dxa"/>
            <w:vAlign w:val="center"/>
          </w:tcPr>
          <w:p w14:paraId="03C98614"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5.90</w:t>
            </w:r>
          </w:p>
        </w:tc>
        <w:tc>
          <w:tcPr>
            <w:tcW w:w="815" w:type="dxa"/>
            <w:vAlign w:val="center"/>
          </w:tcPr>
          <w:p w14:paraId="65296695"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7.40</w:t>
            </w:r>
          </w:p>
        </w:tc>
      </w:tr>
      <w:tr w:rsidR="005F0652" w:rsidRPr="005F0652" w14:paraId="60F00051" w14:textId="77777777" w:rsidTr="00940815">
        <w:trPr>
          <w:trHeight w:val="60"/>
          <w:jc w:val="center"/>
        </w:trPr>
        <w:tc>
          <w:tcPr>
            <w:tcW w:w="2785" w:type="dxa"/>
            <w:noWrap/>
            <w:vAlign w:val="center"/>
          </w:tcPr>
          <w:p w14:paraId="4CF40B86" w14:textId="77777777" w:rsidR="005F0652" w:rsidRPr="005F0652" w:rsidRDefault="005F0652" w:rsidP="005F0652">
            <w:pPr>
              <w:rPr>
                <w:rFonts w:ascii="Arial" w:eastAsiaTheme="minorEastAsia" w:hAnsi="Arial" w:cs="Arial"/>
                <w:sz w:val="18"/>
                <w:szCs w:val="18"/>
                <w:lang w:val="en-GB" w:bidi="hi-IN"/>
              </w:rPr>
            </w:pPr>
            <w:r w:rsidRPr="005F0652">
              <w:rPr>
                <w:rFonts w:ascii="Arial" w:eastAsiaTheme="minorEastAsia" w:hAnsi="Arial" w:cs="Arial"/>
                <w:sz w:val="18"/>
                <w:szCs w:val="18"/>
                <w:lang w:val="en-GB" w:bidi="hi-IN"/>
              </w:rPr>
              <w:t>Growth rate of services</w:t>
            </w:r>
          </w:p>
        </w:tc>
        <w:tc>
          <w:tcPr>
            <w:tcW w:w="720" w:type="dxa"/>
            <w:noWrap/>
            <w:vAlign w:val="center"/>
          </w:tcPr>
          <w:p w14:paraId="496AFF21"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10.27</w:t>
            </w:r>
          </w:p>
        </w:tc>
        <w:tc>
          <w:tcPr>
            <w:tcW w:w="720" w:type="dxa"/>
            <w:noWrap/>
            <w:vAlign w:val="center"/>
          </w:tcPr>
          <w:p w14:paraId="28CA68FC"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9.98</w:t>
            </w:r>
          </w:p>
        </w:tc>
        <w:tc>
          <w:tcPr>
            <w:tcW w:w="720" w:type="dxa"/>
            <w:noWrap/>
            <w:vAlign w:val="center"/>
          </w:tcPr>
          <w:p w14:paraId="782A56C6"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10.50</w:t>
            </w:r>
          </w:p>
        </w:tc>
        <w:tc>
          <w:tcPr>
            <w:tcW w:w="720" w:type="dxa"/>
            <w:noWrap/>
            <w:vAlign w:val="center"/>
          </w:tcPr>
          <w:p w14:paraId="0B4FD1DC"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9.75</w:t>
            </w:r>
          </w:p>
        </w:tc>
        <w:tc>
          <w:tcPr>
            <w:tcW w:w="720" w:type="dxa"/>
            <w:noWrap/>
            <w:vAlign w:val="center"/>
          </w:tcPr>
          <w:p w14:paraId="10329601"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8.20</w:t>
            </w:r>
          </w:p>
        </w:tc>
        <w:tc>
          <w:tcPr>
            <w:tcW w:w="720" w:type="dxa"/>
            <w:noWrap/>
            <w:vAlign w:val="center"/>
          </w:tcPr>
          <w:p w14:paraId="7FB156DD"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8.10</w:t>
            </w:r>
          </w:p>
        </w:tc>
        <w:tc>
          <w:tcPr>
            <w:tcW w:w="720" w:type="dxa"/>
            <w:vAlign w:val="center"/>
          </w:tcPr>
          <w:p w14:paraId="515E4675"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7.80</w:t>
            </w:r>
          </w:p>
        </w:tc>
        <w:tc>
          <w:tcPr>
            <w:tcW w:w="720" w:type="dxa"/>
            <w:vAlign w:val="center"/>
          </w:tcPr>
          <w:p w14:paraId="28C1DF2E"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10.30</w:t>
            </w:r>
          </w:p>
        </w:tc>
        <w:tc>
          <w:tcPr>
            <w:tcW w:w="815" w:type="dxa"/>
            <w:vAlign w:val="center"/>
          </w:tcPr>
          <w:p w14:paraId="309BB809"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8.90</w:t>
            </w:r>
          </w:p>
        </w:tc>
      </w:tr>
      <w:tr w:rsidR="005F0652" w:rsidRPr="005F0652" w14:paraId="612937D6" w14:textId="77777777" w:rsidTr="00940815">
        <w:trPr>
          <w:trHeight w:val="60"/>
          <w:jc w:val="center"/>
        </w:trPr>
        <w:tc>
          <w:tcPr>
            <w:tcW w:w="2785" w:type="dxa"/>
            <w:noWrap/>
            <w:vAlign w:val="center"/>
            <w:hideMark/>
          </w:tcPr>
          <w:p w14:paraId="72491577" w14:textId="77777777" w:rsidR="005F0652" w:rsidRPr="005F0652" w:rsidRDefault="005F0652" w:rsidP="005F0652">
            <w:pPr>
              <w:rPr>
                <w:rFonts w:ascii="Arial" w:eastAsiaTheme="minorEastAsia" w:hAnsi="Arial" w:cs="Arial"/>
                <w:sz w:val="18"/>
                <w:szCs w:val="18"/>
                <w:lang w:val="en-GB" w:bidi="hi-IN"/>
              </w:rPr>
            </w:pPr>
            <w:r w:rsidRPr="005F0652">
              <w:rPr>
                <w:rFonts w:ascii="Arial" w:eastAsiaTheme="minorEastAsia" w:hAnsi="Arial" w:cs="Arial"/>
                <w:sz w:val="18"/>
                <w:szCs w:val="18"/>
                <w:lang w:val="en-GB" w:bidi="hi-IN"/>
              </w:rPr>
              <w:t>Inflation (CPI based)</w:t>
            </w:r>
          </w:p>
        </w:tc>
        <w:tc>
          <w:tcPr>
            <w:tcW w:w="720" w:type="dxa"/>
            <w:noWrap/>
            <w:vAlign w:val="center"/>
            <w:hideMark/>
          </w:tcPr>
          <w:p w14:paraId="78C96199"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6.20</w:t>
            </w:r>
          </w:p>
        </w:tc>
        <w:tc>
          <w:tcPr>
            <w:tcW w:w="720" w:type="dxa"/>
            <w:noWrap/>
            <w:vAlign w:val="center"/>
            <w:hideMark/>
          </w:tcPr>
          <w:p w14:paraId="60B23606"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9.10</w:t>
            </w:r>
          </w:p>
        </w:tc>
        <w:tc>
          <w:tcPr>
            <w:tcW w:w="720" w:type="dxa"/>
            <w:noWrap/>
            <w:vAlign w:val="center"/>
            <w:hideMark/>
          </w:tcPr>
          <w:p w14:paraId="2FCF5F5E"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12.40</w:t>
            </w:r>
          </w:p>
        </w:tc>
        <w:tc>
          <w:tcPr>
            <w:tcW w:w="720" w:type="dxa"/>
            <w:noWrap/>
            <w:vAlign w:val="center"/>
            <w:hideMark/>
          </w:tcPr>
          <w:p w14:paraId="418A7529"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10.40</w:t>
            </w:r>
          </w:p>
        </w:tc>
        <w:tc>
          <w:tcPr>
            <w:tcW w:w="720" w:type="dxa"/>
            <w:noWrap/>
            <w:vAlign w:val="center"/>
            <w:hideMark/>
          </w:tcPr>
          <w:p w14:paraId="77BD81D4"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8.40</w:t>
            </w:r>
          </w:p>
        </w:tc>
        <w:tc>
          <w:tcPr>
            <w:tcW w:w="720" w:type="dxa"/>
            <w:noWrap/>
            <w:vAlign w:val="center"/>
            <w:hideMark/>
          </w:tcPr>
          <w:p w14:paraId="3C2A9D59"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10.20</w:t>
            </w:r>
          </w:p>
        </w:tc>
        <w:tc>
          <w:tcPr>
            <w:tcW w:w="720" w:type="dxa"/>
            <w:vAlign w:val="center"/>
          </w:tcPr>
          <w:p w14:paraId="49E33892" w14:textId="77777777" w:rsidR="005F0652" w:rsidRPr="005F0652" w:rsidRDefault="005F0652" w:rsidP="005F0652">
            <w:pPr>
              <w:jc w:val="right"/>
              <w:rPr>
                <w:rFonts w:ascii="Arial" w:eastAsiaTheme="minorEastAsia" w:hAnsi="Arial" w:cs="Arial"/>
                <w:sz w:val="18"/>
                <w:szCs w:val="18"/>
                <w:lang w:val="en-GB"/>
              </w:rPr>
            </w:pPr>
            <w:r w:rsidRPr="005F0652">
              <w:rPr>
                <w:rFonts w:ascii="Arial" w:hAnsi="Arial" w:cs="Arial"/>
                <w:sz w:val="18"/>
                <w:szCs w:val="18"/>
                <w:lang w:val="en-GB" w:eastAsia="en-IN"/>
              </w:rPr>
              <w:t>9.50</w:t>
            </w:r>
          </w:p>
        </w:tc>
        <w:tc>
          <w:tcPr>
            <w:tcW w:w="720" w:type="dxa"/>
            <w:vAlign w:val="center"/>
          </w:tcPr>
          <w:p w14:paraId="2CFE1FB1" w14:textId="77777777" w:rsidR="005F0652" w:rsidRPr="005F0652" w:rsidRDefault="005F0652" w:rsidP="005F0652">
            <w:pPr>
              <w:jc w:val="right"/>
              <w:rPr>
                <w:rFonts w:ascii="Arial" w:eastAsiaTheme="minorEastAsia" w:hAnsi="Arial" w:cs="Arial"/>
                <w:sz w:val="18"/>
                <w:szCs w:val="18"/>
                <w:lang w:val="en-GB"/>
              </w:rPr>
            </w:pPr>
            <w:r w:rsidRPr="005F0652">
              <w:rPr>
                <w:rFonts w:ascii="Arial" w:hAnsi="Arial" w:cs="Arial"/>
                <w:sz w:val="18"/>
                <w:szCs w:val="18"/>
                <w:lang w:val="en-GB" w:eastAsia="en-IN"/>
              </w:rPr>
              <w:t>5.90</w:t>
            </w:r>
          </w:p>
        </w:tc>
        <w:tc>
          <w:tcPr>
            <w:tcW w:w="815" w:type="dxa"/>
            <w:vAlign w:val="center"/>
          </w:tcPr>
          <w:p w14:paraId="2C129D4C" w14:textId="77777777" w:rsidR="005F0652" w:rsidRPr="005F0652" w:rsidRDefault="005F0652" w:rsidP="005F0652">
            <w:pPr>
              <w:jc w:val="right"/>
              <w:rPr>
                <w:rFonts w:ascii="Arial" w:eastAsiaTheme="minorEastAsia" w:hAnsi="Arial" w:cs="Arial"/>
                <w:sz w:val="18"/>
                <w:szCs w:val="18"/>
                <w:lang w:val="en-GB"/>
              </w:rPr>
            </w:pPr>
            <w:r w:rsidRPr="005F0652">
              <w:rPr>
                <w:rFonts w:ascii="Arial" w:hAnsi="Arial" w:cs="Arial"/>
                <w:sz w:val="18"/>
                <w:szCs w:val="18"/>
                <w:lang w:val="en-GB" w:eastAsia="en-IN"/>
              </w:rPr>
              <w:t>4.90</w:t>
            </w:r>
          </w:p>
        </w:tc>
      </w:tr>
      <w:tr w:rsidR="005F0652" w:rsidRPr="005F0652" w14:paraId="1775AA1B" w14:textId="77777777" w:rsidTr="00940815">
        <w:trPr>
          <w:trHeight w:val="60"/>
          <w:jc w:val="center"/>
        </w:trPr>
        <w:tc>
          <w:tcPr>
            <w:tcW w:w="2785" w:type="dxa"/>
            <w:noWrap/>
            <w:vAlign w:val="center"/>
            <w:hideMark/>
          </w:tcPr>
          <w:p w14:paraId="054FF4AC" w14:textId="77777777" w:rsidR="005F0652" w:rsidRPr="005F0652" w:rsidRDefault="005F0652" w:rsidP="005F0652">
            <w:pPr>
              <w:rPr>
                <w:rFonts w:ascii="Arial" w:eastAsiaTheme="minorEastAsia" w:hAnsi="Arial" w:cs="Arial"/>
                <w:sz w:val="18"/>
                <w:szCs w:val="18"/>
                <w:lang w:val="en-GB" w:bidi="hi-IN"/>
              </w:rPr>
            </w:pPr>
            <w:r w:rsidRPr="005F0652">
              <w:rPr>
                <w:rFonts w:ascii="Arial" w:eastAsiaTheme="minorEastAsia" w:hAnsi="Arial" w:cs="Arial"/>
                <w:sz w:val="18"/>
                <w:szCs w:val="18"/>
                <w:lang w:val="en-GB" w:bidi="hi-IN"/>
              </w:rPr>
              <w:t>Growth of M3 (broad money)</w:t>
            </w:r>
          </w:p>
        </w:tc>
        <w:tc>
          <w:tcPr>
            <w:tcW w:w="720" w:type="dxa"/>
            <w:noWrap/>
            <w:vAlign w:val="center"/>
            <w:hideMark/>
          </w:tcPr>
          <w:p w14:paraId="676A1B7C"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21.40</w:t>
            </w:r>
          </w:p>
        </w:tc>
        <w:tc>
          <w:tcPr>
            <w:tcW w:w="720" w:type="dxa"/>
            <w:noWrap/>
            <w:vAlign w:val="center"/>
            <w:hideMark/>
          </w:tcPr>
          <w:p w14:paraId="6CAD5C4E"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19.30</w:t>
            </w:r>
          </w:p>
        </w:tc>
        <w:tc>
          <w:tcPr>
            <w:tcW w:w="720" w:type="dxa"/>
            <w:noWrap/>
            <w:vAlign w:val="center"/>
            <w:hideMark/>
          </w:tcPr>
          <w:p w14:paraId="51BB0AA1"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16.80</w:t>
            </w:r>
          </w:p>
        </w:tc>
        <w:tc>
          <w:tcPr>
            <w:tcW w:w="720" w:type="dxa"/>
            <w:noWrap/>
            <w:vAlign w:val="center"/>
            <w:hideMark/>
          </w:tcPr>
          <w:p w14:paraId="0F93AAB8"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16.00</w:t>
            </w:r>
          </w:p>
        </w:tc>
        <w:tc>
          <w:tcPr>
            <w:tcW w:w="720" w:type="dxa"/>
            <w:noWrap/>
            <w:vAlign w:val="center"/>
            <w:hideMark/>
          </w:tcPr>
          <w:p w14:paraId="2F08FB5C"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15.60</w:t>
            </w:r>
          </w:p>
        </w:tc>
        <w:tc>
          <w:tcPr>
            <w:tcW w:w="720" w:type="dxa"/>
            <w:noWrap/>
            <w:vAlign w:val="center"/>
            <w:hideMark/>
          </w:tcPr>
          <w:p w14:paraId="069FB9D7"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13.60</w:t>
            </w:r>
          </w:p>
        </w:tc>
        <w:tc>
          <w:tcPr>
            <w:tcW w:w="720" w:type="dxa"/>
            <w:vAlign w:val="center"/>
          </w:tcPr>
          <w:p w14:paraId="38A9102C" w14:textId="77777777" w:rsidR="005F0652" w:rsidRPr="005F0652" w:rsidRDefault="005F0652" w:rsidP="005F0652">
            <w:pPr>
              <w:jc w:val="right"/>
              <w:rPr>
                <w:rFonts w:ascii="Arial" w:eastAsiaTheme="minorEastAsia" w:hAnsi="Arial" w:cs="Arial"/>
                <w:sz w:val="18"/>
                <w:szCs w:val="18"/>
                <w:lang w:val="en-GB"/>
              </w:rPr>
            </w:pPr>
            <w:r w:rsidRPr="005F0652">
              <w:rPr>
                <w:rFonts w:ascii="Arial" w:hAnsi="Arial" w:cs="Arial"/>
                <w:sz w:val="18"/>
                <w:szCs w:val="18"/>
                <w:lang w:val="en-GB" w:eastAsia="en-IN"/>
              </w:rPr>
              <w:t>13.40</w:t>
            </w:r>
          </w:p>
        </w:tc>
        <w:tc>
          <w:tcPr>
            <w:tcW w:w="720" w:type="dxa"/>
            <w:vAlign w:val="center"/>
          </w:tcPr>
          <w:p w14:paraId="48DE421F" w14:textId="77777777" w:rsidR="005F0652" w:rsidRPr="005F0652" w:rsidRDefault="005F0652" w:rsidP="005F0652">
            <w:pPr>
              <w:jc w:val="right"/>
              <w:rPr>
                <w:rFonts w:ascii="Arial" w:eastAsiaTheme="minorEastAsia" w:hAnsi="Arial" w:cs="Arial"/>
                <w:sz w:val="18"/>
                <w:szCs w:val="18"/>
                <w:lang w:val="en-GB"/>
              </w:rPr>
            </w:pPr>
            <w:r w:rsidRPr="005F0652">
              <w:rPr>
                <w:rFonts w:ascii="Arial" w:hAnsi="Arial" w:cs="Arial"/>
                <w:sz w:val="18"/>
                <w:szCs w:val="18"/>
                <w:lang w:val="en-GB" w:eastAsia="en-IN"/>
              </w:rPr>
              <w:t>10.80</w:t>
            </w:r>
          </w:p>
        </w:tc>
        <w:tc>
          <w:tcPr>
            <w:tcW w:w="815" w:type="dxa"/>
            <w:vAlign w:val="center"/>
          </w:tcPr>
          <w:p w14:paraId="119B8CCF" w14:textId="77777777" w:rsidR="005F0652" w:rsidRPr="005F0652" w:rsidRDefault="005F0652" w:rsidP="005F0652">
            <w:pPr>
              <w:jc w:val="right"/>
              <w:rPr>
                <w:rFonts w:ascii="Arial" w:eastAsiaTheme="minorEastAsia" w:hAnsi="Arial" w:cs="Arial"/>
                <w:sz w:val="18"/>
                <w:szCs w:val="18"/>
                <w:lang w:val="en-GB"/>
              </w:rPr>
            </w:pPr>
            <w:r w:rsidRPr="005F0652">
              <w:rPr>
                <w:rFonts w:ascii="Arial" w:hAnsi="Arial" w:cs="Arial"/>
                <w:sz w:val="18"/>
                <w:szCs w:val="18"/>
                <w:lang w:val="en-GB" w:eastAsia="en-IN"/>
              </w:rPr>
              <w:t>11.00</w:t>
            </w:r>
          </w:p>
        </w:tc>
      </w:tr>
      <w:tr w:rsidR="005F0652" w:rsidRPr="005F0652" w14:paraId="4D1E703F" w14:textId="77777777" w:rsidTr="00940815">
        <w:trPr>
          <w:trHeight w:val="60"/>
          <w:jc w:val="center"/>
        </w:trPr>
        <w:tc>
          <w:tcPr>
            <w:tcW w:w="2785" w:type="dxa"/>
            <w:noWrap/>
            <w:vAlign w:val="center"/>
            <w:hideMark/>
          </w:tcPr>
          <w:p w14:paraId="180B9D89" w14:textId="77777777" w:rsidR="005F0652" w:rsidRPr="005F0652" w:rsidRDefault="005F0652" w:rsidP="005F0652">
            <w:pPr>
              <w:rPr>
                <w:rFonts w:ascii="Arial" w:eastAsiaTheme="minorEastAsia" w:hAnsi="Arial" w:cs="Arial"/>
                <w:sz w:val="18"/>
                <w:szCs w:val="18"/>
                <w:lang w:val="en-GB" w:bidi="hi-IN"/>
              </w:rPr>
            </w:pPr>
            <w:r w:rsidRPr="005F0652">
              <w:rPr>
                <w:rFonts w:ascii="Arial" w:eastAsiaTheme="minorEastAsia" w:hAnsi="Arial" w:cs="Arial"/>
                <w:sz w:val="18"/>
                <w:szCs w:val="18"/>
                <w:lang w:val="en-GB" w:bidi="hi-IN"/>
              </w:rPr>
              <w:t xml:space="preserve">Growth of imports (in USD) </w:t>
            </w:r>
          </w:p>
        </w:tc>
        <w:tc>
          <w:tcPr>
            <w:tcW w:w="720" w:type="dxa"/>
            <w:noWrap/>
            <w:vAlign w:val="center"/>
            <w:hideMark/>
          </w:tcPr>
          <w:p w14:paraId="10A74E70"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35.50</w:t>
            </w:r>
          </w:p>
        </w:tc>
        <w:tc>
          <w:tcPr>
            <w:tcW w:w="720" w:type="dxa"/>
            <w:noWrap/>
            <w:vAlign w:val="center"/>
            <w:hideMark/>
          </w:tcPr>
          <w:p w14:paraId="7D78E4F8"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20.70</w:t>
            </w:r>
          </w:p>
        </w:tc>
        <w:tc>
          <w:tcPr>
            <w:tcW w:w="720" w:type="dxa"/>
            <w:noWrap/>
            <w:vAlign w:val="center"/>
            <w:hideMark/>
          </w:tcPr>
          <w:p w14:paraId="21F4E679"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−5.00</w:t>
            </w:r>
          </w:p>
        </w:tc>
        <w:tc>
          <w:tcPr>
            <w:tcW w:w="720" w:type="dxa"/>
            <w:noWrap/>
            <w:vAlign w:val="center"/>
            <w:hideMark/>
          </w:tcPr>
          <w:p w14:paraId="4B3A647B"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28.20</w:t>
            </w:r>
          </w:p>
        </w:tc>
        <w:tc>
          <w:tcPr>
            <w:tcW w:w="720" w:type="dxa"/>
            <w:noWrap/>
            <w:vAlign w:val="center"/>
            <w:hideMark/>
          </w:tcPr>
          <w:p w14:paraId="1A2DA930"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32.30</w:t>
            </w:r>
          </w:p>
        </w:tc>
        <w:tc>
          <w:tcPr>
            <w:tcW w:w="720" w:type="dxa"/>
            <w:noWrap/>
            <w:vAlign w:val="center"/>
          </w:tcPr>
          <w:p w14:paraId="64C05C7E" w14:textId="77777777" w:rsidR="005F0652" w:rsidRPr="005F0652" w:rsidRDefault="005F0652" w:rsidP="005F0652">
            <w:pPr>
              <w:jc w:val="right"/>
              <w:rPr>
                <w:rFonts w:ascii="Arial" w:eastAsiaTheme="minorEastAsia" w:hAnsi="Arial" w:cs="Arial"/>
                <w:sz w:val="18"/>
                <w:szCs w:val="18"/>
                <w:lang w:val="en-GB"/>
              </w:rPr>
            </w:pPr>
            <w:r w:rsidRPr="005F0652">
              <w:rPr>
                <w:rFonts w:ascii="Arial" w:hAnsi="Arial" w:cs="Arial"/>
                <w:sz w:val="18"/>
                <w:szCs w:val="18"/>
                <w:lang w:val="en-GB" w:eastAsia="en-IN"/>
              </w:rPr>
              <w:t>0.30</w:t>
            </w:r>
          </w:p>
        </w:tc>
        <w:tc>
          <w:tcPr>
            <w:tcW w:w="720" w:type="dxa"/>
            <w:vAlign w:val="center"/>
          </w:tcPr>
          <w:p w14:paraId="42A9479B" w14:textId="77777777" w:rsidR="005F0652" w:rsidRPr="005F0652" w:rsidRDefault="005F0652" w:rsidP="005F0652">
            <w:pPr>
              <w:jc w:val="right"/>
              <w:rPr>
                <w:rFonts w:ascii="Arial" w:eastAsiaTheme="minorEastAsia" w:hAnsi="Arial" w:cs="Arial"/>
                <w:sz w:val="18"/>
                <w:szCs w:val="18"/>
                <w:lang w:val="en-GB"/>
              </w:rPr>
            </w:pPr>
            <w:r w:rsidRPr="005F0652">
              <w:rPr>
                <w:rFonts w:ascii="Arial" w:hAnsi="Arial" w:cs="Arial"/>
                <w:sz w:val="18"/>
                <w:szCs w:val="18"/>
                <w:lang w:val="en-GB" w:eastAsia="en-IN"/>
              </w:rPr>
              <w:t>−8.30</w:t>
            </w:r>
          </w:p>
        </w:tc>
        <w:tc>
          <w:tcPr>
            <w:tcW w:w="720" w:type="dxa"/>
            <w:vAlign w:val="center"/>
          </w:tcPr>
          <w:p w14:paraId="732CEC7B" w14:textId="77777777" w:rsidR="005F0652" w:rsidRPr="005F0652" w:rsidRDefault="005F0652" w:rsidP="005F0652">
            <w:pPr>
              <w:jc w:val="right"/>
              <w:rPr>
                <w:rFonts w:ascii="Arial" w:eastAsiaTheme="minorEastAsia" w:hAnsi="Arial" w:cs="Arial"/>
                <w:sz w:val="18"/>
                <w:szCs w:val="18"/>
                <w:lang w:val="en-GB"/>
              </w:rPr>
            </w:pPr>
            <w:r w:rsidRPr="005F0652">
              <w:rPr>
                <w:rFonts w:ascii="Arial" w:hAnsi="Arial" w:cs="Arial"/>
                <w:sz w:val="18"/>
                <w:szCs w:val="18"/>
                <w:lang w:val="en-GB" w:eastAsia="en-IN"/>
              </w:rPr>
              <w:t>−0.50</w:t>
            </w:r>
          </w:p>
        </w:tc>
        <w:tc>
          <w:tcPr>
            <w:tcW w:w="815" w:type="dxa"/>
            <w:vAlign w:val="center"/>
          </w:tcPr>
          <w:p w14:paraId="1D792F75" w14:textId="77777777" w:rsidR="005F0652" w:rsidRPr="005F0652" w:rsidRDefault="005F0652" w:rsidP="005F0652">
            <w:pPr>
              <w:jc w:val="right"/>
              <w:rPr>
                <w:rFonts w:ascii="Arial" w:eastAsiaTheme="minorEastAsia" w:hAnsi="Arial" w:cs="Arial"/>
                <w:sz w:val="18"/>
                <w:szCs w:val="18"/>
                <w:lang w:val="en-GB"/>
              </w:rPr>
            </w:pPr>
            <w:r w:rsidRPr="005F0652">
              <w:rPr>
                <w:rFonts w:ascii="Arial" w:hAnsi="Arial" w:cs="Arial"/>
                <w:sz w:val="18"/>
                <w:szCs w:val="18"/>
                <w:lang w:val="en-GB" w:eastAsia="en-IN"/>
              </w:rPr>
              <w:t>−15.50</w:t>
            </w:r>
          </w:p>
        </w:tc>
      </w:tr>
      <w:tr w:rsidR="005F0652" w:rsidRPr="005F0652" w14:paraId="03380F05" w14:textId="77777777" w:rsidTr="00940815">
        <w:trPr>
          <w:trHeight w:val="60"/>
          <w:jc w:val="center"/>
        </w:trPr>
        <w:tc>
          <w:tcPr>
            <w:tcW w:w="2785" w:type="dxa"/>
            <w:noWrap/>
            <w:vAlign w:val="center"/>
            <w:hideMark/>
          </w:tcPr>
          <w:p w14:paraId="23C50B70" w14:textId="77777777" w:rsidR="005F0652" w:rsidRPr="005F0652" w:rsidRDefault="005F0652" w:rsidP="005F0652">
            <w:pPr>
              <w:rPr>
                <w:rFonts w:ascii="Arial" w:eastAsiaTheme="minorEastAsia" w:hAnsi="Arial" w:cs="Arial"/>
                <w:sz w:val="18"/>
                <w:szCs w:val="18"/>
                <w:lang w:val="en-GB" w:bidi="hi-IN"/>
              </w:rPr>
            </w:pPr>
            <w:r w:rsidRPr="005F0652">
              <w:rPr>
                <w:rFonts w:ascii="Arial" w:eastAsiaTheme="minorEastAsia" w:hAnsi="Arial" w:cs="Arial"/>
                <w:sz w:val="18"/>
                <w:szCs w:val="18"/>
                <w:lang w:val="en-GB" w:bidi="hi-IN"/>
              </w:rPr>
              <w:t>Growth of exports (in USD)</w:t>
            </w:r>
          </w:p>
        </w:tc>
        <w:tc>
          <w:tcPr>
            <w:tcW w:w="720" w:type="dxa"/>
            <w:noWrap/>
            <w:vAlign w:val="center"/>
            <w:hideMark/>
          </w:tcPr>
          <w:p w14:paraId="59548667"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29.00</w:t>
            </w:r>
          </w:p>
        </w:tc>
        <w:tc>
          <w:tcPr>
            <w:tcW w:w="720" w:type="dxa"/>
            <w:noWrap/>
            <w:vAlign w:val="center"/>
            <w:hideMark/>
          </w:tcPr>
          <w:p w14:paraId="1AB4F889"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13.60</w:t>
            </w:r>
          </w:p>
        </w:tc>
        <w:tc>
          <w:tcPr>
            <w:tcW w:w="720" w:type="dxa"/>
            <w:noWrap/>
            <w:vAlign w:val="center"/>
            <w:hideMark/>
          </w:tcPr>
          <w:p w14:paraId="2BAF4E74"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−3.50</w:t>
            </w:r>
          </w:p>
        </w:tc>
        <w:tc>
          <w:tcPr>
            <w:tcW w:w="720" w:type="dxa"/>
            <w:noWrap/>
            <w:vAlign w:val="center"/>
            <w:hideMark/>
          </w:tcPr>
          <w:p w14:paraId="7F6171D5"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40.50</w:t>
            </w:r>
          </w:p>
        </w:tc>
        <w:tc>
          <w:tcPr>
            <w:tcW w:w="720" w:type="dxa"/>
            <w:noWrap/>
            <w:vAlign w:val="center"/>
            <w:hideMark/>
          </w:tcPr>
          <w:p w14:paraId="5858F356"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21.30</w:t>
            </w:r>
          </w:p>
        </w:tc>
        <w:tc>
          <w:tcPr>
            <w:tcW w:w="720" w:type="dxa"/>
            <w:noWrap/>
            <w:vAlign w:val="center"/>
            <w:hideMark/>
          </w:tcPr>
          <w:p w14:paraId="677C06ED" w14:textId="77777777" w:rsidR="005F0652" w:rsidRPr="005F0652" w:rsidRDefault="005F0652" w:rsidP="005F0652">
            <w:pPr>
              <w:jc w:val="right"/>
              <w:rPr>
                <w:rFonts w:ascii="Arial" w:eastAsiaTheme="minorEastAsia" w:hAnsi="Arial" w:cs="Arial"/>
                <w:sz w:val="18"/>
                <w:szCs w:val="18"/>
                <w:lang w:val="en-GB"/>
              </w:rPr>
            </w:pPr>
            <w:r w:rsidRPr="005F0652">
              <w:rPr>
                <w:rFonts w:ascii="Arial" w:hAnsi="Arial" w:cs="Arial"/>
                <w:sz w:val="18"/>
                <w:szCs w:val="18"/>
                <w:lang w:val="en-GB" w:eastAsia="en-IN"/>
              </w:rPr>
              <w:t>−1.80</w:t>
            </w:r>
          </w:p>
        </w:tc>
        <w:tc>
          <w:tcPr>
            <w:tcW w:w="720" w:type="dxa"/>
            <w:vAlign w:val="center"/>
          </w:tcPr>
          <w:p w14:paraId="1C22A664" w14:textId="77777777" w:rsidR="005F0652" w:rsidRPr="005F0652" w:rsidRDefault="005F0652" w:rsidP="005F0652">
            <w:pPr>
              <w:jc w:val="right"/>
              <w:rPr>
                <w:rFonts w:ascii="Arial" w:eastAsiaTheme="minorEastAsia" w:hAnsi="Arial" w:cs="Arial"/>
                <w:sz w:val="18"/>
                <w:szCs w:val="18"/>
                <w:lang w:val="en-GB"/>
              </w:rPr>
            </w:pPr>
            <w:r w:rsidRPr="005F0652">
              <w:rPr>
                <w:rFonts w:ascii="Arial" w:hAnsi="Arial" w:cs="Arial"/>
                <w:sz w:val="18"/>
                <w:szCs w:val="18"/>
                <w:lang w:val="en-GB" w:eastAsia="en-IN"/>
              </w:rPr>
              <w:t>4.70</w:t>
            </w:r>
          </w:p>
        </w:tc>
        <w:tc>
          <w:tcPr>
            <w:tcW w:w="720" w:type="dxa"/>
            <w:vAlign w:val="center"/>
          </w:tcPr>
          <w:p w14:paraId="7855FA34" w14:textId="77777777" w:rsidR="005F0652" w:rsidRPr="005F0652" w:rsidRDefault="005F0652" w:rsidP="005F0652">
            <w:pPr>
              <w:jc w:val="right"/>
              <w:rPr>
                <w:rFonts w:ascii="Arial" w:eastAsiaTheme="minorEastAsia" w:hAnsi="Arial" w:cs="Arial"/>
                <w:sz w:val="18"/>
                <w:szCs w:val="18"/>
                <w:lang w:val="en-GB"/>
              </w:rPr>
            </w:pPr>
            <w:r w:rsidRPr="005F0652">
              <w:rPr>
                <w:rFonts w:ascii="Arial" w:hAnsi="Arial" w:cs="Arial"/>
                <w:sz w:val="18"/>
                <w:szCs w:val="18"/>
                <w:lang w:val="en-GB" w:eastAsia="en-IN"/>
              </w:rPr>
              <w:t>−1.30</w:t>
            </w:r>
          </w:p>
        </w:tc>
        <w:tc>
          <w:tcPr>
            <w:tcW w:w="815" w:type="dxa"/>
            <w:vAlign w:val="center"/>
          </w:tcPr>
          <w:p w14:paraId="156C9FB8" w14:textId="77777777" w:rsidR="005F0652" w:rsidRPr="005F0652" w:rsidRDefault="005F0652" w:rsidP="005F0652">
            <w:pPr>
              <w:jc w:val="right"/>
              <w:rPr>
                <w:rFonts w:ascii="Arial" w:eastAsiaTheme="minorEastAsia" w:hAnsi="Arial" w:cs="Arial"/>
                <w:sz w:val="18"/>
                <w:szCs w:val="18"/>
                <w:lang w:val="en-GB"/>
              </w:rPr>
            </w:pPr>
            <w:r w:rsidRPr="005F0652">
              <w:rPr>
                <w:rFonts w:ascii="Arial" w:hAnsi="Arial" w:cs="Arial"/>
                <w:sz w:val="18"/>
                <w:szCs w:val="18"/>
                <w:lang w:val="en-GB" w:eastAsia="en-IN"/>
              </w:rPr>
              <w:t>−17.60</w:t>
            </w:r>
          </w:p>
        </w:tc>
      </w:tr>
      <w:tr w:rsidR="005F0652" w:rsidRPr="005F0652" w14:paraId="6B728DF9" w14:textId="77777777" w:rsidTr="00940815">
        <w:trPr>
          <w:trHeight w:val="60"/>
          <w:jc w:val="center"/>
        </w:trPr>
        <w:tc>
          <w:tcPr>
            <w:tcW w:w="2785" w:type="dxa"/>
            <w:noWrap/>
            <w:vAlign w:val="center"/>
          </w:tcPr>
          <w:p w14:paraId="18A4D6A3" w14:textId="77777777" w:rsidR="005F0652" w:rsidRPr="005F0652" w:rsidRDefault="005F0652" w:rsidP="005F0652">
            <w:pPr>
              <w:rPr>
                <w:rFonts w:ascii="Arial" w:eastAsiaTheme="minorEastAsia" w:hAnsi="Arial" w:cs="Arial"/>
                <w:sz w:val="18"/>
                <w:szCs w:val="18"/>
                <w:lang w:val="en-GB" w:bidi="hi-IN"/>
              </w:rPr>
            </w:pPr>
            <w:r w:rsidRPr="005F0652">
              <w:rPr>
                <w:rFonts w:ascii="Arial" w:eastAsiaTheme="minorEastAsia" w:hAnsi="Arial" w:cs="Arial"/>
                <w:sz w:val="18"/>
                <w:szCs w:val="18"/>
                <w:lang w:val="en-GB" w:bidi="hi-IN"/>
              </w:rPr>
              <w:t>Fiscal deficit (% of GDP)</w:t>
            </w:r>
          </w:p>
        </w:tc>
        <w:tc>
          <w:tcPr>
            <w:tcW w:w="720" w:type="dxa"/>
            <w:noWrap/>
            <w:vAlign w:val="center"/>
          </w:tcPr>
          <w:p w14:paraId="06CAD7F4"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2.70</w:t>
            </w:r>
          </w:p>
        </w:tc>
        <w:tc>
          <w:tcPr>
            <w:tcW w:w="720" w:type="dxa"/>
            <w:noWrap/>
            <w:vAlign w:val="center"/>
          </w:tcPr>
          <w:p w14:paraId="2ECB609E"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6.00</w:t>
            </w:r>
          </w:p>
        </w:tc>
        <w:tc>
          <w:tcPr>
            <w:tcW w:w="720" w:type="dxa"/>
            <w:noWrap/>
            <w:vAlign w:val="center"/>
          </w:tcPr>
          <w:p w14:paraId="4B4650FC"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5.20</w:t>
            </w:r>
          </w:p>
        </w:tc>
        <w:tc>
          <w:tcPr>
            <w:tcW w:w="720" w:type="dxa"/>
            <w:noWrap/>
            <w:vAlign w:val="center"/>
          </w:tcPr>
          <w:p w14:paraId="639DA73D"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4.80</w:t>
            </w:r>
          </w:p>
        </w:tc>
        <w:tc>
          <w:tcPr>
            <w:tcW w:w="720" w:type="dxa"/>
            <w:noWrap/>
            <w:vAlign w:val="center"/>
          </w:tcPr>
          <w:p w14:paraId="3225CB3E"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5.80</w:t>
            </w:r>
          </w:p>
        </w:tc>
        <w:tc>
          <w:tcPr>
            <w:tcW w:w="720" w:type="dxa"/>
            <w:noWrap/>
            <w:vAlign w:val="center"/>
          </w:tcPr>
          <w:p w14:paraId="6EF2DB91"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4.90</w:t>
            </w:r>
          </w:p>
        </w:tc>
        <w:tc>
          <w:tcPr>
            <w:tcW w:w="720" w:type="dxa"/>
            <w:vAlign w:val="center"/>
          </w:tcPr>
          <w:p w14:paraId="75DE45E7"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4.40</w:t>
            </w:r>
          </w:p>
        </w:tc>
        <w:tc>
          <w:tcPr>
            <w:tcW w:w="720" w:type="dxa"/>
            <w:vAlign w:val="center"/>
          </w:tcPr>
          <w:p w14:paraId="6B2CB569"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4.10</w:t>
            </w:r>
          </w:p>
        </w:tc>
        <w:tc>
          <w:tcPr>
            <w:tcW w:w="815" w:type="dxa"/>
            <w:vAlign w:val="center"/>
          </w:tcPr>
          <w:p w14:paraId="2D387F26"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3.90</w:t>
            </w:r>
          </w:p>
        </w:tc>
      </w:tr>
      <w:tr w:rsidR="005F0652" w:rsidRPr="005F0652" w14:paraId="30CE7B0B" w14:textId="77777777" w:rsidTr="00940815">
        <w:trPr>
          <w:trHeight w:val="60"/>
          <w:jc w:val="center"/>
        </w:trPr>
        <w:tc>
          <w:tcPr>
            <w:tcW w:w="2785" w:type="dxa"/>
            <w:noWrap/>
            <w:vAlign w:val="center"/>
          </w:tcPr>
          <w:p w14:paraId="24BD7A00" w14:textId="77777777" w:rsidR="005F0652" w:rsidRPr="005F0652" w:rsidRDefault="005F0652" w:rsidP="005F0652">
            <w:pPr>
              <w:rPr>
                <w:rFonts w:ascii="Arial" w:eastAsiaTheme="minorEastAsia" w:hAnsi="Arial" w:cs="Arial"/>
                <w:sz w:val="18"/>
                <w:szCs w:val="18"/>
                <w:lang w:val="en-GB" w:bidi="hi-IN"/>
              </w:rPr>
            </w:pPr>
            <w:r w:rsidRPr="005F0652">
              <w:rPr>
                <w:rFonts w:ascii="Arial" w:eastAsiaTheme="minorEastAsia" w:hAnsi="Arial" w:cs="Arial"/>
                <w:sz w:val="18"/>
                <w:szCs w:val="18"/>
                <w:lang w:val="en-GB" w:bidi="hi-IN"/>
              </w:rPr>
              <w:t>Repo rate (end of March)</w:t>
            </w:r>
          </w:p>
        </w:tc>
        <w:tc>
          <w:tcPr>
            <w:tcW w:w="720" w:type="dxa"/>
            <w:noWrap/>
            <w:vAlign w:val="center"/>
          </w:tcPr>
          <w:p w14:paraId="13FE2540"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7.75</w:t>
            </w:r>
          </w:p>
        </w:tc>
        <w:tc>
          <w:tcPr>
            <w:tcW w:w="720" w:type="dxa"/>
            <w:noWrap/>
            <w:vAlign w:val="center"/>
          </w:tcPr>
          <w:p w14:paraId="17E7B429"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5.00</w:t>
            </w:r>
          </w:p>
        </w:tc>
        <w:tc>
          <w:tcPr>
            <w:tcW w:w="720" w:type="dxa"/>
            <w:noWrap/>
            <w:vAlign w:val="center"/>
          </w:tcPr>
          <w:p w14:paraId="2EF74D4E"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5.00</w:t>
            </w:r>
          </w:p>
        </w:tc>
        <w:tc>
          <w:tcPr>
            <w:tcW w:w="720" w:type="dxa"/>
            <w:noWrap/>
            <w:vAlign w:val="center"/>
          </w:tcPr>
          <w:p w14:paraId="605D7CF4"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6.75</w:t>
            </w:r>
          </w:p>
        </w:tc>
        <w:tc>
          <w:tcPr>
            <w:tcW w:w="720" w:type="dxa"/>
            <w:noWrap/>
            <w:vAlign w:val="center"/>
          </w:tcPr>
          <w:p w14:paraId="7D8F91C0"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8.50</w:t>
            </w:r>
          </w:p>
        </w:tc>
        <w:tc>
          <w:tcPr>
            <w:tcW w:w="720" w:type="dxa"/>
            <w:noWrap/>
            <w:vAlign w:val="center"/>
          </w:tcPr>
          <w:p w14:paraId="07D76F49"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7.50</w:t>
            </w:r>
          </w:p>
        </w:tc>
        <w:tc>
          <w:tcPr>
            <w:tcW w:w="720" w:type="dxa"/>
            <w:vAlign w:val="center"/>
          </w:tcPr>
          <w:p w14:paraId="6ED4F2CC"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8.00</w:t>
            </w:r>
          </w:p>
        </w:tc>
        <w:tc>
          <w:tcPr>
            <w:tcW w:w="720" w:type="dxa"/>
            <w:vAlign w:val="center"/>
          </w:tcPr>
          <w:p w14:paraId="7A736D8C"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7.50</w:t>
            </w:r>
          </w:p>
        </w:tc>
        <w:tc>
          <w:tcPr>
            <w:tcW w:w="815" w:type="dxa"/>
            <w:vAlign w:val="center"/>
          </w:tcPr>
          <w:p w14:paraId="393E945D"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6.75</w:t>
            </w:r>
          </w:p>
        </w:tc>
      </w:tr>
      <w:tr w:rsidR="005F0652" w:rsidRPr="005F0652" w14:paraId="53F64A97" w14:textId="77777777" w:rsidTr="00940815">
        <w:trPr>
          <w:trHeight w:val="288"/>
          <w:jc w:val="center"/>
        </w:trPr>
        <w:tc>
          <w:tcPr>
            <w:tcW w:w="2785" w:type="dxa"/>
            <w:noWrap/>
            <w:vAlign w:val="center"/>
          </w:tcPr>
          <w:p w14:paraId="7C5324DE" w14:textId="77777777" w:rsidR="005F0652" w:rsidRPr="005F0652" w:rsidRDefault="005F0652" w:rsidP="005F0652">
            <w:pPr>
              <w:rPr>
                <w:rFonts w:ascii="Arial" w:eastAsiaTheme="minorEastAsia" w:hAnsi="Arial" w:cs="Arial"/>
                <w:sz w:val="18"/>
                <w:szCs w:val="18"/>
                <w:lang w:val="en-GB" w:bidi="hi-IN"/>
              </w:rPr>
            </w:pPr>
            <w:r w:rsidRPr="005F0652">
              <w:rPr>
                <w:rFonts w:ascii="Arial" w:eastAsiaTheme="minorEastAsia" w:hAnsi="Arial" w:cs="Arial"/>
                <w:sz w:val="18"/>
                <w:szCs w:val="18"/>
                <w:lang w:val="en-GB" w:bidi="hi-IN"/>
              </w:rPr>
              <w:t>Central government debt (% of GDP)</w:t>
            </w:r>
          </w:p>
        </w:tc>
        <w:tc>
          <w:tcPr>
            <w:tcW w:w="720" w:type="dxa"/>
            <w:noWrap/>
            <w:vAlign w:val="center"/>
          </w:tcPr>
          <w:p w14:paraId="1CBA4A9E"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55.10</w:t>
            </w:r>
          </w:p>
        </w:tc>
        <w:tc>
          <w:tcPr>
            <w:tcW w:w="720" w:type="dxa"/>
            <w:noWrap/>
            <w:vAlign w:val="center"/>
          </w:tcPr>
          <w:p w14:paraId="31CD4D84"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48.52</w:t>
            </w:r>
          </w:p>
        </w:tc>
        <w:tc>
          <w:tcPr>
            <w:tcW w:w="720" w:type="dxa"/>
            <w:noWrap/>
            <w:vAlign w:val="center"/>
          </w:tcPr>
          <w:p w14:paraId="2C238AAF"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51.40</w:t>
            </w:r>
          </w:p>
        </w:tc>
        <w:tc>
          <w:tcPr>
            <w:tcW w:w="720" w:type="dxa"/>
            <w:noWrap/>
            <w:vAlign w:val="center"/>
          </w:tcPr>
          <w:p w14:paraId="6A8C2B39"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53.47</w:t>
            </w:r>
          </w:p>
        </w:tc>
        <w:tc>
          <w:tcPr>
            <w:tcW w:w="720" w:type="dxa"/>
            <w:noWrap/>
            <w:vAlign w:val="center"/>
          </w:tcPr>
          <w:p w14:paraId="1E6306C5"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38.93</w:t>
            </w:r>
          </w:p>
        </w:tc>
        <w:tc>
          <w:tcPr>
            <w:tcW w:w="720" w:type="dxa"/>
            <w:noWrap/>
            <w:vAlign w:val="center"/>
          </w:tcPr>
          <w:p w14:paraId="58077DF8"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42.72</w:t>
            </w:r>
          </w:p>
        </w:tc>
        <w:tc>
          <w:tcPr>
            <w:tcW w:w="720" w:type="dxa"/>
            <w:vAlign w:val="center"/>
          </w:tcPr>
          <w:p w14:paraId="32787B18"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44.98</w:t>
            </w:r>
          </w:p>
        </w:tc>
        <w:tc>
          <w:tcPr>
            <w:tcW w:w="720" w:type="dxa"/>
            <w:vAlign w:val="center"/>
          </w:tcPr>
          <w:p w14:paraId="5317260D"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46.78</w:t>
            </w:r>
          </w:p>
        </w:tc>
        <w:tc>
          <w:tcPr>
            <w:tcW w:w="815" w:type="dxa"/>
            <w:vAlign w:val="center"/>
          </w:tcPr>
          <w:p w14:paraId="3A1BB4DD"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36.61</w:t>
            </w:r>
          </w:p>
        </w:tc>
      </w:tr>
      <w:tr w:rsidR="005F0652" w:rsidRPr="005F0652" w14:paraId="70E3AFBB" w14:textId="77777777" w:rsidTr="00940815">
        <w:trPr>
          <w:trHeight w:val="288"/>
          <w:jc w:val="center"/>
        </w:trPr>
        <w:tc>
          <w:tcPr>
            <w:tcW w:w="2785" w:type="dxa"/>
            <w:noWrap/>
            <w:vAlign w:val="center"/>
          </w:tcPr>
          <w:p w14:paraId="2A986790" w14:textId="77777777" w:rsidR="005F0652" w:rsidRPr="005F0652" w:rsidRDefault="005F0652" w:rsidP="005F0652">
            <w:pPr>
              <w:rPr>
                <w:rFonts w:ascii="Arial" w:eastAsiaTheme="minorEastAsia" w:hAnsi="Arial" w:cs="Arial"/>
                <w:sz w:val="18"/>
                <w:szCs w:val="18"/>
                <w:lang w:val="en-GB" w:bidi="hi-IN"/>
              </w:rPr>
            </w:pPr>
            <w:r w:rsidRPr="005F0652">
              <w:rPr>
                <w:rFonts w:ascii="Arial" w:eastAsiaTheme="minorEastAsia" w:hAnsi="Arial" w:cs="Arial"/>
                <w:sz w:val="18"/>
                <w:szCs w:val="18"/>
                <w:lang w:val="en-GB" w:bidi="hi-IN"/>
              </w:rPr>
              <w:t>Gross domestic savings (% of GDP)</w:t>
            </w:r>
          </w:p>
        </w:tc>
        <w:tc>
          <w:tcPr>
            <w:tcW w:w="720" w:type="dxa"/>
            <w:noWrap/>
            <w:vAlign w:val="center"/>
          </w:tcPr>
          <w:p w14:paraId="33C9B796"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36.82</w:t>
            </w:r>
          </w:p>
        </w:tc>
        <w:tc>
          <w:tcPr>
            <w:tcW w:w="720" w:type="dxa"/>
            <w:noWrap/>
            <w:vAlign w:val="center"/>
          </w:tcPr>
          <w:p w14:paraId="5C94B8C7"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32.02</w:t>
            </w:r>
          </w:p>
        </w:tc>
        <w:tc>
          <w:tcPr>
            <w:tcW w:w="720" w:type="dxa"/>
            <w:noWrap/>
            <w:vAlign w:val="center"/>
          </w:tcPr>
          <w:p w14:paraId="5081887A"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33.69</w:t>
            </w:r>
          </w:p>
        </w:tc>
        <w:tc>
          <w:tcPr>
            <w:tcW w:w="720" w:type="dxa"/>
            <w:noWrap/>
            <w:vAlign w:val="center"/>
          </w:tcPr>
          <w:p w14:paraId="145D9687"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34.02</w:t>
            </w:r>
          </w:p>
        </w:tc>
        <w:tc>
          <w:tcPr>
            <w:tcW w:w="720" w:type="dxa"/>
            <w:noWrap/>
            <w:vAlign w:val="center"/>
          </w:tcPr>
          <w:p w14:paraId="6564633A"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30.81</w:t>
            </w:r>
          </w:p>
        </w:tc>
        <w:tc>
          <w:tcPr>
            <w:tcW w:w="720" w:type="dxa"/>
            <w:noWrap/>
            <w:vAlign w:val="center"/>
          </w:tcPr>
          <w:p w14:paraId="573F8C06" w14:textId="77777777" w:rsidR="005F0652" w:rsidRPr="005F0652" w:rsidRDefault="005F0652" w:rsidP="005F0652">
            <w:pPr>
              <w:jc w:val="right"/>
              <w:rPr>
                <w:rFonts w:ascii="Arial" w:eastAsiaTheme="minorEastAsia" w:hAnsi="Arial" w:cs="Arial"/>
                <w:sz w:val="18"/>
                <w:szCs w:val="18"/>
                <w:lang w:val="en-GB"/>
              </w:rPr>
            </w:pPr>
            <w:r w:rsidRPr="005F0652">
              <w:rPr>
                <w:rFonts w:ascii="Arial" w:hAnsi="Arial" w:cs="Arial"/>
                <w:sz w:val="18"/>
                <w:szCs w:val="18"/>
                <w:lang w:val="en-GB" w:eastAsia="en-IN"/>
              </w:rPr>
              <w:t>33.80</w:t>
            </w:r>
          </w:p>
        </w:tc>
        <w:tc>
          <w:tcPr>
            <w:tcW w:w="720" w:type="dxa"/>
            <w:vAlign w:val="center"/>
          </w:tcPr>
          <w:p w14:paraId="3BEBA7DC"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33.00</w:t>
            </w:r>
          </w:p>
        </w:tc>
        <w:tc>
          <w:tcPr>
            <w:tcW w:w="720" w:type="dxa"/>
            <w:vAlign w:val="center"/>
          </w:tcPr>
          <w:p w14:paraId="5A93690E"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33.00</w:t>
            </w:r>
          </w:p>
        </w:tc>
        <w:tc>
          <w:tcPr>
            <w:tcW w:w="815" w:type="dxa"/>
            <w:vAlign w:val="center"/>
          </w:tcPr>
          <w:p w14:paraId="64321886"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29.83</w:t>
            </w:r>
          </w:p>
        </w:tc>
      </w:tr>
      <w:tr w:rsidR="005F0652" w:rsidRPr="005F0652" w14:paraId="7F34D239" w14:textId="77777777" w:rsidTr="00940815">
        <w:trPr>
          <w:trHeight w:val="60"/>
          <w:jc w:val="center"/>
        </w:trPr>
        <w:tc>
          <w:tcPr>
            <w:tcW w:w="2785" w:type="dxa"/>
            <w:noWrap/>
            <w:vAlign w:val="center"/>
          </w:tcPr>
          <w:p w14:paraId="69D99E14" w14:textId="77777777" w:rsidR="005F0652" w:rsidRPr="005F0652" w:rsidRDefault="005F0652" w:rsidP="005F0652">
            <w:pPr>
              <w:rPr>
                <w:rFonts w:ascii="Arial" w:eastAsiaTheme="minorEastAsia" w:hAnsi="Arial" w:cs="Arial"/>
                <w:sz w:val="18"/>
                <w:szCs w:val="18"/>
                <w:lang w:val="en-GB" w:bidi="hi-IN"/>
              </w:rPr>
            </w:pPr>
            <w:r w:rsidRPr="005F0652">
              <w:rPr>
                <w:rFonts w:ascii="Arial" w:eastAsiaTheme="minorEastAsia" w:hAnsi="Arial" w:cs="Arial"/>
                <w:sz w:val="18"/>
                <w:szCs w:val="18"/>
                <w:lang w:val="en-GB" w:bidi="hi-IN"/>
              </w:rPr>
              <w:t>GFCF (% of GDP)</w:t>
            </w:r>
          </w:p>
        </w:tc>
        <w:tc>
          <w:tcPr>
            <w:tcW w:w="720" w:type="dxa"/>
            <w:noWrap/>
            <w:vAlign w:val="center"/>
          </w:tcPr>
          <w:p w14:paraId="5C925CED"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38.11</w:t>
            </w:r>
          </w:p>
        </w:tc>
        <w:tc>
          <w:tcPr>
            <w:tcW w:w="720" w:type="dxa"/>
            <w:noWrap/>
            <w:vAlign w:val="center"/>
          </w:tcPr>
          <w:p w14:paraId="7603CD01"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34.30</w:t>
            </w:r>
          </w:p>
        </w:tc>
        <w:tc>
          <w:tcPr>
            <w:tcW w:w="720" w:type="dxa"/>
            <w:noWrap/>
            <w:vAlign w:val="center"/>
          </w:tcPr>
          <w:p w14:paraId="0ADCA890"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36.48</w:t>
            </w:r>
          </w:p>
        </w:tc>
        <w:tc>
          <w:tcPr>
            <w:tcW w:w="720" w:type="dxa"/>
            <w:noWrap/>
            <w:vAlign w:val="center"/>
          </w:tcPr>
          <w:p w14:paraId="4E3B3FE7"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36.84</w:t>
            </w:r>
          </w:p>
        </w:tc>
        <w:tc>
          <w:tcPr>
            <w:tcW w:w="720" w:type="dxa"/>
            <w:noWrap/>
            <w:vAlign w:val="center"/>
          </w:tcPr>
          <w:p w14:paraId="520F6579" w14:textId="77777777" w:rsidR="005F0652" w:rsidRPr="005F0652" w:rsidRDefault="005F0652" w:rsidP="005F0652">
            <w:pPr>
              <w:jc w:val="right"/>
              <w:rPr>
                <w:rFonts w:ascii="Arial" w:eastAsiaTheme="minorEastAsia" w:hAnsi="Arial" w:cs="Arial"/>
                <w:color w:val="000000"/>
                <w:sz w:val="18"/>
                <w:szCs w:val="18"/>
                <w:lang w:val="en-GB"/>
              </w:rPr>
            </w:pPr>
            <w:r w:rsidRPr="005F0652">
              <w:rPr>
                <w:rFonts w:ascii="Arial" w:eastAsiaTheme="minorEastAsia" w:hAnsi="Arial" w:cs="Arial"/>
                <w:color w:val="000000"/>
                <w:sz w:val="18"/>
                <w:szCs w:val="18"/>
                <w:lang w:val="en-GB"/>
              </w:rPr>
              <w:t>35.00</w:t>
            </w:r>
          </w:p>
        </w:tc>
        <w:tc>
          <w:tcPr>
            <w:tcW w:w="720" w:type="dxa"/>
            <w:noWrap/>
            <w:vAlign w:val="center"/>
          </w:tcPr>
          <w:p w14:paraId="33B4A3A8"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38.60</w:t>
            </w:r>
          </w:p>
        </w:tc>
        <w:tc>
          <w:tcPr>
            <w:tcW w:w="720" w:type="dxa"/>
            <w:vAlign w:val="center"/>
          </w:tcPr>
          <w:p w14:paraId="33F72F8F"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34.70</w:t>
            </w:r>
          </w:p>
        </w:tc>
        <w:tc>
          <w:tcPr>
            <w:tcW w:w="720" w:type="dxa"/>
            <w:vAlign w:val="center"/>
          </w:tcPr>
          <w:p w14:paraId="2CE85E63"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34.20</w:t>
            </w:r>
          </w:p>
        </w:tc>
        <w:tc>
          <w:tcPr>
            <w:tcW w:w="815" w:type="dxa"/>
            <w:vAlign w:val="center"/>
          </w:tcPr>
          <w:p w14:paraId="6979C2D8" w14:textId="77777777" w:rsidR="005F0652" w:rsidRPr="005F0652" w:rsidRDefault="005F0652" w:rsidP="005F0652">
            <w:pPr>
              <w:jc w:val="right"/>
              <w:rPr>
                <w:rFonts w:ascii="Arial" w:hAnsi="Arial" w:cs="Arial"/>
                <w:sz w:val="18"/>
                <w:szCs w:val="18"/>
                <w:lang w:val="en-GB" w:eastAsia="en-IN"/>
              </w:rPr>
            </w:pPr>
            <w:r w:rsidRPr="005F0652">
              <w:rPr>
                <w:rFonts w:ascii="Arial" w:hAnsi="Arial" w:cs="Arial"/>
                <w:sz w:val="18"/>
                <w:szCs w:val="18"/>
                <w:lang w:val="en-GB" w:eastAsia="en-IN"/>
              </w:rPr>
              <w:t>29.60</w:t>
            </w:r>
          </w:p>
        </w:tc>
      </w:tr>
    </w:tbl>
    <w:p w14:paraId="2871DB48" w14:textId="77777777" w:rsidR="005F0652" w:rsidRPr="005F0652" w:rsidRDefault="005F0652" w:rsidP="005F0652">
      <w:pPr>
        <w:jc w:val="both"/>
        <w:rPr>
          <w:rFonts w:ascii="Arial" w:eastAsiaTheme="minorEastAsia" w:hAnsi="Arial" w:cs="Arial"/>
          <w:lang w:val="en-GB"/>
        </w:rPr>
      </w:pPr>
    </w:p>
    <w:p w14:paraId="32F61553" w14:textId="77777777" w:rsidR="005F0652" w:rsidRPr="005F0652" w:rsidRDefault="005F0652" w:rsidP="005F0652">
      <w:pPr>
        <w:jc w:val="both"/>
        <w:rPr>
          <w:rFonts w:ascii="Arial" w:eastAsiaTheme="minorEastAsia" w:hAnsi="Arial" w:cs="Arial"/>
          <w:sz w:val="17"/>
          <w:szCs w:val="17"/>
          <w:lang w:val="en-GB"/>
        </w:rPr>
      </w:pPr>
      <w:r w:rsidRPr="005F0652">
        <w:rPr>
          <w:rFonts w:ascii="Arial" w:eastAsiaTheme="minorEastAsia" w:hAnsi="Arial" w:cs="Arial"/>
          <w:sz w:val="17"/>
          <w:szCs w:val="17"/>
          <w:lang w:val="en-GB"/>
        </w:rPr>
        <w:t>Note: All figures are for the financial year April 1 to March 31; GDP = gross domestic product; CPI = consumer price index; GFCF = gross fixed capital formation; M3 = all physical currency, short-term deposits in banks and certain money market funds, and long-term deposits.</w:t>
      </w:r>
    </w:p>
    <w:p w14:paraId="259CE586" w14:textId="77777777" w:rsidR="005F0652" w:rsidRPr="005F0652" w:rsidRDefault="005F0652" w:rsidP="005F0652">
      <w:pPr>
        <w:jc w:val="both"/>
        <w:rPr>
          <w:rFonts w:ascii="Arial" w:eastAsiaTheme="minorEastAsia" w:hAnsi="Arial" w:cs="Arial"/>
          <w:sz w:val="17"/>
          <w:szCs w:val="17"/>
          <w:lang w:val="en-GB"/>
        </w:rPr>
      </w:pPr>
      <w:r w:rsidRPr="005F0652">
        <w:rPr>
          <w:rFonts w:ascii="Arial" w:eastAsiaTheme="minorEastAsia" w:hAnsi="Arial" w:cs="Arial"/>
          <w:sz w:val="17"/>
          <w:szCs w:val="17"/>
          <w:lang w:val="en-GB" w:bidi="hi-IN"/>
        </w:rPr>
        <w:t xml:space="preserve">Source: “Union Budget,” National Informatics Centre, Ministry of Finance, </w:t>
      </w:r>
      <w:r w:rsidRPr="005F0652">
        <w:rPr>
          <w:rFonts w:ascii="Arial" w:eastAsiaTheme="minorEastAsia" w:hAnsi="Arial" w:cs="Arial"/>
          <w:sz w:val="17"/>
          <w:szCs w:val="17"/>
          <w:lang w:val="en-GB"/>
        </w:rPr>
        <w:t xml:space="preserve">accessed February 2, 2017, </w:t>
      </w:r>
      <w:r w:rsidRPr="005F0652">
        <w:rPr>
          <w:rFonts w:ascii="Arial" w:hAnsi="Arial" w:cs="Arial"/>
          <w:sz w:val="17"/>
          <w:szCs w:val="17"/>
          <w:lang w:val="en-GB"/>
        </w:rPr>
        <w:t xml:space="preserve"> www.indiabudget.gov.in</w:t>
      </w:r>
      <w:r w:rsidRPr="005F0652">
        <w:rPr>
          <w:rFonts w:ascii="Arial" w:eastAsiaTheme="minorEastAsia" w:hAnsi="Arial" w:cs="Arial"/>
          <w:sz w:val="17"/>
          <w:szCs w:val="17"/>
          <w:lang w:val="en-GB"/>
        </w:rPr>
        <w:t>;</w:t>
      </w:r>
      <w:r w:rsidRPr="005F0652">
        <w:rPr>
          <w:rFonts w:ascii="Arial" w:eastAsiaTheme="minorEastAsia" w:hAnsi="Arial" w:cs="Arial"/>
          <w:sz w:val="17"/>
          <w:szCs w:val="17"/>
          <w:lang w:val="en-GB" w:bidi="hi-IN"/>
        </w:rPr>
        <w:t xml:space="preserve"> “</w:t>
      </w:r>
      <w:r w:rsidRPr="005F0652">
        <w:rPr>
          <w:rFonts w:ascii="Arial" w:eastAsiaTheme="minorEastAsia" w:hAnsi="Arial" w:cs="Arial"/>
          <w:bCs/>
          <w:sz w:val="17"/>
          <w:szCs w:val="17"/>
          <w:lang w:val="en-GB"/>
        </w:rPr>
        <w:t xml:space="preserve">Database on Indian Economy,” </w:t>
      </w:r>
      <w:r w:rsidRPr="005F0652">
        <w:rPr>
          <w:rFonts w:ascii="Arial" w:eastAsiaTheme="minorEastAsia" w:hAnsi="Arial" w:cs="Arial"/>
          <w:sz w:val="17"/>
          <w:szCs w:val="17"/>
          <w:lang w:val="en-GB" w:bidi="hi-IN"/>
        </w:rPr>
        <w:t xml:space="preserve">Reserve Bank of </w:t>
      </w:r>
      <w:r w:rsidRPr="005F0652">
        <w:rPr>
          <w:rFonts w:ascii="Arial" w:eastAsiaTheme="minorEastAsia" w:hAnsi="Arial" w:cs="Arial"/>
          <w:bCs/>
          <w:sz w:val="17"/>
          <w:szCs w:val="17"/>
          <w:lang w:val="en-GB"/>
        </w:rPr>
        <w:t xml:space="preserve">India, </w:t>
      </w:r>
      <w:r w:rsidRPr="005F0652">
        <w:rPr>
          <w:rFonts w:ascii="Arial" w:eastAsiaTheme="minorEastAsia" w:hAnsi="Arial" w:cs="Arial"/>
          <w:sz w:val="17"/>
          <w:szCs w:val="17"/>
          <w:lang w:val="en-GB"/>
        </w:rPr>
        <w:t xml:space="preserve">accessed February 2, 2017, </w:t>
      </w:r>
      <w:r w:rsidRPr="005F0652">
        <w:rPr>
          <w:rFonts w:ascii="Arial" w:eastAsiaTheme="minorEastAsia" w:hAnsi="Arial" w:cs="Arial"/>
          <w:bCs/>
          <w:sz w:val="17"/>
          <w:szCs w:val="17"/>
          <w:lang w:val="en-GB"/>
        </w:rPr>
        <w:t>http://dbie.rbi.org.in/;</w:t>
      </w:r>
      <w:r w:rsidRPr="005F0652">
        <w:rPr>
          <w:rFonts w:ascii="Arial" w:eastAsiaTheme="minorEastAsia" w:hAnsi="Arial" w:cs="Arial"/>
          <w:sz w:val="17"/>
          <w:szCs w:val="17"/>
          <w:lang w:val="en-GB"/>
        </w:rPr>
        <w:t xml:space="preserve"> Government of India, Open Government Data (OGD) Platform India (website), accessed February 2, 2017, https://data.gov.in.</w:t>
      </w:r>
    </w:p>
    <w:p w14:paraId="0F1E0D64" w14:textId="77777777" w:rsidR="005F0652" w:rsidRPr="005F0652" w:rsidRDefault="005F0652" w:rsidP="005F0652">
      <w:pPr>
        <w:jc w:val="both"/>
        <w:rPr>
          <w:rFonts w:ascii="Arial" w:eastAsiaTheme="minorEastAsia" w:hAnsi="Arial" w:cs="Arial"/>
          <w:lang w:val="en-GB"/>
        </w:rPr>
      </w:pPr>
    </w:p>
    <w:p w14:paraId="0EF4624A" w14:textId="77777777" w:rsidR="005F0652" w:rsidRPr="005F0652" w:rsidRDefault="005F0652" w:rsidP="005F0652">
      <w:pPr>
        <w:jc w:val="both"/>
        <w:rPr>
          <w:rFonts w:ascii="Arial" w:eastAsiaTheme="minorEastAsia" w:hAnsi="Arial" w:cs="Arial"/>
          <w:lang w:val="en-GB"/>
        </w:rPr>
      </w:pPr>
    </w:p>
    <w:p w14:paraId="506B63C2" w14:textId="77777777" w:rsidR="005F0652" w:rsidRPr="005F0652" w:rsidRDefault="005F0652" w:rsidP="005F0652">
      <w:pPr>
        <w:keepNext/>
        <w:jc w:val="center"/>
        <w:rPr>
          <w:rFonts w:ascii="Arial" w:eastAsiaTheme="minorEastAsia" w:hAnsi="Arial" w:cs="Arial"/>
          <w:b/>
          <w:caps/>
          <w:lang w:val="en-GB"/>
        </w:rPr>
      </w:pPr>
      <w:r w:rsidRPr="005F0652">
        <w:rPr>
          <w:rFonts w:ascii="Arial" w:eastAsiaTheme="minorEastAsia" w:hAnsi="Arial" w:cs="Arial"/>
          <w:b/>
          <w:caps/>
          <w:lang w:val="en-GB"/>
        </w:rPr>
        <w:t>EXHIBIT 11: GROSS BANK CREDIT GROWTH (%)</w:t>
      </w:r>
    </w:p>
    <w:p w14:paraId="42DEF021" w14:textId="77777777" w:rsidR="005F0652" w:rsidRPr="005F0652" w:rsidRDefault="005F0652" w:rsidP="005F0652">
      <w:pPr>
        <w:jc w:val="both"/>
        <w:rPr>
          <w:rFonts w:ascii="Arial" w:eastAsiaTheme="minorEastAsia" w:hAnsi="Arial" w:cs="Arial"/>
          <w:lang w:val="en-GB"/>
        </w:rPr>
      </w:pPr>
    </w:p>
    <w:tbl>
      <w:tblPr>
        <w:tblStyle w:val="TableGrid3"/>
        <w:tblW w:w="5000" w:type="pct"/>
        <w:jc w:val="center"/>
        <w:tblLook w:val="04A0" w:firstRow="1" w:lastRow="0" w:firstColumn="1" w:lastColumn="0" w:noHBand="0" w:noVBand="1"/>
      </w:tblPr>
      <w:tblGrid>
        <w:gridCol w:w="3775"/>
        <w:gridCol w:w="1080"/>
        <w:gridCol w:w="3532"/>
        <w:gridCol w:w="963"/>
      </w:tblGrid>
      <w:tr w:rsidR="005F0652" w:rsidRPr="005F0652" w14:paraId="630093FE" w14:textId="77777777" w:rsidTr="00940815">
        <w:trPr>
          <w:trHeight w:val="60"/>
          <w:jc w:val="center"/>
        </w:trPr>
        <w:tc>
          <w:tcPr>
            <w:tcW w:w="3775" w:type="dxa"/>
            <w:noWrap/>
            <w:vAlign w:val="center"/>
            <w:hideMark/>
          </w:tcPr>
          <w:p w14:paraId="7DAEF5FB"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Year</w:t>
            </w:r>
          </w:p>
        </w:tc>
        <w:tc>
          <w:tcPr>
            <w:tcW w:w="1080" w:type="dxa"/>
            <w:noWrap/>
            <w:vAlign w:val="center"/>
            <w:hideMark/>
          </w:tcPr>
          <w:p w14:paraId="3C1F8FC7"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Credit Growth</w:t>
            </w:r>
          </w:p>
        </w:tc>
        <w:tc>
          <w:tcPr>
            <w:tcW w:w="3532" w:type="dxa"/>
            <w:noWrap/>
            <w:vAlign w:val="center"/>
            <w:hideMark/>
          </w:tcPr>
          <w:p w14:paraId="21DB86DB"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Year</w:t>
            </w:r>
          </w:p>
        </w:tc>
        <w:tc>
          <w:tcPr>
            <w:tcW w:w="963" w:type="dxa"/>
            <w:noWrap/>
            <w:vAlign w:val="center"/>
            <w:hideMark/>
          </w:tcPr>
          <w:p w14:paraId="7DD156EC"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Credit Growth</w:t>
            </w:r>
          </w:p>
        </w:tc>
      </w:tr>
      <w:tr w:rsidR="005F0652" w:rsidRPr="005F0652" w14:paraId="70D9B57A" w14:textId="77777777" w:rsidTr="00940815">
        <w:trPr>
          <w:trHeight w:val="60"/>
          <w:jc w:val="center"/>
        </w:trPr>
        <w:tc>
          <w:tcPr>
            <w:tcW w:w="3775" w:type="dxa"/>
            <w:noWrap/>
            <w:vAlign w:val="center"/>
            <w:hideMark/>
          </w:tcPr>
          <w:p w14:paraId="283A65A5"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March 23, 2012–March 22, 2013</w:t>
            </w:r>
          </w:p>
        </w:tc>
        <w:tc>
          <w:tcPr>
            <w:tcW w:w="1080" w:type="dxa"/>
            <w:noWrap/>
            <w:vAlign w:val="center"/>
            <w:hideMark/>
          </w:tcPr>
          <w:p w14:paraId="635A33C5"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13.56</w:t>
            </w:r>
          </w:p>
        </w:tc>
        <w:tc>
          <w:tcPr>
            <w:tcW w:w="3532" w:type="dxa"/>
            <w:noWrap/>
            <w:vAlign w:val="center"/>
            <w:hideMark/>
          </w:tcPr>
          <w:p w14:paraId="1680FBB0"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 xml:space="preserve">December 28, 2012–December 27, 2013 </w:t>
            </w:r>
          </w:p>
        </w:tc>
        <w:tc>
          <w:tcPr>
            <w:tcW w:w="963" w:type="dxa"/>
            <w:noWrap/>
            <w:vAlign w:val="center"/>
            <w:hideMark/>
          </w:tcPr>
          <w:p w14:paraId="6D4450B9"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14.52</w:t>
            </w:r>
          </w:p>
        </w:tc>
      </w:tr>
      <w:tr w:rsidR="005F0652" w:rsidRPr="005F0652" w14:paraId="1337736F" w14:textId="77777777" w:rsidTr="00940815">
        <w:trPr>
          <w:trHeight w:val="60"/>
          <w:jc w:val="center"/>
        </w:trPr>
        <w:tc>
          <w:tcPr>
            <w:tcW w:w="3775" w:type="dxa"/>
            <w:noWrap/>
            <w:vAlign w:val="center"/>
            <w:hideMark/>
          </w:tcPr>
          <w:p w14:paraId="6B13F54A"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March 22, 2013–March 21, 2014</w:t>
            </w:r>
          </w:p>
        </w:tc>
        <w:tc>
          <w:tcPr>
            <w:tcW w:w="1080" w:type="dxa"/>
            <w:noWrap/>
            <w:vAlign w:val="center"/>
            <w:hideMark/>
          </w:tcPr>
          <w:p w14:paraId="77B60E57"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13.22</w:t>
            </w:r>
          </w:p>
        </w:tc>
        <w:tc>
          <w:tcPr>
            <w:tcW w:w="3532" w:type="dxa"/>
            <w:noWrap/>
            <w:vAlign w:val="center"/>
            <w:hideMark/>
          </w:tcPr>
          <w:p w14:paraId="1E51268E"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 xml:space="preserve">December 27, 2013–December 26, 2014 </w:t>
            </w:r>
          </w:p>
        </w:tc>
        <w:tc>
          <w:tcPr>
            <w:tcW w:w="963" w:type="dxa"/>
            <w:noWrap/>
            <w:vAlign w:val="center"/>
            <w:hideMark/>
          </w:tcPr>
          <w:p w14:paraId="2A40CE4F"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9.55</w:t>
            </w:r>
          </w:p>
        </w:tc>
      </w:tr>
      <w:tr w:rsidR="005F0652" w:rsidRPr="005F0652" w14:paraId="4C80359F" w14:textId="77777777" w:rsidTr="00940815">
        <w:trPr>
          <w:trHeight w:val="60"/>
          <w:jc w:val="center"/>
        </w:trPr>
        <w:tc>
          <w:tcPr>
            <w:tcW w:w="3775" w:type="dxa"/>
            <w:noWrap/>
            <w:vAlign w:val="center"/>
            <w:hideMark/>
          </w:tcPr>
          <w:p w14:paraId="51542EC8"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March 21, 2014–March 20, 2015</w:t>
            </w:r>
          </w:p>
        </w:tc>
        <w:tc>
          <w:tcPr>
            <w:tcW w:w="1080" w:type="dxa"/>
            <w:noWrap/>
            <w:vAlign w:val="center"/>
            <w:hideMark/>
          </w:tcPr>
          <w:p w14:paraId="2593971C"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8.57</w:t>
            </w:r>
          </w:p>
        </w:tc>
        <w:tc>
          <w:tcPr>
            <w:tcW w:w="3532" w:type="dxa"/>
            <w:noWrap/>
            <w:vAlign w:val="center"/>
            <w:hideMark/>
          </w:tcPr>
          <w:p w14:paraId="2A18C897"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 xml:space="preserve">December 26, 2014–December 25, 2015 </w:t>
            </w:r>
          </w:p>
        </w:tc>
        <w:tc>
          <w:tcPr>
            <w:tcW w:w="963" w:type="dxa"/>
            <w:noWrap/>
            <w:vAlign w:val="center"/>
            <w:hideMark/>
          </w:tcPr>
          <w:p w14:paraId="13D42445"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8.43</w:t>
            </w:r>
          </w:p>
        </w:tc>
      </w:tr>
      <w:tr w:rsidR="005F0652" w:rsidRPr="005F0652" w14:paraId="5D2F38C3" w14:textId="77777777" w:rsidTr="00940815">
        <w:trPr>
          <w:trHeight w:val="60"/>
          <w:jc w:val="center"/>
        </w:trPr>
        <w:tc>
          <w:tcPr>
            <w:tcW w:w="3775" w:type="dxa"/>
            <w:noWrap/>
            <w:vAlign w:val="center"/>
            <w:hideMark/>
          </w:tcPr>
          <w:p w14:paraId="6D95E455"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 xml:space="preserve">March 20, 2015–March 18, 2016 </w:t>
            </w:r>
          </w:p>
        </w:tc>
        <w:tc>
          <w:tcPr>
            <w:tcW w:w="1080" w:type="dxa"/>
            <w:tcBorders>
              <w:bottom w:val="single" w:sz="4" w:space="0" w:color="auto"/>
            </w:tcBorders>
            <w:noWrap/>
            <w:vAlign w:val="center"/>
            <w:hideMark/>
          </w:tcPr>
          <w:p w14:paraId="2A658D56"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8.97</w:t>
            </w:r>
          </w:p>
        </w:tc>
        <w:tc>
          <w:tcPr>
            <w:tcW w:w="3532" w:type="dxa"/>
            <w:tcBorders>
              <w:bottom w:val="single" w:sz="4" w:space="0" w:color="auto"/>
            </w:tcBorders>
            <w:noWrap/>
            <w:vAlign w:val="center"/>
            <w:hideMark/>
          </w:tcPr>
          <w:p w14:paraId="14EBEAD8"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 xml:space="preserve">December 25, 2015–December 23, 2016 </w:t>
            </w:r>
          </w:p>
        </w:tc>
        <w:tc>
          <w:tcPr>
            <w:tcW w:w="963" w:type="dxa"/>
            <w:tcBorders>
              <w:bottom w:val="single" w:sz="4" w:space="0" w:color="auto"/>
            </w:tcBorders>
            <w:noWrap/>
            <w:vAlign w:val="center"/>
            <w:hideMark/>
          </w:tcPr>
          <w:p w14:paraId="399D28B3"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3.30</w:t>
            </w:r>
          </w:p>
        </w:tc>
      </w:tr>
      <w:tr w:rsidR="005F0652" w:rsidRPr="005F0652" w14:paraId="3CD2EF8E" w14:textId="77777777" w:rsidTr="00940815">
        <w:trPr>
          <w:trHeight w:val="60"/>
          <w:jc w:val="center"/>
        </w:trPr>
        <w:tc>
          <w:tcPr>
            <w:tcW w:w="3775" w:type="dxa"/>
            <w:noWrap/>
            <w:vAlign w:val="center"/>
            <w:hideMark/>
          </w:tcPr>
          <w:p w14:paraId="77A17398" w14:textId="77777777" w:rsidR="005F0652" w:rsidRPr="005F0652" w:rsidRDefault="005F0652" w:rsidP="005F0652">
            <w:pPr>
              <w:rPr>
                <w:rFonts w:ascii="Arial" w:eastAsiaTheme="minorEastAsia" w:hAnsi="Arial" w:cs="Arial"/>
                <w:sz w:val="18"/>
                <w:szCs w:val="18"/>
                <w:lang w:val="en-GB"/>
              </w:rPr>
            </w:pPr>
            <w:r w:rsidRPr="005F0652">
              <w:rPr>
                <w:rFonts w:ascii="Arial" w:eastAsiaTheme="minorEastAsia" w:hAnsi="Arial" w:cs="Arial"/>
                <w:sz w:val="18"/>
                <w:szCs w:val="18"/>
                <w:lang w:val="en-GB"/>
              </w:rPr>
              <w:t xml:space="preserve">March 18, 2016–March 31, 2017 </w:t>
            </w:r>
          </w:p>
        </w:tc>
        <w:tc>
          <w:tcPr>
            <w:tcW w:w="1080" w:type="dxa"/>
            <w:tcBorders>
              <w:right w:val="single" w:sz="4" w:space="0" w:color="auto"/>
            </w:tcBorders>
            <w:noWrap/>
            <w:vAlign w:val="center"/>
            <w:hideMark/>
          </w:tcPr>
          <w:p w14:paraId="07DC777F" w14:textId="77777777" w:rsidR="005F0652" w:rsidRPr="005F0652" w:rsidRDefault="005F0652" w:rsidP="005F0652">
            <w:pPr>
              <w:jc w:val="right"/>
              <w:rPr>
                <w:rFonts w:ascii="Arial" w:eastAsiaTheme="minorEastAsia" w:hAnsi="Arial" w:cs="Arial"/>
                <w:sz w:val="18"/>
                <w:szCs w:val="18"/>
                <w:lang w:val="en-GB"/>
              </w:rPr>
            </w:pPr>
            <w:r w:rsidRPr="005F0652">
              <w:rPr>
                <w:rFonts w:ascii="Arial" w:eastAsiaTheme="minorEastAsia" w:hAnsi="Arial" w:cs="Arial"/>
                <w:sz w:val="18"/>
                <w:szCs w:val="18"/>
                <w:lang w:val="en-GB"/>
              </w:rPr>
              <w:t>7.36</w:t>
            </w:r>
          </w:p>
        </w:tc>
        <w:tc>
          <w:tcPr>
            <w:tcW w:w="3532" w:type="dxa"/>
            <w:tcBorders>
              <w:top w:val="single" w:sz="4" w:space="0" w:color="auto"/>
              <w:left w:val="single" w:sz="4" w:space="0" w:color="auto"/>
              <w:bottom w:val="single" w:sz="4" w:space="0" w:color="auto"/>
              <w:right w:val="nil"/>
            </w:tcBorders>
            <w:noWrap/>
            <w:vAlign w:val="center"/>
            <w:hideMark/>
          </w:tcPr>
          <w:p w14:paraId="2FE0FE8E" w14:textId="77777777" w:rsidR="005F0652" w:rsidRPr="005F0652" w:rsidRDefault="005F0652" w:rsidP="005F0652">
            <w:pPr>
              <w:rPr>
                <w:rFonts w:ascii="Arial" w:eastAsiaTheme="minorEastAsia" w:hAnsi="Arial" w:cs="Arial"/>
                <w:sz w:val="18"/>
                <w:szCs w:val="18"/>
                <w:lang w:val="en-GB"/>
              </w:rPr>
            </w:pPr>
          </w:p>
        </w:tc>
        <w:tc>
          <w:tcPr>
            <w:tcW w:w="963" w:type="dxa"/>
            <w:tcBorders>
              <w:top w:val="single" w:sz="4" w:space="0" w:color="auto"/>
              <w:left w:val="nil"/>
              <w:bottom w:val="single" w:sz="4" w:space="0" w:color="auto"/>
              <w:right w:val="single" w:sz="4" w:space="0" w:color="auto"/>
            </w:tcBorders>
            <w:noWrap/>
            <w:vAlign w:val="center"/>
            <w:hideMark/>
          </w:tcPr>
          <w:p w14:paraId="659268FF" w14:textId="77777777" w:rsidR="005F0652" w:rsidRPr="005F0652" w:rsidRDefault="005F0652" w:rsidP="005F0652">
            <w:pPr>
              <w:jc w:val="right"/>
              <w:rPr>
                <w:rFonts w:ascii="Arial" w:eastAsiaTheme="minorEastAsia" w:hAnsi="Arial" w:cs="Arial"/>
                <w:sz w:val="18"/>
                <w:szCs w:val="18"/>
                <w:lang w:val="en-GB"/>
              </w:rPr>
            </w:pPr>
          </w:p>
        </w:tc>
      </w:tr>
    </w:tbl>
    <w:p w14:paraId="033CEA2A" w14:textId="77777777" w:rsidR="005F0652" w:rsidRPr="005F0652" w:rsidRDefault="005F0652" w:rsidP="005F0652">
      <w:pPr>
        <w:jc w:val="both"/>
        <w:rPr>
          <w:rFonts w:ascii="Arial" w:eastAsiaTheme="minorEastAsia" w:hAnsi="Arial" w:cs="Arial"/>
          <w:lang w:val="en-GB"/>
        </w:rPr>
      </w:pPr>
    </w:p>
    <w:p w14:paraId="52EFFCFC" w14:textId="77777777" w:rsidR="005F0652" w:rsidRPr="005F0652" w:rsidRDefault="005F0652" w:rsidP="005F0652">
      <w:pPr>
        <w:jc w:val="both"/>
        <w:rPr>
          <w:rFonts w:ascii="Arial" w:eastAsiaTheme="minorEastAsia" w:hAnsi="Arial" w:cs="Arial"/>
          <w:sz w:val="17"/>
          <w:szCs w:val="17"/>
          <w:lang w:val="en-GB"/>
        </w:rPr>
      </w:pPr>
      <w:r w:rsidRPr="005F0652">
        <w:rPr>
          <w:rFonts w:ascii="Arial" w:eastAsiaTheme="minorEastAsia" w:hAnsi="Arial" w:cs="Arial"/>
          <w:sz w:val="17"/>
          <w:szCs w:val="17"/>
          <w:lang w:val="en-GB"/>
        </w:rPr>
        <w:t>Source: “Data on Sectoral Deployment of Bank Credit,” Reserve Bank of India, accessed January 17, 2017, www.rbi.org.in/Scripts/Data_Sectoral_Deployment.aspx.</w:t>
      </w:r>
    </w:p>
    <w:p w14:paraId="5BC94470" w14:textId="77777777" w:rsidR="005F0652" w:rsidRPr="005F0652" w:rsidRDefault="005F0652" w:rsidP="005F0652">
      <w:pPr>
        <w:jc w:val="both"/>
        <w:rPr>
          <w:rFonts w:eastAsiaTheme="minorEastAsia"/>
          <w:sz w:val="22"/>
          <w:szCs w:val="22"/>
          <w:lang w:val="en-GB"/>
        </w:rPr>
      </w:pPr>
    </w:p>
    <w:p w14:paraId="535354F4" w14:textId="77777777" w:rsidR="005F0652" w:rsidRPr="005F0652" w:rsidRDefault="005F0652" w:rsidP="005F0652">
      <w:pPr>
        <w:jc w:val="both"/>
        <w:rPr>
          <w:rFonts w:eastAsiaTheme="minorEastAsia"/>
          <w:sz w:val="22"/>
          <w:szCs w:val="22"/>
          <w:lang w:val="en-GB"/>
        </w:rPr>
      </w:pPr>
    </w:p>
    <w:p w14:paraId="3EEEED6E" w14:textId="77777777" w:rsidR="005F0652" w:rsidRPr="005F0652" w:rsidRDefault="005F0652" w:rsidP="005F0652">
      <w:pPr>
        <w:keepNext/>
        <w:jc w:val="center"/>
        <w:rPr>
          <w:rFonts w:ascii="Arial" w:eastAsiaTheme="minorEastAsia" w:hAnsi="Arial" w:cs="Arial"/>
          <w:b/>
          <w:caps/>
          <w:lang w:val="en-GB"/>
        </w:rPr>
      </w:pPr>
      <w:bookmarkStart w:id="20" w:name="_Hlk20391758"/>
      <w:r w:rsidRPr="005F0652">
        <w:rPr>
          <w:rFonts w:ascii="Arial" w:eastAsiaTheme="minorEastAsia" w:hAnsi="Arial" w:cs="Arial"/>
          <w:b/>
          <w:caps/>
          <w:lang w:val="en-GB"/>
        </w:rPr>
        <w:t>EXHIBIT 12: GROSS NPAs TO GROSS ADVANCES and NET NPAs TO NET ADVANCES FOR MAJOR PUBLIC AND PRIVATE SECTOR BANKS (%)</w:t>
      </w:r>
    </w:p>
    <w:bookmarkEnd w:id="20"/>
    <w:p w14:paraId="1512BBC7" w14:textId="77777777" w:rsidR="00DE7677" w:rsidRDefault="00DE7677" w:rsidP="005F0652">
      <w:pPr>
        <w:jc w:val="both"/>
        <w:rPr>
          <w:rFonts w:ascii="Arial" w:eastAsiaTheme="minorEastAsia" w:hAnsi="Arial" w:cs="Arial"/>
          <w:b/>
          <w:bCs/>
          <w:sz w:val="18"/>
          <w:szCs w:val="18"/>
          <w:lang w:val="en-GB"/>
        </w:rPr>
      </w:pPr>
    </w:p>
    <w:p w14:paraId="2EE4D251" w14:textId="77777777" w:rsidR="00DE7677" w:rsidRDefault="00DE7677" w:rsidP="005F0652">
      <w:pPr>
        <w:jc w:val="both"/>
        <w:rPr>
          <w:rFonts w:ascii="Arial" w:eastAsiaTheme="minorEastAsia" w:hAnsi="Arial" w:cs="Arial"/>
          <w:b/>
          <w:bCs/>
          <w:sz w:val="18"/>
          <w:szCs w:val="18"/>
          <w:lang w:val="en-GB"/>
        </w:rPr>
      </w:pPr>
    </w:p>
    <w:p w14:paraId="6F17782A" w14:textId="14254903" w:rsidR="005F0652" w:rsidRPr="00DE7677" w:rsidRDefault="00DE7677" w:rsidP="005F0652">
      <w:pPr>
        <w:jc w:val="both"/>
        <w:rPr>
          <w:rFonts w:ascii="Arial" w:eastAsiaTheme="minorEastAsia" w:hAnsi="Arial" w:cs="Arial"/>
          <w:b/>
          <w:bCs/>
          <w:sz w:val="18"/>
          <w:szCs w:val="18"/>
          <w:lang w:val="en-GB"/>
        </w:rPr>
      </w:pPr>
      <w:r w:rsidRPr="00DE7677">
        <w:rPr>
          <w:rFonts w:ascii="Arial" w:eastAsiaTheme="minorEastAsia" w:hAnsi="Arial" w:cs="Arial"/>
          <w:b/>
          <w:bCs/>
          <w:sz w:val="18"/>
          <w:szCs w:val="18"/>
          <w:lang w:val="en-GB"/>
        </w:rPr>
        <w:t xml:space="preserve">Private </w:t>
      </w:r>
      <w:r>
        <w:rPr>
          <w:rFonts w:ascii="Arial" w:eastAsiaTheme="minorEastAsia" w:hAnsi="Arial" w:cs="Arial"/>
          <w:b/>
          <w:bCs/>
          <w:sz w:val="18"/>
          <w:szCs w:val="18"/>
          <w:lang w:val="en-GB"/>
        </w:rPr>
        <w:t xml:space="preserve">Sector </w:t>
      </w:r>
      <w:r w:rsidRPr="00DE7677">
        <w:rPr>
          <w:rFonts w:ascii="Arial" w:eastAsiaTheme="minorEastAsia" w:hAnsi="Arial" w:cs="Arial"/>
          <w:b/>
          <w:bCs/>
          <w:sz w:val="18"/>
          <w:szCs w:val="18"/>
          <w:lang w:val="en-GB"/>
        </w:rPr>
        <w:t>Banks</w:t>
      </w:r>
    </w:p>
    <w:p w14:paraId="2F12236F" w14:textId="77777777" w:rsidR="00DE7677" w:rsidRPr="005F0652" w:rsidRDefault="00DE7677" w:rsidP="005F0652">
      <w:pPr>
        <w:jc w:val="both"/>
        <w:rPr>
          <w:rFonts w:ascii="Arial" w:eastAsiaTheme="minorEastAsia" w:hAnsi="Arial" w:cs="Arial"/>
          <w:lang w:val="en-GB"/>
        </w:rPr>
      </w:pPr>
    </w:p>
    <w:tbl>
      <w:tblPr>
        <w:tblStyle w:val="TableGrid3"/>
        <w:tblW w:w="9386" w:type="dxa"/>
        <w:jc w:val="center"/>
        <w:tblLayout w:type="fixed"/>
        <w:tblLook w:val="04A0" w:firstRow="1" w:lastRow="0" w:firstColumn="1" w:lastColumn="0" w:noHBand="0" w:noVBand="1"/>
      </w:tblPr>
      <w:tblGrid>
        <w:gridCol w:w="1147"/>
        <w:gridCol w:w="1373"/>
        <w:gridCol w:w="1373"/>
        <w:gridCol w:w="1373"/>
        <w:gridCol w:w="1373"/>
        <w:gridCol w:w="1373"/>
        <w:gridCol w:w="1374"/>
      </w:tblGrid>
      <w:tr w:rsidR="005F0652" w:rsidRPr="005F0652" w14:paraId="13437A31" w14:textId="77777777" w:rsidTr="00940815">
        <w:trPr>
          <w:trHeight w:val="60"/>
          <w:jc w:val="center"/>
        </w:trPr>
        <w:tc>
          <w:tcPr>
            <w:tcW w:w="1147" w:type="dxa"/>
            <w:noWrap/>
            <w:vAlign w:val="center"/>
            <w:hideMark/>
          </w:tcPr>
          <w:p w14:paraId="7269CFFA" w14:textId="77777777" w:rsidR="005F0652" w:rsidRPr="005F0652" w:rsidRDefault="005F0652" w:rsidP="005F0652">
            <w:pPr>
              <w:jc w:val="center"/>
              <w:rPr>
                <w:rFonts w:ascii="Arial" w:eastAsiaTheme="minorEastAsia" w:hAnsi="Arial" w:cs="Arial"/>
                <w:b/>
                <w:bCs/>
                <w:sz w:val="18"/>
                <w:szCs w:val="18"/>
                <w:lang w:val="en-GB"/>
              </w:rPr>
            </w:pPr>
          </w:p>
        </w:tc>
        <w:tc>
          <w:tcPr>
            <w:tcW w:w="2746" w:type="dxa"/>
            <w:gridSpan w:val="2"/>
            <w:noWrap/>
            <w:vAlign w:val="center"/>
            <w:hideMark/>
          </w:tcPr>
          <w:p w14:paraId="605C993D"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ICICI Bank</w:t>
            </w:r>
          </w:p>
        </w:tc>
        <w:tc>
          <w:tcPr>
            <w:tcW w:w="2746" w:type="dxa"/>
            <w:gridSpan w:val="2"/>
            <w:noWrap/>
            <w:vAlign w:val="center"/>
            <w:hideMark/>
          </w:tcPr>
          <w:p w14:paraId="5B6F96E5"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HDFC Bank</w:t>
            </w:r>
          </w:p>
        </w:tc>
        <w:tc>
          <w:tcPr>
            <w:tcW w:w="2747" w:type="dxa"/>
            <w:gridSpan w:val="2"/>
            <w:noWrap/>
            <w:vAlign w:val="center"/>
            <w:hideMark/>
          </w:tcPr>
          <w:p w14:paraId="62FCB1F2" w14:textId="77777777" w:rsidR="005F0652" w:rsidRPr="005F0652" w:rsidRDefault="005F0652" w:rsidP="005F0652">
            <w:pPr>
              <w:jc w:val="center"/>
              <w:rPr>
                <w:rFonts w:ascii="Arial" w:eastAsiaTheme="minorEastAsia" w:hAnsi="Arial" w:cs="Arial"/>
                <w:b/>
                <w:bCs/>
                <w:sz w:val="18"/>
                <w:szCs w:val="18"/>
                <w:lang w:val="en-GB"/>
              </w:rPr>
            </w:pPr>
            <w:r w:rsidRPr="005F0652">
              <w:rPr>
                <w:rFonts w:ascii="Arial" w:eastAsiaTheme="minorEastAsia" w:hAnsi="Arial" w:cs="Arial"/>
                <w:b/>
                <w:bCs/>
                <w:sz w:val="18"/>
                <w:szCs w:val="18"/>
                <w:lang w:val="en-GB"/>
              </w:rPr>
              <w:t>Axis Bank</w:t>
            </w:r>
          </w:p>
        </w:tc>
      </w:tr>
      <w:tr w:rsidR="005F0652" w:rsidRPr="005F0652" w14:paraId="045DAA29" w14:textId="77777777" w:rsidTr="00940815">
        <w:trPr>
          <w:trHeight w:val="60"/>
          <w:jc w:val="center"/>
        </w:trPr>
        <w:tc>
          <w:tcPr>
            <w:tcW w:w="1147" w:type="dxa"/>
            <w:noWrap/>
            <w:vAlign w:val="center"/>
            <w:hideMark/>
          </w:tcPr>
          <w:p w14:paraId="1EB36525"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Year</w:t>
            </w:r>
          </w:p>
        </w:tc>
        <w:tc>
          <w:tcPr>
            <w:tcW w:w="1373" w:type="dxa"/>
            <w:noWrap/>
            <w:vAlign w:val="center"/>
            <w:hideMark/>
          </w:tcPr>
          <w:p w14:paraId="633C10E2"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GNPAs</w:t>
            </w:r>
          </w:p>
        </w:tc>
        <w:tc>
          <w:tcPr>
            <w:tcW w:w="1373" w:type="dxa"/>
            <w:noWrap/>
            <w:vAlign w:val="center"/>
            <w:hideMark/>
          </w:tcPr>
          <w:p w14:paraId="1260A325"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NNPAs</w:t>
            </w:r>
          </w:p>
        </w:tc>
        <w:tc>
          <w:tcPr>
            <w:tcW w:w="1373" w:type="dxa"/>
            <w:noWrap/>
            <w:vAlign w:val="center"/>
            <w:hideMark/>
          </w:tcPr>
          <w:p w14:paraId="205F6B48"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GNPAs</w:t>
            </w:r>
          </w:p>
        </w:tc>
        <w:tc>
          <w:tcPr>
            <w:tcW w:w="1373" w:type="dxa"/>
            <w:noWrap/>
            <w:vAlign w:val="center"/>
            <w:hideMark/>
          </w:tcPr>
          <w:p w14:paraId="07A35C69"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NNPAs</w:t>
            </w:r>
          </w:p>
        </w:tc>
        <w:tc>
          <w:tcPr>
            <w:tcW w:w="1373" w:type="dxa"/>
            <w:noWrap/>
            <w:vAlign w:val="center"/>
            <w:hideMark/>
          </w:tcPr>
          <w:p w14:paraId="211CE4EA"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GNPAs</w:t>
            </w:r>
          </w:p>
        </w:tc>
        <w:tc>
          <w:tcPr>
            <w:tcW w:w="1374" w:type="dxa"/>
            <w:noWrap/>
            <w:vAlign w:val="center"/>
            <w:hideMark/>
          </w:tcPr>
          <w:p w14:paraId="6C86A465" w14:textId="77777777" w:rsidR="005F0652" w:rsidRPr="005F0652" w:rsidRDefault="005F0652" w:rsidP="005F0652">
            <w:pPr>
              <w:jc w:val="center"/>
              <w:rPr>
                <w:rFonts w:ascii="Arial" w:eastAsiaTheme="minorEastAsia" w:hAnsi="Arial" w:cs="Arial"/>
                <w:b/>
                <w:sz w:val="18"/>
                <w:szCs w:val="18"/>
                <w:lang w:val="en-GB"/>
              </w:rPr>
            </w:pPr>
            <w:r w:rsidRPr="005F0652">
              <w:rPr>
                <w:rFonts w:ascii="Arial" w:eastAsiaTheme="minorEastAsia" w:hAnsi="Arial" w:cs="Arial"/>
                <w:b/>
                <w:sz w:val="18"/>
                <w:szCs w:val="18"/>
                <w:lang w:val="en-GB"/>
              </w:rPr>
              <w:t>NNPAs</w:t>
            </w:r>
          </w:p>
        </w:tc>
      </w:tr>
      <w:tr w:rsidR="005F0652" w:rsidRPr="005F0652" w14:paraId="2D4815BD" w14:textId="77777777" w:rsidTr="00940815">
        <w:trPr>
          <w:trHeight w:val="60"/>
          <w:jc w:val="center"/>
        </w:trPr>
        <w:tc>
          <w:tcPr>
            <w:tcW w:w="1147" w:type="dxa"/>
            <w:noWrap/>
            <w:vAlign w:val="center"/>
            <w:hideMark/>
          </w:tcPr>
          <w:p w14:paraId="185596ED"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2014</w:t>
            </w:r>
          </w:p>
        </w:tc>
        <w:tc>
          <w:tcPr>
            <w:tcW w:w="1373" w:type="dxa"/>
            <w:noWrap/>
            <w:vAlign w:val="center"/>
            <w:hideMark/>
          </w:tcPr>
          <w:p w14:paraId="268BC622" w14:textId="77777777" w:rsidR="005F0652" w:rsidRPr="005F0652" w:rsidRDefault="005F0652" w:rsidP="005F0652">
            <w:pPr>
              <w:ind w:right="144"/>
              <w:jc w:val="right"/>
              <w:rPr>
                <w:rFonts w:ascii="Arial" w:eastAsiaTheme="minorEastAsia" w:hAnsi="Arial" w:cs="Arial"/>
                <w:sz w:val="18"/>
                <w:szCs w:val="18"/>
                <w:lang w:val="en-GB"/>
              </w:rPr>
            </w:pPr>
            <w:r w:rsidRPr="005F0652">
              <w:rPr>
                <w:rFonts w:ascii="Arial" w:eastAsiaTheme="minorEastAsia" w:hAnsi="Arial" w:cs="Arial"/>
                <w:sz w:val="18"/>
                <w:szCs w:val="18"/>
                <w:lang w:val="en-GB"/>
              </w:rPr>
              <w:t>3.02</w:t>
            </w:r>
          </w:p>
        </w:tc>
        <w:tc>
          <w:tcPr>
            <w:tcW w:w="1373" w:type="dxa"/>
            <w:noWrap/>
            <w:vAlign w:val="center"/>
            <w:hideMark/>
          </w:tcPr>
          <w:p w14:paraId="5B3CDD7E" w14:textId="77777777" w:rsidR="005F0652" w:rsidRPr="005F0652" w:rsidRDefault="005F0652" w:rsidP="005F0652">
            <w:pPr>
              <w:ind w:right="144"/>
              <w:jc w:val="right"/>
              <w:rPr>
                <w:rFonts w:ascii="Arial" w:eastAsiaTheme="minorEastAsia" w:hAnsi="Arial" w:cs="Arial"/>
                <w:sz w:val="18"/>
                <w:szCs w:val="18"/>
                <w:lang w:val="en-GB"/>
              </w:rPr>
            </w:pPr>
            <w:r w:rsidRPr="005F0652">
              <w:rPr>
                <w:rFonts w:ascii="Arial" w:eastAsiaTheme="minorEastAsia" w:hAnsi="Arial" w:cs="Arial"/>
                <w:sz w:val="18"/>
                <w:szCs w:val="18"/>
                <w:lang w:val="en-GB"/>
              </w:rPr>
              <w:t>0.97</w:t>
            </w:r>
          </w:p>
        </w:tc>
        <w:tc>
          <w:tcPr>
            <w:tcW w:w="1373" w:type="dxa"/>
            <w:noWrap/>
            <w:vAlign w:val="center"/>
            <w:hideMark/>
          </w:tcPr>
          <w:p w14:paraId="490A0E21" w14:textId="77777777" w:rsidR="005F0652" w:rsidRPr="005F0652" w:rsidRDefault="005F0652" w:rsidP="005F0652">
            <w:pPr>
              <w:ind w:right="144"/>
              <w:jc w:val="right"/>
              <w:rPr>
                <w:rFonts w:ascii="Arial" w:eastAsiaTheme="minorEastAsia" w:hAnsi="Arial" w:cs="Arial"/>
                <w:sz w:val="18"/>
                <w:szCs w:val="18"/>
                <w:lang w:val="en-GB"/>
              </w:rPr>
            </w:pPr>
            <w:r w:rsidRPr="005F0652">
              <w:rPr>
                <w:rFonts w:ascii="Arial" w:eastAsiaTheme="minorEastAsia" w:hAnsi="Arial" w:cs="Arial"/>
                <w:sz w:val="18"/>
                <w:szCs w:val="18"/>
                <w:lang w:val="en-GB"/>
              </w:rPr>
              <w:t>0.91</w:t>
            </w:r>
          </w:p>
        </w:tc>
        <w:tc>
          <w:tcPr>
            <w:tcW w:w="1373" w:type="dxa"/>
            <w:noWrap/>
            <w:vAlign w:val="center"/>
            <w:hideMark/>
          </w:tcPr>
          <w:p w14:paraId="21CCDC49" w14:textId="77777777" w:rsidR="005F0652" w:rsidRPr="005F0652" w:rsidRDefault="005F0652" w:rsidP="005F0652">
            <w:pPr>
              <w:ind w:right="144"/>
              <w:jc w:val="right"/>
              <w:rPr>
                <w:rFonts w:ascii="Arial" w:eastAsiaTheme="minorEastAsia" w:hAnsi="Arial" w:cs="Arial"/>
                <w:sz w:val="18"/>
                <w:szCs w:val="18"/>
                <w:lang w:val="en-GB"/>
              </w:rPr>
            </w:pPr>
            <w:r w:rsidRPr="005F0652">
              <w:rPr>
                <w:rFonts w:ascii="Arial" w:eastAsiaTheme="minorEastAsia" w:hAnsi="Arial" w:cs="Arial"/>
                <w:sz w:val="18"/>
                <w:szCs w:val="18"/>
                <w:lang w:val="en-GB"/>
              </w:rPr>
              <w:t>0.27</w:t>
            </w:r>
          </w:p>
        </w:tc>
        <w:tc>
          <w:tcPr>
            <w:tcW w:w="1373" w:type="dxa"/>
            <w:noWrap/>
            <w:vAlign w:val="center"/>
            <w:hideMark/>
          </w:tcPr>
          <w:p w14:paraId="4B2B9D42" w14:textId="77777777" w:rsidR="005F0652" w:rsidRPr="005F0652" w:rsidRDefault="005F0652" w:rsidP="005F0652">
            <w:pPr>
              <w:ind w:right="144"/>
              <w:jc w:val="right"/>
              <w:rPr>
                <w:rFonts w:ascii="Arial" w:eastAsiaTheme="minorEastAsia" w:hAnsi="Arial" w:cs="Arial"/>
                <w:sz w:val="18"/>
                <w:szCs w:val="18"/>
                <w:lang w:val="en-GB"/>
              </w:rPr>
            </w:pPr>
            <w:r w:rsidRPr="005F0652">
              <w:rPr>
                <w:rFonts w:ascii="Arial" w:eastAsiaTheme="minorEastAsia" w:hAnsi="Arial" w:cs="Arial"/>
                <w:sz w:val="18"/>
                <w:szCs w:val="18"/>
                <w:lang w:val="en-GB"/>
              </w:rPr>
              <w:t>1.29</w:t>
            </w:r>
          </w:p>
        </w:tc>
        <w:tc>
          <w:tcPr>
            <w:tcW w:w="1374" w:type="dxa"/>
            <w:noWrap/>
            <w:vAlign w:val="center"/>
            <w:hideMark/>
          </w:tcPr>
          <w:p w14:paraId="633CC46B" w14:textId="77777777" w:rsidR="005F0652" w:rsidRPr="005F0652" w:rsidRDefault="005F0652" w:rsidP="005F0652">
            <w:pPr>
              <w:ind w:right="144"/>
              <w:jc w:val="right"/>
              <w:rPr>
                <w:rFonts w:ascii="Arial" w:eastAsiaTheme="minorEastAsia" w:hAnsi="Arial" w:cs="Arial"/>
                <w:sz w:val="18"/>
                <w:szCs w:val="18"/>
                <w:lang w:val="en-GB"/>
              </w:rPr>
            </w:pPr>
            <w:r w:rsidRPr="005F0652">
              <w:rPr>
                <w:rFonts w:ascii="Arial" w:eastAsiaTheme="minorEastAsia" w:hAnsi="Arial" w:cs="Arial"/>
                <w:sz w:val="18"/>
                <w:szCs w:val="18"/>
                <w:lang w:val="en-GB"/>
              </w:rPr>
              <w:t>0.44</w:t>
            </w:r>
          </w:p>
        </w:tc>
      </w:tr>
      <w:tr w:rsidR="005F0652" w:rsidRPr="005F0652" w14:paraId="629D1FC3" w14:textId="77777777" w:rsidTr="00940815">
        <w:trPr>
          <w:trHeight w:val="60"/>
          <w:jc w:val="center"/>
        </w:trPr>
        <w:tc>
          <w:tcPr>
            <w:tcW w:w="1147" w:type="dxa"/>
            <w:noWrap/>
            <w:vAlign w:val="center"/>
            <w:hideMark/>
          </w:tcPr>
          <w:p w14:paraId="4176B778"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2015</w:t>
            </w:r>
          </w:p>
        </w:tc>
        <w:tc>
          <w:tcPr>
            <w:tcW w:w="1373" w:type="dxa"/>
            <w:noWrap/>
            <w:vAlign w:val="center"/>
            <w:hideMark/>
          </w:tcPr>
          <w:p w14:paraId="02695F33" w14:textId="77777777" w:rsidR="005F0652" w:rsidRPr="005F0652" w:rsidRDefault="005F0652" w:rsidP="005F0652">
            <w:pPr>
              <w:ind w:right="144"/>
              <w:jc w:val="right"/>
              <w:rPr>
                <w:rFonts w:ascii="Arial" w:eastAsiaTheme="minorEastAsia" w:hAnsi="Arial" w:cs="Arial"/>
                <w:sz w:val="18"/>
                <w:szCs w:val="18"/>
                <w:lang w:val="en-GB"/>
              </w:rPr>
            </w:pPr>
            <w:r w:rsidRPr="005F0652">
              <w:rPr>
                <w:rFonts w:ascii="Arial" w:eastAsiaTheme="minorEastAsia" w:hAnsi="Arial" w:cs="Arial"/>
                <w:sz w:val="18"/>
                <w:szCs w:val="18"/>
                <w:lang w:val="en-GB"/>
              </w:rPr>
              <w:t>3.78</w:t>
            </w:r>
          </w:p>
        </w:tc>
        <w:tc>
          <w:tcPr>
            <w:tcW w:w="1373" w:type="dxa"/>
            <w:noWrap/>
            <w:vAlign w:val="center"/>
            <w:hideMark/>
          </w:tcPr>
          <w:p w14:paraId="1F75CA85" w14:textId="77777777" w:rsidR="005F0652" w:rsidRPr="005F0652" w:rsidRDefault="005F0652" w:rsidP="005F0652">
            <w:pPr>
              <w:ind w:right="144"/>
              <w:jc w:val="right"/>
              <w:rPr>
                <w:rFonts w:ascii="Arial" w:eastAsiaTheme="minorEastAsia" w:hAnsi="Arial" w:cs="Arial"/>
                <w:sz w:val="18"/>
                <w:szCs w:val="18"/>
                <w:lang w:val="en-GB"/>
              </w:rPr>
            </w:pPr>
            <w:r w:rsidRPr="005F0652">
              <w:rPr>
                <w:rFonts w:ascii="Arial" w:eastAsiaTheme="minorEastAsia" w:hAnsi="Arial" w:cs="Arial"/>
                <w:sz w:val="18"/>
                <w:szCs w:val="18"/>
                <w:lang w:val="en-GB"/>
              </w:rPr>
              <w:t>1.61</w:t>
            </w:r>
          </w:p>
        </w:tc>
        <w:tc>
          <w:tcPr>
            <w:tcW w:w="1373" w:type="dxa"/>
            <w:noWrap/>
            <w:vAlign w:val="center"/>
            <w:hideMark/>
          </w:tcPr>
          <w:p w14:paraId="04E7237E" w14:textId="77777777" w:rsidR="005F0652" w:rsidRPr="005F0652" w:rsidRDefault="005F0652" w:rsidP="005F0652">
            <w:pPr>
              <w:ind w:right="144"/>
              <w:jc w:val="right"/>
              <w:rPr>
                <w:rFonts w:ascii="Arial" w:eastAsiaTheme="minorEastAsia" w:hAnsi="Arial" w:cs="Arial"/>
                <w:sz w:val="18"/>
                <w:szCs w:val="18"/>
                <w:lang w:val="en-GB"/>
              </w:rPr>
            </w:pPr>
            <w:r w:rsidRPr="005F0652">
              <w:rPr>
                <w:rFonts w:ascii="Arial" w:eastAsiaTheme="minorEastAsia" w:hAnsi="Arial" w:cs="Arial"/>
                <w:sz w:val="18"/>
                <w:szCs w:val="18"/>
                <w:lang w:val="en-GB"/>
              </w:rPr>
              <w:t>0.88</w:t>
            </w:r>
          </w:p>
        </w:tc>
        <w:tc>
          <w:tcPr>
            <w:tcW w:w="1373" w:type="dxa"/>
            <w:noWrap/>
            <w:vAlign w:val="center"/>
            <w:hideMark/>
          </w:tcPr>
          <w:p w14:paraId="324954B8" w14:textId="77777777" w:rsidR="005F0652" w:rsidRPr="005F0652" w:rsidRDefault="005F0652" w:rsidP="005F0652">
            <w:pPr>
              <w:ind w:right="144"/>
              <w:jc w:val="right"/>
              <w:rPr>
                <w:rFonts w:ascii="Arial" w:eastAsiaTheme="minorEastAsia" w:hAnsi="Arial" w:cs="Arial"/>
                <w:sz w:val="18"/>
                <w:szCs w:val="18"/>
                <w:lang w:val="en-GB"/>
              </w:rPr>
            </w:pPr>
            <w:r w:rsidRPr="005F0652">
              <w:rPr>
                <w:rFonts w:ascii="Arial" w:eastAsiaTheme="minorEastAsia" w:hAnsi="Arial" w:cs="Arial"/>
                <w:sz w:val="18"/>
                <w:szCs w:val="18"/>
                <w:lang w:val="en-GB"/>
              </w:rPr>
              <w:t>0.24</w:t>
            </w:r>
          </w:p>
        </w:tc>
        <w:tc>
          <w:tcPr>
            <w:tcW w:w="1373" w:type="dxa"/>
            <w:noWrap/>
            <w:vAlign w:val="center"/>
            <w:hideMark/>
          </w:tcPr>
          <w:p w14:paraId="4243D64F" w14:textId="77777777" w:rsidR="005F0652" w:rsidRPr="005F0652" w:rsidRDefault="005F0652" w:rsidP="005F0652">
            <w:pPr>
              <w:ind w:right="144"/>
              <w:jc w:val="right"/>
              <w:rPr>
                <w:rFonts w:ascii="Arial" w:eastAsiaTheme="minorEastAsia" w:hAnsi="Arial" w:cs="Arial"/>
                <w:sz w:val="18"/>
                <w:szCs w:val="18"/>
                <w:lang w:val="en-GB"/>
              </w:rPr>
            </w:pPr>
            <w:r w:rsidRPr="005F0652">
              <w:rPr>
                <w:rFonts w:ascii="Arial" w:eastAsiaTheme="minorEastAsia" w:hAnsi="Arial" w:cs="Arial"/>
                <w:sz w:val="18"/>
                <w:szCs w:val="18"/>
                <w:lang w:val="en-GB"/>
              </w:rPr>
              <w:t>1.36</w:t>
            </w:r>
          </w:p>
        </w:tc>
        <w:tc>
          <w:tcPr>
            <w:tcW w:w="1374" w:type="dxa"/>
            <w:noWrap/>
            <w:vAlign w:val="center"/>
            <w:hideMark/>
          </w:tcPr>
          <w:p w14:paraId="3F8168C5" w14:textId="77777777" w:rsidR="005F0652" w:rsidRPr="005F0652" w:rsidRDefault="005F0652" w:rsidP="005F0652">
            <w:pPr>
              <w:ind w:right="144"/>
              <w:jc w:val="right"/>
              <w:rPr>
                <w:rFonts w:ascii="Arial" w:eastAsiaTheme="minorEastAsia" w:hAnsi="Arial" w:cs="Arial"/>
                <w:sz w:val="18"/>
                <w:szCs w:val="18"/>
                <w:lang w:val="en-GB"/>
              </w:rPr>
            </w:pPr>
            <w:r w:rsidRPr="005F0652">
              <w:rPr>
                <w:rFonts w:ascii="Arial" w:eastAsiaTheme="minorEastAsia" w:hAnsi="Arial" w:cs="Arial"/>
                <w:sz w:val="18"/>
                <w:szCs w:val="18"/>
                <w:lang w:val="en-GB"/>
              </w:rPr>
              <w:t>0.46</w:t>
            </w:r>
          </w:p>
        </w:tc>
      </w:tr>
      <w:tr w:rsidR="005F0652" w:rsidRPr="005F0652" w14:paraId="2244BD74" w14:textId="77777777" w:rsidTr="00940815">
        <w:trPr>
          <w:trHeight w:val="60"/>
          <w:jc w:val="center"/>
        </w:trPr>
        <w:tc>
          <w:tcPr>
            <w:tcW w:w="1147" w:type="dxa"/>
            <w:noWrap/>
            <w:vAlign w:val="center"/>
            <w:hideMark/>
          </w:tcPr>
          <w:p w14:paraId="40D85FA5" w14:textId="77777777" w:rsidR="005F0652" w:rsidRPr="005F0652" w:rsidRDefault="005F0652" w:rsidP="005F0652">
            <w:pPr>
              <w:jc w:val="center"/>
              <w:rPr>
                <w:rFonts w:ascii="Arial" w:eastAsiaTheme="minorEastAsia" w:hAnsi="Arial" w:cs="Arial"/>
                <w:sz w:val="18"/>
                <w:szCs w:val="18"/>
                <w:lang w:val="en-GB"/>
              </w:rPr>
            </w:pPr>
            <w:r w:rsidRPr="005F0652">
              <w:rPr>
                <w:rFonts w:ascii="Arial" w:eastAsiaTheme="minorEastAsia" w:hAnsi="Arial" w:cs="Arial"/>
                <w:sz w:val="18"/>
                <w:szCs w:val="18"/>
                <w:lang w:val="en-GB"/>
              </w:rPr>
              <w:t>2016</w:t>
            </w:r>
          </w:p>
        </w:tc>
        <w:tc>
          <w:tcPr>
            <w:tcW w:w="1373" w:type="dxa"/>
            <w:noWrap/>
            <w:vAlign w:val="center"/>
            <w:hideMark/>
          </w:tcPr>
          <w:p w14:paraId="47DA14AF" w14:textId="77777777" w:rsidR="005F0652" w:rsidRPr="005F0652" w:rsidRDefault="005F0652" w:rsidP="005F0652">
            <w:pPr>
              <w:ind w:right="144"/>
              <w:jc w:val="right"/>
              <w:rPr>
                <w:rFonts w:ascii="Arial" w:eastAsiaTheme="minorEastAsia" w:hAnsi="Arial" w:cs="Arial"/>
                <w:sz w:val="18"/>
                <w:szCs w:val="18"/>
                <w:lang w:val="en-GB"/>
              </w:rPr>
            </w:pPr>
            <w:r w:rsidRPr="005F0652">
              <w:rPr>
                <w:rFonts w:ascii="Arial" w:eastAsiaTheme="minorEastAsia" w:hAnsi="Arial" w:cs="Arial"/>
                <w:sz w:val="18"/>
                <w:szCs w:val="18"/>
                <w:lang w:val="en-GB"/>
              </w:rPr>
              <w:t>5.82</w:t>
            </w:r>
          </w:p>
        </w:tc>
        <w:tc>
          <w:tcPr>
            <w:tcW w:w="1373" w:type="dxa"/>
            <w:noWrap/>
            <w:vAlign w:val="center"/>
            <w:hideMark/>
          </w:tcPr>
          <w:p w14:paraId="14584BF4" w14:textId="77777777" w:rsidR="005F0652" w:rsidRPr="005F0652" w:rsidRDefault="005F0652" w:rsidP="005F0652">
            <w:pPr>
              <w:ind w:right="144"/>
              <w:jc w:val="right"/>
              <w:rPr>
                <w:rFonts w:ascii="Arial" w:eastAsiaTheme="minorEastAsia" w:hAnsi="Arial" w:cs="Arial"/>
                <w:sz w:val="18"/>
                <w:szCs w:val="18"/>
                <w:lang w:val="en-GB"/>
              </w:rPr>
            </w:pPr>
            <w:r w:rsidRPr="005F0652">
              <w:rPr>
                <w:rFonts w:ascii="Arial" w:eastAsiaTheme="minorEastAsia" w:hAnsi="Arial" w:cs="Arial"/>
                <w:sz w:val="18"/>
                <w:szCs w:val="18"/>
                <w:lang w:val="en-GB"/>
              </w:rPr>
              <w:t>2.97</w:t>
            </w:r>
          </w:p>
        </w:tc>
        <w:tc>
          <w:tcPr>
            <w:tcW w:w="1373" w:type="dxa"/>
            <w:noWrap/>
            <w:vAlign w:val="center"/>
            <w:hideMark/>
          </w:tcPr>
          <w:p w14:paraId="1A6682F8" w14:textId="77777777" w:rsidR="005F0652" w:rsidRPr="005F0652" w:rsidRDefault="005F0652" w:rsidP="005F0652">
            <w:pPr>
              <w:ind w:right="144"/>
              <w:jc w:val="right"/>
              <w:rPr>
                <w:rFonts w:ascii="Arial" w:eastAsiaTheme="minorEastAsia" w:hAnsi="Arial" w:cs="Arial"/>
                <w:sz w:val="18"/>
                <w:szCs w:val="18"/>
                <w:lang w:val="en-GB"/>
              </w:rPr>
            </w:pPr>
            <w:r w:rsidRPr="005F0652">
              <w:rPr>
                <w:rFonts w:ascii="Arial" w:eastAsiaTheme="minorEastAsia" w:hAnsi="Arial" w:cs="Arial"/>
                <w:sz w:val="18"/>
                <w:szCs w:val="18"/>
                <w:lang w:val="en-GB"/>
              </w:rPr>
              <w:t>0.91</w:t>
            </w:r>
          </w:p>
        </w:tc>
        <w:tc>
          <w:tcPr>
            <w:tcW w:w="1373" w:type="dxa"/>
            <w:noWrap/>
            <w:vAlign w:val="center"/>
            <w:hideMark/>
          </w:tcPr>
          <w:p w14:paraId="69BB27D4" w14:textId="77777777" w:rsidR="005F0652" w:rsidRPr="005F0652" w:rsidRDefault="005F0652" w:rsidP="005F0652">
            <w:pPr>
              <w:ind w:right="144"/>
              <w:jc w:val="right"/>
              <w:rPr>
                <w:rFonts w:ascii="Arial" w:eastAsiaTheme="minorEastAsia" w:hAnsi="Arial" w:cs="Arial"/>
                <w:sz w:val="18"/>
                <w:szCs w:val="18"/>
                <w:lang w:val="en-GB"/>
              </w:rPr>
            </w:pPr>
            <w:r w:rsidRPr="005F0652">
              <w:rPr>
                <w:rFonts w:ascii="Arial" w:eastAsiaTheme="minorEastAsia" w:hAnsi="Arial" w:cs="Arial"/>
                <w:sz w:val="18"/>
                <w:szCs w:val="18"/>
                <w:lang w:val="en-GB"/>
              </w:rPr>
              <w:t>0.28</w:t>
            </w:r>
          </w:p>
        </w:tc>
        <w:tc>
          <w:tcPr>
            <w:tcW w:w="1373" w:type="dxa"/>
            <w:noWrap/>
            <w:vAlign w:val="center"/>
            <w:hideMark/>
          </w:tcPr>
          <w:p w14:paraId="4BF3D1A6" w14:textId="77777777" w:rsidR="005F0652" w:rsidRPr="005F0652" w:rsidRDefault="005F0652" w:rsidP="005F0652">
            <w:pPr>
              <w:ind w:right="144"/>
              <w:jc w:val="right"/>
              <w:rPr>
                <w:rFonts w:ascii="Arial" w:eastAsiaTheme="minorEastAsia" w:hAnsi="Arial" w:cs="Arial"/>
                <w:sz w:val="18"/>
                <w:szCs w:val="18"/>
                <w:lang w:val="en-GB"/>
              </w:rPr>
            </w:pPr>
            <w:r w:rsidRPr="005F0652">
              <w:rPr>
                <w:rFonts w:ascii="Arial" w:eastAsiaTheme="minorEastAsia" w:hAnsi="Arial" w:cs="Arial"/>
                <w:sz w:val="18"/>
                <w:szCs w:val="18"/>
                <w:lang w:val="en-GB"/>
              </w:rPr>
              <w:t>1.70</w:t>
            </w:r>
          </w:p>
        </w:tc>
        <w:tc>
          <w:tcPr>
            <w:tcW w:w="1374" w:type="dxa"/>
            <w:noWrap/>
            <w:vAlign w:val="center"/>
            <w:hideMark/>
          </w:tcPr>
          <w:p w14:paraId="63BE9AC7" w14:textId="77777777" w:rsidR="005F0652" w:rsidRPr="005F0652" w:rsidRDefault="005F0652" w:rsidP="005F0652">
            <w:pPr>
              <w:ind w:right="144"/>
              <w:jc w:val="right"/>
              <w:rPr>
                <w:rFonts w:ascii="Arial" w:eastAsiaTheme="minorEastAsia" w:hAnsi="Arial" w:cs="Arial"/>
                <w:sz w:val="18"/>
                <w:szCs w:val="18"/>
                <w:lang w:val="en-GB"/>
              </w:rPr>
            </w:pPr>
            <w:r w:rsidRPr="005F0652">
              <w:rPr>
                <w:rFonts w:ascii="Arial" w:eastAsiaTheme="minorEastAsia" w:hAnsi="Arial" w:cs="Arial"/>
                <w:sz w:val="18"/>
                <w:szCs w:val="18"/>
                <w:lang w:val="en-GB"/>
              </w:rPr>
              <w:t>0.74</w:t>
            </w:r>
          </w:p>
        </w:tc>
      </w:tr>
    </w:tbl>
    <w:p w14:paraId="4224D9F7" w14:textId="4DE579D2" w:rsidR="005F0652" w:rsidRDefault="005F0652" w:rsidP="005F0652">
      <w:pPr>
        <w:jc w:val="both"/>
        <w:rPr>
          <w:rFonts w:ascii="Arial" w:hAnsi="Arial" w:cs="Arial"/>
          <w:lang w:val="en-GB"/>
        </w:rPr>
      </w:pPr>
    </w:p>
    <w:p w14:paraId="1A790EE1" w14:textId="77777777" w:rsidR="00812072" w:rsidRDefault="00812072" w:rsidP="005F0652">
      <w:pPr>
        <w:jc w:val="both"/>
        <w:rPr>
          <w:rFonts w:ascii="Arial" w:hAnsi="Arial" w:cs="Arial"/>
          <w:b/>
          <w:bCs/>
          <w:sz w:val="18"/>
          <w:szCs w:val="18"/>
          <w:lang w:val="en-GB"/>
        </w:rPr>
      </w:pPr>
    </w:p>
    <w:p w14:paraId="56D38D5A" w14:textId="77777777" w:rsidR="00812072" w:rsidRDefault="00812072" w:rsidP="005F0652">
      <w:pPr>
        <w:jc w:val="both"/>
        <w:rPr>
          <w:rFonts w:ascii="Arial" w:hAnsi="Arial" w:cs="Arial"/>
          <w:b/>
          <w:bCs/>
          <w:sz w:val="18"/>
          <w:szCs w:val="18"/>
          <w:lang w:val="en-GB"/>
        </w:rPr>
      </w:pPr>
    </w:p>
    <w:p w14:paraId="32C3419A" w14:textId="77777777" w:rsidR="00812072" w:rsidRDefault="00812072" w:rsidP="005F0652">
      <w:pPr>
        <w:jc w:val="both"/>
        <w:rPr>
          <w:rFonts w:ascii="Arial" w:hAnsi="Arial" w:cs="Arial"/>
          <w:b/>
          <w:bCs/>
          <w:sz w:val="18"/>
          <w:szCs w:val="18"/>
          <w:lang w:val="en-GB"/>
        </w:rPr>
      </w:pPr>
    </w:p>
    <w:p w14:paraId="046F1936" w14:textId="2647F31D" w:rsidR="00812072" w:rsidRDefault="00812072" w:rsidP="00812072">
      <w:pPr>
        <w:pStyle w:val="ExhibitHeading"/>
        <w:rPr>
          <w:lang w:val="en-GB"/>
        </w:rPr>
      </w:pPr>
      <w:r>
        <w:rPr>
          <w:lang w:val="en-GB"/>
        </w:rPr>
        <w:lastRenderedPageBreak/>
        <w:t>Exhibit 12 (continued)</w:t>
      </w:r>
    </w:p>
    <w:p w14:paraId="15116B8C" w14:textId="77777777" w:rsidR="00812072" w:rsidRDefault="00812072" w:rsidP="005F0652">
      <w:pPr>
        <w:jc w:val="both"/>
        <w:rPr>
          <w:rFonts w:ascii="Arial" w:hAnsi="Arial" w:cs="Arial"/>
          <w:b/>
          <w:bCs/>
          <w:sz w:val="18"/>
          <w:szCs w:val="18"/>
          <w:lang w:val="en-GB"/>
        </w:rPr>
      </w:pPr>
    </w:p>
    <w:p w14:paraId="777F4015" w14:textId="06F8E262" w:rsidR="00DE7677" w:rsidRPr="00DE7677" w:rsidRDefault="00DE7677" w:rsidP="005F0652">
      <w:pPr>
        <w:jc w:val="both"/>
        <w:rPr>
          <w:rFonts w:ascii="Arial" w:hAnsi="Arial" w:cs="Arial"/>
          <w:b/>
          <w:bCs/>
          <w:sz w:val="18"/>
          <w:szCs w:val="18"/>
          <w:lang w:val="en-GB"/>
        </w:rPr>
      </w:pPr>
      <w:r>
        <w:rPr>
          <w:rFonts w:ascii="Arial" w:hAnsi="Arial" w:cs="Arial"/>
          <w:b/>
          <w:bCs/>
          <w:sz w:val="18"/>
          <w:szCs w:val="18"/>
          <w:lang w:val="en-GB"/>
        </w:rPr>
        <w:t>Public Sector</w:t>
      </w:r>
      <w:r w:rsidRPr="00DE7677">
        <w:rPr>
          <w:rFonts w:ascii="Arial" w:hAnsi="Arial" w:cs="Arial"/>
          <w:b/>
          <w:bCs/>
          <w:sz w:val="18"/>
          <w:szCs w:val="18"/>
          <w:lang w:val="en-GB"/>
        </w:rPr>
        <w:t xml:space="preserve"> </w:t>
      </w:r>
      <w:r>
        <w:rPr>
          <w:rFonts w:ascii="Arial" w:hAnsi="Arial" w:cs="Arial"/>
          <w:b/>
          <w:bCs/>
          <w:sz w:val="18"/>
          <w:szCs w:val="18"/>
          <w:lang w:val="en-GB"/>
        </w:rPr>
        <w:t>B</w:t>
      </w:r>
      <w:r w:rsidRPr="00DE7677">
        <w:rPr>
          <w:rFonts w:ascii="Arial" w:hAnsi="Arial" w:cs="Arial"/>
          <w:b/>
          <w:bCs/>
          <w:sz w:val="18"/>
          <w:szCs w:val="18"/>
          <w:lang w:val="en-GB"/>
        </w:rPr>
        <w:t>anks</w:t>
      </w:r>
    </w:p>
    <w:p w14:paraId="377CE838" w14:textId="77777777" w:rsidR="00DE7677" w:rsidRDefault="00DE7677" w:rsidP="005F0652">
      <w:pPr>
        <w:jc w:val="both"/>
        <w:rPr>
          <w:rFonts w:ascii="Arial" w:hAnsi="Arial" w:cs="Arial"/>
          <w:lang w:val="en-GB"/>
        </w:rPr>
      </w:pPr>
    </w:p>
    <w:tbl>
      <w:tblPr>
        <w:tblStyle w:val="TableGrid3"/>
        <w:tblW w:w="9461" w:type="dxa"/>
        <w:tblInd w:w="-5" w:type="dxa"/>
        <w:tblLayout w:type="fixed"/>
        <w:tblLook w:val="04A0" w:firstRow="1" w:lastRow="0" w:firstColumn="1" w:lastColumn="0" w:noHBand="0" w:noVBand="1"/>
      </w:tblPr>
      <w:tblGrid>
        <w:gridCol w:w="1056"/>
        <w:gridCol w:w="1400"/>
        <w:gridCol w:w="1401"/>
        <w:gridCol w:w="1401"/>
        <w:gridCol w:w="1400"/>
        <w:gridCol w:w="1401"/>
        <w:gridCol w:w="1402"/>
      </w:tblGrid>
      <w:tr w:rsidR="00DE7677" w:rsidRPr="00EC7C59" w14:paraId="4221A7E6" w14:textId="77777777" w:rsidTr="00DE7677">
        <w:trPr>
          <w:trHeight w:val="251"/>
        </w:trPr>
        <w:tc>
          <w:tcPr>
            <w:tcW w:w="1056" w:type="dxa"/>
            <w:noWrap/>
            <w:vAlign w:val="center"/>
            <w:hideMark/>
          </w:tcPr>
          <w:p w14:paraId="6900CEED" w14:textId="77777777" w:rsidR="00DE7677" w:rsidRPr="00CD2F4A" w:rsidRDefault="00DE7677" w:rsidP="00812072">
            <w:pPr>
              <w:jc w:val="center"/>
              <w:rPr>
                <w:rFonts w:ascii="Arial" w:eastAsiaTheme="minorEastAsia" w:hAnsi="Arial" w:cs="Arial"/>
                <w:b/>
                <w:bCs/>
                <w:sz w:val="18"/>
                <w:szCs w:val="18"/>
              </w:rPr>
            </w:pPr>
          </w:p>
        </w:tc>
        <w:tc>
          <w:tcPr>
            <w:tcW w:w="2801" w:type="dxa"/>
            <w:gridSpan w:val="2"/>
            <w:noWrap/>
            <w:vAlign w:val="center"/>
            <w:hideMark/>
          </w:tcPr>
          <w:p w14:paraId="5F0F54AE" w14:textId="77777777" w:rsidR="00DE7677" w:rsidRPr="00CD2F4A" w:rsidRDefault="00DE7677" w:rsidP="00812072">
            <w:pPr>
              <w:jc w:val="center"/>
              <w:rPr>
                <w:rFonts w:ascii="Arial" w:eastAsiaTheme="minorEastAsia" w:hAnsi="Arial" w:cs="Arial"/>
                <w:b/>
                <w:bCs/>
                <w:sz w:val="18"/>
                <w:szCs w:val="18"/>
              </w:rPr>
            </w:pPr>
            <w:r w:rsidRPr="00CD2F4A">
              <w:rPr>
                <w:rFonts w:ascii="Arial" w:eastAsiaTheme="minorEastAsia" w:hAnsi="Arial" w:cs="Arial"/>
                <w:b/>
                <w:bCs/>
                <w:sz w:val="18"/>
                <w:szCs w:val="18"/>
              </w:rPr>
              <w:t>State Bank of India</w:t>
            </w:r>
          </w:p>
        </w:tc>
        <w:tc>
          <w:tcPr>
            <w:tcW w:w="2801" w:type="dxa"/>
            <w:gridSpan w:val="2"/>
            <w:noWrap/>
            <w:vAlign w:val="center"/>
            <w:hideMark/>
          </w:tcPr>
          <w:p w14:paraId="6A307757" w14:textId="77777777" w:rsidR="00DE7677" w:rsidRPr="00CD2F4A" w:rsidRDefault="00DE7677" w:rsidP="00812072">
            <w:pPr>
              <w:jc w:val="center"/>
              <w:rPr>
                <w:rFonts w:ascii="Arial" w:eastAsiaTheme="minorEastAsia" w:hAnsi="Arial" w:cs="Arial"/>
                <w:b/>
                <w:bCs/>
                <w:sz w:val="18"/>
                <w:szCs w:val="18"/>
              </w:rPr>
            </w:pPr>
            <w:r w:rsidRPr="00CD2F4A">
              <w:rPr>
                <w:rFonts w:ascii="Arial" w:eastAsiaTheme="minorEastAsia" w:hAnsi="Arial" w:cs="Arial"/>
                <w:b/>
                <w:bCs/>
                <w:sz w:val="18"/>
                <w:szCs w:val="18"/>
              </w:rPr>
              <w:t>Punjab National Bank</w:t>
            </w:r>
          </w:p>
        </w:tc>
        <w:tc>
          <w:tcPr>
            <w:tcW w:w="2803" w:type="dxa"/>
            <w:gridSpan w:val="2"/>
            <w:noWrap/>
            <w:vAlign w:val="center"/>
            <w:hideMark/>
          </w:tcPr>
          <w:p w14:paraId="605F4688" w14:textId="77777777" w:rsidR="00DE7677" w:rsidRPr="00CD2F4A" w:rsidRDefault="00DE7677" w:rsidP="00812072">
            <w:pPr>
              <w:jc w:val="center"/>
              <w:rPr>
                <w:rFonts w:ascii="Arial" w:eastAsiaTheme="minorEastAsia" w:hAnsi="Arial" w:cs="Arial"/>
                <w:b/>
                <w:bCs/>
                <w:sz w:val="18"/>
                <w:szCs w:val="18"/>
              </w:rPr>
            </w:pPr>
            <w:r w:rsidRPr="00CD2F4A">
              <w:rPr>
                <w:rFonts w:ascii="Arial" w:eastAsiaTheme="minorEastAsia" w:hAnsi="Arial" w:cs="Arial"/>
                <w:b/>
                <w:bCs/>
                <w:sz w:val="18"/>
                <w:szCs w:val="18"/>
              </w:rPr>
              <w:t>Bank of Baroda</w:t>
            </w:r>
          </w:p>
        </w:tc>
      </w:tr>
      <w:tr w:rsidR="00DE7677" w:rsidRPr="00EC7C59" w14:paraId="2D6234D6" w14:textId="77777777" w:rsidTr="00DE7677">
        <w:trPr>
          <w:trHeight w:val="251"/>
        </w:trPr>
        <w:tc>
          <w:tcPr>
            <w:tcW w:w="1056" w:type="dxa"/>
            <w:noWrap/>
            <w:vAlign w:val="center"/>
            <w:hideMark/>
          </w:tcPr>
          <w:p w14:paraId="2032E9E4" w14:textId="77777777" w:rsidR="00DE7677" w:rsidRPr="00CD2F4A" w:rsidRDefault="00DE7677" w:rsidP="00812072">
            <w:pPr>
              <w:jc w:val="center"/>
              <w:rPr>
                <w:rFonts w:ascii="Arial" w:eastAsiaTheme="minorEastAsia" w:hAnsi="Arial" w:cs="Arial"/>
                <w:b/>
                <w:sz w:val="18"/>
                <w:szCs w:val="18"/>
              </w:rPr>
            </w:pPr>
            <w:r w:rsidRPr="00CD2F4A">
              <w:rPr>
                <w:rFonts w:ascii="Arial" w:eastAsiaTheme="minorEastAsia" w:hAnsi="Arial" w:cs="Arial"/>
                <w:b/>
                <w:bCs/>
                <w:sz w:val="18"/>
                <w:szCs w:val="18"/>
              </w:rPr>
              <w:t>Year</w:t>
            </w:r>
          </w:p>
        </w:tc>
        <w:tc>
          <w:tcPr>
            <w:tcW w:w="1400" w:type="dxa"/>
            <w:noWrap/>
            <w:vAlign w:val="center"/>
            <w:hideMark/>
          </w:tcPr>
          <w:p w14:paraId="5C43804E" w14:textId="77777777" w:rsidR="00DE7677" w:rsidRPr="00CD2F4A" w:rsidRDefault="00DE7677" w:rsidP="00812072">
            <w:pPr>
              <w:jc w:val="center"/>
              <w:rPr>
                <w:rFonts w:ascii="Arial" w:eastAsiaTheme="minorEastAsia" w:hAnsi="Arial" w:cs="Arial"/>
                <w:b/>
                <w:sz w:val="18"/>
                <w:szCs w:val="18"/>
              </w:rPr>
            </w:pPr>
            <w:r w:rsidRPr="00CD2F4A">
              <w:rPr>
                <w:rFonts w:ascii="Arial" w:eastAsiaTheme="minorEastAsia" w:hAnsi="Arial" w:cs="Arial"/>
                <w:b/>
                <w:sz w:val="18"/>
                <w:szCs w:val="18"/>
              </w:rPr>
              <w:t>GNPAs</w:t>
            </w:r>
          </w:p>
        </w:tc>
        <w:tc>
          <w:tcPr>
            <w:tcW w:w="1401" w:type="dxa"/>
            <w:noWrap/>
            <w:vAlign w:val="center"/>
            <w:hideMark/>
          </w:tcPr>
          <w:p w14:paraId="249E1E2F" w14:textId="77777777" w:rsidR="00DE7677" w:rsidRPr="00CD2F4A" w:rsidRDefault="00DE7677" w:rsidP="00812072">
            <w:pPr>
              <w:jc w:val="center"/>
              <w:rPr>
                <w:rFonts w:ascii="Arial" w:eastAsiaTheme="minorEastAsia" w:hAnsi="Arial" w:cs="Arial"/>
                <w:b/>
                <w:sz w:val="18"/>
                <w:szCs w:val="18"/>
              </w:rPr>
            </w:pPr>
            <w:r w:rsidRPr="00CD2F4A">
              <w:rPr>
                <w:rFonts w:ascii="Arial" w:eastAsiaTheme="minorEastAsia" w:hAnsi="Arial" w:cs="Arial"/>
                <w:b/>
                <w:sz w:val="18"/>
                <w:szCs w:val="18"/>
              </w:rPr>
              <w:t>NNPAs</w:t>
            </w:r>
          </w:p>
        </w:tc>
        <w:tc>
          <w:tcPr>
            <w:tcW w:w="1401" w:type="dxa"/>
            <w:noWrap/>
            <w:vAlign w:val="center"/>
            <w:hideMark/>
          </w:tcPr>
          <w:p w14:paraId="60F8AF7D" w14:textId="77777777" w:rsidR="00DE7677" w:rsidRPr="00CD2F4A" w:rsidRDefault="00DE7677" w:rsidP="00812072">
            <w:pPr>
              <w:jc w:val="center"/>
              <w:rPr>
                <w:rFonts w:ascii="Arial" w:eastAsiaTheme="minorEastAsia" w:hAnsi="Arial" w:cs="Arial"/>
                <w:b/>
                <w:sz w:val="18"/>
                <w:szCs w:val="18"/>
              </w:rPr>
            </w:pPr>
            <w:r w:rsidRPr="00CD2F4A">
              <w:rPr>
                <w:rFonts w:ascii="Arial" w:eastAsiaTheme="minorEastAsia" w:hAnsi="Arial" w:cs="Arial"/>
                <w:b/>
                <w:sz w:val="18"/>
                <w:szCs w:val="18"/>
              </w:rPr>
              <w:t>GNPAs</w:t>
            </w:r>
          </w:p>
        </w:tc>
        <w:tc>
          <w:tcPr>
            <w:tcW w:w="1400" w:type="dxa"/>
            <w:noWrap/>
            <w:vAlign w:val="center"/>
            <w:hideMark/>
          </w:tcPr>
          <w:p w14:paraId="3F713403" w14:textId="77777777" w:rsidR="00DE7677" w:rsidRPr="00CD2F4A" w:rsidRDefault="00DE7677" w:rsidP="00812072">
            <w:pPr>
              <w:jc w:val="center"/>
              <w:rPr>
                <w:rFonts w:ascii="Arial" w:eastAsiaTheme="minorEastAsia" w:hAnsi="Arial" w:cs="Arial"/>
                <w:b/>
                <w:sz w:val="18"/>
                <w:szCs w:val="18"/>
              </w:rPr>
            </w:pPr>
            <w:r w:rsidRPr="00CD2F4A">
              <w:rPr>
                <w:rFonts w:ascii="Arial" w:eastAsiaTheme="minorEastAsia" w:hAnsi="Arial" w:cs="Arial"/>
                <w:b/>
                <w:sz w:val="18"/>
                <w:szCs w:val="18"/>
              </w:rPr>
              <w:t>NNPAs</w:t>
            </w:r>
          </w:p>
        </w:tc>
        <w:tc>
          <w:tcPr>
            <w:tcW w:w="1401" w:type="dxa"/>
            <w:noWrap/>
            <w:vAlign w:val="center"/>
            <w:hideMark/>
          </w:tcPr>
          <w:p w14:paraId="74E53C9D" w14:textId="77777777" w:rsidR="00DE7677" w:rsidRPr="00CD2F4A" w:rsidRDefault="00DE7677" w:rsidP="00812072">
            <w:pPr>
              <w:jc w:val="center"/>
              <w:rPr>
                <w:rFonts w:ascii="Arial" w:eastAsiaTheme="minorEastAsia" w:hAnsi="Arial" w:cs="Arial"/>
                <w:b/>
                <w:sz w:val="18"/>
                <w:szCs w:val="18"/>
              </w:rPr>
            </w:pPr>
            <w:r w:rsidRPr="00CD2F4A">
              <w:rPr>
                <w:rFonts w:ascii="Arial" w:eastAsiaTheme="minorEastAsia" w:hAnsi="Arial" w:cs="Arial"/>
                <w:b/>
                <w:sz w:val="18"/>
                <w:szCs w:val="18"/>
              </w:rPr>
              <w:t>GNPAs</w:t>
            </w:r>
          </w:p>
        </w:tc>
        <w:tc>
          <w:tcPr>
            <w:tcW w:w="1402" w:type="dxa"/>
            <w:noWrap/>
            <w:vAlign w:val="center"/>
            <w:hideMark/>
          </w:tcPr>
          <w:p w14:paraId="195357F6" w14:textId="77777777" w:rsidR="00DE7677" w:rsidRPr="00CD2F4A" w:rsidRDefault="00DE7677" w:rsidP="00812072">
            <w:pPr>
              <w:jc w:val="center"/>
              <w:rPr>
                <w:rFonts w:ascii="Arial" w:eastAsiaTheme="minorEastAsia" w:hAnsi="Arial" w:cs="Arial"/>
                <w:b/>
                <w:sz w:val="18"/>
                <w:szCs w:val="18"/>
              </w:rPr>
            </w:pPr>
            <w:r w:rsidRPr="00CD2F4A">
              <w:rPr>
                <w:rFonts w:ascii="Arial" w:eastAsiaTheme="minorEastAsia" w:hAnsi="Arial" w:cs="Arial"/>
                <w:b/>
                <w:sz w:val="18"/>
                <w:szCs w:val="18"/>
              </w:rPr>
              <w:t>NNPAs</w:t>
            </w:r>
          </w:p>
        </w:tc>
      </w:tr>
      <w:tr w:rsidR="00DE7677" w:rsidRPr="00EC7C59" w14:paraId="7BF722EF" w14:textId="77777777" w:rsidTr="00DE7677">
        <w:trPr>
          <w:trHeight w:val="251"/>
        </w:trPr>
        <w:tc>
          <w:tcPr>
            <w:tcW w:w="1056" w:type="dxa"/>
            <w:noWrap/>
            <w:vAlign w:val="center"/>
            <w:hideMark/>
          </w:tcPr>
          <w:p w14:paraId="2B91BFA0" w14:textId="77777777" w:rsidR="00DE7677" w:rsidRPr="00EC7C59" w:rsidRDefault="00DE7677" w:rsidP="00812072">
            <w:pPr>
              <w:jc w:val="center"/>
              <w:rPr>
                <w:rFonts w:ascii="Arial" w:eastAsiaTheme="minorEastAsia" w:hAnsi="Arial" w:cs="Arial"/>
                <w:sz w:val="18"/>
                <w:szCs w:val="18"/>
              </w:rPr>
            </w:pPr>
            <w:r w:rsidRPr="00EC7C59">
              <w:rPr>
                <w:rFonts w:ascii="Arial" w:eastAsiaTheme="minorEastAsia" w:hAnsi="Arial" w:cs="Arial"/>
                <w:sz w:val="18"/>
                <w:szCs w:val="18"/>
              </w:rPr>
              <w:t>2014</w:t>
            </w:r>
          </w:p>
        </w:tc>
        <w:tc>
          <w:tcPr>
            <w:tcW w:w="1400" w:type="dxa"/>
            <w:noWrap/>
            <w:vAlign w:val="center"/>
            <w:hideMark/>
          </w:tcPr>
          <w:p w14:paraId="1171145A" w14:textId="77777777" w:rsidR="00DE7677" w:rsidRPr="00EC7C59" w:rsidRDefault="00DE7677" w:rsidP="00812072">
            <w:pPr>
              <w:ind w:right="144"/>
              <w:jc w:val="right"/>
              <w:rPr>
                <w:rFonts w:ascii="Arial" w:eastAsiaTheme="minorEastAsia" w:hAnsi="Arial" w:cs="Arial"/>
                <w:sz w:val="18"/>
                <w:szCs w:val="18"/>
              </w:rPr>
            </w:pPr>
            <w:r w:rsidRPr="00EC7C59">
              <w:rPr>
                <w:rFonts w:ascii="Arial" w:eastAsiaTheme="minorEastAsia" w:hAnsi="Arial" w:cs="Arial"/>
                <w:sz w:val="18"/>
                <w:szCs w:val="18"/>
              </w:rPr>
              <w:t>4.94</w:t>
            </w:r>
          </w:p>
        </w:tc>
        <w:tc>
          <w:tcPr>
            <w:tcW w:w="1401" w:type="dxa"/>
            <w:noWrap/>
            <w:vAlign w:val="center"/>
            <w:hideMark/>
          </w:tcPr>
          <w:p w14:paraId="3A266F27" w14:textId="77777777" w:rsidR="00DE7677" w:rsidRPr="00EC7C59" w:rsidRDefault="00DE7677" w:rsidP="00812072">
            <w:pPr>
              <w:ind w:right="144"/>
              <w:jc w:val="right"/>
              <w:rPr>
                <w:rFonts w:ascii="Arial" w:eastAsiaTheme="minorEastAsia" w:hAnsi="Arial" w:cs="Arial"/>
                <w:sz w:val="18"/>
                <w:szCs w:val="18"/>
              </w:rPr>
            </w:pPr>
            <w:r w:rsidRPr="00EC7C59">
              <w:rPr>
                <w:rFonts w:ascii="Arial" w:eastAsiaTheme="minorEastAsia" w:hAnsi="Arial" w:cs="Arial"/>
                <w:sz w:val="18"/>
                <w:szCs w:val="18"/>
              </w:rPr>
              <w:t>2.57</w:t>
            </w:r>
          </w:p>
        </w:tc>
        <w:tc>
          <w:tcPr>
            <w:tcW w:w="1401" w:type="dxa"/>
            <w:noWrap/>
            <w:vAlign w:val="center"/>
            <w:hideMark/>
          </w:tcPr>
          <w:p w14:paraId="6F82F652" w14:textId="77777777" w:rsidR="00DE7677" w:rsidRPr="00EC7C59" w:rsidRDefault="00DE7677" w:rsidP="00812072">
            <w:pPr>
              <w:ind w:right="144"/>
              <w:jc w:val="right"/>
              <w:rPr>
                <w:rFonts w:ascii="Arial" w:eastAsiaTheme="minorEastAsia" w:hAnsi="Arial" w:cs="Arial"/>
                <w:sz w:val="18"/>
                <w:szCs w:val="18"/>
              </w:rPr>
            </w:pPr>
            <w:r w:rsidRPr="00EC7C59">
              <w:rPr>
                <w:rFonts w:ascii="Arial" w:eastAsiaTheme="minorEastAsia" w:hAnsi="Arial" w:cs="Arial"/>
                <w:sz w:val="18"/>
                <w:szCs w:val="18"/>
              </w:rPr>
              <w:t>5.25</w:t>
            </w:r>
          </w:p>
        </w:tc>
        <w:tc>
          <w:tcPr>
            <w:tcW w:w="1400" w:type="dxa"/>
            <w:noWrap/>
            <w:vAlign w:val="center"/>
            <w:hideMark/>
          </w:tcPr>
          <w:p w14:paraId="0E3088C0" w14:textId="77777777" w:rsidR="00DE7677" w:rsidRPr="00EC7C59" w:rsidRDefault="00DE7677" w:rsidP="00812072">
            <w:pPr>
              <w:ind w:right="144"/>
              <w:jc w:val="right"/>
              <w:rPr>
                <w:rFonts w:ascii="Arial" w:eastAsiaTheme="minorEastAsia" w:hAnsi="Arial" w:cs="Arial"/>
                <w:sz w:val="18"/>
                <w:szCs w:val="18"/>
              </w:rPr>
            </w:pPr>
            <w:r w:rsidRPr="00EC7C59">
              <w:rPr>
                <w:rFonts w:ascii="Arial" w:eastAsiaTheme="minorEastAsia" w:hAnsi="Arial" w:cs="Arial"/>
                <w:sz w:val="18"/>
                <w:szCs w:val="18"/>
              </w:rPr>
              <w:t>2.83</w:t>
            </w:r>
          </w:p>
        </w:tc>
        <w:tc>
          <w:tcPr>
            <w:tcW w:w="1401" w:type="dxa"/>
            <w:noWrap/>
            <w:vAlign w:val="center"/>
            <w:hideMark/>
          </w:tcPr>
          <w:p w14:paraId="76FAE305" w14:textId="77777777" w:rsidR="00DE7677" w:rsidRPr="00EC7C59" w:rsidRDefault="00DE7677" w:rsidP="00812072">
            <w:pPr>
              <w:ind w:right="144"/>
              <w:jc w:val="right"/>
              <w:rPr>
                <w:rFonts w:ascii="Arial" w:eastAsiaTheme="minorEastAsia" w:hAnsi="Arial" w:cs="Arial"/>
                <w:sz w:val="18"/>
                <w:szCs w:val="18"/>
              </w:rPr>
            </w:pPr>
            <w:r w:rsidRPr="00EC7C59">
              <w:rPr>
                <w:rFonts w:ascii="Arial" w:eastAsiaTheme="minorEastAsia" w:hAnsi="Arial" w:cs="Arial"/>
                <w:sz w:val="18"/>
                <w:szCs w:val="18"/>
              </w:rPr>
              <w:t>2.94</w:t>
            </w:r>
          </w:p>
        </w:tc>
        <w:tc>
          <w:tcPr>
            <w:tcW w:w="1402" w:type="dxa"/>
            <w:noWrap/>
            <w:vAlign w:val="center"/>
            <w:hideMark/>
          </w:tcPr>
          <w:p w14:paraId="11E43CA4" w14:textId="77777777" w:rsidR="00DE7677" w:rsidRPr="00EC7C59" w:rsidRDefault="00DE7677" w:rsidP="00812072">
            <w:pPr>
              <w:ind w:right="144"/>
              <w:jc w:val="right"/>
              <w:rPr>
                <w:rFonts w:ascii="Arial" w:eastAsiaTheme="minorEastAsia" w:hAnsi="Arial" w:cs="Arial"/>
                <w:sz w:val="18"/>
                <w:szCs w:val="18"/>
              </w:rPr>
            </w:pPr>
            <w:r w:rsidRPr="00EC7C59">
              <w:rPr>
                <w:rFonts w:ascii="Arial" w:eastAsiaTheme="minorEastAsia" w:hAnsi="Arial" w:cs="Arial"/>
                <w:sz w:val="18"/>
                <w:szCs w:val="18"/>
              </w:rPr>
              <w:t>1.52</w:t>
            </w:r>
          </w:p>
        </w:tc>
      </w:tr>
      <w:tr w:rsidR="00DE7677" w:rsidRPr="00EC7C59" w14:paraId="51775DAD" w14:textId="77777777" w:rsidTr="00DE7677">
        <w:trPr>
          <w:trHeight w:val="251"/>
        </w:trPr>
        <w:tc>
          <w:tcPr>
            <w:tcW w:w="1056" w:type="dxa"/>
            <w:noWrap/>
            <w:vAlign w:val="center"/>
            <w:hideMark/>
          </w:tcPr>
          <w:p w14:paraId="53043657" w14:textId="77777777" w:rsidR="00DE7677" w:rsidRPr="00EC7C59" w:rsidRDefault="00DE7677" w:rsidP="00812072">
            <w:pPr>
              <w:jc w:val="center"/>
              <w:rPr>
                <w:rFonts w:ascii="Arial" w:eastAsiaTheme="minorEastAsia" w:hAnsi="Arial" w:cs="Arial"/>
                <w:sz w:val="18"/>
                <w:szCs w:val="18"/>
              </w:rPr>
            </w:pPr>
            <w:r w:rsidRPr="00EC7C59">
              <w:rPr>
                <w:rFonts w:ascii="Arial" w:eastAsiaTheme="minorEastAsia" w:hAnsi="Arial" w:cs="Arial"/>
                <w:sz w:val="18"/>
                <w:szCs w:val="18"/>
              </w:rPr>
              <w:t>2015</w:t>
            </w:r>
          </w:p>
        </w:tc>
        <w:tc>
          <w:tcPr>
            <w:tcW w:w="1400" w:type="dxa"/>
            <w:noWrap/>
            <w:vAlign w:val="center"/>
            <w:hideMark/>
          </w:tcPr>
          <w:p w14:paraId="63A589D6" w14:textId="77777777" w:rsidR="00DE7677" w:rsidRPr="00EC7C59" w:rsidRDefault="00DE7677" w:rsidP="00812072">
            <w:pPr>
              <w:ind w:right="144"/>
              <w:jc w:val="right"/>
              <w:rPr>
                <w:rFonts w:ascii="Arial" w:eastAsiaTheme="minorEastAsia" w:hAnsi="Arial" w:cs="Arial"/>
                <w:sz w:val="18"/>
                <w:szCs w:val="18"/>
              </w:rPr>
            </w:pPr>
            <w:r w:rsidRPr="00EC7C59">
              <w:rPr>
                <w:rFonts w:ascii="Arial" w:eastAsiaTheme="minorEastAsia" w:hAnsi="Arial" w:cs="Arial"/>
                <w:sz w:val="18"/>
                <w:szCs w:val="18"/>
              </w:rPr>
              <w:t>4.24</w:t>
            </w:r>
          </w:p>
        </w:tc>
        <w:tc>
          <w:tcPr>
            <w:tcW w:w="1401" w:type="dxa"/>
            <w:noWrap/>
            <w:vAlign w:val="center"/>
            <w:hideMark/>
          </w:tcPr>
          <w:p w14:paraId="60A5B59A" w14:textId="77777777" w:rsidR="00DE7677" w:rsidRPr="00EC7C59" w:rsidRDefault="00DE7677" w:rsidP="00812072">
            <w:pPr>
              <w:ind w:right="144"/>
              <w:jc w:val="right"/>
              <w:rPr>
                <w:rFonts w:ascii="Arial" w:eastAsiaTheme="minorEastAsia" w:hAnsi="Arial" w:cs="Arial"/>
                <w:sz w:val="18"/>
                <w:szCs w:val="18"/>
              </w:rPr>
            </w:pPr>
            <w:r w:rsidRPr="00EC7C59">
              <w:rPr>
                <w:rFonts w:ascii="Arial" w:eastAsiaTheme="minorEastAsia" w:hAnsi="Arial" w:cs="Arial"/>
                <w:sz w:val="18"/>
                <w:szCs w:val="18"/>
              </w:rPr>
              <w:t>2.12</w:t>
            </w:r>
          </w:p>
        </w:tc>
        <w:tc>
          <w:tcPr>
            <w:tcW w:w="1401" w:type="dxa"/>
            <w:noWrap/>
            <w:vAlign w:val="center"/>
            <w:hideMark/>
          </w:tcPr>
          <w:p w14:paraId="5034AD23" w14:textId="77777777" w:rsidR="00DE7677" w:rsidRPr="00EC7C59" w:rsidRDefault="00DE7677" w:rsidP="00812072">
            <w:pPr>
              <w:ind w:right="144"/>
              <w:jc w:val="right"/>
              <w:rPr>
                <w:rFonts w:ascii="Arial" w:eastAsiaTheme="minorEastAsia" w:hAnsi="Arial" w:cs="Arial"/>
                <w:sz w:val="18"/>
                <w:szCs w:val="18"/>
              </w:rPr>
            </w:pPr>
            <w:r w:rsidRPr="00EC7C59">
              <w:rPr>
                <w:rFonts w:ascii="Arial" w:eastAsiaTheme="minorEastAsia" w:hAnsi="Arial" w:cs="Arial"/>
                <w:sz w:val="18"/>
                <w:szCs w:val="18"/>
              </w:rPr>
              <w:t>6.54</w:t>
            </w:r>
          </w:p>
        </w:tc>
        <w:tc>
          <w:tcPr>
            <w:tcW w:w="1400" w:type="dxa"/>
            <w:noWrap/>
            <w:vAlign w:val="center"/>
            <w:hideMark/>
          </w:tcPr>
          <w:p w14:paraId="0FE2E98A" w14:textId="77777777" w:rsidR="00DE7677" w:rsidRPr="00EC7C59" w:rsidRDefault="00DE7677" w:rsidP="00812072">
            <w:pPr>
              <w:ind w:right="144"/>
              <w:jc w:val="right"/>
              <w:rPr>
                <w:rFonts w:ascii="Arial" w:eastAsiaTheme="minorEastAsia" w:hAnsi="Arial" w:cs="Arial"/>
                <w:sz w:val="18"/>
                <w:szCs w:val="18"/>
              </w:rPr>
            </w:pPr>
            <w:r w:rsidRPr="00EC7C59">
              <w:rPr>
                <w:rFonts w:ascii="Arial" w:eastAsiaTheme="minorEastAsia" w:hAnsi="Arial" w:cs="Arial"/>
                <w:sz w:val="18"/>
                <w:szCs w:val="18"/>
              </w:rPr>
              <w:t>4.04</w:t>
            </w:r>
          </w:p>
        </w:tc>
        <w:tc>
          <w:tcPr>
            <w:tcW w:w="1401" w:type="dxa"/>
            <w:noWrap/>
            <w:vAlign w:val="center"/>
            <w:hideMark/>
          </w:tcPr>
          <w:p w14:paraId="0F261419" w14:textId="77777777" w:rsidR="00DE7677" w:rsidRPr="00EC7C59" w:rsidRDefault="00DE7677" w:rsidP="00812072">
            <w:pPr>
              <w:ind w:right="144"/>
              <w:jc w:val="right"/>
              <w:rPr>
                <w:rFonts w:ascii="Arial" w:eastAsiaTheme="minorEastAsia" w:hAnsi="Arial" w:cs="Arial"/>
                <w:sz w:val="18"/>
                <w:szCs w:val="18"/>
              </w:rPr>
            </w:pPr>
            <w:r w:rsidRPr="00EC7C59">
              <w:rPr>
                <w:rFonts w:ascii="Arial" w:eastAsiaTheme="minorEastAsia" w:hAnsi="Arial" w:cs="Arial"/>
                <w:sz w:val="18"/>
                <w:szCs w:val="18"/>
              </w:rPr>
              <w:t>3.71</w:t>
            </w:r>
          </w:p>
        </w:tc>
        <w:tc>
          <w:tcPr>
            <w:tcW w:w="1402" w:type="dxa"/>
            <w:noWrap/>
            <w:vAlign w:val="center"/>
            <w:hideMark/>
          </w:tcPr>
          <w:p w14:paraId="42DDC911" w14:textId="77777777" w:rsidR="00DE7677" w:rsidRPr="00EC7C59" w:rsidRDefault="00DE7677" w:rsidP="00812072">
            <w:pPr>
              <w:ind w:right="144"/>
              <w:jc w:val="right"/>
              <w:rPr>
                <w:rFonts w:ascii="Arial" w:eastAsiaTheme="minorEastAsia" w:hAnsi="Arial" w:cs="Arial"/>
                <w:sz w:val="18"/>
                <w:szCs w:val="18"/>
              </w:rPr>
            </w:pPr>
            <w:r w:rsidRPr="00EC7C59">
              <w:rPr>
                <w:rFonts w:ascii="Arial" w:eastAsiaTheme="minorEastAsia" w:hAnsi="Arial" w:cs="Arial"/>
                <w:sz w:val="18"/>
                <w:szCs w:val="18"/>
              </w:rPr>
              <w:t>1.88</w:t>
            </w:r>
          </w:p>
        </w:tc>
      </w:tr>
      <w:tr w:rsidR="00DE7677" w:rsidRPr="00EC7C59" w14:paraId="74A2ECD4" w14:textId="77777777" w:rsidTr="00DE7677">
        <w:trPr>
          <w:trHeight w:val="251"/>
        </w:trPr>
        <w:tc>
          <w:tcPr>
            <w:tcW w:w="1056" w:type="dxa"/>
            <w:noWrap/>
            <w:vAlign w:val="center"/>
            <w:hideMark/>
          </w:tcPr>
          <w:p w14:paraId="6B51A125" w14:textId="77777777" w:rsidR="00DE7677" w:rsidRPr="00EC7C59" w:rsidRDefault="00DE7677" w:rsidP="00812072">
            <w:pPr>
              <w:jc w:val="center"/>
              <w:rPr>
                <w:rFonts w:ascii="Arial" w:eastAsiaTheme="minorEastAsia" w:hAnsi="Arial" w:cs="Arial"/>
                <w:sz w:val="18"/>
                <w:szCs w:val="18"/>
              </w:rPr>
            </w:pPr>
            <w:r w:rsidRPr="00EC7C59">
              <w:rPr>
                <w:rFonts w:ascii="Arial" w:eastAsiaTheme="minorEastAsia" w:hAnsi="Arial" w:cs="Arial"/>
                <w:sz w:val="18"/>
                <w:szCs w:val="18"/>
              </w:rPr>
              <w:t>2016</w:t>
            </w:r>
          </w:p>
        </w:tc>
        <w:tc>
          <w:tcPr>
            <w:tcW w:w="1400" w:type="dxa"/>
            <w:noWrap/>
            <w:vAlign w:val="center"/>
            <w:hideMark/>
          </w:tcPr>
          <w:p w14:paraId="359FE67A" w14:textId="77777777" w:rsidR="00DE7677" w:rsidRPr="00EC7C59" w:rsidRDefault="00DE7677" w:rsidP="00812072">
            <w:pPr>
              <w:ind w:right="144"/>
              <w:jc w:val="right"/>
              <w:rPr>
                <w:rFonts w:ascii="Arial" w:eastAsiaTheme="minorEastAsia" w:hAnsi="Arial" w:cs="Arial"/>
                <w:sz w:val="18"/>
                <w:szCs w:val="18"/>
              </w:rPr>
            </w:pPr>
            <w:r w:rsidRPr="00EC7C59">
              <w:rPr>
                <w:rFonts w:ascii="Arial" w:eastAsiaTheme="minorEastAsia" w:hAnsi="Arial" w:cs="Arial"/>
                <w:sz w:val="18"/>
                <w:szCs w:val="18"/>
              </w:rPr>
              <w:t>6.50</w:t>
            </w:r>
          </w:p>
        </w:tc>
        <w:tc>
          <w:tcPr>
            <w:tcW w:w="1401" w:type="dxa"/>
            <w:noWrap/>
            <w:vAlign w:val="center"/>
            <w:hideMark/>
          </w:tcPr>
          <w:p w14:paraId="5259AEA9" w14:textId="77777777" w:rsidR="00DE7677" w:rsidRPr="00EC7C59" w:rsidRDefault="00DE7677" w:rsidP="00812072">
            <w:pPr>
              <w:ind w:right="144"/>
              <w:jc w:val="right"/>
              <w:rPr>
                <w:rFonts w:ascii="Arial" w:eastAsiaTheme="minorEastAsia" w:hAnsi="Arial" w:cs="Arial"/>
                <w:sz w:val="18"/>
                <w:szCs w:val="18"/>
              </w:rPr>
            </w:pPr>
            <w:r w:rsidRPr="00EC7C59">
              <w:rPr>
                <w:rFonts w:ascii="Arial" w:eastAsiaTheme="minorEastAsia" w:hAnsi="Arial" w:cs="Arial"/>
                <w:sz w:val="18"/>
                <w:szCs w:val="18"/>
              </w:rPr>
              <w:t>3.81</w:t>
            </w:r>
          </w:p>
        </w:tc>
        <w:tc>
          <w:tcPr>
            <w:tcW w:w="1401" w:type="dxa"/>
            <w:noWrap/>
            <w:vAlign w:val="center"/>
            <w:hideMark/>
          </w:tcPr>
          <w:p w14:paraId="558E6927" w14:textId="77777777" w:rsidR="00DE7677" w:rsidRPr="00EC7C59" w:rsidRDefault="00DE7677" w:rsidP="00812072">
            <w:pPr>
              <w:ind w:right="144"/>
              <w:jc w:val="right"/>
              <w:rPr>
                <w:rFonts w:ascii="Arial" w:eastAsiaTheme="minorEastAsia" w:hAnsi="Arial" w:cs="Arial"/>
                <w:sz w:val="18"/>
                <w:szCs w:val="18"/>
              </w:rPr>
            </w:pPr>
            <w:r w:rsidRPr="00EC7C59">
              <w:rPr>
                <w:rFonts w:ascii="Arial" w:eastAsiaTheme="minorEastAsia" w:hAnsi="Arial" w:cs="Arial"/>
                <w:sz w:val="18"/>
                <w:szCs w:val="18"/>
              </w:rPr>
              <w:t>12.89</w:t>
            </w:r>
          </w:p>
        </w:tc>
        <w:tc>
          <w:tcPr>
            <w:tcW w:w="1400" w:type="dxa"/>
            <w:noWrap/>
            <w:vAlign w:val="center"/>
            <w:hideMark/>
          </w:tcPr>
          <w:p w14:paraId="5364DC40" w14:textId="77777777" w:rsidR="00DE7677" w:rsidRPr="00EC7C59" w:rsidRDefault="00DE7677" w:rsidP="00812072">
            <w:pPr>
              <w:ind w:right="144"/>
              <w:jc w:val="right"/>
              <w:rPr>
                <w:rFonts w:ascii="Arial" w:eastAsiaTheme="minorEastAsia" w:hAnsi="Arial" w:cs="Arial"/>
                <w:sz w:val="18"/>
                <w:szCs w:val="18"/>
              </w:rPr>
            </w:pPr>
            <w:r w:rsidRPr="00EC7C59">
              <w:rPr>
                <w:rFonts w:ascii="Arial" w:eastAsiaTheme="minorEastAsia" w:hAnsi="Arial" w:cs="Arial"/>
                <w:sz w:val="18"/>
                <w:szCs w:val="18"/>
              </w:rPr>
              <w:t>8.59</w:t>
            </w:r>
          </w:p>
        </w:tc>
        <w:tc>
          <w:tcPr>
            <w:tcW w:w="1401" w:type="dxa"/>
            <w:noWrap/>
            <w:vAlign w:val="center"/>
            <w:hideMark/>
          </w:tcPr>
          <w:p w14:paraId="5F627058" w14:textId="77777777" w:rsidR="00DE7677" w:rsidRPr="00EC7C59" w:rsidRDefault="00DE7677" w:rsidP="00812072">
            <w:pPr>
              <w:ind w:right="144"/>
              <w:jc w:val="right"/>
              <w:rPr>
                <w:rFonts w:ascii="Arial" w:eastAsiaTheme="minorEastAsia" w:hAnsi="Arial" w:cs="Arial"/>
                <w:sz w:val="18"/>
                <w:szCs w:val="18"/>
              </w:rPr>
            </w:pPr>
            <w:r w:rsidRPr="00EC7C59">
              <w:rPr>
                <w:rFonts w:ascii="Arial" w:eastAsiaTheme="minorEastAsia" w:hAnsi="Arial" w:cs="Arial"/>
                <w:sz w:val="18"/>
                <w:szCs w:val="18"/>
              </w:rPr>
              <w:t>9.99</w:t>
            </w:r>
          </w:p>
        </w:tc>
        <w:tc>
          <w:tcPr>
            <w:tcW w:w="1402" w:type="dxa"/>
            <w:noWrap/>
            <w:vAlign w:val="center"/>
            <w:hideMark/>
          </w:tcPr>
          <w:p w14:paraId="5E7CCBCA" w14:textId="77777777" w:rsidR="00DE7677" w:rsidRPr="00EC7C59" w:rsidRDefault="00DE7677" w:rsidP="00812072">
            <w:pPr>
              <w:ind w:right="144"/>
              <w:jc w:val="right"/>
              <w:rPr>
                <w:rFonts w:ascii="Arial" w:eastAsiaTheme="minorEastAsia" w:hAnsi="Arial" w:cs="Arial"/>
                <w:sz w:val="18"/>
                <w:szCs w:val="18"/>
              </w:rPr>
            </w:pPr>
            <w:r w:rsidRPr="00EC7C59">
              <w:rPr>
                <w:rFonts w:ascii="Arial" w:eastAsiaTheme="minorEastAsia" w:hAnsi="Arial" w:cs="Arial"/>
                <w:sz w:val="18"/>
                <w:szCs w:val="18"/>
              </w:rPr>
              <w:t>5.05</w:t>
            </w:r>
          </w:p>
        </w:tc>
      </w:tr>
    </w:tbl>
    <w:p w14:paraId="72820FE3" w14:textId="13585591" w:rsidR="00DE7677" w:rsidRDefault="00DE7677" w:rsidP="005F0652">
      <w:pPr>
        <w:jc w:val="both"/>
        <w:rPr>
          <w:rFonts w:ascii="Arial" w:hAnsi="Arial" w:cs="Arial"/>
          <w:lang w:val="en-GB"/>
        </w:rPr>
      </w:pPr>
    </w:p>
    <w:p w14:paraId="3ED769C0" w14:textId="77777777" w:rsidR="00DE7677" w:rsidRPr="005F0652" w:rsidRDefault="00DE7677" w:rsidP="005F0652">
      <w:pPr>
        <w:jc w:val="both"/>
        <w:rPr>
          <w:rFonts w:ascii="Arial" w:hAnsi="Arial" w:cs="Arial"/>
          <w:lang w:val="en-GB"/>
        </w:rPr>
      </w:pPr>
    </w:p>
    <w:p w14:paraId="1ACAB5DE" w14:textId="77777777" w:rsidR="005F0652" w:rsidRPr="005F0652" w:rsidRDefault="005F0652" w:rsidP="005F0652">
      <w:pPr>
        <w:pStyle w:val="Footnote"/>
        <w:rPr>
          <w:rFonts w:eastAsiaTheme="minorEastAsia"/>
          <w:lang w:val="en-GB"/>
        </w:rPr>
      </w:pPr>
      <w:r w:rsidRPr="005F0652">
        <w:rPr>
          <w:rFonts w:eastAsiaTheme="minorEastAsia"/>
          <w:lang w:val="en-GB"/>
        </w:rPr>
        <w:t>Note: All figures are for the financial year April 1 to March 31; NPAs = non-performing assets; GNPAs = gross non-performing assets; NNPAs = net non-performing assets.</w:t>
      </w:r>
    </w:p>
    <w:p w14:paraId="64F1345C" w14:textId="6DAFD705" w:rsidR="005F0652" w:rsidRDefault="005F0652" w:rsidP="005F0652">
      <w:pPr>
        <w:pStyle w:val="Footnote"/>
      </w:pPr>
      <w:r w:rsidRPr="005F0652">
        <w:rPr>
          <w:rFonts w:eastAsiaTheme="minorEastAsia"/>
          <w:lang w:val="en-GB"/>
        </w:rPr>
        <w:t>Source: Database on Indian Economy, Reserve Bank of India, accessed January 12, 2017, https://dbie.rbi.org.in/DBIE/dbie.rbi?site=statistics; Database on Indian Economy, Reserve Bank of India, accessed January 12, 2017, https://dbie.rbi.org.in/DBIE/dbie.rbi?site=publications.</w:t>
      </w:r>
    </w:p>
    <w:p w14:paraId="10F7D481" w14:textId="77777777" w:rsidR="005F0652" w:rsidRDefault="005F0652" w:rsidP="005F0652">
      <w:pPr>
        <w:jc w:val="both"/>
      </w:pPr>
    </w:p>
    <w:p w14:paraId="238F8EFF" w14:textId="77777777" w:rsidR="00812072" w:rsidRDefault="00812072">
      <w:pPr>
        <w:spacing w:after="200" w:line="276" w:lineRule="auto"/>
        <w:rPr>
          <w:rFonts w:ascii="Arial" w:hAnsi="Arial" w:cs="Arial"/>
          <w:b/>
          <w:caps/>
        </w:rPr>
      </w:pPr>
      <w:r>
        <w:br w:type="page"/>
      </w:r>
    </w:p>
    <w:p w14:paraId="3BB7AC83" w14:textId="003F9DA6" w:rsidR="005F0652" w:rsidRDefault="005F0652" w:rsidP="002B40FF">
      <w:pPr>
        <w:pStyle w:val="Casehead1"/>
      </w:pPr>
      <w:r>
        <w:lastRenderedPageBreak/>
        <w:t>endnotes</w:t>
      </w:r>
    </w:p>
    <w:sectPr w:rsidR="005F0652" w:rsidSect="005F0652">
      <w:headerReference w:type="default" r:id="rId12"/>
      <w:endnotePr>
        <w:numFmt w:val="decimal"/>
      </w:endnotePr>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947F3" w14:textId="77777777" w:rsidR="00812072" w:rsidRDefault="00812072" w:rsidP="00D75295">
      <w:r>
        <w:separator/>
      </w:r>
    </w:p>
  </w:endnote>
  <w:endnote w:type="continuationSeparator" w:id="0">
    <w:p w14:paraId="7CFF869A" w14:textId="77777777" w:rsidR="00812072" w:rsidRDefault="00812072" w:rsidP="00D75295">
      <w:r>
        <w:continuationSeparator/>
      </w:r>
    </w:p>
  </w:endnote>
  <w:endnote w:id="1">
    <w:p w14:paraId="7CE89210" w14:textId="77777777" w:rsidR="00812072" w:rsidRPr="000D0D9B" w:rsidRDefault="00812072" w:rsidP="005F0652">
      <w:pPr>
        <w:pStyle w:val="Footnote"/>
      </w:pPr>
      <w:r w:rsidRPr="00B81C3E">
        <w:rPr>
          <w:rStyle w:val="EndnoteReference"/>
        </w:rPr>
        <w:endnoteRef/>
      </w:r>
      <w:r w:rsidRPr="000D0D9B">
        <w:t xml:space="preserve"> This case has been written on the basis of published sources only. Consequently, the </w:t>
      </w:r>
      <w:r>
        <w:t>interpretation and perspective p</w:t>
      </w:r>
      <w:r w:rsidRPr="000D0D9B">
        <w:t xml:space="preserve">resented in this case are not necessarily those of </w:t>
      </w:r>
      <w:r>
        <w:t>t</w:t>
      </w:r>
      <w:r w:rsidRPr="000D0D9B">
        <w:t>he Government of India or any of its employees.</w:t>
      </w:r>
      <w:r>
        <w:t xml:space="preserve"> </w:t>
      </w:r>
      <w:r>
        <w:rPr>
          <w:shd w:val="clear" w:color="auto" w:fill="FFFFFF"/>
        </w:rPr>
        <w:t>This case was awarded an honourable mention in the ISB-Ivey Global Case Competition 2017. The prize was sponsored by ISB.</w:t>
      </w:r>
    </w:p>
  </w:endnote>
  <w:endnote w:id="2">
    <w:p w14:paraId="4D6A09A2" w14:textId="77777777" w:rsidR="00812072" w:rsidRPr="000D0D9B" w:rsidRDefault="00812072" w:rsidP="005F0652">
      <w:pPr>
        <w:pStyle w:val="Footnote"/>
      </w:pPr>
      <w:r w:rsidRPr="00B81C3E">
        <w:rPr>
          <w:rStyle w:val="EndnoteReference"/>
        </w:rPr>
        <w:endnoteRef/>
      </w:r>
      <w:r w:rsidRPr="000D0D9B">
        <w:t xml:space="preserve"> </w:t>
      </w:r>
      <w:r>
        <w:t xml:space="preserve">Unless otherwise indicated, the source for this section is </w:t>
      </w:r>
      <w:r w:rsidRPr="000D0D9B">
        <w:t xml:space="preserve">Barbara Casu, Alessandra Ferrari, and Tianshu Zhao, “Regulatory Reform and Productivity Change in Indian Banking,” </w:t>
      </w:r>
      <w:r w:rsidRPr="000E1DDF">
        <w:rPr>
          <w:i/>
          <w:iCs/>
        </w:rPr>
        <w:t>Review of Economics and Statistics</w:t>
      </w:r>
      <w:r w:rsidRPr="000D0D9B">
        <w:t xml:space="preserve"> 95, no. 3 (2013): 1066–1077; “Committee on Banking Sector Reforms (Narasimham Committee II)—Action Taken on the Recommendations,” Reserve Bank of India, October 31, 2001, accessed July 3, 2017, https://rbidocs.rbi.org.in/rdocs/PublicationReport/Pdfs/24157.pdf.</w:t>
      </w:r>
    </w:p>
  </w:endnote>
  <w:endnote w:id="3">
    <w:p w14:paraId="78007B31" w14:textId="77777777" w:rsidR="00812072" w:rsidRPr="000D0D9B" w:rsidRDefault="00812072" w:rsidP="005F0652">
      <w:pPr>
        <w:pStyle w:val="Footnote"/>
      </w:pPr>
      <w:r w:rsidRPr="00B81C3E">
        <w:rPr>
          <w:rStyle w:val="EndnoteReference"/>
        </w:rPr>
        <w:endnoteRef/>
      </w:r>
      <w:r w:rsidRPr="000D0D9B">
        <w:t xml:space="preserve"> The BoP provided a systematic record of a nation’s transactions with the rest of the world.</w:t>
      </w:r>
    </w:p>
  </w:endnote>
  <w:endnote w:id="4">
    <w:p w14:paraId="458303DB" w14:textId="77777777" w:rsidR="00812072" w:rsidRPr="000D0D9B" w:rsidRDefault="00812072" w:rsidP="005F0652">
      <w:pPr>
        <w:pStyle w:val="Footnote"/>
      </w:pPr>
      <w:r w:rsidRPr="00B81C3E">
        <w:rPr>
          <w:rStyle w:val="EndnoteReference"/>
        </w:rPr>
        <w:endnoteRef/>
      </w:r>
      <w:r w:rsidRPr="000D0D9B">
        <w:rPr>
          <w:vertAlign w:val="superscript"/>
        </w:rPr>
        <w:t xml:space="preserve"> </w:t>
      </w:r>
      <w:r w:rsidRPr="000D0D9B">
        <w:t>Casu, Ferrari, and Zhao, op. cit.</w:t>
      </w:r>
    </w:p>
  </w:endnote>
  <w:endnote w:id="5">
    <w:p w14:paraId="4E37C88B" w14:textId="77777777" w:rsidR="00812072" w:rsidRPr="000D0D9B" w:rsidRDefault="00812072" w:rsidP="005F0652">
      <w:pPr>
        <w:pStyle w:val="Footnote"/>
      </w:pPr>
      <w:r w:rsidRPr="00B81C3E">
        <w:rPr>
          <w:rStyle w:val="EndnoteReference"/>
        </w:rPr>
        <w:endnoteRef/>
      </w:r>
      <w:r w:rsidRPr="000D0D9B">
        <w:t xml:space="preserve"> The CRR was the cash </w:t>
      </w:r>
      <w:r>
        <w:t xml:space="preserve">deposited </w:t>
      </w:r>
      <w:r w:rsidRPr="000D0D9B">
        <w:t>by banks with the RBI.</w:t>
      </w:r>
    </w:p>
  </w:endnote>
  <w:endnote w:id="6">
    <w:p w14:paraId="4D154A1F" w14:textId="77777777" w:rsidR="00812072" w:rsidRPr="000D0D9B" w:rsidRDefault="00812072" w:rsidP="005F0652">
      <w:pPr>
        <w:pStyle w:val="Footnote"/>
      </w:pPr>
      <w:r w:rsidRPr="00B81C3E">
        <w:rPr>
          <w:rStyle w:val="EndnoteReference"/>
        </w:rPr>
        <w:endnoteRef/>
      </w:r>
      <w:r w:rsidRPr="000D0D9B">
        <w:t xml:space="preserve"> The SLR consisted of government securities, cash, gold, and other designated securities.</w:t>
      </w:r>
    </w:p>
  </w:endnote>
  <w:endnote w:id="7">
    <w:p w14:paraId="44C967FF" w14:textId="77777777" w:rsidR="00812072" w:rsidRPr="000D0D9B" w:rsidRDefault="00812072" w:rsidP="005F0652">
      <w:pPr>
        <w:pStyle w:val="Footnote"/>
      </w:pPr>
      <w:r w:rsidRPr="00B81C3E">
        <w:rPr>
          <w:rStyle w:val="EndnoteReference"/>
        </w:rPr>
        <w:endnoteRef/>
      </w:r>
      <w:r w:rsidRPr="000D0D9B">
        <w:t xml:space="preserve"> The CAR was computed by dividing a bank’s capital with aggregated risk-weighted assets for credit risk, market risk, and operational risk. </w:t>
      </w:r>
    </w:p>
  </w:endnote>
  <w:endnote w:id="8">
    <w:p w14:paraId="7DA76837" w14:textId="77777777" w:rsidR="00812072" w:rsidRPr="000D0D9B" w:rsidRDefault="00812072" w:rsidP="005F0652">
      <w:pPr>
        <w:pStyle w:val="Footnote"/>
      </w:pPr>
      <w:r w:rsidRPr="00B81C3E">
        <w:rPr>
          <w:rStyle w:val="EndnoteReference"/>
        </w:rPr>
        <w:endnoteRef/>
      </w:r>
      <w:r w:rsidRPr="000D0D9B">
        <w:rPr>
          <w:vertAlign w:val="superscript"/>
        </w:rPr>
        <w:t xml:space="preserve"> </w:t>
      </w:r>
      <w:r w:rsidRPr="000D0D9B">
        <w:t>“Committee on Banking Sector Reforms (Narasimham Committee II)—Action Taken on the Recommendations,” op. cit.</w:t>
      </w:r>
    </w:p>
  </w:endnote>
  <w:endnote w:id="9">
    <w:p w14:paraId="1A560A3B" w14:textId="77777777" w:rsidR="00812072" w:rsidRPr="000D0D9B" w:rsidRDefault="00812072" w:rsidP="005F0652">
      <w:pPr>
        <w:pStyle w:val="Footnote"/>
      </w:pPr>
      <w:r w:rsidRPr="00B81C3E">
        <w:rPr>
          <w:rStyle w:val="EndnoteReference"/>
        </w:rPr>
        <w:endnoteRef/>
      </w:r>
      <w:r w:rsidRPr="000D0D9B">
        <w:t xml:space="preserve"> “</w:t>
      </w:r>
      <w:r w:rsidRPr="000D0D9B">
        <w:rPr>
          <w:rFonts w:eastAsiaTheme="minorEastAsia"/>
        </w:rPr>
        <w:t>Database on Indian Economy,” Reserve Bank of India, accessed January 9, 2017, https://dbie.rbi.org.in/DBIE/dbie.rbi?site=publications.</w:t>
      </w:r>
    </w:p>
  </w:endnote>
  <w:endnote w:id="10">
    <w:p w14:paraId="71D343D6" w14:textId="77777777" w:rsidR="00812072" w:rsidRPr="000D0D9B" w:rsidRDefault="00812072" w:rsidP="005F0652">
      <w:pPr>
        <w:pStyle w:val="Footnote"/>
      </w:pPr>
      <w:r w:rsidRPr="00B81C3E">
        <w:rPr>
          <w:rStyle w:val="EndnoteReference"/>
        </w:rPr>
        <w:endnoteRef/>
      </w:r>
      <w:r w:rsidRPr="000D0D9B">
        <w:t xml:space="preserve"> Ibid.</w:t>
      </w:r>
    </w:p>
  </w:endnote>
  <w:endnote w:id="11">
    <w:p w14:paraId="50DE50BE" w14:textId="77777777" w:rsidR="00812072" w:rsidRPr="000D0D9B" w:rsidRDefault="00812072" w:rsidP="005F0652">
      <w:pPr>
        <w:pStyle w:val="Footnote"/>
      </w:pPr>
      <w:r w:rsidRPr="00B81C3E">
        <w:rPr>
          <w:rStyle w:val="EndnoteReference"/>
        </w:rPr>
        <w:endnoteRef/>
      </w:r>
      <w:r w:rsidRPr="000D0D9B">
        <w:t xml:space="preserve"> Small finance banks were banks that provided financial services to people </w:t>
      </w:r>
      <w:r>
        <w:t>who</w:t>
      </w:r>
      <w:r w:rsidRPr="000D0D9B">
        <w:t xml:space="preserve"> were not able to access traditional banks.</w:t>
      </w:r>
    </w:p>
  </w:endnote>
  <w:endnote w:id="12">
    <w:p w14:paraId="7BCC675B" w14:textId="77777777" w:rsidR="00812072" w:rsidRPr="000D0D9B" w:rsidRDefault="00812072" w:rsidP="005F0652">
      <w:pPr>
        <w:pStyle w:val="Footnote"/>
      </w:pPr>
      <w:r w:rsidRPr="00B81C3E">
        <w:rPr>
          <w:rStyle w:val="EndnoteReference"/>
        </w:rPr>
        <w:endnoteRef/>
      </w:r>
      <w:r w:rsidRPr="000D0D9B">
        <w:t xml:space="preserve"> “Database on Indian Economy,” op. cit.</w:t>
      </w:r>
    </w:p>
  </w:endnote>
  <w:endnote w:id="13">
    <w:p w14:paraId="6BA60232" w14:textId="77777777" w:rsidR="00812072" w:rsidRPr="000D0D9B" w:rsidRDefault="00812072" w:rsidP="005F0652">
      <w:pPr>
        <w:pStyle w:val="Footnote"/>
      </w:pPr>
      <w:r w:rsidRPr="00B81C3E">
        <w:rPr>
          <w:rStyle w:val="EndnoteReference"/>
        </w:rPr>
        <w:endnoteRef/>
      </w:r>
      <w:r w:rsidRPr="000D0D9B">
        <w:rPr>
          <w:vertAlign w:val="superscript"/>
        </w:rPr>
        <w:t xml:space="preserve"> </w:t>
      </w:r>
      <w:r w:rsidRPr="000D0D9B">
        <w:t xml:space="preserve">Jayati Sarkar and Subrata Sarkar, “Bank Ownership, Board Characteristics and Performance: Evidence from Commercial Banks in India,” </w:t>
      </w:r>
      <w:r w:rsidRPr="000E1DDF">
        <w:rPr>
          <w:i/>
          <w:iCs/>
        </w:rPr>
        <w:t>International Journal of Financial Studies</w:t>
      </w:r>
      <w:r w:rsidRPr="000D0D9B">
        <w:t xml:space="preserve"> 6, no. 7, (2018): 1–29.</w:t>
      </w:r>
    </w:p>
  </w:endnote>
  <w:endnote w:id="14">
    <w:p w14:paraId="5AAF26FB" w14:textId="77777777" w:rsidR="00812072" w:rsidRPr="000D0D9B" w:rsidRDefault="00812072" w:rsidP="005F0652">
      <w:pPr>
        <w:pStyle w:val="Footnote"/>
      </w:pPr>
      <w:r w:rsidRPr="00B81C3E">
        <w:rPr>
          <w:rStyle w:val="EndnoteReference"/>
        </w:rPr>
        <w:endnoteRef/>
      </w:r>
      <w:r w:rsidRPr="000D0D9B">
        <w:t xml:space="preserve"> Biswa Swarup Misra, “The Performance of Regional Rural Banks (RRBs) in India: Has Past Anything to Suggest for Future?” </w:t>
      </w:r>
      <w:r w:rsidRPr="000E1DDF">
        <w:rPr>
          <w:i/>
          <w:iCs/>
        </w:rPr>
        <w:t>Reserve Bank of India Occasional Papers</w:t>
      </w:r>
      <w:r w:rsidRPr="000D0D9B">
        <w:t xml:space="preserve"> 27, no. 1 (2006): 89-118.</w:t>
      </w:r>
    </w:p>
  </w:endnote>
  <w:endnote w:id="15">
    <w:p w14:paraId="0C775DE7" w14:textId="77777777" w:rsidR="00812072" w:rsidRPr="000D0D9B" w:rsidRDefault="00812072" w:rsidP="005F0652">
      <w:pPr>
        <w:pStyle w:val="Footnote"/>
      </w:pPr>
      <w:r w:rsidRPr="00B81C3E">
        <w:rPr>
          <w:rStyle w:val="EndnoteReference"/>
        </w:rPr>
        <w:endnoteRef/>
      </w:r>
      <w:r w:rsidRPr="000D0D9B">
        <w:t xml:space="preserve"> “NPA Issue Is India’s No.1 Macroeconomic Challenge: Arvind Subramanian,” Money</w:t>
      </w:r>
      <w:r>
        <w:t xml:space="preserve"> C</w:t>
      </w:r>
      <w:r w:rsidRPr="000D0D9B">
        <w:t xml:space="preserve">ontrol, March 29, 2017, </w:t>
      </w:r>
      <w:r>
        <w:t xml:space="preserve">accessed September 24, 2019, </w:t>
      </w:r>
      <w:r w:rsidRPr="000D0D9B">
        <w:t xml:space="preserve">www.moneycontrol.com/news/business/economy/npa-issue-is-indias-no-1-macroeconomic-challenge-arvind-subramanian-2248985.html. </w:t>
      </w:r>
    </w:p>
  </w:endnote>
  <w:endnote w:id="16">
    <w:p w14:paraId="5A5A1DEA" w14:textId="77777777" w:rsidR="00812072" w:rsidRPr="000D0D9B" w:rsidRDefault="00812072" w:rsidP="005F0652">
      <w:pPr>
        <w:pStyle w:val="Footnote"/>
      </w:pPr>
      <w:r w:rsidRPr="00B81C3E">
        <w:rPr>
          <w:rStyle w:val="EndnoteReference"/>
        </w:rPr>
        <w:endnoteRef/>
      </w:r>
      <w:r w:rsidRPr="000D0D9B">
        <w:t xml:space="preserve"> Shri S. S. Mundra, “Indian Business Sector: Emerging Challenges and Way Forward” (speech, Reserve Bank of India, Bangalore, India, April 29, 2015), www.rbi.org.in/Scripts/BS_SpeechesView.aspx?Id=955.</w:t>
      </w:r>
    </w:p>
  </w:endnote>
  <w:endnote w:id="17">
    <w:p w14:paraId="4E3A8049" w14:textId="77777777" w:rsidR="00812072" w:rsidRPr="000D0D9B" w:rsidRDefault="00812072" w:rsidP="005F0652">
      <w:pPr>
        <w:pStyle w:val="Footnote"/>
      </w:pPr>
      <w:r w:rsidRPr="00B81C3E">
        <w:rPr>
          <w:rStyle w:val="EndnoteReference"/>
        </w:rPr>
        <w:endnoteRef/>
      </w:r>
      <w:r w:rsidRPr="000D0D9B">
        <w:rPr>
          <w:vertAlign w:val="superscript"/>
        </w:rPr>
        <w:t xml:space="preserve"> </w:t>
      </w:r>
      <w:r w:rsidRPr="000D0D9B">
        <w:t>Raghuram Rajan, “Issues in Banking Today” (speech, Reserve Bank of India, Mumbai, India, February 11, 2016) accessed July 3, 2019, https://rbidocs.rbi.org.in/rdocs/Speeches/PDFs/CIIL11021609A8EB38FFF444DD8461EC3F244FEFA5.PDF.</w:t>
      </w:r>
    </w:p>
  </w:endnote>
  <w:endnote w:id="18">
    <w:p w14:paraId="35584809" w14:textId="77777777" w:rsidR="00812072" w:rsidRPr="000D0D9B" w:rsidRDefault="00812072" w:rsidP="005F0652">
      <w:pPr>
        <w:pStyle w:val="Footnote"/>
      </w:pPr>
      <w:r w:rsidRPr="00B81C3E">
        <w:rPr>
          <w:rStyle w:val="EndnoteReference"/>
        </w:rPr>
        <w:endnoteRef/>
      </w:r>
      <w:r w:rsidRPr="000D0D9B">
        <w:rPr>
          <w:vertAlign w:val="superscript"/>
        </w:rPr>
        <w:t xml:space="preserve"> </w:t>
      </w:r>
      <w:r w:rsidRPr="000D0D9B">
        <w:t xml:space="preserve">Shri S. S. Mundra “Research Imperatives for the Indian Banking Sector” </w:t>
      </w:r>
      <w:r>
        <w:t>(speech, Reserve Bank of India</w:t>
      </w:r>
      <w:r w:rsidRPr="000D0D9B">
        <w:t xml:space="preserve">, January 29, 2016), </w:t>
      </w:r>
      <w:r>
        <w:t xml:space="preserve">accessed September 24, 2019, </w:t>
      </w:r>
      <w:r w:rsidRPr="000D0D9B">
        <w:t>https://rbidocs.rbi.org.in/rdocs/Speeches/PDFs/ISB0116C7FBEC67580A4825994D0C42E9605BA7.PDF.</w:t>
      </w:r>
    </w:p>
  </w:endnote>
  <w:endnote w:id="19">
    <w:p w14:paraId="16D0611B" w14:textId="77777777" w:rsidR="00812072" w:rsidRPr="000D0D9B" w:rsidRDefault="00812072" w:rsidP="005F0652">
      <w:pPr>
        <w:pStyle w:val="Footnote"/>
      </w:pPr>
      <w:r w:rsidRPr="00B81C3E">
        <w:rPr>
          <w:rStyle w:val="EndnoteReference"/>
        </w:rPr>
        <w:endnoteRef/>
      </w:r>
      <w:r w:rsidRPr="000D0D9B">
        <w:t xml:space="preserve"> P. Vaidyanathan Iyer, “Govt Plans to Defuse Ticking Bank Bomb,” </w:t>
      </w:r>
      <w:r w:rsidRPr="000E1DDF">
        <w:rPr>
          <w:i/>
          <w:iCs/>
        </w:rPr>
        <w:t>Indian Express</w:t>
      </w:r>
      <w:r w:rsidRPr="000D0D9B">
        <w:t xml:space="preserve">, February 1, 2016, accessed July 3, 2019, http://indianexpress.com/article/business/economy/govt-plans-to-defuse-ticking-bank-bomb. </w:t>
      </w:r>
    </w:p>
  </w:endnote>
  <w:endnote w:id="20">
    <w:p w14:paraId="532A087F" w14:textId="77777777" w:rsidR="00812072" w:rsidRPr="000D0D9B" w:rsidRDefault="00812072" w:rsidP="005F0652">
      <w:pPr>
        <w:pStyle w:val="Footnote"/>
      </w:pPr>
      <w:r w:rsidRPr="00B81C3E">
        <w:rPr>
          <w:rStyle w:val="EndnoteReference"/>
        </w:rPr>
        <w:endnoteRef/>
      </w:r>
      <w:r w:rsidRPr="000D0D9B">
        <w:rPr>
          <w:vertAlign w:val="superscript"/>
        </w:rPr>
        <w:t xml:space="preserve"> </w:t>
      </w:r>
      <w:r w:rsidRPr="000D0D9B">
        <w:t xml:space="preserve">ENS Economic Bureau, “NPA Challenge the Biggest before Centre: Arvind Panagariya,” </w:t>
      </w:r>
      <w:r w:rsidRPr="000D0D9B">
        <w:rPr>
          <w:i/>
        </w:rPr>
        <w:t>Indian Express</w:t>
      </w:r>
      <w:r w:rsidRPr="000D0D9B">
        <w:t xml:space="preserve">, April 5, 2016, </w:t>
      </w:r>
      <w:r>
        <w:t xml:space="preserve">accessed September 24, 2019, </w:t>
      </w:r>
      <w:r w:rsidRPr="000D0D9B">
        <w:t xml:space="preserve">http://indianexpress.com/article/business/banking-and-finance/npa-challenge-the-biggest-before-centre-arvind-panagariya. </w:t>
      </w:r>
    </w:p>
  </w:endnote>
  <w:endnote w:id="21">
    <w:p w14:paraId="0E94D91D" w14:textId="77777777" w:rsidR="00812072" w:rsidRPr="000D0D9B" w:rsidRDefault="00812072" w:rsidP="005F0652">
      <w:pPr>
        <w:pStyle w:val="Footnote"/>
        <w:rPr>
          <w:spacing w:val="-2"/>
        </w:rPr>
      </w:pPr>
      <w:r w:rsidRPr="00B81C3E">
        <w:rPr>
          <w:rStyle w:val="EndnoteReference"/>
        </w:rPr>
        <w:endnoteRef/>
      </w:r>
      <w:r w:rsidRPr="000D0D9B">
        <w:rPr>
          <w:spacing w:val="-2"/>
        </w:rPr>
        <w:t xml:space="preserve"> ROE was obtained as the ratio of net profit to average equity (capital plus reserves and surplus); ROA was the ratio of net profit to average assets; credit deposit ratio was the ratio of advances to deposits; and net interest margin was the ratio of net interest income to average total assets. All these ratios were expressed in percentages, and for the table in the case exhibits, ratios have been taken</w:t>
      </w:r>
      <w:r>
        <w:rPr>
          <w:spacing w:val="-2"/>
        </w:rPr>
        <w:t xml:space="preserve"> by group</w:t>
      </w:r>
      <w:r w:rsidRPr="000D0D9B">
        <w:rPr>
          <w:spacing w:val="-2"/>
        </w:rPr>
        <w:t>. ROA, for example, has been estimated as the weighted average of the ROA of individual banks, with weights being proportional to the total assets of banks as a percentage of the total assets of all the banks in a group.</w:t>
      </w:r>
    </w:p>
  </w:endnote>
  <w:endnote w:id="22">
    <w:p w14:paraId="7F59F35D" w14:textId="77777777" w:rsidR="00812072" w:rsidRPr="009077AD" w:rsidRDefault="00812072" w:rsidP="005F0652">
      <w:pPr>
        <w:pStyle w:val="Footnote"/>
        <w:rPr>
          <w:spacing w:val="-4"/>
        </w:rPr>
      </w:pPr>
      <w:r w:rsidRPr="00B81C3E">
        <w:rPr>
          <w:rStyle w:val="EndnoteReference"/>
        </w:rPr>
        <w:endnoteRef/>
      </w:r>
      <w:r w:rsidRPr="000D0D9B">
        <w:rPr>
          <w:spacing w:val="-4"/>
          <w:vertAlign w:val="superscript"/>
        </w:rPr>
        <w:t xml:space="preserve"> </w:t>
      </w:r>
      <w:r>
        <w:t>Unless otherwise indicated, the source for this section is</w:t>
      </w:r>
      <w:r w:rsidRPr="000D0D9B">
        <w:rPr>
          <w:spacing w:val="-4"/>
        </w:rPr>
        <w:t xml:space="preserve"> “Master Circular—Prudential Norms on Income Recognition, Asset Classification and Provisioning Pertaining to Advances,” Reserve Bank of India, July 1, 2015, accessed July 3, 2019, www.rbi.org.in/Scripts/BS_ViewMasCirculardetails.aspx?id=9908#mc1; </w:t>
      </w:r>
      <w:bookmarkStart w:id="13" w:name="_Hlk21257306"/>
      <w:r w:rsidRPr="000D0D9B">
        <w:rPr>
          <w:spacing w:val="-4"/>
        </w:rPr>
        <w:t xml:space="preserve">Amaresh </w:t>
      </w:r>
      <w:r w:rsidRPr="009077AD">
        <w:rPr>
          <w:spacing w:val="-4"/>
        </w:rPr>
        <w:t xml:space="preserve">Samantaraya, “Procyclical Credit Growth and Bank NPAs in India,” </w:t>
      </w:r>
      <w:r w:rsidRPr="009077AD">
        <w:rPr>
          <w:i/>
          <w:iCs/>
          <w:spacing w:val="-4"/>
        </w:rPr>
        <w:t>Economic and Political Weekly</w:t>
      </w:r>
      <w:r w:rsidRPr="009077AD">
        <w:rPr>
          <w:spacing w:val="-4"/>
        </w:rPr>
        <w:t xml:space="preserve"> 51, no. 12 (2016).</w:t>
      </w:r>
    </w:p>
    <w:bookmarkEnd w:id="13"/>
  </w:endnote>
  <w:endnote w:id="23">
    <w:p w14:paraId="38DA4214" w14:textId="77777777" w:rsidR="00812072" w:rsidRPr="009077AD" w:rsidRDefault="00812072" w:rsidP="005F0652">
      <w:pPr>
        <w:pStyle w:val="Footnote"/>
        <w:rPr>
          <w:spacing w:val="-2"/>
        </w:rPr>
      </w:pPr>
      <w:r w:rsidRPr="009077AD">
        <w:rPr>
          <w:rStyle w:val="EndnoteReference"/>
        </w:rPr>
        <w:endnoteRef/>
      </w:r>
      <w:r w:rsidRPr="009077AD">
        <w:rPr>
          <w:spacing w:val="-2"/>
        </w:rPr>
        <w:t xml:space="preserve"> Gross NPAs referred to the principal dues of NPAs plus funded interest term loans where the contra credit is held in a sundries account (interest capitalization − restructured accounts), with regard to NPA accounts. Net NPAs = Gross NPA − (balance in interest suspense account + deposit insurance and credit guarantee corporation/export credit guarantee corporation of India claims received and held pending adjustment + part payment received and kept in suspense account + total provisions held). </w:t>
      </w:r>
    </w:p>
  </w:endnote>
  <w:endnote w:id="24">
    <w:p w14:paraId="2825C685" w14:textId="77777777" w:rsidR="00812072" w:rsidRPr="009077AD" w:rsidRDefault="00812072" w:rsidP="005F0652">
      <w:pPr>
        <w:pStyle w:val="Footnote"/>
      </w:pPr>
      <w:r w:rsidRPr="009077AD">
        <w:rPr>
          <w:rStyle w:val="EndnoteReference"/>
        </w:rPr>
        <w:endnoteRef/>
      </w:r>
      <w:r w:rsidRPr="009077AD">
        <w:rPr>
          <w:vertAlign w:val="superscript"/>
        </w:rPr>
        <w:t xml:space="preserve"> </w:t>
      </w:r>
      <w:r w:rsidRPr="009077AD">
        <w:t xml:space="preserve">Restructuring was the process whereby banks granted concessions to a borrower that it would not otherwise consider. The process would typically involve modifications of the terms of advances or securities. </w:t>
      </w:r>
    </w:p>
  </w:endnote>
  <w:endnote w:id="25">
    <w:p w14:paraId="4C3D9A35" w14:textId="77777777" w:rsidR="00812072" w:rsidRPr="009077AD" w:rsidRDefault="00812072" w:rsidP="005F0652">
      <w:pPr>
        <w:pStyle w:val="Footnote"/>
      </w:pPr>
      <w:r w:rsidRPr="009077AD">
        <w:rPr>
          <w:rStyle w:val="EndnoteReference"/>
        </w:rPr>
        <w:endnoteRef/>
      </w:r>
      <w:r w:rsidRPr="009077AD">
        <w:rPr>
          <w:vertAlign w:val="superscript"/>
        </w:rPr>
        <w:t xml:space="preserve"> </w:t>
      </w:r>
      <w:r w:rsidRPr="009077AD">
        <w:t xml:space="preserve">The provisioning for restructured standard accounts increased from between 2 to 2.75 per cent in November 2012 to 5 per cent in June 2013. </w:t>
      </w:r>
    </w:p>
  </w:endnote>
  <w:endnote w:id="26">
    <w:p w14:paraId="7251BE70" w14:textId="77777777" w:rsidR="00812072" w:rsidRPr="000D0D9B" w:rsidRDefault="00812072" w:rsidP="005F0652">
      <w:pPr>
        <w:pStyle w:val="Footnote"/>
      </w:pPr>
      <w:r w:rsidRPr="009077AD">
        <w:rPr>
          <w:rStyle w:val="EndnoteReference"/>
        </w:rPr>
        <w:endnoteRef/>
      </w:r>
      <w:r w:rsidRPr="009077AD">
        <w:t xml:space="preserve"> Total stressed assets were computed as the ratio of gross NPAs plus restructured standard advances</w:t>
      </w:r>
      <w:r w:rsidRPr="000D0D9B">
        <w:t xml:space="preserve"> to gross advances. </w:t>
      </w:r>
    </w:p>
  </w:endnote>
  <w:endnote w:id="27">
    <w:p w14:paraId="4503D110" w14:textId="77777777" w:rsidR="00812072" w:rsidRPr="000D0D9B" w:rsidRDefault="00812072" w:rsidP="005F0652">
      <w:pPr>
        <w:pStyle w:val="Footnote"/>
        <w:rPr>
          <w:spacing w:val="-4"/>
        </w:rPr>
      </w:pPr>
      <w:r w:rsidRPr="00B81C3E">
        <w:rPr>
          <w:rStyle w:val="EndnoteReference"/>
        </w:rPr>
        <w:endnoteRef/>
      </w:r>
      <w:r w:rsidRPr="000D0D9B">
        <w:rPr>
          <w:spacing w:val="-4"/>
          <w:vertAlign w:val="superscript"/>
        </w:rPr>
        <w:t xml:space="preserve"> “</w:t>
      </w:r>
      <w:r w:rsidRPr="000D0D9B">
        <w:rPr>
          <w:spacing w:val="-4"/>
        </w:rPr>
        <w:t xml:space="preserve">Master Circular—Prudential Norms on Income Recognition, Asset Classification and Provisioning Pertaining to Advances,” op. cit. </w:t>
      </w:r>
    </w:p>
  </w:endnote>
  <w:endnote w:id="28">
    <w:p w14:paraId="3E782EC0" w14:textId="77777777" w:rsidR="00812072" w:rsidRPr="000D0D9B" w:rsidRDefault="00812072" w:rsidP="005F0652">
      <w:pPr>
        <w:pStyle w:val="Footnote"/>
        <w:rPr>
          <w:spacing w:val="-4"/>
        </w:rPr>
      </w:pPr>
      <w:r w:rsidRPr="00B81C3E">
        <w:rPr>
          <w:rStyle w:val="EndnoteReference"/>
        </w:rPr>
        <w:endnoteRef/>
      </w:r>
      <w:r w:rsidRPr="000D0D9B">
        <w:rPr>
          <w:spacing w:val="-4"/>
          <w:vertAlign w:val="superscript"/>
        </w:rPr>
        <w:t xml:space="preserve"> </w:t>
      </w:r>
      <w:bookmarkStart w:id="14" w:name="_Hlk535748460"/>
      <w:r w:rsidRPr="000D0D9B">
        <w:rPr>
          <w:spacing w:val="-4"/>
        </w:rPr>
        <w:t xml:space="preserve">Samantaraya, </w:t>
      </w:r>
      <w:r>
        <w:rPr>
          <w:spacing w:val="-4"/>
        </w:rPr>
        <w:t>op. cit</w:t>
      </w:r>
      <w:r w:rsidRPr="000D0D9B">
        <w:rPr>
          <w:spacing w:val="-4"/>
        </w:rPr>
        <w:t>.</w:t>
      </w:r>
      <w:bookmarkEnd w:id="14"/>
    </w:p>
  </w:endnote>
  <w:endnote w:id="29">
    <w:p w14:paraId="23A650B9" w14:textId="77777777" w:rsidR="00812072" w:rsidRPr="000D0D9B" w:rsidRDefault="00812072" w:rsidP="005F0652">
      <w:pPr>
        <w:pStyle w:val="Footnote"/>
      </w:pPr>
      <w:r w:rsidRPr="00B81C3E">
        <w:rPr>
          <w:rStyle w:val="EndnoteReference"/>
        </w:rPr>
        <w:endnoteRef/>
      </w:r>
      <w:r w:rsidRPr="000D0D9B">
        <w:rPr>
          <w:vertAlign w:val="superscript"/>
        </w:rPr>
        <w:t xml:space="preserve"> </w:t>
      </w:r>
      <w:r w:rsidRPr="000D0D9B">
        <w:t xml:space="preserve">Ibid. </w:t>
      </w:r>
    </w:p>
  </w:endnote>
  <w:endnote w:id="30">
    <w:p w14:paraId="3E737BEF" w14:textId="77777777" w:rsidR="00812072" w:rsidRPr="002F7D8B" w:rsidRDefault="00812072" w:rsidP="005F0652">
      <w:pPr>
        <w:pStyle w:val="Footnote"/>
      </w:pPr>
      <w:r>
        <w:rPr>
          <w:rStyle w:val="EndnoteReference"/>
        </w:rPr>
        <w:endnoteRef/>
      </w:r>
      <w:r>
        <w:t xml:space="preserve"> </w:t>
      </w:r>
      <w:r w:rsidRPr="000D0D9B">
        <w:t>Deepak Mohanty</w:t>
      </w:r>
      <w:r>
        <w:t>,</w:t>
      </w:r>
      <w:r w:rsidRPr="000D0D9B">
        <w:t xml:space="preserve"> “Global Financial Crisis and Monetary Policy Response in India</w:t>
      </w:r>
      <w:r>
        <w:t>”</w:t>
      </w:r>
      <w:r w:rsidRPr="000D0D9B">
        <w:t xml:space="preserve"> (</w:t>
      </w:r>
      <w:r>
        <w:t>s</w:t>
      </w:r>
      <w:r w:rsidRPr="000D0D9B">
        <w:t>peech</w:t>
      </w:r>
      <w:r>
        <w:t>,</w:t>
      </w:r>
      <w:r w:rsidRPr="000D0D9B">
        <w:t xml:space="preserve"> Reserve Bank of India November</w:t>
      </w:r>
      <w:r>
        <w:t xml:space="preserve"> 12</w:t>
      </w:r>
      <w:r w:rsidRPr="000D0D9B">
        <w:t>, 2009),” accessed July 3, 2019, www.rbi.org.in/scripts/BS_SpeechesView.aspx?Id=446.</w:t>
      </w:r>
    </w:p>
  </w:endnote>
  <w:endnote w:id="31">
    <w:p w14:paraId="6F665889" w14:textId="77777777" w:rsidR="00812072" w:rsidRPr="000D0D9B" w:rsidRDefault="00812072" w:rsidP="005F0652">
      <w:pPr>
        <w:pStyle w:val="Footnote"/>
      </w:pPr>
      <w:r w:rsidRPr="00B81C3E">
        <w:rPr>
          <w:rStyle w:val="EndnoteReference"/>
        </w:rPr>
        <w:endnoteRef/>
      </w:r>
      <w:r w:rsidRPr="000D0D9B">
        <w:rPr>
          <w:vertAlign w:val="superscript"/>
        </w:rPr>
        <w:t xml:space="preserve"> </w:t>
      </w:r>
      <w:r w:rsidRPr="000D0D9B">
        <w:t xml:space="preserve">GDP was an important measure of a country’s economic performance. </w:t>
      </w:r>
    </w:p>
  </w:endnote>
  <w:endnote w:id="32">
    <w:p w14:paraId="445F825F" w14:textId="77777777" w:rsidR="00812072" w:rsidRPr="000D0D9B" w:rsidRDefault="00812072" w:rsidP="005F0652">
      <w:pPr>
        <w:pStyle w:val="Footnote"/>
      </w:pPr>
      <w:r w:rsidRPr="00B81C3E">
        <w:rPr>
          <w:rStyle w:val="EndnoteReference"/>
        </w:rPr>
        <w:endnoteRef/>
      </w:r>
      <w:r w:rsidRPr="000D0D9B">
        <w:rPr>
          <w:vertAlign w:val="superscript"/>
        </w:rPr>
        <w:t xml:space="preserve"> </w:t>
      </w:r>
      <w:r w:rsidRPr="000D0D9B">
        <w:t>₹ = INR = Indian rupee; ₹1 = US$0.0147 on January 1, 2017.</w:t>
      </w:r>
    </w:p>
  </w:endnote>
  <w:endnote w:id="33">
    <w:p w14:paraId="1F194111" w14:textId="77777777" w:rsidR="00812072" w:rsidRPr="000D0D9B" w:rsidRDefault="00812072" w:rsidP="005F0652">
      <w:pPr>
        <w:pStyle w:val="Footnote"/>
      </w:pPr>
      <w:r w:rsidRPr="00B81C3E">
        <w:rPr>
          <w:rStyle w:val="EndnoteReference"/>
        </w:rPr>
        <w:endnoteRef/>
      </w:r>
      <w:r w:rsidRPr="000D0D9B">
        <w:rPr>
          <w:vertAlign w:val="superscript"/>
        </w:rPr>
        <w:t xml:space="preserve"> </w:t>
      </w:r>
      <w:r w:rsidRPr="000D0D9B">
        <w:t>Repo rate was the rate at which the RBI lent to commercial banks.</w:t>
      </w:r>
    </w:p>
  </w:endnote>
  <w:endnote w:id="34">
    <w:p w14:paraId="26E1F8C0" w14:textId="77777777" w:rsidR="00812072" w:rsidRPr="000D0D9B" w:rsidRDefault="00812072" w:rsidP="005F0652">
      <w:pPr>
        <w:pStyle w:val="Footnote"/>
      </w:pPr>
      <w:r w:rsidRPr="00B81C3E">
        <w:rPr>
          <w:rStyle w:val="EndnoteReference"/>
        </w:rPr>
        <w:endnoteRef/>
      </w:r>
      <w:r w:rsidRPr="000D0D9B">
        <w:t xml:space="preserve"> Deepak Mohanty</w:t>
      </w:r>
      <w:r>
        <w:t>,</w:t>
      </w:r>
      <w:r w:rsidRPr="000D0D9B">
        <w:t xml:space="preserve"> </w:t>
      </w:r>
      <w:r>
        <w:t>op. cit</w:t>
      </w:r>
      <w:r w:rsidRPr="000D0D9B">
        <w:t>.</w:t>
      </w:r>
    </w:p>
  </w:endnote>
  <w:endnote w:id="35">
    <w:p w14:paraId="4610B3D8" w14:textId="77777777" w:rsidR="00812072" w:rsidRPr="000D0D9B" w:rsidRDefault="00812072" w:rsidP="005F0652">
      <w:pPr>
        <w:pStyle w:val="Footnote"/>
      </w:pPr>
      <w:r w:rsidRPr="00B81C3E">
        <w:rPr>
          <w:rStyle w:val="EndnoteReference"/>
        </w:rPr>
        <w:endnoteRef/>
      </w:r>
      <w:r w:rsidRPr="000D0D9B">
        <w:rPr>
          <w:vertAlign w:val="superscript"/>
        </w:rPr>
        <w:t xml:space="preserve"> </w:t>
      </w:r>
      <w:r w:rsidRPr="000D0D9B">
        <w:t>Anand Prakash, “Major Episodes of Volatility in the Indian Foreign Exchange Market in the Last Two Decades (1993-2013): Central Bank’s Response,” Reserve Bank of India, www.rbi.org.in/scripts/bs_viewcontent.aspx?Id=2849.</w:t>
      </w:r>
    </w:p>
  </w:endnote>
  <w:endnote w:id="36">
    <w:p w14:paraId="09D033FF" w14:textId="77777777" w:rsidR="00812072" w:rsidRPr="000D0D9B" w:rsidRDefault="00812072" w:rsidP="005F0652">
      <w:pPr>
        <w:pStyle w:val="Footnote"/>
      </w:pPr>
      <w:r w:rsidRPr="00B81C3E">
        <w:rPr>
          <w:rStyle w:val="EndnoteReference"/>
        </w:rPr>
        <w:endnoteRef/>
      </w:r>
      <w:r w:rsidRPr="000D0D9B">
        <w:t xml:space="preserve"> T. T. Ram Mohan, “India's New Growth Paradigm: Faster Growth with Bigger Deficit and Higher Inflation,” </w:t>
      </w:r>
      <w:r w:rsidRPr="000E1DDF">
        <w:rPr>
          <w:i/>
          <w:iCs/>
        </w:rPr>
        <w:t>Economic Times</w:t>
      </w:r>
      <w:r w:rsidRPr="000D0D9B">
        <w:t>, March 29, 2012, https://economictimes.indiatimes.com/opinion/et-commentary/indias-new-growth-paradigm-faster-growth-with-bigger-deficit-and-higher-inflation/articleshow/12449114.cms.</w:t>
      </w:r>
    </w:p>
  </w:endnote>
  <w:endnote w:id="37">
    <w:p w14:paraId="13677EE7" w14:textId="77777777" w:rsidR="00812072" w:rsidRPr="000D0D9B" w:rsidRDefault="00812072" w:rsidP="005F0652">
      <w:pPr>
        <w:pStyle w:val="Footnote"/>
      </w:pPr>
      <w:r w:rsidRPr="00B81C3E">
        <w:rPr>
          <w:rStyle w:val="EndnoteReference"/>
        </w:rPr>
        <w:endnoteRef/>
      </w:r>
      <w:r w:rsidRPr="000D0D9B">
        <w:t xml:space="preserve"> Deepak Nayyar, “The Interest Rate Conundrum,” Live Mint, June 12, 2015, www.livemint.com/Opinion/DubsmSzgYLBp3Swu8TqPII/The-interest-rate-conundrum.html.</w:t>
      </w:r>
    </w:p>
  </w:endnote>
  <w:endnote w:id="38">
    <w:p w14:paraId="047C1F6A" w14:textId="77777777" w:rsidR="00812072" w:rsidRPr="000D0D9B" w:rsidRDefault="00812072" w:rsidP="005F0652">
      <w:pPr>
        <w:pStyle w:val="Footnote"/>
      </w:pPr>
      <w:r w:rsidRPr="00B81C3E">
        <w:rPr>
          <w:rStyle w:val="EndnoteReference"/>
        </w:rPr>
        <w:endnoteRef/>
      </w:r>
      <w:r w:rsidRPr="000D0D9B">
        <w:t xml:space="preserve"> Press Trust of India, “RBI Defends Policy Action to Check Inflation at Cost of Growth,” Zee News India, September 27, 2011, accessed July 3, 2019, https://zeenews.india.com/business/news/economy/rbi-defends-policy-action-to-check-inflation-at-cost-of-growth_31226.html; Press Trust of India, “K V Kamath Says Inflation Can't Be Fought with Textbook Approaches,” </w:t>
      </w:r>
      <w:r w:rsidRPr="000E1DDF">
        <w:rPr>
          <w:i/>
          <w:iCs/>
        </w:rPr>
        <w:t>Financial Express</w:t>
      </w:r>
      <w:r w:rsidRPr="000D0D9B">
        <w:t>, September 14, 2013, accessed July 3, 2019, www.financialexpress.com/archive/k-v-kamath-says-inflation-cant-be-fought-with-textbook-approaches/1168857.</w:t>
      </w:r>
    </w:p>
  </w:endnote>
  <w:endnote w:id="39">
    <w:p w14:paraId="28CDE187" w14:textId="77777777" w:rsidR="00812072" w:rsidRPr="000D0D9B" w:rsidRDefault="00812072" w:rsidP="005F0652">
      <w:pPr>
        <w:pStyle w:val="Footnote"/>
      </w:pPr>
      <w:r w:rsidRPr="00B81C3E">
        <w:rPr>
          <w:rStyle w:val="EndnoteReference"/>
        </w:rPr>
        <w:endnoteRef/>
      </w:r>
      <w:r w:rsidRPr="000D0D9B">
        <w:t xml:space="preserve"> Nikhil Gupta, “Household Savings and India's Current Account Deficit,” Ideas for India, September 25, 2015, accessed July 3, 2019, www.ideasforindia.in/topics/macroeconomics/household-savings-and-indias-current-account-deficit.html.</w:t>
      </w:r>
    </w:p>
  </w:endnote>
  <w:endnote w:id="40">
    <w:p w14:paraId="7D51BE79" w14:textId="77777777" w:rsidR="00812072" w:rsidRPr="000D0D9B" w:rsidRDefault="00812072" w:rsidP="005F0652">
      <w:pPr>
        <w:pStyle w:val="Footnote"/>
      </w:pPr>
      <w:r w:rsidRPr="00B81C3E">
        <w:rPr>
          <w:rStyle w:val="EndnoteReference"/>
        </w:rPr>
        <w:endnoteRef/>
      </w:r>
      <w:r w:rsidRPr="000D0D9B">
        <w:rPr>
          <w:vertAlign w:val="superscript"/>
        </w:rPr>
        <w:t xml:space="preserve"> </w:t>
      </w:r>
      <w:r w:rsidRPr="000D0D9B">
        <w:t>T. T. Ram Mohan, “India's New Growth Paradigm</w:t>
      </w:r>
      <w:r>
        <w:t>,</w:t>
      </w:r>
      <w:r w:rsidRPr="000D0D9B">
        <w:t>” op. cit.</w:t>
      </w:r>
    </w:p>
  </w:endnote>
  <w:endnote w:id="41">
    <w:p w14:paraId="44051E45" w14:textId="77777777" w:rsidR="00812072" w:rsidRPr="000D0D9B" w:rsidRDefault="00812072" w:rsidP="005F0652">
      <w:pPr>
        <w:pStyle w:val="Footnote"/>
      </w:pPr>
      <w:r w:rsidRPr="00B81C3E">
        <w:rPr>
          <w:rStyle w:val="EndnoteReference"/>
        </w:rPr>
        <w:endnoteRef/>
      </w:r>
      <w:r w:rsidRPr="000D0D9B">
        <w:t xml:space="preserve"> Reserve Bank of India, “RBI Announces Measures to Address Exchange Rate Volatility</w:t>
      </w:r>
      <w:r>
        <w:t>,</w:t>
      </w:r>
      <w:r w:rsidRPr="000D0D9B">
        <w:t xml:space="preserve">” </w:t>
      </w:r>
      <w:r>
        <w:t xml:space="preserve">press release, </w:t>
      </w:r>
      <w:r w:rsidRPr="000D0D9B">
        <w:t>July 15, 2013, accessed July 7, 2019, www.rbi.org.in/scripts/BS_PressReleaseDisplay.aspx?prid=29086; Ministry of Finance</w:t>
      </w:r>
      <w:r>
        <w:t>,</w:t>
      </w:r>
      <w:r w:rsidRPr="000D0D9B">
        <w:t xml:space="preserve"> Department of Economic Affairs</w:t>
      </w:r>
      <w:r>
        <w:t>,</w:t>
      </w:r>
      <w:r w:rsidRPr="000D0D9B">
        <w:t xml:space="preserve"> Economic Division, </w:t>
      </w:r>
      <w:r w:rsidRPr="000D0D9B">
        <w:rPr>
          <w:i/>
        </w:rPr>
        <w:t>Quarterly Review 2013-14 (April-June)</w:t>
      </w:r>
      <w:r w:rsidRPr="000D0D9B">
        <w:t>, October 8, 2013, accessed July 7, 2019, https://dea.gov.in/sites/default/files/QrtReview_june201314.pdf.</w:t>
      </w:r>
    </w:p>
  </w:endnote>
  <w:endnote w:id="42">
    <w:p w14:paraId="13670FB7" w14:textId="77777777" w:rsidR="00812072" w:rsidRPr="000D0D9B" w:rsidRDefault="00812072" w:rsidP="005F0652">
      <w:pPr>
        <w:pStyle w:val="Footnote"/>
      </w:pPr>
      <w:r w:rsidRPr="009077AD">
        <w:rPr>
          <w:rStyle w:val="EndnoteReference"/>
        </w:rPr>
        <w:endnoteRef/>
      </w:r>
      <w:r w:rsidRPr="009077AD">
        <w:rPr>
          <w:vertAlign w:val="superscript"/>
        </w:rPr>
        <w:t xml:space="preserve"> </w:t>
      </w:r>
      <w:r w:rsidRPr="009077AD">
        <w:t>Reserve Bank of India, op. cit.</w:t>
      </w:r>
    </w:p>
  </w:endnote>
  <w:endnote w:id="43">
    <w:p w14:paraId="73D2A05E" w14:textId="77777777" w:rsidR="00812072" w:rsidRPr="000D0D9B" w:rsidRDefault="00812072" w:rsidP="005F0652">
      <w:pPr>
        <w:pStyle w:val="Footnote"/>
        <w:rPr>
          <w:spacing w:val="-4"/>
        </w:rPr>
      </w:pPr>
      <w:r w:rsidRPr="00B81C3E">
        <w:rPr>
          <w:rStyle w:val="EndnoteReference"/>
        </w:rPr>
        <w:endnoteRef/>
      </w:r>
      <w:r w:rsidRPr="000D0D9B">
        <w:rPr>
          <w:spacing w:val="-4"/>
          <w:vertAlign w:val="superscript"/>
        </w:rPr>
        <w:t xml:space="preserve"> </w:t>
      </w:r>
      <w:r w:rsidRPr="000D0D9B">
        <w:rPr>
          <w:spacing w:val="-4"/>
        </w:rPr>
        <w:t>“Collateral Damage,” Money Today, September 2013, accessed July 3, 2019, www.businesstoday.in/moneytoday/perspective/rupee-fall-impact-based-on-rbi-measures-on-liquidity-supply/story/198047.html.</w:t>
      </w:r>
    </w:p>
  </w:endnote>
  <w:endnote w:id="44">
    <w:p w14:paraId="725F1B86" w14:textId="77777777" w:rsidR="00812072" w:rsidRPr="000D0D9B" w:rsidRDefault="00812072" w:rsidP="005F0652">
      <w:pPr>
        <w:pStyle w:val="Footnote"/>
      </w:pPr>
      <w:r w:rsidRPr="00B81C3E">
        <w:rPr>
          <w:rStyle w:val="EndnoteReference"/>
        </w:rPr>
        <w:endnoteRef/>
      </w:r>
      <w:r w:rsidRPr="000D0D9B">
        <w:t xml:space="preserve"> “Six Reasons Why Bad Loans Are a Menace in India, according to Raghuram Rajan,” DNA India, May 1, 2016, accessed July 7, 2019, www.dnaindia.com/money/report-six-reasons-why-bad-loans-are-a-menace-in-india-according-to-raghuram-rajan-2207976. </w:t>
      </w:r>
    </w:p>
  </w:endnote>
  <w:endnote w:id="45">
    <w:p w14:paraId="45AFDABE" w14:textId="77777777" w:rsidR="00812072" w:rsidRPr="000D0D9B" w:rsidRDefault="00812072" w:rsidP="005F0652">
      <w:pPr>
        <w:pStyle w:val="Footnote"/>
        <w:rPr>
          <w:spacing w:val="-2"/>
        </w:rPr>
      </w:pPr>
      <w:r w:rsidRPr="00B81C3E">
        <w:rPr>
          <w:rStyle w:val="EndnoteReference"/>
        </w:rPr>
        <w:endnoteRef/>
      </w:r>
      <w:r w:rsidRPr="000D0D9B">
        <w:rPr>
          <w:spacing w:val="-2"/>
        </w:rPr>
        <w:t xml:space="preserve"> Charan Singh, “Why Are NPAs Higher in Public Sector Banks?,” </w:t>
      </w:r>
      <w:r w:rsidRPr="000E1DDF">
        <w:rPr>
          <w:i/>
          <w:iCs/>
          <w:spacing w:val="-2"/>
        </w:rPr>
        <w:t>Business Standard</w:t>
      </w:r>
      <w:r w:rsidRPr="000D0D9B">
        <w:rPr>
          <w:spacing w:val="-2"/>
        </w:rPr>
        <w:t xml:space="preserve">, May 19, 2014, accessed July 7, 2018, www.business-standard.com/article/opinion/charan-singh-why-are-npas-higher-in-public-sector-banks-114051901183_1.html. </w:t>
      </w:r>
    </w:p>
  </w:endnote>
  <w:endnote w:id="46">
    <w:p w14:paraId="066776A1" w14:textId="77777777" w:rsidR="00812072" w:rsidRPr="000D0D9B" w:rsidRDefault="00812072" w:rsidP="005F0652">
      <w:pPr>
        <w:pStyle w:val="Footnote"/>
      </w:pPr>
      <w:r w:rsidRPr="00B81C3E">
        <w:rPr>
          <w:rStyle w:val="EndnoteReference"/>
        </w:rPr>
        <w:endnoteRef/>
      </w:r>
      <w:r w:rsidRPr="000D0D9B">
        <w:t xml:space="preserve"> Nandini Sanyal and Sakshi Denis, “Banks Will Come Out of This NPA Crisis, We Tackled a Tougher One in ’90s: Kalpana Morparia,” </w:t>
      </w:r>
      <w:r w:rsidRPr="000D0D9B">
        <w:rPr>
          <w:i/>
        </w:rPr>
        <w:t>Economic Times</w:t>
      </w:r>
      <w:r w:rsidRPr="000D0D9B">
        <w:t>, May 19, 2016, accessed July 7, 2019, http://economictimes.indiatimes.com/markets/expert-view/banks-will-come-out-of-this-npa-crisis-we-tackled-a-tougher-one-in-90s-kalpana-morparia/articleshow/51610403.cms.</w:t>
      </w:r>
    </w:p>
  </w:endnote>
  <w:endnote w:id="47">
    <w:p w14:paraId="4A3EBC87" w14:textId="77777777" w:rsidR="00812072" w:rsidRPr="000D0D9B" w:rsidRDefault="00812072" w:rsidP="005F0652">
      <w:pPr>
        <w:pStyle w:val="Footnote"/>
      </w:pPr>
      <w:r w:rsidRPr="00B81C3E">
        <w:rPr>
          <w:rStyle w:val="EndnoteReference"/>
        </w:rPr>
        <w:endnoteRef/>
      </w:r>
      <w:r w:rsidRPr="000D0D9B">
        <w:t xml:space="preserve"> “Non-</w:t>
      </w:r>
      <w:r>
        <w:t>P</w:t>
      </w:r>
      <w:r w:rsidRPr="000D0D9B">
        <w:t xml:space="preserve">erforming Assets of Public Sector Banks to Be Examined by Parliamentary Panel,” </w:t>
      </w:r>
      <w:r w:rsidRPr="000E1DDF">
        <w:rPr>
          <w:i/>
          <w:iCs/>
        </w:rPr>
        <w:t>Indian Express</w:t>
      </w:r>
      <w:r w:rsidRPr="000D0D9B">
        <w:t>, April 29, 2016, accessed July 3, 2019, http://indianexpress.com/article/business/banking-and-finance/non-performing-assets-of-public-sector-banks-to-be-examined-by-parliamentary-panel-2776335.</w:t>
      </w:r>
    </w:p>
  </w:endnote>
  <w:endnote w:id="48">
    <w:p w14:paraId="63D3702A" w14:textId="77777777" w:rsidR="00812072" w:rsidRPr="000D0D9B" w:rsidRDefault="00812072" w:rsidP="005F0652">
      <w:pPr>
        <w:pStyle w:val="Footnote"/>
      </w:pPr>
      <w:r w:rsidRPr="00B81C3E">
        <w:rPr>
          <w:rStyle w:val="EndnoteReference"/>
        </w:rPr>
        <w:endnoteRef/>
      </w:r>
      <w:r w:rsidRPr="000D0D9B">
        <w:rPr>
          <w:vertAlign w:val="superscript"/>
        </w:rPr>
        <w:t xml:space="preserve"> </w:t>
      </w:r>
      <w:r w:rsidRPr="000D0D9B">
        <w:t>T. T. Ram Mohan, “There Is Only So Much Arun Jaitley’s Budget Can Do to Fix the Rot in India’s Banking System,” Quartz India, February 28, 2016, accessed July 3, 2019, https://qz.com/626955/there-is-only-so-much-arun-jaitleys-budget-can-do-to-fix-the-rot-in-indias-banking-system.</w:t>
      </w:r>
    </w:p>
  </w:endnote>
  <w:endnote w:id="49">
    <w:p w14:paraId="4182F564" w14:textId="77777777" w:rsidR="00812072" w:rsidRPr="000D0D9B" w:rsidRDefault="00812072" w:rsidP="005F0652">
      <w:pPr>
        <w:pStyle w:val="Footnote"/>
      </w:pPr>
      <w:r w:rsidRPr="00B81C3E">
        <w:rPr>
          <w:rStyle w:val="EndnoteReference"/>
        </w:rPr>
        <w:endnoteRef/>
      </w:r>
      <w:r w:rsidRPr="000D0D9B">
        <w:rPr>
          <w:vertAlign w:val="superscript"/>
        </w:rPr>
        <w:t xml:space="preserve"> </w:t>
      </w:r>
      <w:r w:rsidRPr="000D0D9B">
        <w:t>Pooja Jaiswar, “Deputy RBI Governor Viral Acharya: Modi Brings Back Focus on Banks’ NPA Issue?,” Zee Business, December 28, 2016, accessed July 7, 2019, www.zeebiz.com/india/news-deputy-rbi-governor-viral-acharya-modi-brings-back-focus-on-banks-npa-issue-9831.</w:t>
      </w:r>
    </w:p>
  </w:endnote>
  <w:endnote w:id="50">
    <w:p w14:paraId="580CDA03" w14:textId="77777777" w:rsidR="00812072" w:rsidRPr="000D0D9B" w:rsidRDefault="00812072" w:rsidP="005F0652">
      <w:pPr>
        <w:pStyle w:val="Footnote"/>
      </w:pPr>
      <w:r w:rsidRPr="00B81C3E">
        <w:rPr>
          <w:rStyle w:val="EndnoteReference"/>
        </w:rPr>
        <w:endnoteRef/>
      </w:r>
      <w:r w:rsidRPr="000D0D9B">
        <w:rPr>
          <w:vertAlign w:val="superscript"/>
        </w:rPr>
        <w:t xml:space="preserve"> </w:t>
      </w:r>
      <w:r w:rsidRPr="000D0D9B">
        <w:t>P. Krishna Prasanna, M. Thenmozhi, and Nimit Rana, “Determinants of Non-</w:t>
      </w:r>
      <w:r>
        <w:t>P</w:t>
      </w:r>
      <w:r w:rsidRPr="000D0D9B">
        <w:t>erforming Advances in Indian Banking System,”</w:t>
      </w:r>
      <w:r w:rsidRPr="000D0D9B" w:rsidDel="0066088C">
        <w:t xml:space="preserve"> </w:t>
      </w:r>
      <w:r w:rsidRPr="000E1DDF">
        <w:rPr>
          <w:i/>
          <w:iCs/>
        </w:rPr>
        <w:t>Banks and Bank Systems</w:t>
      </w:r>
      <w:r w:rsidRPr="000D0D9B">
        <w:t xml:space="preserve"> 9, no. 2 (2014): 65–77.</w:t>
      </w:r>
    </w:p>
  </w:endnote>
  <w:endnote w:id="51">
    <w:p w14:paraId="00149962" w14:textId="77777777" w:rsidR="00812072" w:rsidRPr="000D0D9B" w:rsidRDefault="00812072" w:rsidP="005F0652">
      <w:pPr>
        <w:pStyle w:val="Footnote"/>
      </w:pPr>
      <w:r w:rsidRPr="00B81C3E">
        <w:rPr>
          <w:rStyle w:val="EndnoteReference"/>
        </w:rPr>
        <w:endnoteRef/>
      </w:r>
      <w:r w:rsidRPr="000D0D9B">
        <w:t xml:space="preserve"> Samantaraya, op. cit. </w:t>
      </w:r>
    </w:p>
  </w:endnote>
  <w:endnote w:id="52">
    <w:p w14:paraId="314CF47B" w14:textId="77777777" w:rsidR="00812072" w:rsidRPr="000D0D9B" w:rsidRDefault="00812072" w:rsidP="005F0652">
      <w:pPr>
        <w:pStyle w:val="Footnote"/>
        <w:rPr>
          <w:spacing w:val="-2"/>
        </w:rPr>
      </w:pPr>
      <w:r w:rsidRPr="00B81C3E">
        <w:rPr>
          <w:rStyle w:val="EndnoteReference"/>
        </w:rPr>
        <w:endnoteRef/>
      </w:r>
      <w:r w:rsidRPr="000D0D9B">
        <w:rPr>
          <w:spacing w:val="-2"/>
          <w:vertAlign w:val="superscript"/>
        </w:rPr>
        <w:t xml:space="preserve"> </w:t>
      </w:r>
      <w:r w:rsidRPr="000D0D9B">
        <w:rPr>
          <w:spacing w:val="-2"/>
        </w:rPr>
        <w:t>On November 8, 2016, the Indian government announced that the existing ₹1,000 and ₹500 notes would cease to be legal tender and replaced them with new ₹500 and ₹2,000 notes. Among the reasons cited for this move was curbing black economy.</w:t>
      </w:r>
    </w:p>
  </w:endnote>
  <w:endnote w:id="53">
    <w:p w14:paraId="2C224B77" w14:textId="0FC98C00" w:rsidR="00812072" w:rsidRPr="000D0D9B" w:rsidRDefault="00812072" w:rsidP="005F0652">
      <w:pPr>
        <w:pStyle w:val="Footnote"/>
        <w:rPr>
          <w:spacing w:val="-2"/>
        </w:rPr>
      </w:pPr>
      <w:r w:rsidRPr="00B81C3E">
        <w:rPr>
          <w:rStyle w:val="EndnoteReference"/>
        </w:rPr>
        <w:endnoteRef/>
      </w:r>
      <w:r w:rsidRPr="000D0D9B">
        <w:rPr>
          <w:spacing w:val="-2"/>
          <w:vertAlign w:val="superscript"/>
        </w:rPr>
        <w:t xml:space="preserve"> </w:t>
      </w:r>
      <w:r w:rsidRPr="000D0D9B">
        <w:rPr>
          <w:spacing w:val="-2"/>
        </w:rPr>
        <w:t xml:space="preserve">Pravakar Sahoo and Bhavesh Garg, “Demonetisation: Liquidity Problem May Worsen Bank NPAs as SMEs Face Crisis of Repayment,” </w:t>
      </w:r>
      <w:r w:rsidRPr="000E1DDF">
        <w:rPr>
          <w:i/>
          <w:iCs/>
          <w:spacing w:val="-2"/>
        </w:rPr>
        <w:t>Financial Express</w:t>
      </w:r>
      <w:r w:rsidRPr="000D0D9B">
        <w:rPr>
          <w:spacing w:val="-2"/>
        </w:rPr>
        <w:t>, December 27, 2016, accessed July 4, 2019, www.financialexpress.com/opinion/demonetisation-liquidity-problem-may-worsen-bank-npas-as-smes-face-crisis-of-repayment/487232.</w:t>
      </w:r>
    </w:p>
  </w:endnote>
  <w:endnote w:id="54">
    <w:p w14:paraId="3AB5D2CC" w14:textId="77777777" w:rsidR="00812072" w:rsidRPr="000D0D9B" w:rsidRDefault="00812072" w:rsidP="005F0652">
      <w:pPr>
        <w:pStyle w:val="Footnote"/>
      </w:pPr>
      <w:r w:rsidRPr="00B81C3E">
        <w:rPr>
          <w:rStyle w:val="EndnoteReference"/>
        </w:rPr>
        <w:endnoteRef/>
      </w:r>
      <w:r w:rsidRPr="000D0D9B">
        <w:rPr>
          <w:vertAlign w:val="superscript"/>
        </w:rPr>
        <w:t xml:space="preserve"> </w:t>
      </w:r>
      <w:r w:rsidRPr="000D0D9B">
        <w:t xml:space="preserve">T. T. Ram Mohan, “Banking Revival Must Be a Priority,” </w:t>
      </w:r>
      <w:r w:rsidRPr="000D0D9B">
        <w:rPr>
          <w:i/>
        </w:rPr>
        <w:t>Hindu</w:t>
      </w:r>
      <w:r w:rsidRPr="000D0D9B">
        <w:t>, June 22, 2016, www.thehindu.com/opinion/op-ed/Banking-revival-must-be-a-priority/article14393695.ece.</w:t>
      </w:r>
    </w:p>
  </w:endnote>
  <w:endnote w:id="55">
    <w:p w14:paraId="6C64A948" w14:textId="77777777" w:rsidR="00812072" w:rsidRPr="000D0D9B" w:rsidRDefault="00812072" w:rsidP="005F0652">
      <w:pPr>
        <w:pStyle w:val="Footnote"/>
      </w:pPr>
      <w:r w:rsidRPr="00B81C3E">
        <w:rPr>
          <w:rStyle w:val="EndnoteReference"/>
        </w:rPr>
        <w:endnoteRef/>
      </w:r>
      <w:r w:rsidRPr="000D0D9B">
        <w:rPr>
          <w:vertAlign w:val="superscript"/>
        </w:rPr>
        <w:t xml:space="preserve"> </w:t>
      </w:r>
      <w:r w:rsidRPr="000D0D9B">
        <w:t xml:space="preserve">Samantaraya, op. cit. </w:t>
      </w:r>
    </w:p>
  </w:endnote>
  <w:endnote w:id="56">
    <w:p w14:paraId="6CBF32CE" w14:textId="77777777" w:rsidR="00812072" w:rsidRPr="000D0D9B" w:rsidRDefault="00812072" w:rsidP="005F0652">
      <w:pPr>
        <w:pStyle w:val="Footnote"/>
      </w:pPr>
      <w:r w:rsidRPr="00B81C3E">
        <w:rPr>
          <w:rStyle w:val="EndnoteReference"/>
        </w:rPr>
        <w:endnoteRef/>
      </w:r>
      <w:r w:rsidRPr="000D0D9B">
        <w:t xml:space="preserve"> S. A. Raghu, “Is the NPA Crisis Set to Worsen?,” </w:t>
      </w:r>
      <w:r w:rsidRPr="000E1DDF">
        <w:rPr>
          <w:i/>
          <w:iCs/>
        </w:rPr>
        <w:t>Hindu Business Line</w:t>
      </w:r>
      <w:r w:rsidRPr="000D0D9B">
        <w:t>, May 29, 2016, accessed July 4, 2019, https://premium.thehindubusinessline.com/portfolio/india-economy/is-the-npa-crisis-set-to-worsen/article8663413.ece.</w:t>
      </w:r>
    </w:p>
  </w:endnote>
  <w:endnote w:id="57">
    <w:p w14:paraId="7E0CE837" w14:textId="77777777" w:rsidR="00812072" w:rsidRPr="000D0D9B" w:rsidRDefault="00812072" w:rsidP="005F0652">
      <w:pPr>
        <w:pStyle w:val="Footnote"/>
      </w:pPr>
      <w:r w:rsidRPr="00B81C3E">
        <w:rPr>
          <w:rStyle w:val="EndnoteReference"/>
        </w:rPr>
        <w:endnoteRef/>
      </w:r>
      <w:r w:rsidRPr="000D0D9B">
        <w:rPr>
          <w:vertAlign w:val="superscript"/>
        </w:rPr>
        <w:t xml:space="preserve"> </w:t>
      </w:r>
      <w:r w:rsidRPr="000D0D9B">
        <w:t xml:space="preserve">Saurabh Tripathi, “Are Public Sector Banks to Blame for Rising NPAs? No,” </w:t>
      </w:r>
      <w:r w:rsidRPr="000D0D9B">
        <w:rPr>
          <w:i/>
        </w:rPr>
        <w:t>Hindu Business Line</w:t>
      </w:r>
      <w:r w:rsidRPr="000D0D9B">
        <w:t>, November 29, 2013, accessed July 4, 2019, www.thehindubusinessline.com/opinion/are-public-sector-banks-to-blame-for-rising-npas-no/article5405520.ece.</w:t>
      </w:r>
    </w:p>
  </w:endnote>
  <w:endnote w:id="58">
    <w:p w14:paraId="50358F06" w14:textId="77777777" w:rsidR="00812072" w:rsidRPr="000D0D9B" w:rsidRDefault="00812072" w:rsidP="005F0652">
      <w:pPr>
        <w:pStyle w:val="Footnote"/>
      </w:pPr>
      <w:r w:rsidRPr="00B81C3E">
        <w:rPr>
          <w:rStyle w:val="EndnoteReference"/>
        </w:rPr>
        <w:endnoteRef/>
      </w:r>
      <w:r w:rsidRPr="000D0D9B">
        <w:t xml:space="preserve"> R. Sriram, “Straight Talk Express: Simple, RBI Critics Have an Axe to Grind,” </w:t>
      </w:r>
      <w:r w:rsidRPr="000D0D9B">
        <w:rPr>
          <w:i/>
        </w:rPr>
        <w:t>Economic Times</w:t>
      </w:r>
      <w:r w:rsidRPr="000D0D9B">
        <w:t>, January 17, 2017, accessed July 4, 2019, http://economictimes.indiatimes.com/markets/stocks/news/straight-talk-express-simple-rbi-critics-have-an-axe-to-grind/articleshow/56613706.cms.</w:t>
      </w:r>
    </w:p>
  </w:endnote>
  <w:endnote w:id="59">
    <w:p w14:paraId="31BCBB90" w14:textId="77777777" w:rsidR="00812072" w:rsidRPr="000D0D9B" w:rsidRDefault="00812072" w:rsidP="005F0652">
      <w:pPr>
        <w:pStyle w:val="Footnote"/>
      </w:pPr>
      <w:r w:rsidRPr="00B81C3E">
        <w:rPr>
          <w:rStyle w:val="EndnoteReference"/>
        </w:rPr>
        <w:endnoteRef/>
      </w:r>
      <w:r w:rsidRPr="000D0D9B">
        <w:rPr>
          <w:vertAlign w:val="superscript"/>
        </w:rPr>
        <w:t xml:space="preserve"> </w:t>
      </w:r>
      <w:r w:rsidRPr="000D0D9B">
        <w:t>Manish Basu, “Political Interference a Challenge for Recovery: United Bank’s Sanjay Arya,” Live Mint, February 20, 2014, accessed July 4, 2019, www.livemint.com/Companies/vAXxxKhu0aAXUiwkxVWQ9O/Political-interference-a-challenge-for-recovery-United-Bank.html.</w:t>
      </w:r>
    </w:p>
  </w:endnote>
  <w:endnote w:id="60">
    <w:p w14:paraId="307449BF" w14:textId="77777777" w:rsidR="00812072" w:rsidRPr="000D0D9B" w:rsidRDefault="00812072" w:rsidP="005F0652">
      <w:pPr>
        <w:pStyle w:val="Footnote"/>
      </w:pPr>
      <w:r w:rsidRPr="00B81C3E">
        <w:rPr>
          <w:rStyle w:val="EndnoteReference"/>
        </w:rPr>
        <w:endnoteRef/>
      </w:r>
      <w:r w:rsidRPr="000D0D9B">
        <w:rPr>
          <w:vertAlign w:val="superscript"/>
        </w:rPr>
        <w:t xml:space="preserve"> </w:t>
      </w:r>
      <w:r w:rsidRPr="000D0D9B">
        <w:t xml:space="preserve">“NPAs Will Rise Again If the Legal Structure Remains the Same: Mythili Bhusnurmath, ET NOW,” </w:t>
      </w:r>
      <w:r w:rsidRPr="000D0D9B">
        <w:rPr>
          <w:i/>
        </w:rPr>
        <w:t>Economic Times</w:t>
      </w:r>
      <w:r w:rsidRPr="000D0D9B">
        <w:t>, February 19, 2016, accessed July 4, 2019, http://economictimes.indiatimes.com/opinion/interviews/npas-will-rise-again-if-the-legal-structure-remains-the-same-mythili-bhusnurmath-et-now/articleshow/51056864.cms.</w:t>
      </w:r>
    </w:p>
  </w:endnote>
  <w:endnote w:id="61">
    <w:p w14:paraId="783DF455" w14:textId="77777777" w:rsidR="00812072" w:rsidRPr="000D0D9B" w:rsidRDefault="00812072" w:rsidP="005F0652">
      <w:pPr>
        <w:pStyle w:val="Footnote"/>
      </w:pPr>
      <w:r w:rsidRPr="00B81C3E">
        <w:rPr>
          <w:rStyle w:val="EndnoteReference"/>
        </w:rPr>
        <w:endnoteRef/>
      </w:r>
      <w:r w:rsidRPr="000D0D9B">
        <w:t xml:space="preserve"> “RBI Governor Raghuram Rajan Cautions against Merger of Unhealthy Banks,” </w:t>
      </w:r>
      <w:r w:rsidRPr="000D0D9B">
        <w:rPr>
          <w:i/>
        </w:rPr>
        <w:t>Financial Express</w:t>
      </w:r>
      <w:r w:rsidRPr="000D0D9B">
        <w:t>, August 14, 2014, accessed July 4, 2019, http://archive.indianexpress.com/news/rbi-governor-raghuram-rajan-cautions-against-merger-of-unhealthy-banks/1279126.</w:t>
      </w:r>
    </w:p>
  </w:endnote>
  <w:endnote w:id="62">
    <w:p w14:paraId="7BD359CF" w14:textId="77777777" w:rsidR="00812072" w:rsidRPr="000D0D9B" w:rsidRDefault="00812072" w:rsidP="005F0652">
      <w:pPr>
        <w:pStyle w:val="Footnote"/>
      </w:pPr>
      <w:r w:rsidRPr="00B81C3E">
        <w:rPr>
          <w:rStyle w:val="EndnoteReference"/>
        </w:rPr>
        <w:endnoteRef/>
      </w:r>
      <w:r w:rsidRPr="000D0D9B">
        <w:t xml:space="preserve"> </w:t>
      </w:r>
      <w:bookmarkStart w:id="15" w:name="_Hlk535750524"/>
      <w:r w:rsidRPr="000D0D9B">
        <w:t>T. T. Ram Mohan, “Hysteria over NPAs Is Not Helpful,” The Big Picture</w:t>
      </w:r>
      <w:r w:rsidRPr="000D0D9B" w:rsidDel="00FC7C54">
        <w:t xml:space="preserve"> </w:t>
      </w:r>
      <w:r w:rsidRPr="000D0D9B">
        <w:t>(blog), March 10, 2016, accessed July 3, 2019, http://ttrammohan.blogspot.in/2016/03/hysteria-over-npas-is-not-helpful.html.</w:t>
      </w:r>
      <w:bookmarkEnd w:id="15"/>
    </w:p>
  </w:endnote>
  <w:endnote w:id="63">
    <w:p w14:paraId="762960FE" w14:textId="77777777" w:rsidR="00812072" w:rsidRPr="000D0D9B" w:rsidRDefault="00812072" w:rsidP="005F0652">
      <w:pPr>
        <w:pStyle w:val="Footnote"/>
      </w:pPr>
      <w:r w:rsidRPr="00B81C3E">
        <w:rPr>
          <w:rStyle w:val="EndnoteReference"/>
        </w:rPr>
        <w:endnoteRef/>
      </w:r>
      <w:r w:rsidRPr="000D0D9B">
        <w:rPr>
          <w:vertAlign w:val="superscript"/>
        </w:rPr>
        <w:t xml:space="preserve"> </w:t>
      </w:r>
      <w:r w:rsidRPr="000D0D9B">
        <w:t>Rajeswari Sengupta and Shubho Roy, “PSU Bank Privatization Is Not a Panacea for the Ills of the Banking Sector,</w:t>
      </w:r>
      <w:r>
        <w:t>”</w:t>
      </w:r>
      <w:r w:rsidRPr="000D0D9B">
        <w:t xml:space="preserve"> Live Mint, March 22, 2018, accessed July 4, 2019, www.livemint.com/Opinion/4nukOayeqh7cF4CnpFoCsL/PSU-bank-privatization-is-not-a-panacea-for-the-ills-of-the.html.</w:t>
      </w:r>
    </w:p>
  </w:endnote>
  <w:endnote w:id="64">
    <w:p w14:paraId="2C7AE7C9" w14:textId="77777777" w:rsidR="00812072" w:rsidRPr="000D0D9B" w:rsidRDefault="00812072" w:rsidP="005F0652">
      <w:pPr>
        <w:pStyle w:val="Footnote"/>
      </w:pPr>
      <w:r w:rsidRPr="00B81C3E">
        <w:rPr>
          <w:rStyle w:val="EndnoteReference"/>
        </w:rPr>
        <w:endnoteRef/>
      </w:r>
      <w:r w:rsidRPr="000D0D9B">
        <w:t xml:space="preserve"> </w:t>
      </w:r>
      <w:bookmarkStart w:id="16" w:name="_Hlk535750609"/>
      <w:r w:rsidRPr="000D0D9B">
        <w:t>Indrani Dattagupta, “Why Bank Privatization May Not Be the Answer,” Live Mint, March 15, 2018, accessed July 4, 2019, www.livemint.com/Opinion/mZDHcehTHwFC8YvhAbXt4J/Why-bank-privatization-may-not-be-the-answer.html.</w:t>
      </w:r>
      <w:bookmarkEnd w:id="16"/>
    </w:p>
  </w:endnote>
  <w:endnote w:id="65">
    <w:p w14:paraId="021AD913" w14:textId="77777777" w:rsidR="00812072" w:rsidRPr="000D0D9B" w:rsidRDefault="00812072" w:rsidP="005F0652">
      <w:pPr>
        <w:pStyle w:val="Footnote"/>
      </w:pPr>
      <w:r w:rsidRPr="00B81C3E">
        <w:rPr>
          <w:rStyle w:val="EndnoteReference"/>
        </w:rPr>
        <w:endnoteRef/>
      </w:r>
      <w:r w:rsidRPr="000D0D9B">
        <w:t xml:space="preserve"> </w:t>
      </w:r>
      <w:bookmarkStart w:id="18" w:name="_Hlk535750660"/>
      <w:r w:rsidRPr="000D0D9B">
        <w:t>“Deepak Parekh Cautions RBI against Too-Painful NPA Cleanup,” Money</w:t>
      </w:r>
      <w:r>
        <w:t xml:space="preserve"> C</w:t>
      </w:r>
      <w:r w:rsidRPr="000D0D9B">
        <w:t>ontrol, February 18, 2016, accessed July 4, 2019, www.moneycontrol.com/news/business/deepak-parekh-to-rajan-npa-surgery-may-put-bankscoma_5533581.html.</w:t>
      </w:r>
      <w:bookmarkEnd w:id="18"/>
    </w:p>
  </w:endnote>
  <w:endnote w:id="66">
    <w:p w14:paraId="5B065337" w14:textId="77777777" w:rsidR="00812072" w:rsidRPr="000D0D9B" w:rsidRDefault="00812072" w:rsidP="005F0652">
      <w:pPr>
        <w:pStyle w:val="Footnote"/>
      </w:pPr>
      <w:r w:rsidRPr="00B81C3E">
        <w:rPr>
          <w:rStyle w:val="EndnoteReference"/>
        </w:rPr>
        <w:endnoteRef/>
      </w:r>
      <w:r w:rsidRPr="000D0D9B">
        <w:t xml:space="preserve"> Jaiswar, op. cit.</w:t>
      </w:r>
    </w:p>
  </w:endnote>
  <w:endnote w:id="67">
    <w:p w14:paraId="1CB3505C" w14:textId="77777777" w:rsidR="00812072" w:rsidRPr="000D0D9B" w:rsidRDefault="00812072" w:rsidP="005F0652">
      <w:pPr>
        <w:pStyle w:val="Footnote"/>
      </w:pPr>
      <w:r w:rsidRPr="00B81C3E">
        <w:rPr>
          <w:rStyle w:val="EndnoteReference"/>
        </w:rPr>
        <w:endnoteRef/>
      </w:r>
      <w:r w:rsidRPr="000D0D9B">
        <w:rPr>
          <w:vertAlign w:val="superscript"/>
        </w:rPr>
        <w:t xml:space="preserve"> </w:t>
      </w:r>
      <w:r w:rsidRPr="000D0D9B">
        <w:t xml:space="preserve">Pranav Mukul and Anil Sasi, “With Raghuram Rajan Gone, Idea of ‘Bad Bank’ Is Back on Policy Table,” </w:t>
      </w:r>
      <w:r w:rsidRPr="000D0D9B">
        <w:rPr>
          <w:i/>
        </w:rPr>
        <w:t>Indian Express</w:t>
      </w:r>
      <w:r w:rsidRPr="000D0D9B">
        <w:t>, October 4, 2016, accessed July 4, 2019, http://indianexpress.com/article/business/banking-and-finance/rbi-indian-banks-bad-loan-npa-raghuram-rajan-banking-sector-economy-urjit-patel-3062250.</w:t>
      </w:r>
    </w:p>
  </w:endnote>
  <w:endnote w:id="68">
    <w:p w14:paraId="7CE4D466" w14:textId="77777777" w:rsidR="00812072" w:rsidRPr="00B318F2" w:rsidRDefault="00812072" w:rsidP="00940815">
      <w:pPr>
        <w:pStyle w:val="Footnote"/>
      </w:pPr>
      <w:r w:rsidRPr="00FA2C71">
        <w:rPr>
          <w:rStyle w:val="EndnoteReference"/>
        </w:rPr>
        <w:endnoteRef/>
      </w:r>
      <w:r w:rsidRPr="00B318F2">
        <w:t xml:space="preserve"> Vishwanath Nair and Pooja Sarkar, “SBI, Brookfield to Launch Stressed Asset Management Fund,” </w:t>
      </w:r>
      <w:r w:rsidRPr="00381963">
        <w:rPr>
          <w:iCs/>
        </w:rPr>
        <w:t>Live Mint</w:t>
      </w:r>
      <w:r w:rsidRPr="00B318F2">
        <w:t xml:space="preserve">, July 21, 2016, accessed July 4, 2019, www.livemint.com/Industry/bXKIRm9HChmqHoVzQYvNMN/SBI-Brookfield-to-launch-stressed-asset-management-fund.html. </w:t>
      </w:r>
    </w:p>
  </w:endnote>
  <w:endnote w:id="69">
    <w:p w14:paraId="71B53FD8" w14:textId="77777777" w:rsidR="00812072" w:rsidRPr="00B318F2" w:rsidRDefault="00812072" w:rsidP="00940815">
      <w:pPr>
        <w:pStyle w:val="Footnote"/>
      </w:pPr>
      <w:r w:rsidRPr="00FA2C71">
        <w:rPr>
          <w:rStyle w:val="EndnoteReference"/>
        </w:rPr>
        <w:endnoteRef/>
      </w:r>
      <w:r w:rsidRPr="00B318F2">
        <w:t xml:space="preserve"> Anuradha and Reghu Balakrishnan, “Global Investors Line Up for Stressed Assets,” </w:t>
      </w:r>
      <w:r w:rsidRPr="00381963">
        <w:rPr>
          <w:iCs/>
        </w:rPr>
        <w:t>Live Mint</w:t>
      </w:r>
      <w:r w:rsidRPr="00B318F2">
        <w:t>, October 18, 2016, accessed July 7, 2019, www.livemint.com/Companies/WfxeSpAA2fyclBnvM93RUN/Global-investors-line-up-for-stressed-assets.html.</w:t>
      </w:r>
    </w:p>
  </w:endnote>
  <w:endnote w:id="70">
    <w:p w14:paraId="261E88B4" w14:textId="77777777" w:rsidR="00812072" w:rsidRPr="000D0D9B" w:rsidRDefault="00812072" w:rsidP="005F0652">
      <w:pPr>
        <w:pStyle w:val="Footnote"/>
      </w:pPr>
      <w:r w:rsidRPr="00B81C3E">
        <w:rPr>
          <w:rStyle w:val="EndnoteReference"/>
        </w:rPr>
        <w:endnoteRef/>
      </w:r>
      <w:r w:rsidRPr="000D0D9B">
        <w:t xml:space="preserve"> Press Trust of India, “Five Associate Banks, BMB Merge with SBI,” Live Mint, April 1, 2017, accessed July 4, 2019, www.livemint.com/Industry/kLwGwe3VN1pg6ieapJGdxH/Five-associate-banks-BMB-merge-with-SBI.html.</w:t>
      </w:r>
    </w:p>
  </w:endnote>
  <w:endnote w:id="71">
    <w:p w14:paraId="7C6F2C77" w14:textId="77777777" w:rsidR="00812072" w:rsidRPr="000D0D9B" w:rsidRDefault="00812072" w:rsidP="005F0652">
      <w:pPr>
        <w:pStyle w:val="Footnote"/>
      </w:pPr>
      <w:r w:rsidRPr="00B81C3E">
        <w:rPr>
          <w:rStyle w:val="EndnoteReference"/>
        </w:rPr>
        <w:endnoteRef/>
      </w:r>
      <w:r w:rsidRPr="000D0D9B">
        <w:t xml:space="preserve"> KPMG, </w:t>
      </w:r>
      <w:r>
        <w:t>“</w:t>
      </w:r>
      <w:r w:rsidRPr="000D0D9B">
        <w:t>India Economic Survey 2015–16</w:t>
      </w:r>
      <w:r>
        <w:t>—</w:t>
      </w:r>
      <w:r w:rsidRPr="000D0D9B">
        <w:t>Key Highlights,</w:t>
      </w:r>
      <w:r>
        <w:t>” Tax Flash News,</w:t>
      </w:r>
      <w:r w:rsidRPr="000D0D9B" w:rsidDel="00825E13">
        <w:t xml:space="preserve"> </w:t>
      </w:r>
      <w:r w:rsidRPr="000D0D9B">
        <w:t>February 26, 2016, https://home.kpmg.com/content/dam/kpmg/pdf/2016/04/KPMG-Flash-News-India-Economic-Survey-2015-16%E2%80%93Key-Highlights-3.pdf.</w:t>
      </w:r>
    </w:p>
  </w:endnote>
  <w:endnote w:id="72">
    <w:p w14:paraId="5009D195" w14:textId="77777777" w:rsidR="00812072" w:rsidRPr="000D0D9B" w:rsidRDefault="00812072" w:rsidP="005F0652">
      <w:pPr>
        <w:pStyle w:val="Footnote"/>
      </w:pPr>
      <w:r w:rsidRPr="00B81C3E">
        <w:rPr>
          <w:rStyle w:val="EndnoteReference"/>
        </w:rPr>
        <w:endnoteRef/>
      </w:r>
      <w:r w:rsidRPr="000D0D9B">
        <w:t xml:space="preserve"> Ibid. </w:t>
      </w:r>
    </w:p>
  </w:endnote>
  <w:endnote w:id="73">
    <w:p w14:paraId="23BA20D0" w14:textId="77777777" w:rsidR="00812072" w:rsidRPr="000D0D9B" w:rsidRDefault="00812072" w:rsidP="005F0652">
      <w:pPr>
        <w:pStyle w:val="Footnote"/>
      </w:pPr>
      <w:r w:rsidRPr="00B81C3E">
        <w:rPr>
          <w:rStyle w:val="EndnoteReference"/>
        </w:rPr>
        <w:endnoteRef/>
      </w:r>
      <w:r w:rsidRPr="000E1DDF">
        <w:t xml:space="preserve"> </w:t>
      </w:r>
      <w:r w:rsidRPr="000D0D9B">
        <w:t>T. T. Ram Mohan, “India’s New Bankruptcy Code Can’t Fix Its Broken Banks Overnight,” Quartz India, May 9, 2016, accessed July 3, 2019, https://qz.com/678480/why-indias-new-bankruptcy-code-wont-fix-its-broken-banks-overnight.</w:t>
      </w:r>
    </w:p>
  </w:endnote>
  <w:endnote w:id="74">
    <w:p w14:paraId="3689A3AE" w14:textId="77777777" w:rsidR="00812072" w:rsidRPr="000D0D9B" w:rsidRDefault="00812072" w:rsidP="005F0652">
      <w:pPr>
        <w:pStyle w:val="Footnote"/>
      </w:pPr>
      <w:r w:rsidRPr="00B81C3E">
        <w:rPr>
          <w:rStyle w:val="EndnoteReference"/>
        </w:rPr>
        <w:endnoteRef/>
      </w:r>
      <w:r w:rsidRPr="000D0D9B">
        <w:rPr>
          <w:vertAlign w:val="superscript"/>
        </w:rPr>
        <w:t xml:space="preserve"> </w:t>
      </w:r>
      <w:r w:rsidRPr="000D0D9B">
        <w:t xml:space="preserve">Press Trust of India, “SC in 2016: Bad Loans, Demonetisation and Business Groups Made News,” </w:t>
      </w:r>
      <w:r w:rsidRPr="000D0D9B">
        <w:rPr>
          <w:i/>
        </w:rPr>
        <w:t>Business Standard</w:t>
      </w:r>
      <w:r w:rsidRPr="000D0D9B">
        <w:t xml:space="preserve">, January 1, 2017, accessed July 4, 2019, www.business-standard.com/article/current-affairs/sc-in-2016-bad-loans-demonetisation-and-business-groups-made-news-117010100184_1.html. </w:t>
      </w:r>
    </w:p>
  </w:endnote>
  <w:endnote w:id="75">
    <w:p w14:paraId="59591510" w14:textId="77777777" w:rsidR="00812072" w:rsidRPr="00566777" w:rsidRDefault="00812072" w:rsidP="005F0652">
      <w:pPr>
        <w:pStyle w:val="Footnote"/>
      </w:pPr>
      <w:r w:rsidRPr="00B81C3E">
        <w:rPr>
          <w:rStyle w:val="EndnoteReference"/>
        </w:rPr>
        <w:endnoteRef/>
      </w:r>
      <w:r w:rsidRPr="000D0D9B">
        <w:t xml:space="preserve"> Tamal Bandyopadhyay, “Should Bank Defaulters’ List Be Made Public?,” Live Mint, April 18, 2016, accessed July 4, 2019, www.livemint.com/Opinion/V2DVjFi3apOG0gSfgq7bbK/Should-bank-defaulters-list-be-made-public.html.</w:t>
      </w:r>
      <w:r w:rsidRPr="00566777">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IveyVHWLogos">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F1465" w14:textId="77777777" w:rsidR="00812072" w:rsidRDefault="00812072" w:rsidP="00D75295">
      <w:r>
        <w:separator/>
      </w:r>
    </w:p>
  </w:footnote>
  <w:footnote w:type="continuationSeparator" w:id="0">
    <w:p w14:paraId="7385EA2B" w14:textId="77777777" w:rsidR="00812072" w:rsidRDefault="00812072"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13C4EFF2" w:rsidR="00812072" w:rsidRPr="00C92CC4" w:rsidRDefault="00812072"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149EC">
      <w:rPr>
        <w:rFonts w:ascii="Arial" w:hAnsi="Arial"/>
        <w:b/>
        <w:noProof/>
      </w:rPr>
      <w:t>11</w:t>
    </w:r>
    <w:r>
      <w:rPr>
        <w:rFonts w:ascii="Arial" w:hAnsi="Arial"/>
        <w:b/>
      </w:rPr>
      <w:fldChar w:fldCharType="end"/>
    </w:r>
    <w:r>
      <w:rPr>
        <w:rFonts w:ascii="Arial" w:hAnsi="Arial"/>
        <w:b/>
      </w:rPr>
      <w:tab/>
    </w:r>
    <w:r w:rsidR="00D64DFC">
      <w:rPr>
        <w:rFonts w:ascii="Arial" w:hAnsi="Arial"/>
        <w:b/>
      </w:rPr>
      <w:t>9B19N020</w:t>
    </w:r>
  </w:p>
  <w:p w14:paraId="2B53C0A0" w14:textId="77777777" w:rsidR="00812072" w:rsidRDefault="00812072" w:rsidP="00D13667">
    <w:pPr>
      <w:pStyle w:val="Header"/>
      <w:tabs>
        <w:tab w:val="clear" w:pos="4680"/>
      </w:tabs>
      <w:rPr>
        <w:sz w:val="18"/>
        <w:szCs w:val="18"/>
      </w:rPr>
    </w:pPr>
  </w:p>
  <w:p w14:paraId="47119730" w14:textId="77777777" w:rsidR="00812072" w:rsidRPr="00C92CC4" w:rsidRDefault="00812072"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8278E" w14:textId="0C038727" w:rsidR="00812072" w:rsidRPr="00C92CC4" w:rsidRDefault="00812072" w:rsidP="005F0652">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149EC">
      <w:rPr>
        <w:rFonts w:ascii="Arial" w:hAnsi="Arial"/>
        <w:b/>
        <w:noProof/>
      </w:rPr>
      <w:t>12</w:t>
    </w:r>
    <w:r>
      <w:rPr>
        <w:rFonts w:ascii="Arial" w:hAnsi="Arial"/>
        <w:b/>
      </w:rPr>
      <w:fldChar w:fldCharType="end"/>
    </w:r>
    <w:r>
      <w:rPr>
        <w:rFonts w:ascii="Arial" w:hAnsi="Arial"/>
        <w:b/>
      </w:rPr>
      <w:tab/>
    </w:r>
    <w:r w:rsidR="005A4AB9">
      <w:rPr>
        <w:rFonts w:ascii="Arial" w:hAnsi="Arial"/>
        <w:b/>
      </w:rPr>
      <w:t>9B19N020</w:t>
    </w:r>
  </w:p>
  <w:p w14:paraId="2B625305" w14:textId="77777777" w:rsidR="00812072" w:rsidRDefault="00812072" w:rsidP="005F0652">
    <w:pPr>
      <w:pStyle w:val="Header"/>
      <w:tabs>
        <w:tab w:val="clear" w:pos="4680"/>
        <w:tab w:val="clear" w:pos="9360"/>
        <w:tab w:val="right" w:pos="12960"/>
      </w:tabs>
      <w:rPr>
        <w:sz w:val="18"/>
        <w:szCs w:val="18"/>
      </w:rPr>
    </w:pPr>
  </w:p>
  <w:p w14:paraId="7617B7E3" w14:textId="77777777" w:rsidR="00812072" w:rsidRPr="00C92CC4" w:rsidRDefault="00812072" w:rsidP="005F0652">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196DC" w14:textId="5E02878B" w:rsidR="00812072" w:rsidRPr="00C92CC4" w:rsidRDefault="00812072" w:rsidP="005F0652">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149EC">
      <w:rPr>
        <w:rFonts w:ascii="Arial" w:hAnsi="Arial"/>
        <w:b/>
        <w:noProof/>
      </w:rPr>
      <w:t>17</w:t>
    </w:r>
    <w:r>
      <w:rPr>
        <w:rFonts w:ascii="Arial" w:hAnsi="Arial"/>
        <w:b/>
      </w:rPr>
      <w:fldChar w:fldCharType="end"/>
    </w:r>
    <w:r>
      <w:rPr>
        <w:rFonts w:ascii="Arial" w:hAnsi="Arial"/>
        <w:b/>
      </w:rPr>
      <w:tab/>
    </w:r>
    <w:r w:rsidR="005A4AB9">
      <w:rPr>
        <w:rFonts w:ascii="Arial" w:hAnsi="Arial"/>
        <w:b/>
      </w:rPr>
      <w:t>9B19N020</w:t>
    </w:r>
  </w:p>
  <w:p w14:paraId="3C3547BE" w14:textId="77777777" w:rsidR="00812072" w:rsidRDefault="00812072" w:rsidP="005F0652">
    <w:pPr>
      <w:pStyle w:val="Header"/>
      <w:tabs>
        <w:tab w:val="clear" w:pos="4680"/>
      </w:tabs>
      <w:rPr>
        <w:sz w:val="18"/>
        <w:szCs w:val="18"/>
      </w:rPr>
    </w:pPr>
  </w:p>
  <w:p w14:paraId="630E2B59" w14:textId="77777777" w:rsidR="00812072" w:rsidRPr="00C92CC4" w:rsidRDefault="00812072" w:rsidP="005F0652">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956902"/>
    <w:multiLevelType w:val="hybridMultilevel"/>
    <w:tmpl w:val="98904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10"/>
  </w:num>
  <w:num w:numId="5">
    <w:abstractNumId w:val="3"/>
  </w:num>
  <w:num w:numId="6">
    <w:abstractNumId w:val="7"/>
  </w:num>
  <w:num w:numId="7">
    <w:abstractNumId w:val="0"/>
  </w:num>
  <w:num w:numId="8">
    <w:abstractNumId w:val="12"/>
  </w:num>
  <w:num w:numId="9">
    <w:abstractNumId w:val="8"/>
  </w:num>
  <w:num w:numId="10">
    <w:abstractNumId w:val="1"/>
  </w:num>
  <w:num w:numId="11">
    <w:abstractNumId w:val="5"/>
  </w:num>
  <w:num w:numId="12">
    <w:abstractNumId w:val="6"/>
  </w:num>
  <w:num w:numId="13">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49EC"/>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61A33"/>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6702"/>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87A31"/>
    <w:rsid w:val="0059514B"/>
    <w:rsid w:val="005A1B0F"/>
    <w:rsid w:val="005A4AB9"/>
    <w:rsid w:val="005B4CE6"/>
    <w:rsid w:val="005B5EFE"/>
    <w:rsid w:val="005F0652"/>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12072"/>
    <w:rsid w:val="00821FFC"/>
    <w:rsid w:val="008271CA"/>
    <w:rsid w:val="008467D5"/>
    <w:rsid w:val="008A4C2C"/>
    <w:rsid w:val="008A4DC4"/>
    <w:rsid w:val="008B438C"/>
    <w:rsid w:val="008D06CA"/>
    <w:rsid w:val="008D3A46"/>
    <w:rsid w:val="008F2385"/>
    <w:rsid w:val="009047DC"/>
    <w:rsid w:val="009067A4"/>
    <w:rsid w:val="00930885"/>
    <w:rsid w:val="00933D68"/>
    <w:rsid w:val="009340DB"/>
    <w:rsid w:val="00940815"/>
    <w:rsid w:val="0094618C"/>
    <w:rsid w:val="0095684B"/>
    <w:rsid w:val="00972498"/>
    <w:rsid w:val="0097481F"/>
    <w:rsid w:val="00974CC6"/>
    <w:rsid w:val="00976AD4"/>
    <w:rsid w:val="00995547"/>
    <w:rsid w:val="009A312F"/>
    <w:rsid w:val="009A5348"/>
    <w:rsid w:val="009B0AB7"/>
    <w:rsid w:val="009C76D5"/>
    <w:rsid w:val="009F7AA4"/>
    <w:rsid w:val="00A03C31"/>
    <w:rsid w:val="00A10AD7"/>
    <w:rsid w:val="00A323B0"/>
    <w:rsid w:val="00A559DB"/>
    <w:rsid w:val="00A569EA"/>
    <w:rsid w:val="00A676A0"/>
    <w:rsid w:val="00AF35FC"/>
    <w:rsid w:val="00AF3865"/>
    <w:rsid w:val="00AF5556"/>
    <w:rsid w:val="00B03639"/>
    <w:rsid w:val="00B0652A"/>
    <w:rsid w:val="00B40937"/>
    <w:rsid w:val="00B423EF"/>
    <w:rsid w:val="00B453DE"/>
    <w:rsid w:val="00B62497"/>
    <w:rsid w:val="00B72597"/>
    <w:rsid w:val="00B7348C"/>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169C"/>
    <w:rsid w:val="00D13667"/>
    <w:rsid w:val="00D15344"/>
    <w:rsid w:val="00D23F57"/>
    <w:rsid w:val="00D264BD"/>
    <w:rsid w:val="00D31BEC"/>
    <w:rsid w:val="00D63150"/>
    <w:rsid w:val="00D636BA"/>
    <w:rsid w:val="00D64A32"/>
    <w:rsid w:val="00D64DFC"/>
    <w:rsid w:val="00D64EFC"/>
    <w:rsid w:val="00D75295"/>
    <w:rsid w:val="00D76CE9"/>
    <w:rsid w:val="00D97F12"/>
    <w:rsid w:val="00DA6095"/>
    <w:rsid w:val="00DB42E7"/>
    <w:rsid w:val="00DC09D8"/>
    <w:rsid w:val="00DE01A6"/>
    <w:rsid w:val="00DE7677"/>
    <w:rsid w:val="00DE7A98"/>
    <w:rsid w:val="00DF32C2"/>
    <w:rsid w:val="00E32C13"/>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39"/>
    <w:rsid w:val="005F0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F065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5F065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F065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F065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03FD7-1755-4C30-918A-7E52D2585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6207</Words>
  <Characters>35384</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2015-03-04T20:34:00Z</cp:lastPrinted>
  <dcterms:created xsi:type="dcterms:W3CDTF">2020-04-30T13:57:00Z</dcterms:created>
  <dcterms:modified xsi:type="dcterms:W3CDTF">2020-04-30T14:01:00Z</dcterms:modified>
</cp:coreProperties>
</file>