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4FE7A7" w14:textId="77777777" w:rsidR="00A224DC" w:rsidRDefault="00A224DC" w:rsidP="00A224DC">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D591EBD" wp14:editId="5EFD2262">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D76B05F" w14:textId="7B3B1F31" w:rsidR="00A224DC" w:rsidRDefault="00526310" w:rsidP="00A224DC">
      <w:pPr>
        <w:pStyle w:val="ProductNumber"/>
      </w:pPr>
      <w:r>
        <w:t>9B19N02</w:t>
      </w:r>
      <w:bookmarkStart w:id="0" w:name="_GoBack"/>
      <w:r>
        <w:t>1</w:t>
      </w:r>
      <w:bookmarkEnd w:id="0"/>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16ACC9A4" w:rsidR="00013360" w:rsidRDefault="00991E31" w:rsidP="00013360">
      <w:pPr>
        <w:pStyle w:val="CaseTitle"/>
        <w:spacing w:after="0" w:line="240" w:lineRule="auto"/>
        <w:rPr>
          <w:sz w:val="20"/>
          <w:szCs w:val="20"/>
        </w:rPr>
      </w:pPr>
      <w:r w:rsidRPr="00645D1B">
        <w:rPr>
          <w:color w:val="000000" w:themeColor="text1"/>
        </w:rPr>
        <w:t xml:space="preserve">SHAKEY’S INITIAL PUBLIC OFFERING: </w:t>
      </w:r>
      <w:r>
        <w:rPr>
          <w:color w:val="000000" w:themeColor="text1"/>
        </w:rPr>
        <w:t xml:space="preserve">The </w:t>
      </w:r>
      <w:r w:rsidRPr="00645D1B">
        <w:rPr>
          <w:color w:val="000000" w:themeColor="text1"/>
        </w:rPr>
        <w:t>DILEMMA OF INVESTING</w:t>
      </w:r>
      <w:r w:rsidR="005E7D6B">
        <w:rPr>
          <w:rStyle w:val="EndnoteReference"/>
          <w:color w:val="000000" w:themeColor="text1"/>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7FF909EF" w:rsidR="00086B26" w:rsidRPr="00287D6F" w:rsidRDefault="00790463" w:rsidP="00086B26">
      <w:pPr>
        <w:pStyle w:val="StyleCopyrightStatementAfter0ptBottomSinglesolidline1"/>
        <w:rPr>
          <w:lang w:val="en-GB"/>
        </w:rPr>
      </w:pPr>
      <w:r>
        <w:rPr>
          <w:rFonts w:cs="Arial"/>
          <w:color w:val="000000" w:themeColor="text1"/>
          <w:szCs w:val="16"/>
        </w:rPr>
        <w:t xml:space="preserve">Maria Theresa Mañalac, Stefanie Mae Margaret Jakosalem, </w:t>
      </w:r>
      <w:r>
        <w:rPr>
          <w:color w:val="000000" w:themeColor="text1"/>
        </w:rPr>
        <w:t>and Sandeep Puri</w:t>
      </w:r>
      <w:r>
        <w:rPr>
          <w:rFonts w:cs="Arial"/>
          <w:szCs w:val="16"/>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69D679F2" w14:textId="77777777" w:rsidR="00A224DC" w:rsidRPr="00A323B0" w:rsidRDefault="00A224DC" w:rsidP="00A224DC">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41118D2" w14:textId="77777777" w:rsidR="00A224DC" w:rsidRPr="00A323B0" w:rsidRDefault="00A224DC" w:rsidP="00A224DC">
      <w:pPr>
        <w:pStyle w:val="StyleStyleCopyrightStatementAfter0ptBottomSinglesolid"/>
        <w:rPr>
          <w:rFonts w:cs="Arial"/>
          <w:szCs w:val="16"/>
        </w:rPr>
      </w:pPr>
    </w:p>
    <w:p w14:paraId="3922E14F" w14:textId="7FE66795" w:rsidR="00751E0B" w:rsidRPr="00C02410" w:rsidRDefault="00A224DC" w:rsidP="00A224DC">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2019-11</w:t>
      </w:r>
      <w:r w:rsidR="00BF1989">
        <w:rPr>
          <w:rFonts w:cs="Arial"/>
          <w:iCs w:val="0"/>
          <w:color w:val="auto"/>
          <w:szCs w:val="16"/>
        </w:rPr>
        <w:t>-20</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5EF72DEC" w:rsidR="00B87DC0" w:rsidRDefault="00B87DC0" w:rsidP="002B40FF">
      <w:pPr>
        <w:pStyle w:val="Casehead1"/>
      </w:pPr>
    </w:p>
    <w:p w14:paraId="64991DCA" w14:textId="4F7BE298" w:rsidR="00A224DC" w:rsidRDefault="00790463" w:rsidP="00790463">
      <w:pPr>
        <w:pStyle w:val="BodyTextMain"/>
      </w:pPr>
      <w:r>
        <w:t xml:space="preserve">It was barely a week into December 2016 when Angelica “Gel” Enriquez first thought of investing in the initial public offering (IPO) of Shakey’s Pizza Asia Ventures Inc. (Shakey’s). Enriquez was a new member of the Philippine Fund of the finance lab at the </w:t>
      </w:r>
      <w:bookmarkStart w:id="1" w:name="_Hlk7681045"/>
      <w:r>
        <w:t>Asian Institute of Management</w:t>
      </w:r>
      <w:bookmarkEnd w:id="1"/>
      <w:r>
        <w:t xml:space="preserve"> (AIM),</w:t>
      </w:r>
      <w:r w:rsidR="00A224DC">
        <w:t xml:space="preserve"> where she was pursuing her MBA. Part of Enriquez’s task as an analyst was to evaluate potentially worthy equity investments in the industrial sector. </w:t>
      </w:r>
    </w:p>
    <w:p w14:paraId="6118CD62" w14:textId="77777777" w:rsidR="00A224DC" w:rsidRDefault="00A224DC" w:rsidP="00790463">
      <w:pPr>
        <w:pStyle w:val="BodyTextMain"/>
      </w:pPr>
    </w:p>
    <w:p w14:paraId="0F8C243D" w14:textId="77777777" w:rsidR="00A224DC" w:rsidRDefault="00A224DC" w:rsidP="00790463">
      <w:pPr>
        <w:pStyle w:val="BodyTextMain"/>
      </w:pPr>
      <w:r>
        <w:t xml:space="preserve">Shakey’s had become the market leader in the </w:t>
      </w:r>
      <w:bookmarkStart w:id="2" w:name="_Hlk7693856"/>
      <w:r>
        <w:t xml:space="preserve">full-service chain restaurants industry </w:t>
      </w:r>
      <w:bookmarkEnd w:id="2"/>
      <w:r>
        <w:t xml:space="preserve">in the Philippines and was the fourth company to be listed on the </w:t>
      </w:r>
      <w:bookmarkStart w:id="3" w:name="_Hlk7683674"/>
      <w:r>
        <w:t>Philippine Stock Exchange Inc. (PSE)</w:t>
      </w:r>
      <w:bookmarkEnd w:id="3"/>
      <w:r>
        <w:t>. The IPO offer period was from December 2 to December 8, 2016, and Shakey’s was scheduled to be listed on the PSE on December 15. The company’s offer was 306 million shares at ₱11.26</w:t>
      </w:r>
      <w:r>
        <w:rPr>
          <w:rStyle w:val="EndnoteReference"/>
        </w:rPr>
        <w:endnoteReference w:id="2"/>
      </w:r>
      <w:r>
        <w:t xml:space="preserve"> per share.</w:t>
      </w:r>
      <w:r>
        <w:rPr>
          <w:rStyle w:val="EndnoteReference"/>
        </w:rPr>
        <w:endnoteReference w:id="3"/>
      </w:r>
      <w:r>
        <w:t xml:space="preserve"> </w:t>
      </w:r>
    </w:p>
    <w:p w14:paraId="0E56E066" w14:textId="77777777" w:rsidR="00A224DC" w:rsidRDefault="00A224DC" w:rsidP="00790463">
      <w:pPr>
        <w:pStyle w:val="BodyTextMain"/>
      </w:pPr>
    </w:p>
    <w:p w14:paraId="35EB7149" w14:textId="77777777" w:rsidR="00A224DC" w:rsidRDefault="00A224DC" w:rsidP="00790463">
      <w:pPr>
        <w:pStyle w:val="BodyTextMain"/>
      </w:pPr>
      <w:r>
        <w:t>The finance lab had one prerequisite for each investment: Enriquez would have to provide detailed reasons and intrinsic valuation to her teammates and faculty mentors on whether to buy the shares. Enriquez wanted to make sure that her final recommendation provided sufficient analysis about the company and was in line with the investment philosophy of the finance lab.</w:t>
      </w:r>
    </w:p>
    <w:p w14:paraId="2465DB42" w14:textId="77777777" w:rsidR="00A224DC" w:rsidRDefault="00A224DC" w:rsidP="00790463">
      <w:pPr>
        <w:pStyle w:val="BodyTextMain"/>
      </w:pPr>
    </w:p>
    <w:p w14:paraId="72992F5E" w14:textId="77777777" w:rsidR="00A224DC" w:rsidRDefault="00A224DC" w:rsidP="00790463">
      <w:pPr>
        <w:pStyle w:val="BodyTextMain"/>
      </w:pPr>
    </w:p>
    <w:p w14:paraId="79BB126B" w14:textId="77777777" w:rsidR="00A224DC" w:rsidRDefault="00A224DC" w:rsidP="00790463">
      <w:pPr>
        <w:pStyle w:val="Casehead1"/>
      </w:pPr>
      <w:r>
        <w:t xml:space="preserve">SHAKEY’S PIZZA ASIA VENTURES INC. </w:t>
      </w:r>
    </w:p>
    <w:p w14:paraId="18BE9B05" w14:textId="77777777" w:rsidR="00A224DC" w:rsidRDefault="00A224DC" w:rsidP="00790463">
      <w:pPr>
        <w:pStyle w:val="BodyTextMain"/>
      </w:pPr>
    </w:p>
    <w:p w14:paraId="634DC3F0" w14:textId="77777777" w:rsidR="00A224DC" w:rsidRDefault="00A224DC" w:rsidP="00790463">
      <w:pPr>
        <w:pStyle w:val="BodyTextMain"/>
        <w:rPr>
          <w:spacing w:val="-6"/>
        </w:rPr>
      </w:pPr>
      <w:r>
        <w:rPr>
          <w:spacing w:val="-6"/>
        </w:rPr>
        <w:t>Shakey’s was incorporated in the Philippines in 1974 as International Family Food Services Inc. (IFFSI) as part of the original Californian establishment’s expansion strategy. The first Shakey’s Pizza Parlor, set up in 1954 by Sherwood “Shakey” Johnson and Ed Plummer as “Ye Public House,” was a remodelled grocery store in Sacramento, California, that served only pizza and beer and featured ragtime music with banjos and piano players.</w:t>
      </w:r>
      <w:r>
        <w:rPr>
          <w:rStyle w:val="EndnoteReference"/>
        </w:rPr>
        <w:endnoteReference w:id="4"/>
      </w:r>
      <w:r>
        <w:rPr>
          <w:spacing w:val="-6"/>
        </w:rPr>
        <w:t xml:space="preserve"> </w:t>
      </w:r>
    </w:p>
    <w:p w14:paraId="3962C613" w14:textId="77777777" w:rsidR="00A224DC" w:rsidRDefault="00A224DC" w:rsidP="00790463">
      <w:pPr>
        <w:pStyle w:val="BodyTextMain"/>
      </w:pPr>
    </w:p>
    <w:p w14:paraId="1D55925C" w14:textId="77777777" w:rsidR="00A224DC" w:rsidRDefault="00A224DC" w:rsidP="00790463">
      <w:pPr>
        <w:pStyle w:val="BodyTextMain"/>
      </w:pPr>
      <w:r>
        <w:t>By 1974, Shakey’s had expanded to Japan and the Philippines. Initially, ownership of Shakey’s Philippines (under the corporate name of IFFSI) belonged to the San Miguel Corporation, the largest food conglomerate in the Philippines. Its main intent was to promote its San Miguel draft beer.</w:t>
      </w:r>
      <w:r>
        <w:rPr>
          <w:rStyle w:val="EndnoteReference"/>
        </w:rPr>
        <w:endnoteReference w:id="5"/>
      </w:r>
      <w:r>
        <w:t xml:space="preserve"> </w:t>
      </w:r>
    </w:p>
    <w:p w14:paraId="76DC8386" w14:textId="77777777" w:rsidR="00A224DC" w:rsidRDefault="00A224DC" w:rsidP="00790463">
      <w:pPr>
        <w:pStyle w:val="BodyTextMain"/>
      </w:pPr>
    </w:p>
    <w:p w14:paraId="04AE9D0D" w14:textId="33E7D6B6" w:rsidR="00A224DC" w:rsidRDefault="00A224DC" w:rsidP="00790463">
      <w:pPr>
        <w:pStyle w:val="BodyTextMain"/>
      </w:pPr>
      <w:r>
        <w:t xml:space="preserve">The first Shakey’s outlet in the Philippines opened in the central business district of Makati City in 1975. Rapid expansion followed, and soon there were outlets across Metro Manila with most restaurants offering live music. However, in 1987, San Miguel sold IFFSI to the Prieto family–owned Antelope Enterprises Inc. </w:t>
      </w:r>
      <w:r w:rsidR="005E7D6B">
        <w:lastRenderedPageBreak/>
        <w:t>T</w:t>
      </w:r>
      <w:r>
        <w:t xml:space="preserve">he Prieto family </w:t>
      </w:r>
      <w:r w:rsidR="00AA6693">
        <w:t xml:space="preserve">was </w:t>
      </w:r>
      <w:r>
        <w:t xml:space="preserve">the master franchisor of the Shakey’s brand and sub-franchised stores in the Philippines. By 1997, the Shakey’s brand </w:t>
      </w:r>
      <w:r w:rsidR="005E7D6B">
        <w:t xml:space="preserve">became </w:t>
      </w:r>
      <w:r>
        <w:t xml:space="preserve">a </w:t>
      </w:r>
      <w:bookmarkStart w:id="4" w:name="_Hlk7693345"/>
      <w:r>
        <w:t xml:space="preserve">fast-food </w:t>
      </w:r>
      <w:bookmarkEnd w:id="4"/>
      <w:r>
        <w:t>franchise. In 1999, the Golden Gourmet Ltd. (GGL), an entity under the Prieto family, purchased the Shakey’s trademark and acquired perpetual rights over the brand in the Philippines</w:t>
      </w:r>
      <w:r w:rsidR="00AA6693">
        <w:t xml:space="preserve">, so they did not have </w:t>
      </w:r>
      <w:r>
        <w:t xml:space="preserve">to pay royalties </w:t>
      </w:r>
      <w:r w:rsidR="005E7D6B">
        <w:t xml:space="preserve">or </w:t>
      </w:r>
      <w:r>
        <w:t xml:space="preserve">fees </w:t>
      </w:r>
      <w:r w:rsidR="00AA6693">
        <w:t>to use the</w:t>
      </w:r>
      <w:r>
        <w:t xml:space="preserve"> Shakey’s brand.</w:t>
      </w:r>
      <w:r>
        <w:rPr>
          <w:rStyle w:val="EndnoteReference"/>
        </w:rPr>
        <w:endnoteReference w:id="6"/>
      </w:r>
    </w:p>
    <w:p w14:paraId="39CBA875" w14:textId="77777777" w:rsidR="00A224DC" w:rsidRDefault="00A224DC" w:rsidP="00790463">
      <w:pPr>
        <w:pStyle w:val="BodyTextMain"/>
      </w:pPr>
    </w:p>
    <w:p w14:paraId="550A54D6" w14:textId="77777777" w:rsidR="00A224DC" w:rsidRDefault="00A224DC" w:rsidP="00790463">
      <w:pPr>
        <w:pStyle w:val="BodyTextMain"/>
      </w:pPr>
      <w:r>
        <w:t>In 2003, IFFSI re-engineered Shakey’s Philippines from a fast-food franchise to a family-oriented, full-service casual dining brand. As part of the company’s vertical integration strategy, the Prieto family established Bakemasters Inc. (BMI) in 2005 to supply baked goods and ingredients to the Shakey’s restaurants. This allowed the family to have larger and more direct control over the supply chain. The Prieto family then acquired Shakey’s International Limited (SIL) in 2014, which held Shakey’s trademarks in perpetuity in the Middle East, parts of Asia (excluding Japan and Malaysia), Australia, and New Zealand.</w:t>
      </w:r>
      <w:r>
        <w:rPr>
          <w:rStyle w:val="EndnoteReference"/>
        </w:rPr>
        <w:endnoteReference w:id="7"/>
      </w:r>
    </w:p>
    <w:p w14:paraId="086588C3" w14:textId="77777777" w:rsidR="00A224DC" w:rsidRDefault="00A224DC" w:rsidP="00790463">
      <w:pPr>
        <w:pStyle w:val="BodyTextMain"/>
      </w:pPr>
    </w:p>
    <w:p w14:paraId="3A3C4D59" w14:textId="77777777" w:rsidR="00A224DC" w:rsidRDefault="00A224DC" w:rsidP="00790463">
      <w:pPr>
        <w:pStyle w:val="BodyTextMain"/>
        <w:rPr>
          <w:spacing w:val="-2"/>
        </w:rPr>
      </w:pPr>
      <w:r>
        <w:rPr>
          <w:spacing w:val="-2"/>
        </w:rPr>
        <w:t>By 2015, Shakey’s had outperformed other large brands in the Philippines, with dominating market shares of 26.7 per cent by value in the full-service chain restaurants category and 57.7 per cent by value in the full-service pizza chain category.</w:t>
      </w:r>
      <w:r>
        <w:rPr>
          <w:rStyle w:val="EndnoteReference"/>
          <w:spacing w:val="-2"/>
        </w:rPr>
        <w:endnoteReference w:id="8"/>
      </w:r>
      <w:r>
        <w:rPr>
          <w:spacing w:val="-2"/>
        </w:rPr>
        <w:t xml:space="preserve"> As of 2016, Shakey’s was the largest pizza brand in the country and was ranked number one in the traditional full-service pizza chain and family-style casual dining categories.</w:t>
      </w:r>
      <w:r>
        <w:rPr>
          <w:rStyle w:val="EndnoteReference"/>
          <w:spacing w:val="-2"/>
        </w:rPr>
        <w:endnoteReference w:id="9"/>
      </w:r>
      <w:r>
        <w:rPr>
          <w:spacing w:val="-2"/>
        </w:rPr>
        <w:t xml:space="preserve"> It had 177 restaurants spread across the nation, 71 of which were franchised stores. Shakey’s primarily served the middle-income class that preferred full-dining restaurants over fast-food establishments.</w:t>
      </w:r>
      <w:r>
        <w:rPr>
          <w:rStyle w:val="EndnoteReference"/>
          <w:spacing w:val="-2"/>
        </w:rPr>
        <w:endnoteReference w:id="10"/>
      </w:r>
      <w:r>
        <w:rPr>
          <w:spacing w:val="-2"/>
        </w:rPr>
        <w:t xml:space="preserve"> The company saw potential and opportunities for growth in the upper middle class, given this segment’s increasing disposable income.</w:t>
      </w:r>
      <w:r>
        <w:rPr>
          <w:rStyle w:val="EndnoteReference"/>
          <w:spacing w:val="-2"/>
        </w:rPr>
        <w:endnoteReference w:id="11"/>
      </w:r>
    </w:p>
    <w:p w14:paraId="36702520" w14:textId="77777777" w:rsidR="00A224DC" w:rsidRDefault="00A224DC" w:rsidP="00790463">
      <w:pPr>
        <w:pStyle w:val="BodyTextMain"/>
      </w:pPr>
    </w:p>
    <w:p w14:paraId="074D15A5" w14:textId="77777777" w:rsidR="00A224DC" w:rsidRDefault="00A224DC" w:rsidP="00790463">
      <w:pPr>
        <w:pStyle w:val="BodyTextMain"/>
      </w:pPr>
    </w:p>
    <w:p w14:paraId="33440653" w14:textId="77777777" w:rsidR="00A224DC" w:rsidRDefault="00A224DC" w:rsidP="00790463">
      <w:pPr>
        <w:pStyle w:val="Casehead2"/>
      </w:pPr>
      <w:r>
        <w:t>Acquisition of Shakey’s by Century Pacific Group Inc.</w:t>
      </w:r>
    </w:p>
    <w:p w14:paraId="53B37E82" w14:textId="77777777" w:rsidR="00A224DC" w:rsidRDefault="00A224DC" w:rsidP="00790463">
      <w:pPr>
        <w:pStyle w:val="BodyTextMain"/>
      </w:pPr>
    </w:p>
    <w:p w14:paraId="280931B2" w14:textId="6DEA27F3" w:rsidR="00A224DC" w:rsidRDefault="00A224DC" w:rsidP="00790463">
      <w:pPr>
        <w:pStyle w:val="BodyTextMain"/>
      </w:pPr>
      <w:r>
        <w:t>Shakey’s was in the headlines following its acquisition in March 2016 by Century Pacific Group Inc. (CPGI) and GIC (Ventures) Pte. Ltd. (GIC). CPGI, the holding firm under the Po family, was the parent company of the country’s leading canned-food producer, Century Pacific Food Inc., with a portfolio of popular brands such as Century Tuna, Argentina Corned Beef, and 555 Sardines. The holding firm was also the exclusive local franchisor for Yoshinoya, a Japanese fast-food chain launched in the Philippines in 2001.</w:t>
      </w:r>
      <w:bookmarkStart w:id="5" w:name="_Ref498258265"/>
      <w:r>
        <w:rPr>
          <w:rStyle w:val="EndnoteReference"/>
        </w:rPr>
        <w:endnoteReference w:id="12"/>
      </w:r>
      <w:bookmarkEnd w:id="5"/>
      <w:r>
        <w:t xml:space="preserve"> GIC, on the other hand, was a leading global investment firm in Singapore with more than US$100 billion of assets in over 40 countries.</w:t>
      </w:r>
      <w:r>
        <w:rPr>
          <w:rStyle w:val="EndnoteReference"/>
        </w:rPr>
        <w:endnoteReference w:id="13"/>
      </w:r>
      <w:r>
        <w:t xml:space="preserve"> The firm was established to preserve and enhance the financial future of Singapore by managing the city-state’s foreign reserves.</w:t>
      </w:r>
      <w:r>
        <w:rPr>
          <w:rStyle w:val="EndnoteReference"/>
        </w:rPr>
        <w:endnoteReference w:id="14"/>
      </w:r>
      <w:r>
        <w:t xml:space="preserve"> The deal structure enabled CPGI and Arran Investment Pte. Ltd. (Arran), a company wholly owned by GIC, to acquire control over the Shakey’s Group from the Prieto family through a leveraged buyout (LBO) by establishing a special-purpose vehicle—Shakey’s Asia Food Holdings Inc. (SAFHI).</w:t>
      </w:r>
      <w:r>
        <w:rPr>
          <w:rStyle w:val="EndnoteReference"/>
        </w:rPr>
        <w:endnoteReference w:id="15"/>
      </w:r>
    </w:p>
    <w:p w14:paraId="03C445CC" w14:textId="77777777" w:rsidR="00A224DC" w:rsidRDefault="00A224DC" w:rsidP="00790463">
      <w:pPr>
        <w:pStyle w:val="BodyTextMain"/>
      </w:pPr>
    </w:p>
    <w:p w14:paraId="1BB64534" w14:textId="77777777" w:rsidR="00A224DC" w:rsidRDefault="00A224DC" w:rsidP="00790463">
      <w:pPr>
        <w:pStyle w:val="BodyTextMain"/>
      </w:pPr>
      <w:r>
        <w:t>The investment allowed CPGI to expand its footprint across the local fast-food industry on the strength of the growing spending power of the Filipino middle class. The CPGI president, Christopher T. Po, considered investment in the iconic Shakey’s brand as an opportunity to capitalize on the continued growth of the Philippine middle class. He was confident of the brand’s strong management team and its robust, four-decade-old operational track record in the Philippines.</w:t>
      </w:r>
      <w:r>
        <w:rPr>
          <w:rStyle w:val="EndnoteReference"/>
        </w:rPr>
        <w:endnoteReference w:id="16"/>
      </w:r>
    </w:p>
    <w:p w14:paraId="3A89A82B" w14:textId="77777777" w:rsidR="00A224DC" w:rsidRDefault="00A224DC" w:rsidP="00790463">
      <w:pPr>
        <w:pStyle w:val="BodyTextMain"/>
      </w:pPr>
    </w:p>
    <w:p w14:paraId="4E055003" w14:textId="77777777" w:rsidR="00A224DC" w:rsidRDefault="00A224DC" w:rsidP="00790463">
      <w:pPr>
        <w:pStyle w:val="BodyTextMain"/>
      </w:pPr>
    </w:p>
    <w:p w14:paraId="3CDB6D7D" w14:textId="77777777" w:rsidR="00A224DC" w:rsidRDefault="00A224DC" w:rsidP="00790463">
      <w:pPr>
        <w:pStyle w:val="Casehead2"/>
      </w:pPr>
      <w:r>
        <w:t>Shakey’s Leveraged Buyout</w:t>
      </w:r>
    </w:p>
    <w:p w14:paraId="49042B8D" w14:textId="77777777" w:rsidR="00A224DC" w:rsidRDefault="00A224DC" w:rsidP="00790463">
      <w:pPr>
        <w:pStyle w:val="BodyTextMain"/>
      </w:pPr>
    </w:p>
    <w:p w14:paraId="4007A394" w14:textId="77777777" w:rsidR="00A224DC" w:rsidRDefault="00A224DC" w:rsidP="00790463">
      <w:pPr>
        <w:pStyle w:val="BodyTextMain"/>
        <w:rPr>
          <w:spacing w:val="-2"/>
        </w:rPr>
      </w:pPr>
      <w:r>
        <w:rPr>
          <w:spacing w:val="-2"/>
        </w:rPr>
        <w:t>In March 2016, SAFHI owned all Shakey’s pizza businesses (see Exhibit 1), including the pizza restaurants (under Shakey’s and DBE Project Inc.), the commissary (under BMI), and trademarks for use in the Philippines and abroad (under GGL and SIL). CPGI and Arran had controlling interest of SAFHI with 55.8 per cent and 37.2 per cent, respectively; the Prieto family owned the remaining minority share of 7 per cent.</w:t>
      </w:r>
      <w:r>
        <w:rPr>
          <w:rStyle w:val="EndnoteReference"/>
          <w:spacing w:val="-2"/>
        </w:rPr>
        <w:endnoteReference w:id="17"/>
      </w:r>
      <w:r>
        <w:rPr>
          <w:spacing w:val="-2"/>
        </w:rPr>
        <w:t xml:space="preserve"> </w:t>
      </w:r>
    </w:p>
    <w:p w14:paraId="001B3910" w14:textId="77777777" w:rsidR="00A224DC" w:rsidRDefault="00A224DC" w:rsidP="00790463">
      <w:pPr>
        <w:pStyle w:val="BodyTextMain"/>
      </w:pPr>
    </w:p>
    <w:p w14:paraId="2F68DB8D" w14:textId="16959A35" w:rsidR="00A224DC" w:rsidRDefault="00A224DC" w:rsidP="00790463">
      <w:pPr>
        <w:pStyle w:val="BodyTextMain"/>
      </w:pPr>
      <w:r>
        <w:lastRenderedPageBreak/>
        <w:t>In June 2016, Shakey’s entered into a loan agreement as borrower with BDO Unibank Inc. (BDO). The loan was to refinance the bridge loan of SAFHI (Shakey’s parent company), which was used to acquire Shakey’s shares from the Prieto family in March 2016. The BDO loan of ₱5 billion was payable within 10 years starting June 2016. Payments were expected to be made in 18 consecutive semi-annual instalments of ₱25 million plus a final payment of ₱4.55 billion. Interest was either the five-year PDST-R2</w:t>
      </w:r>
      <w:r>
        <w:rPr>
          <w:rStyle w:val="EndnoteReference"/>
        </w:rPr>
        <w:endnoteReference w:id="18"/>
      </w:r>
      <w:r>
        <w:t xml:space="preserve"> plus a spread of 0.75 per cent, or a floor rate of 4.5 per cent, whichever was higher. SAFHI pledged as collateral all of the Shakey’s shares that it owned.</w:t>
      </w:r>
      <w:r>
        <w:rPr>
          <w:rStyle w:val="EndnoteReference"/>
        </w:rPr>
        <w:endnoteReference w:id="19"/>
      </w:r>
    </w:p>
    <w:p w14:paraId="64BB87AA" w14:textId="77777777" w:rsidR="00A224DC" w:rsidRDefault="00A224DC" w:rsidP="00790463">
      <w:pPr>
        <w:pStyle w:val="BodyTextMain"/>
      </w:pPr>
    </w:p>
    <w:p w14:paraId="09506C03" w14:textId="77777777" w:rsidR="00A224DC" w:rsidRDefault="00A224DC" w:rsidP="00790463">
      <w:pPr>
        <w:pStyle w:val="BodyTextMain"/>
        <w:rPr>
          <w:spacing w:val="-4"/>
        </w:rPr>
      </w:pPr>
      <w:r>
        <w:rPr>
          <w:spacing w:val="-4"/>
        </w:rPr>
        <w:t>In October 2016, SAFHI entered into several agreements with Shakey’s and its shareholders to implement a corporate reorganization, which made CPGI, Arran, and the Prieto family the direct owners of Shakey’s in the same percentage and proportion as their original ownership in SAFHI. Shakey’s also became the direct owner of the restaurants (Shakey’s and DBE Project Inc.), commissary (BMI), and trademarks (GGL and SIL). Shakey’s also became the direct owner of a newly formed company, Shakey’s Seacrest Inc. (SSI), intended to hold intellectual property that Shakey’s planned to acquire going forward.</w:t>
      </w:r>
      <w:r>
        <w:rPr>
          <w:rStyle w:val="EndnoteReference"/>
          <w:spacing w:val="-4"/>
        </w:rPr>
        <w:endnoteReference w:id="20"/>
      </w:r>
      <w:r>
        <w:rPr>
          <w:spacing w:val="-4"/>
        </w:rPr>
        <w:t xml:space="preserve"> The 2016 reorganization made Shakey’s the holder of the debt, equity, and assets of all its pizza businesses (see Exhibit 2). </w:t>
      </w:r>
    </w:p>
    <w:p w14:paraId="6D4C6E1A" w14:textId="77777777" w:rsidR="00A224DC" w:rsidRDefault="00A224DC" w:rsidP="00790463">
      <w:pPr>
        <w:pStyle w:val="BodyTextMain"/>
      </w:pPr>
    </w:p>
    <w:p w14:paraId="2828D26F" w14:textId="77777777" w:rsidR="00A224DC" w:rsidRDefault="00A224DC" w:rsidP="00790463">
      <w:pPr>
        <w:pStyle w:val="BodyTextMain"/>
      </w:pPr>
    </w:p>
    <w:p w14:paraId="411DB0E2" w14:textId="77777777" w:rsidR="00A224DC" w:rsidRDefault="00A224DC" w:rsidP="00790463">
      <w:pPr>
        <w:pStyle w:val="Casehead1"/>
      </w:pPr>
      <w:r>
        <w:t>CONSUMER FOOD SERVICE INDUSTRY</w:t>
      </w:r>
    </w:p>
    <w:p w14:paraId="2B17AFA9" w14:textId="77777777" w:rsidR="00A224DC" w:rsidRDefault="00A224DC" w:rsidP="00790463">
      <w:pPr>
        <w:pStyle w:val="BodyTextMain"/>
      </w:pPr>
    </w:p>
    <w:p w14:paraId="46BAACE7" w14:textId="55F959BD" w:rsidR="00A224DC" w:rsidRDefault="00A224DC" w:rsidP="00790463">
      <w:pPr>
        <w:pStyle w:val="BodyTextMain"/>
      </w:pPr>
      <w:r>
        <w:t>In the Philippines, the consumer food service industry included fast food; full-service restaurants, cafés, or bars; street stalls or kiosks; self-service cafeterias; and home delivery or takeout. A Euromonitor study showed that the industry had grown from ₱394 billion in 2011 to ₱536 billion in 2016 with a compound annual growth rate (CAGR) of 6.37 per cent. The pace of growth was expected to slow down to 4.14 per cent from 2017 to 2021.</w:t>
      </w:r>
      <w:r>
        <w:rPr>
          <w:rStyle w:val="EndnoteReference"/>
        </w:rPr>
        <w:endnoteReference w:id="21"/>
      </w:r>
    </w:p>
    <w:p w14:paraId="0287F0D7" w14:textId="77777777" w:rsidR="00A224DC" w:rsidRDefault="00A224DC" w:rsidP="00790463">
      <w:pPr>
        <w:pStyle w:val="BodyTextMain"/>
      </w:pPr>
    </w:p>
    <w:p w14:paraId="342F1031" w14:textId="77777777" w:rsidR="00A224DC" w:rsidRDefault="00A224DC" w:rsidP="00790463">
      <w:pPr>
        <w:pStyle w:val="BodyTextMain"/>
      </w:pPr>
      <w:r>
        <w:t>By the third quarter of 2016, the Philippines was the fastest-growing economy among its Asian neighbours with 7.1 per cent growth in gross domestic product (GDP). The Philippines posted higher growth than China’s 6.7 per cent, Vietnam’s 6.4 per cent, Indonesia’s 5 per cent, and Malaysia’s 4.3 per cent.</w:t>
      </w:r>
      <w:r>
        <w:rPr>
          <w:rStyle w:val="EndnoteReference"/>
        </w:rPr>
        <w:endnoteReference w:id="22"/>
      </w:r>
      <w:r>
        <w:t xml:space="preserve"> The continual growth of the Philippine economy increased consumer income and encouraged lifestyle changes that fuelled consumption and spending. The middle class, specifically, seemed more willing to spend on higher quality and filling meals and on new food and dining experiences. This increased consumer spending became a growth driver for consumer food service operators.</w:t>
      </w:r>
      <w:r>
        <w:rPr>
          <w:rStyle w:val="EndnoteReference"/>
        </w:rPr>
        <w:endnoteReference w:id="23"/>
      </w:r>
    </w:p>
    <w:p w14:paraId="0C8D0877" w14:textId="77777777" w:rsidR="00A224DC" w:rsidRDefault="00A224DC" w:rsidP="00790463">
      <w:pPr>
        <w:pStyle w:val="BodyTextMain"/>
      </w:pPr>
    </w:p>
    <w:p w14:paraId="198A6D7D" w14:textId="77777777" w:rsidR="00A224DC" w:rsidRDefault="00A224DC" w:rsidP="00790463">
      <w:pPr>
        <w:pStyle w:val="BodyTextMain"/>
      </w:pPr>
      <w:r>
        <w:t>Euromonitor reported that chain operators had 21,364 outlets in 2016,</w:t>
      </w:r>
      <w:r>
        <w:rPr>
          <w:rStyle w:val="EndnoteReference"/>
        </w:rPr>
        <w:endnoteReference w:id="24"/>
      </w:r>
      <w:r>
        <w:t xml:space="preserve"> whereas independent operators had 63,140.</w:t>
      </w:r>
      <w:r>
        <w:rPr>
          <w:rStyle w:val="EndnoteReference"/>
        </w:rPr>
        <w:endnoteReference w:id="25"/>
      </w:r>
      <w:r>
        <w:t xml:space="preserve"> The projections suggested that chained outlets were likely to grow faster into 2020 at 5.1 per cent compared to the 0.1 per cent growth rate of independent operators. Under chained operators, fast food continued to lead the market share with ₱166 billion out of ₱243 billion in value;</w:t>
      </w:r>
      <w:r>
        <w:rPr>
          <w:rStyle w:val="EndnoteReference"/>
        </w:rPr>
        <w:endnoteReference w:id="26"/>
      </w:r>
      <w:r>
        <w:t xml:space="preserve"> however, chained full-service restaurants,</w:t>
      </w:r>
      <w:r>
        <w:rPr>
          <w:rStyle w:val="EndnoteReference"/>
        </w:rPr>
        <w:endnoteReference w:id="27"/>
      </w:r>
      <w:r>
        <w:t xml:space="preserve"> with only ₱30 billion in value, were expected to show a compounded growth rate of 13.5 per cent through to 2020. With a value of ₱14.1 billion, or 46 per cent of the total market, pizza, under full-service chain restaurants, had the largest market share against all other types in 2015 and was expected to increase to ₱32 billion by 2020 with a CAGR of 17.8 per cent (see Exhibit 3).</w:t>
      </w:r>
      <w:r>
        <w:rPr>
          <w:rStyle w:val="EndnoteReference"/>
        </w:rPr>
        <w:endnoteReference w:id="28"/>
      </w:r>
    </w:p>
    <w:p w14:paraId="6E9706FC" w14:textId="77777777" w:rsidR="00A224DC" w:rsidRDefault="00A224DC" w:rsidP="00790463">
      <w:pPr>
        <w:pStyle w:val="BodyTextMain"/>
      </w:pPr>
    </w:p>
    <w:p w14:paraId="32F3E2B1" w14:textId="77777777" w:rsidR="00A224DC" w:rsidRDefault="00A224DC" w:rsidP="00790463">
      <w:pPr>
        <w:pStyle w:val="BodyTextMain"/>
      </w:pPr>
    </w:p>
    <w:p w14:paraId="514C5E91" w14:textId="77777777" w:rsidR="00A224DC" w:rsidRDefault="00A224DC" w:rsidP="00790463">
      <w:pPr>
        <w:pStyle w:val="Casehead1"/>
      </w:pPr>
      <w:r>
        <w:t>MAJOR PLAYERS IN THE INDUSTRY</w:t>
      </w:r>
    </w:p>
    <w:p w14:paraId="79D4B857" w14:textId="77777777" w:rsidR="00A224DC" w:rsidRDefault="00A224DC" w:rsidP="00790463">
      <w:pPr>
        <w:pStyle w:val="BodyTextMain"/>
        <w:keepNext/>
      </w:pPr>
    </w:p>
    <w:p w14:paraId="70B0CF5F" w14:textId="77777777" w:rsidR="00A224DC" w:rsidRDefault="00A224DC" w:rsidP="00790463">
      <w:pPr>
        <w:pStyle w:val="BodyTextMain"/>
      </w:pPr>
      <w:r>
        <w:t>Relatively low barriers to entry and numerous options made the consumer food service and restaurant industry intensely competitive. The attractiveness of the industry, as well as the strong performance of the Philippine economy, had spurred many new players and encouraged existing ones to expand aggressively.</w:t>
      </w:r>
      <w:r>
        <w:rPr>
          <w:rStyle w:val="EndnoteReference"/>
        </w:rPr>
        <w:endnoteReference w:id="29"/>
      </w:r>
    </w:p>
    <w:p w14:paraId="4A1073C3" w14:textId="77777777" w:rsidR="00A224DC" w:rsidRDefault="00A224DC" w:rsidP="00790463">
      <w:pPr>
        <w:pStyle w:val="BodyTextMain"/>
      </w:pPr>
    </w:p>
    <w:p w14:paraId="7435CA3E" w14:textId="77777777" w:rsidR="00A224DC" w:rsidRDefault="00A224DC" w:rsidP="00790463">
      <w:pPr>
        <w:pStyle w:val="BodyTextMain"/>
      </w:pPr>
      <w:r>
        <w:lastRenderedPageBreak/>
        <w:t>In 2015, the Shakey’s brand dominated the full-service chain restaurants category in the Philippines with a market share of 27.4 per cent, followed by Pizza Hut at 13.8 per cent and Max’s Restaurant at 12.1 per cent. In the pizza chain category, Shakey’s was also the leader, with 27.2 per cent of the market share—trumping Greenwich Pizza at 24.3 per cent and Pizza Hut at 23.0 per cent. In the full-service pizza chain category, too, Shakey’s led the market share with 57.7 per cent, followed by Pizza Hut at 34.6 per cent and California Pizza Kitchen at 2.7 per cent.</w:t>
      </w:r>
      <w:r>
        <w:rPr>
          <w:rStyle w:val="EndnoteReference"/>
        </w:rPr>
        <w:endnoteReference w:id="30"/>
      </w:r>
    </w:p>
    <w:p w14:paraId="4E9C9486" w14:textId="77777777" w:rsidR="00A224DC" w:rsidRDefault="00A224DC" w:rsidP="00790463">
      <w:pPr>
        <w:pStyle w:val="BodyTextMain"/>
      </w:pPr>
    </w:p>
    <w:p w14:paraId="67FAB703" w14:textId="77777777" w:rsidR="00A224DC" w:rsidRDefault="00A224DC" w:rsidP="00790463">
      <w:pPr>
        <w:pStyle w:val="BodyTextMain"/>
      </w:pPr>
      <w:r>
        <w:t>Compared to its major competitors, Shakey’s was the only full-service chain restaurant in the country with a wide geographical reach, with over 170 outlets across the country. Other players were mostly concentrated in Metro Manila or other major cities, which allowed Shakey’s to expand its customer base faster in other less populated and less competitive parts of the country.</w:t>
      </w:r>
      <w:r>
        <w:rPr>
          <w:rStyle w:val="EndnoteReference"/>
        </w:rPr>
        <w:endnoteReference w:id="31"/>
      </w:r>
    </w:p>
    <w:p w14:paraId="184BE23B" w14:textId="77777777" w:rsidR="00A224DC" w:rsidRDefault="00A224DC" w:rsidP="00790463">
      <w:pPr>
        <w:pStyle w:val="BodyTextMain"/>
      </w:pPr>
    </w:p>
    <w:p w14:paraId="3232B9BE" w14:textId="77777777" w:rsidR="00A224DC" w:rsidRDefault="00A224DC" w:rsidP="00790463">
      <w:pPr>
        <w:pStyle w:val="BodyTextMain"/>
      </w:pPr>
      <w:r>
        <w:t>In the local landscape, value-oriented family-dining experiences were becoming more popular. Because of this, market players, including Shakey’s, Pizza Hut, and Max’s Restaurant, had started to offer value and family meals to attract price-conscious customers. Shakey’s attracted families and groups with affordable meal bundles (“Family Meal Deals”) and party-size portions ideal for sharing, a welcoming environment, store ambience, and location. These deals were great value additions to the Shakey’s brand identity.</w:t>
      </w:r>
      <w:r>
        <w:rPr>
          <w:rStyle w:val="EndnoteReference"/>
        </w:rPr>
        <w:endnoteReference w:id="32"/>
      </w:r>
    </w:p>
    <w:p w14:paraId="5F0C6C5D" w14:textId="77777777" w:rsidR="00A224DC" w:rsidRDefault="00A224DC" w:rsidP="00790463">
      <w:pPr>
        <w:pStyle w:val="BodyTextMain"/>
      </w:pPr>
    </w:p>
    <w:p w14:paraId="7AA60A6B" w14:textId="77777777" w:rsidR="00A224DC" w:rsidRDefault="00A224DC" w:rsidP="00790463">
      <w:pPr>
        <w:pStyle w:val="BodyTextMain"/>
      </w:pPr>
      <w:r>
        <w:t>The enormous growth possibilities of the industry also attracted international players to the Philippines, such as Din Tai Fung Co. Ltd. from Taiwan, Ichibanya Co. Ltd. from Japan, and Applebee’s Restaurants Inc. from the United States, thus intensifying the competition.</w:t>
      </w:r>
      <w:r>
        <w:rPr>
          <w:rStyle w:val="EndnoteReference"/>
        </w:rPr>
        <w:endnoteReference w:id="33"/>
      </w:r>
    </w:p>
    <w:p w14:paraId="4EEA9485" w14:textId="77777777" w:rsidR="00A224DC" w:rsidRDefault="00A224DC" w:rsidP="00790463">
      <w:pPr>
        <w:pStyle w:val="BodyTextMain"/>
      </w:pPr>
    </w:p>
    <w:p w14:paraId="185090A7" w14:textId="77777777" w:rsidR="00A224DC" w:rsidRDefault="00A224DC" w:rsidP="00790463">
      <w:pPr>
        <w:pStyle w:val="BodyTextMain"/>
      </w:pPr>
    </w:p>
    <w:p w14:paraId="65CA2471" w14:textId="77777777" w:rsidR="00A224DC" w:rsidRDefault="00A224DC" w:rsidP="00790463">
      <w:pPr>
        <w:pStyle w:val="Casehead1"/>
      </w:pPr>
      <w:r>
        <w:t>EMERGING RISKS IN THE CONSUMER FOOD SERVICE INDUSTRY</w:t>
      </w:r>
    </w:p>
    <w:p w14:paraId="16E4F1B9" w14:textId="77777777" w:rsidR="00A224DC" w:rsidRDefault="00A224DC" w:rsidP="00790463">
      <w:pPr>
        <w:pStyle w:val="BodyTextMain"/>
      </w:pPr>
    </w:p>
    <w:p w14:paraId="681A048C" w14:textId="77777777" w:rsidR="00A224DC" w:rsidRDefault="00A224DC" w:rsidP="00790463">
      <w:pPr>
        <w:pStyle w:val="BodyTextMain"/>
      </w:pPr>
      <w:r>
        <w:t>The strong performance of the Philippine economy and the growing consumer food service industry led to heightened competition, with operators competing both within and outside their categories. Full-service restaurants also competed with fast-food services, cafes and coffee shops, and street stalls and kiosks to capture more consumer segments.</w:t>
      </w:r>
      <w:r>
        <w:rPr>
          <w:rStyle w:val="EndnoteReference"/>
        </w:rPr>
        <w:endnoteReference w:id="34"/>
      </w:r>
      <w:r>
        <w:t xml:space="preserve"> </w:t>
      </w:r>
    </w:p>
    <w:p w14:paraId="492D4D7E" w14:textId="77777777" w:rsidR="00A224DC" w:rsidRDefault="00A224DC" w:rsidP="00790463">
      <w:pPr>
        <w:pStyle w:val="BodyTextMain"/>
      </w:pPr>
    </w:p>
    <w:p w14:paraId="6A02C46C" w14:textId="77777777" w:rsidR="00A224DC" w:rsidRDefault="00A224DC" w:rsidP="00790463">
      <w:pPr>
        <w:pStyle w:val="BodyTextMain"/>
      </w:pPr>
      <w:r>
        <w:t>While fast-food services were expected to grow at a rate of 10 per cent from 2015 onward, the rising trend of health consciousness drove consumers to lean toward healthier or natural and organic food products. A Euromonitor study suggested that health-aware consumers were now seeking healthy dining options. The demand for healthier menus was expected to intensify with rising health awareness among consumers.</w:t>
      </w:r>
      <w:r>
        <w:rPr>
          <w:rStyle w:val="EndnoteReference"/>
        </w:rPr>
        <w:endnoteReference w:id="35"/>
      </w:r>
    </w:p>
    <w:p w14:paraId="0736416C" w14:textId="77777777" w:rsidR="00A224DC" w:rsidRDefault="00A224DC" w:rsidP="00790463">
      <w:pPr>
        <w:pStyle w:val="BodyTextMain"/>
      </w:pPr>
    </w:p>
    <w:p w14:paraId="47788C13" w14:textId="77777777" w:rsidR="00A224DC" w:rsidRDefault="00A224DC" w:rsidP="00790463">
      <w:pPr>
        <w:pStyle w:val="BodyTextMain"/>
      </w:pPr>
      <w:r>
        <w:t>The home delivery and takeout category’s expected growth rate of 16.5 per cent through to 2020—the fastest growth rate in the chain consumer food service industry—was a threat to all other segments. Although some third-party online ordering and delivery services (e.g., Foodpanda and Quick Delivery) had partnered with full-service restaurants, this segment was likely to hamper foot traffic in malls and restaurants and affect the overall full-service category.</w:t>
      </w:r>
      <w:r>
        <w:rPr>
          <w:rStyle w:val="EndnoteReference"/>
        </w:rPr>
        <w:endnoteReference w:id="36"/>
      </w:r>
    </w:p>
    <w:p w14:paraId="76A28572" w14:textId="77777777" w:rsidR="00A224DC" w:rsidRDefault="00A224DC" w:rsidP="00790463">
      <w:pPr>
        <w:pStyle w:val="BodyTextMain"/>
      </w:pPr>
    </w:p>
    <w:p w14:paraId="53E670BB" w14:textId="77777777" w:rsidR="00A224DC" w:rsidRDefault="00A224DC" w:rsidP="00790463">
      <w:pPr>
        <w:pStyle w:val="BodyTextMain"/>
      </w:pPr>
    </w:p>
    <w:p w14:paraId="4A7F9BC3" w14:textId="77777777" w:rsidR="00A224DC" w:rsidRDefault="00A224DC" w:rsidP="00790463">
      <w:pPr>
        <w:pStyle w:val="Casehead1"/>
      </w:pPr>
      <w:r>
        <w:t>SHAKEY’S GROWTH STRATEGIES</w:t>
      </w:r>
    </w:p>
    <w:p w14:paraId="1C875BE9" w14:textId="77777777" w:rsidR="00A224DC" w:rsidRDefault="00A224DC" w:rsidP="00790463">
      <w:pPr>
        <w:pStyle w:val="BodyTextMain"/>
        <w:keepNext/>
      </w:pPr>
    </w:p>
    <w:p w14:paraId="0FDDCBD8" w14:textId="77777777" w:rsidR="00A224DC" w:rsidRDefault="00A224DC" w:rsidP="00790463">
      <w:pPr>
        <w:pStyle w:val="BodyTextMain"/>
      </w:pPr>
      <w:r>
        <w:t>The new owners of Shakey’s were determined to push hard for growth through implementation of the following strategic plans in the short, medium, and long terms:</w:t>
      </w:r>
      <w:r>
        <w:rPr>
          <w:rStyle w:val="EndnoteReference"/>
        </w:rPr>
        <w:endnoteReference w:id="37"/>
      </w:r>
    </w:p>
    <w:p w14:paraId="4AE1DAE9" w14:textId="77777777" w:rsidR="00A224DC" w:rsidRDefault="00A224DC" w:rsidP="00790463">
      <w:pPr>
        <w:pStyle w:val="BodyTextMain"/>
      </w:pPr>
    </w:p>
    <w:p w14:paraId="5597F462" w14:textId="13C9F798" w:rsidR="00A224DC" w:rsidRDefault="00A224DC" w:rsidP="00790463">
      <w:pPr>
        <w:pStyle w:val="BodyTextMain"/>
        <w:numPr>
          <w:ilvl w:val="0"/>
          <w:numId w:val="13"/>
        </w:numPr>
      </w:pPr>
      <w:r>
        <w:t>Grow Shakey’s store base and position as a full-service family restaurant in existing and new markets through company-owned stores and an established franchise system.</w:t>
      </w:r>
    </w:p>
    <w:p w14:paraId="41874857" w14:textId="77777777" w:rsidR="00A224DC" w:rsidRDefault="00A224DC" w:rsidP="00790463">
      <w:pPr>
        <w:pStyle w:val="BodyTextMain"/>
        <w:ind w:left="360"/>
      </w:pPr>
      <w:r>
        <w:lastRenderedPageBreak/>
        <w:t>In 2016, the company had 177 restaurants. The company planned to focus the growth of its large-format stores in both Metro Manila and provincial areas by opening 20 more stores by 2017. Shakey’s intended to increase its presence outside Manila through franchise holders.</w:t>
      </w:r>
      <w:r>
        <w:rPr>
          <w:rStyle w:val="EndnoteReference"/>
        </w:rPr>
        <w:endnoteReference w:id="38"/>
      </w:r>
      <w:r>
        <w:t xml:space="preserve"> In the global setting, the company had long-term plans to expand overseas using its rights to the Shakey’s trademarks.</w:t>
      </w:r>
      <w:r>
        <w:rPr>
          <w:rStyle w:val="EndnoteReference"/>
        </w:rPr>
        <w:endnoteReference w:id="39"/>
      </w:r>
      <w:r>
        <w:t xml:space="preserve"> In 2016, the company announced an agreement with a Middle Eastern partner to open 10 stores in Kuwait in a span of seven years, with the first store opening within the first half of 2017.</w:t>
      </w:r>
      <w:r>
        <w:rPr>
          <w:rStyle w:val="EndnoteReference"/>
        </w:rPr>
        <w:endnoteReference w:id="40"/>
      </w:r>
    </w:p>
    <w:p w14:paraId="7DEF0B4B" w14:textId="77777777" w:rsidR="00A224DC" w:rsidRDefault="00A224DC" w:rsidP="00790463">
      <w:pPr>
        <w:pStyle w:val="BodyTextMain"/>
      </w:pPr>
    </w:p>
    <w:p w14:paraId="56912658" w14:textId="77777777" w:rsidR="00A224DC" w:rsidRDefault="00A224DC" w:rsidP="00790463">
      <w:pPr>
        <w:pStyle w:val="BodyTextMain"/>
        <w:numPr>
          <w:ilvl w:val="0"/>
          <w:numId w:val="13"/>
        </w:numPr>
      </w:pPr>
      <w:r>
        <w:t>Increase same-store sales growth.</w:t>
      </w:r>
    </w:p>
    <w:p w14:paraId="1978DF9A" w14:textId="77777777" w:rsidR="00A224DC" w:rsidRDefault="00A224DC" w:rsidP="00790463">
      <w:pPr>
        <w:pStyle w:val="BodyTextMain"/>
      </w:pPr>
    </w:p>
    <w:p w14:paraId="4D26E46C" w14:textId="77777777" w:rsidR="00A224DC" w:rsidRPr="00A224DC" w:rsidRDefault="00A224DC" w:rsidP="00790463">
      <w:pPr>
        <w:pStyle w:val="BodyTextMain"/>
        <w:ind w:left="360"/>
        <w:rPr>
          <w:spacing w:val="-2"/>
        </w:rPr>
      </w:pPr>
      <w:r w:rsidRPr="00A224DC">
        <w:rPr>
          <w:spacing w:val="-2"/>
        </w:rPr>
        <w:t>Shakey’s intended to attract new guests and convert first-time guests into repeat and loyal customers by improving overall guest experience to increase same-store sales. At the same time, Shakey’s planned to develop and expand the reach of its delivery and online sales channels by investing in advertising and marketing initiatives. The company also wanted to build on its Shakey’s SuperCard loyalty program.</w:t>
      </w:r>
      <w:r w:rsidRPr="00A224DC">
        <w:rPr>
          <w:rStyle w:val="EndnoteReference"/>
          <w:spacing w:val="-2"/>
        </w:rPr>
        <w:endnoteReference w:id="41"/>
      </w:r>
    </w:p>
    <w:p w14:paraId="6815D607" w14:textId="77777777" w:rsidR="00A224DC" w:rsidRDefault="00A224DC" w:rsidP="00790463">
      <w:pPr>
        <w:pStyle w:val="BodyTextMain"/>
      </w:pPr>
    </w:p>
    <w:p w14:paraId="28C0BFBC" w14:textId="77777777" w:rsidR="00A224DC" w:rsidRDefault="00A224DC" w:rsidP="00790463">
      <w:pPr>
        <w:pStyle w:val="BodyTextMain"/>
        <w:numPr>
          <w:ilvl w:val="0"/>
          <w:numId w:val="13"/>
        </w:numPr>
      </w:pPr>
      <w:r>
        <w:t>Grow commissary business.</w:t>
      </w:r>
    </w:p>
    <w:p w14:paraId="05884613" w14:textId="77777777" w:rsidR="00A224DC" w:rsidRDefault="00A224DC" w:rsidP="00790463">
      <w:pPr>
        <w:pStyle w:val="BodyTextMain"/>
      </w:pPr>
    </w:p>
    <w:p w14:paraId="57F4F1E9" w14:textId="77777777" w:rsidR="00A224DC" w:rsidRDefault="00A224DC" w:rsidP="00790463">
      <w:pPr>
        <w:pStyle w:val="BodyTextMain"/>
        <w:ind w:left="360"/>
      </w:pPr>
      <w:r>
        <w:t>The company’s commissary business supplied doughs, cheeses, and sauces to its system-wide stores as well as other baked goods, sauces, and other finished foods to third parties, including airlines, hotels, and other restaurant chains. In June 2016, Shakey’s supply needs accounted for approximately 80 per cent of the commissary’s production capacity.</w:t>
      </w:r>
      <w:r>
        <w:rPr>
          <w:rStyle w:val="EndnoteReference"/>
        </w:rPr>
        <w:endnoteReference w:id="42"/>
      </w:r>
      <w:r>
        <w:t xml:space="preserve"> From 2013 to 2015, purchases of raw materials, goods, and rental storage by Shakey’s from the commissary grew by 1,245 per cent, resulting in the expansion of commissary business operations. Shakey’s planned to move the operations of this business to a larger plant by the first quarter of 2017 to increase production capacity and take advantage of opportunities to increase sales to third parties.</w:t>
      </w:r>
      <w:r>
        <w:rPr>
          <w:rStyle w:val="EndnoteReference"/>
        </w:rPr>
        <w:endnoteReference w:id="43"/>
      </w:r>
    </w:p>
    <w:p w14:paraId="6AF15B86" w14:textId="77777777" w:rsidR="00A224DC" w:rsidRDefault="00A224DC" w:rsidP="00790463">
      <w:pPr>
        <w:pStyle w:val="BodyTextMain"/>
      </w:pPr>
    </w:p>
    <w:p w14:paraId="48510264" w14:textId="77777777" w:rsidR="00A224DC" w:rsidRDefault="00A224DC" w:rsidP="00790463">
      <w:pPr>
        <w:pStyle w:val="BodyTextMain"/>
        <w:numPr>
          <w:ilvl w:val="0"/>
          <w:numId w:val="13"/>
        </w:numPr>
      </w:pPr>
      <w:r>
        <w:t>Support operational improvement of system-wide stores to create efficiencies and increase profitability.</w:t>
      </w:r>
    </w:p>
    <w:p w14:paraId="66D58094" w14:textId="77777777" w:rsidR="00A224DC" w:rsidRDefault="00A224DC" w:rsidP="00790463">
      <w:pPr>
        <w:pStyle w:val="BodyTextMain"/>
      </w:pPr>
    </w:p>
    <w:p w14:paraId="27B2AE32" w14:textId="77777777" w:rsidR="00A224DC" w:rsidRDefault="00A224DC" w:rsidP="00790463">
      <w:pPr>
        <w:pStyle w:val="BodyTextMain"/>
        <w:ind w:left="360"/>
      </w:pPr>
      <w:r>
        <w:t>The company believed that operational proficiency would lead to increased customer satisfaction and store-level profitability. Shakey’s planned to continue to design information technology (IT) programs to monitor operational performance and enhance the delivery system. In 2016, Shakey’s introduced a new purchase-and-finance system across all stores for faster retrieval of financial information and to generate proper projections for the company’s forecasting needs. The company also planned to leverage the capacity of its affiliates, including CPGI, to help reduce operational costs.</w:t>
      </w:r>
      <w:r>
        <w:rPr>
          <w:rStyle w:val="EndnoteReference"/>
        </w:rPr>
        <w:endnoteReference w:id="44"/>
      </w:r>
    </w:p>
    <w:p w14:paraId="0CD17462" w14:textId="77777777" w:rsidR="00A224DC" w:rsidRDefault="00A224DC" w:rsidP="00790463">
      <w:pPr>
        <w:pStyle w:val="BodyTextMain"/>
      </w:pPr>
    </w:p>
    <w:p w14:paraId="5A6A7A43" w14:textId="77777777" w:rsidR="00A224DC" w:rsidRDefault="00A224DC" w:rsidP="00790463">
      <w:pPr>
        <w:pStyle w:val="BodyTextMain"/>
        <w:numPr>
          <w:ilvl w:val="0"/>
          <w:numId w:val="13"/>
        </w:numPr>
      </w:pPr>
      <w:r>
        <w:t>Continue to develop organizational capabilities.</w:t>
      </w:r>
    </w:p>
    <w:p w14:paraId="41E1520D" w14:textId="77777777" w:rsidR="00A224DC" w:rsidRDefault="00A224DC" w:rsidP="00790463">
      <w:pPr>
        <w:pStyle w:val="BodyTextMain"/>
        <w:jc w:val="left"/>
        <w:rPr>
          <w:sz w:val="20"/>
        </w:rPr>
      </w:pPr>
    </w:p>
    <w:p w14:paraId="7C15A445" w14:textId="408123A3" w:rsidR="00A224DC" w:rsidRDefault="00A224DC" w:rsidP="00790463">
      <w:pPr>
        <w:pStyle w:val="BodyTextMain"/>
        <w:ind w:left="360"/>
      </w:pPr>
      <w:r>
        <w:t>The company planned to improve its back-office systems, including resource planning, payroll systems, and IT infrastructure systems. The company intended to create leadership and succession plans to cover all aspects of its operations as well as continue to provide skill development training and seminars to retain qualified and competent employees.</w:t>
      </w:r>
      <w:r>
        <w:rPr>
          <w:rStyle w:val="EndnoteReference"/>
        </w:rPr>
        <w:endnoteReference w:id="45"/>
      </w:r>
      <w:r>
        <w:t xml:space="preserve"> Shakey’s retained top management through the LBO</w:t>
      </w:r>
      <w:r>
        <w:rPr>
          <w:rStyle w:val="EndnoteReference"/>
        </w:rPr>
        <w:endnoteReference w:id="46"/>
      </w:r>
      <w:r>
        <w:t xml:space="preserve"> and was planning to do the same after the IPO period, keeping the same executives in the positions of president and chief executive operator, general manager, chief information officer, chief human resources officer, and comptroller and principal accounting officer.</w:t>
      </w:r>
      <w:r>
        <w:rPr>
          <w:rStyle w:val="EndnoteReference"/>
        </w:rPr>
        <w:endnoteReference w:id="47"/>
      </w:r>
    </w:p>
    <w:p w14:paraId="654BEC51" w14:textId="77777777" w:rsidR="00A224DC" w:rsidRDefault="00A224DC" w:rsidP="00790463">
      <w:pPr>
        <w:pStyle w:val="BodyTextMain"/>
      </w:pPr>
    </w:p>
    <w:p w14:paraId="2CB5C601" w14:textId="77777777" w:rsidR="00A224DC" w:rsidRDefault="00A224DC" w:rsidP="00790463">
      <w:pPr>
        <w:pStyle w:val="BodyTextMain"/>
      </w:pPr>
    </w:p>
    <w:p w14:paraId="5479E163" w14:textId="77777777" w:rsidR="00A224DC" w:rsidRDefault="00A224DC" w:rsidP="00A224DC">
      <w:pPr>
        <w:pStyle w:val="Casehead1"/>
        <w:keepNext/>
      </w:pPr>
      <w:r>
        <w:t>Shakey’s INITIAL PUBLIC offering</w:t>
      </w:r>
    </w:p>
    <w:p w14:paraId="62C888AD" w14:textId="77777777" w:rsidR="00A224DC" w:rsidRDefault="00A224DC" w:rsidP="00A224DC">
      <w:pPr>
        <w:pStyle w:val="BodyTextMain"/>
        <w:keepNext/>
      </w:pPr>
    </w:p>
    <w:p w14:paraId="42303C66" w14:textId="77777777" w:rsidR="00A224DC" w:rsidRDefault="00A224DC" w:rsidP="00A224DC">
      <w:pPr>
        <w:pStyle w:val="BodyTextMain"/>
        <w:keepNext/>
      </w:pPr>
      <w:bookmarkStart w:id="9" w:name="_Hlk526953384"/>
      <w:r>
        <w:t xml:space="preserve">The successful acquisition of Shakey’s by the Po family in March 2016 prompted rumours about an IPO because CPGI had a track record of undergoing IPOs with its existing businesses. Consistent with prior </w:t>
      </w:r>
      <w:r>
        <w:lastRenderedPageBreak/>
        <w:t>practice, just several months after the acquisition, Shakey’s vice-chair, Ricardo Po, announced that the company was ready for a market debut.</w:t>
      </w:r>
      <w:r>
        <w:rPr>
          <w:rStyle w:val="EndnoteReference"/>
        </w:rPr>
        <w:endnoteReference w:id="48"/>
      </w:r>
    </w:p>
    <w:p w14:paraId="4F89EFF1" w14:textId="77777777" w:rsidR="00A224DC" w:rsidRDefault="00A224DC" w:rsidP="00790463">
      <w:pPr>
        <w:pStyle w:val="BodyTextMain"/>
      </w:pPr>
    </w:p>
    <w:bookmarkEnd w:id="9"/>
    <w:p w14:paraId="79C6D70D" w14:textId="77777777" w:rsidR="00A224DC" w:rsidRDefault="00A224DC" w:rsidP="00790463">
      <w:pPr>
        <w:pStyle w:val="BodyTextMain"/>
      </w:pPr>
      <w:r>
        <w:t>The initial plan, as disclosed by Ricardo Po, was to wait two years before going public. However, within its first month in the company, the Po family, impressed by the management team’s understanding of the business, proceeded with an IPO earlier than planned.</w:t>
      </w:r>
      <w:r>
        <w:rPr>
          <w:rStyle w:val="EndnoteReference"/>
        </w:rPr>
        <w:endnoteReference w:id="49"/>
      </w:r>
      <w:r>
        <w:t xml:space="preserve"> This was backed by the continual growth of the company’s net profit in the previous three years, posting ₱367.2 million in 2013, ₱429.2 million in 2014, and ₱479.6 million in 2015.</w:t>
      </w:r>
      <w:r>
        <w:rPr>
          <w:rStyle w:val="EndnoteReference"/>
        </w:rPr>
        <w:endnoteReference w:id="50"/>
      </w:r>
    </w:p>
    <w:p w14:paraId="5C34FA24" w14:textId="77777777" w:rsidR="00A224DC" w:rsidRDefault="00A224DC" w:rsidP="00790463">
      <w:pPr>
        <w:pStyle w:val="BodyTextMain"/>
      </w:pPr>
    </w:p>
    <w:p w14:paraId="776D30FC" w14:textId="77777777" w:rsidR="00A224DC" w:rsidRDefault="00A224DC" w:rsidP="00790463">
      <w:pPr>
        <w:pStyle w:val="BodyTextMain"/>
      </w:pPr>
      <w:r>
        <w:t>Shakey’s would become the fourth company to be listed on the PSE for 2016. The IPO would allow Shakey’s to raise a total of ₱3,167.2 million, net of fees, from 306 million common shares at ₱11.26 per share. Of the 306 million common shares, 104 million were primary shares and the remaining 202 million were secondary shares offered for sale by Arran,</w:t>
      </w:r>
      <w:r>
        <w:rPr>
          <w:rStyle w:val="EndnoteReference"/>
        </w:rPr>
        <w:endnoteReference w:id="51"/>
      </w:r>
      <w:r>
        <w:t xml:space="preserve"> pursuant to a secondary offer. In addition to the secondary shares, Arran also had the option to sell an additional 45.9 million common shares (also called an </w:t>
      </w:r>
      <w:bookmarkStart w:id="10" w:name="_Hlk7771691"/>
      <w:r>
        <w:t>overallotment</w:t>
      </w:r>
      <w:bookmarkEnd w:id="10"/>
      <w:r>
        <w:t xml:space="preserve"> option) if supported by market demand (see Exhibit 4). A total of 1,531,321,053 shares would be outstanding after the listing.</w:t>
      </w:r>
      <w:r>
        <w:rPr>
          <w:rStyle w:val="EndnoteReference"/>
        </w:rPr>
        <w:endnoteReference w:id="52"/>
      </w:r>
    </w:p>
    <w:p w14:paraId="32FD21B1" w14:textId="77777777" w:rsidR="00A224DC" w:rsidRDefault="00A224DC" w:rsidP="00790463">
      <w:pPr>
        <w:pStyle w:val="BodyTextMain"/>
      </w:pPr>
    </w:p>
    <w:p w14:paraId="34025DBE" w14:textId="51D8A0F9" w:rsidR="00A224DC" w:rsidRPr="00A224DC" w:rsidRDefault="00A224DC" w:rsidP="00790463">
      <w:pPr>
        <w:pStyle w:val="BodyTextMain"/>
        <w:rPr>
          <w:spacing w:val="-4"/>
        </w:rPr>
      </w:pPr>
      <w:r w:rsidRPr="00A224DC">
        <w:rPr>
          <w:spacing w:val="-4"/>
        </w:rPr>
        <w:t>Total proceeds from the sale of primary shares were expected to be equivalent to ₱1,077.3 million after deducting applicable underwriting fees and other expenses. The company planned to use the proceeds from the primary shares for partial debt repayment of ₱940.3 million to BDO for Shakey’s 10-year ₱5,000 million loan acquired in June 2016 to finance Shakey’s acquisition from the Prieto family (see Exhibit 5). Shakey’s also expected to use IPO proceeds to fund capital expenditures of ₱137 million for the expansion of the company’s in-house commissary and new corporate headquarters in Parañaque City. Proceeds of the secondary shares amounting to ₱2,089.9 million, net of all applicable fees, were to be given directly to the selling shareholder, Arran. The overallotment proceeds were also to go to Arran as selling shareholder (see Exhibit 6).</w:t>
      </w:r>
      <w:r w:rsidRPr="00A224DC">
        <w:rPr>
          <w:rStyle w:val="EndnoteReference"/>
          <w:spacing w:val="-4"/>
        </w:rPr>
        <w:endnoteReference w:id="53"/>
      </w:r>
    </w:p>
    <w:p w14:paraId="59D2FEB7" w14:textId="77777777" w:rsidR="00A224DC" w:rsidRDefault="00A224DC" w:rsidP="00790463">
      <w:pPr>
        <w:pStyle w:val="BodyTextMain"/>
      </w:pPr>
    </w:p>
    <w:p w14:paraId="0E829145" w14:textId="77777777" w:rsidR="00A224DC" w:rsidRDefault="00A224DC" w:rsidP="00790463">
      <w:pPr>
        <w:pStyle w:val="BodyTextMain"/>
      </w:pPr>
    </w:p>
    <w:p w14:paraId="420BAEED" w14:textId="77777777" w:rsidR="00A224DC" w:rsidRDefault="00A224DC" w:rsidP="00790463">
      <w:pPr>
        <w:pStyle w:val="Casehead1"/>
      </w:pPr>
      <w:bookmarkStart w:id="11" w:name="_Hlk513878815"/>
      <w:r>
        <w:t>Asian Institute of Management PHILIPPINE FUND OF THE FINANCE LAB</w:t>
      </w:r>
    </w:p>
    <w:p w14:paraId="5542900A" w14:textId="77777777" w:rsidR="00A224DC" w:rsidRDefault="00A224DC" w:rsidP="00790463">
      <w:pPr>
        <w:pStyle w:val="BodyTextMain"/>
      </w:pPr>
    </w:p>
    <w:bookmarkEnd w:id="11"/>
    <w:p w14:paraId="759CB695" w14:textId="77777777" w:rsidR="00A224DC" w:rsidRDefault="00A224DC" w:rsidP="00790463">
      <w:pPr>
        <w:pStyle w:val="BodyTextMain"/>
        <w:rPr>
          <w:spacing w:val="-2"/>
        </w:rPr>
      </w:pPr>
      <w:r>
        <w:rPr>
          <w:spacing w:val="-2"/>
        </w:rPr>
        <w:t xml:space="preserve">The Philippine Fund was a student-managed investment fund in the finance lab for MBA students at the AIM. It was primarily an equity fund set up as a learning laboratory designed to encourage and stimulate students’ intellectual understanding of the Philippine stock market. It was an avenue for finance lab students to hone their skills in portfolio management and stock valuation. The objective of the finance lab was to achieve a medium- to long-term rate of return in excess of the market benchmark—the PSE Composite Index (PSEi). </w:t>
      </w:r>
    </w:p>
    <w:p w14:paraId="18156200" w14:textId="77777777" w:rsidR="00A224DC" w:rsidRDefault="00A224DC" w:rsidP="00790463">
      <w:pPr>
        <w:pStyle w:val="BodyTextMain"/>
      </w:pPr>
    </w:p>
    <w:p w14:paraId="075D54D3" w14:textId="77777777" w:rsidR="00A224DC" w:rsidRDefault="00A224DC" w:rsidP="00790463">
      <w:pPr>
        <w:pStyle w:val="BodyTextMain"/>
      </w:pPr>
      <w:r>
        <w:t>The PSEi was a fixed basket of 30 common stocks carefully selected to represent the general movement of the Philippine stock market.</w:t>
      </w:r>
      <w:r>
        <w:rPr>
          <w:rStyle w:val="EndnoteReference"/>
        </w:rPr>
        <w:endnoteReference w:id="54"/>
      </w:r>
      <w:r>
        <w:t xml:space="preserve"> Out of over 260 stocks listed on the PSE, the PSEi constituents had the largest market capitalization, subject to a minimum free-float market capitalization of 12 per cent, as well as consistently high daily trading activity. The market capitalization of PSEi constituents ranged from ₱70 billion to ₱765 billion.</w:t>
      </w:r>
      <w:r>
        <w:rPr>
          <w:rStyle w:val="EndnoteReference"/>
        </w:rPr>
        <w:endnoteReference w:id="55"/>
      </w:r>
      <w:r>
        <w:t xml:space="preserve"> </w:t>
      </w:r>
    </w:p>
    <w:p w14:paraId="228BC652" w14:textId="77777777" w:rsidR="00A224DC" w:rsidRDefault="00A224DC" w:rsidP="00790463">
      <w:pPr>
        <w:pStyle w:val="BodyTextMain"/>
      </w:pPr>
    </w:p>
    <w:p w14:paraId="6743FCF2" w14:textId="77777777" w:rsidR="00A224DC" w:rsidRPr="00AA6693" w:rsidRDefault="00A224DC" w:rsidP="00790463">
      <w:pPr>
        <w:pStyle w:val="BodyTextMain"/>
        <w:rPr>
          <w:spacing w:val="-4"/>
        </w:rPr>
      </w:pPr>
      <w:r w:rsidRPr="00AA6693">
        <w:rPr>
          <w:spacing w:val="-4"/>
        </w:rPr>
        <w:t xml:space="preserve">The goal of the finance lab was to select mid- and large-cap stocks with attractive fundamentals and relatively low valuations. The investment process used a top-down approach wherein macroeconomic factors were first considered to determine if it was favourable to invest in the country’s equity markets. The future industry and sector prospects were then considered to determine which were likely to perform well. All companies in attractive industries and sectors were then analyzed. To identify top stock performers, all companies were subjected to quantitative financial ratio screens such as market capitalization, daily trading statistics, and three-year historical trends in revenue, margin, and cash flow growth. For companies that passed the screening process, </w:t>
      </w:r>
      <w:r w:rsidRPr="00AA6693">
        <w:rPr>
          <w:spacing w:val="-4"/>
        </w:rPr>
        <w:lastRenderedPageBreak/>
        <w:t>students had to acquire faculty mentor approval to buy and back their selection with an assessment of strategic direction, competitive position, and future company prospects, as well as a detailed intrinsic valuation.</w:t>
      </w:r>
    </w:p>
    <w:p w14:paraId="364BC2DB" w14:textId="77777777" w:rsidR="00A224DC" w:rsidRDefault="00A224DC" w:rsidP="00790463">
      <w:pPr>
        <w:pStyle w:val="BodyTextMain"/>
      </w:pPr>
    </w:p>
    <w:p w14:paraId="137F1777" w14:textId="77777777" w:rsidR="00A224DC" w:rsidRDefault="00A224DC" w:rsidP="00790463">
      <w:pPr>
        <w:pStyle w:val="BodyTextMain"/>
      </w:pPr>
      <w:r>
        <w:t>Each of the five members in the finance lab were assigned a sector to monitor (see Exhibit 7). Enriquez volunteered for the industrial sector, given the strong growth potential of the industry due to the administration’s drive to increase infrastructure spending in the country. In 2016, the industrial sector</w:t>
      </w:r>
      <w:r>
        <w:rPr>
          <w:rStyle w:val="EndnoteReference"/>
        </w:rPr>
        <w:endnoteReference w:id="56"/>
      </w:r>
      <w:r>
        <w:t xml:space="preserve"> of the fund held stocks in construction, infrastructure, electricity, energy, power, and water businesses. The finance lab did not yet have any investments in the food and beverage subsector of the industrial sector. The lab was already overweight in the industrial sector relative to the PSEi, but it planned on further investment in the sector of up to 25 per cent of the current portfolio. </w:t>
      </w:r>
    </w:p>
    <w:p w14:paraId="0DB3E3C9" w14:textId="77777777" w:rsidR="00A224DC" w:rsidRDefault="00A224DC" w:rsidP="00790463">
      <w:pPr>
        <w:pStyle w:val="BodyTextMain"/>
      </w:pPr>
    </w:p>
    <w:p w14:paraId="4936484C" w14:textId="77777777" w:rsidR="00A224DC" w:rsidRDefault="00A224DC" w:rsidP="00790463">
      <w:pPr>
        <w:pStyle w:val="BodyTextMain"/>
      </w:pPr>
    </w:p>
    <w:p w14:paraId="428060E1" w14:textId="77777777" w:rsidR="00A224DC" w:rsidRDefault="00A224DC" w:rsidP="00790463">
      <w:pPr>
        <w:pStyle w:val="Casehead1"/>
      </w:pPr>
      <w:r>
        <w:t>VALUING SHAKEY’S</w:t>
      </w:r>
    </w:p>
    <w:p w14:paraId="52116656" w14:textId="77777777" w:rsidR="00A224DC" w:rsidRDefault="00A224DC" w:rsidP="00790463">
      <w:pPr>
        <w:pStyle w:val="BodyTextMain"/>
      </w:pPr>
    </w:p>
    <w:p w14:paraId="008FDFD7" w14:textId="77777777" w:rsidR="00A224DC" w:rsidRDefault="00A224DC" w:rsidP="00790463">
      <w:pPr>
        <w:pStyle w:val="BodyTextMain"/>
        <w:keepNext/>
      </w:pPr>
      <w:r>
        <w:t>Enriquez had to run an estimate of Shakey’s intrinsic value to determine if the offer price was attractive. She knew that she had to estimate Shakey’s value using the discounted cash flow and comparable firm multiples methods. She checked Shakey’s income statements and balance sheets (see Exhibit 8 and 9). Using the actual financial statements for the first half of 2016, Enriquez proceeded to create her own forecast for Shakey’s full-year 2016E</w:t>
      </w:r>
      <w:r>
        <w:rPr>
          <w:rStyle w:val="EndnoteReference"/>
        </w:rPr>
        <w:endnoteReference w:id="57"/>
      </w:r>
      <w:r>
        <w:t xml:space="preserve"> income statement and balance sheet. She noted that net sales grew by 13.31 per cent from June 2015 to June 2016 and thought this was an encouraging sign. Her balance sheet estimated for the end of 2016 reflected post-IPO proceeds.</w:t>
      </w:r>
    </w:p>
    <w:p w14:paraId="2A8AF27B" w14:textId="77777777" w:rsidR="00A224DC" w:rsidRDefault="00A224DC" w:rsidP="00790463">
      <w:pPr>
        <w:pStyle w:val="BodyTextMain"/>
      </w:pPr>
    </w:p>
    <w:p w14:paraId="2F851514" w14:textId="77777777" w:rsidR="00A224DC" w:rsidRDefault="00A224DC" w:rsidP="00790463">
      <w:pPr>
        <w:pStyle w:val="BodyTextMain"/>
        <w:rPr>
          <w:spacing w:val="-2"/>
        </w:rPr>
      </w:pPr>
      <w:r>
        <w:rPr>
          <w:spacing w:val="-2"/>
        </w:rPr>
        <w:t xml:space="preserve">To project the performance of the business from 2017 onward, Enriquez had access to various forecast growth rates for full-service and pizza chain restaurants. She wondered what the most appropriate growth rate would be for Shakey’s given the company’s prior sales growth. She estimated a corporate income tax rate of 30 per cent. She decided that all required expenses were a percentage to gross sales consistent with 2015 estimates, except for depreciation and amortization expenses, which were estimated to be 3 per cent of gross sales, and general and administrative expenses, which were estimated to be 10 per cent of gross sales. </w:t>
      </w:r>
    </w:p>
    <w:p w14:paraId="1F866EAE" w14:textId="77777777" w:rsidR="00A224DC" w:rsidRDefault="00A224DC" w:rsidP="00790463">
      <w:pPr>
        <w:pStyle w:val="BodyTextMain"/>
      </w:pPr>
    </w:p>
    <w:p w14:paraId="0350D335" w14:textId="77777777" w:rsidR="00A224DC" w:rsidRDefault="00A224DC" w:rsidP="00790463">
      <w:pPr>
        <w:pStyle w:val="BodyTextMain"/>
      </w:pPr>
      <w:r>
        <w:t xml:space="preserve">To determine the changes in net working capital, Enriquez opted to use the normal practice of determining the cash conversion cycle in 2015 and kept this constant for the following years. Without explicit company forecasts for capital expenditures, Enriquez decided to assume that capital expenditures equalled depreciation. Operating cash was expected to be 4 per cent of the expected gross sales per year. For the terminal growth rate, Enriquez wondered if she should use a GDP growth rate of 7.1 per cent, the inflation of 2 per cent in the third quarter of 2016, or some other economic indicator. </w:t>
      </w:r>
    </w:p>
    <w:p w14:paraId="4EC346BF" w14:textId="77777777" w:rsidR="00A224DC" w:rsidRDefault="00A224DC" w:rsidP="00790463">
      <w:pPr>
        <w:pStyle w:val="BodyTextMain"/>
      </w:pPr>
    </w:p>
    <w:p w14:paraId="347DEF35" w14:textId="77777777" w:rsidR="00790463" w:rsidRDefault="00A224DC" w:rsidP="00790463">
      <w:pPr>
        <w:pStyle w:val="BodyTextMain"/>
        <w:rPr>
          <w:spacing w:val="-4"/>
        </w:rPr>
      </w:pPr>
      <w:r>
        <w:rPr>
          <w:spacing w:val="-4"/>
        </w:rPr>
        <w:t>To determine the weighted average cost of capital, Enriquez was able to determine the current government bond yields (see Exhibit 10) and the market risk premium, which was at 7.94 per cent in 2016.</w:t>
      </w:r>
      <w:r>
        <w:rPr>
          <w:rStyle w:val="EndnoteReference"/>
          <w:spacing w:val="-4"/>
        </w:rPr>
        <w:endnoteReference w:id="58"/>
      </w:r>
      <w:r>
        <w:rPr>
          <w:spacing w:val="-4"/>
        </w:rPr>
        <w:t xml:space="preserve"> </w:t>
      </w:r>
      <w:r w:rsidR="00790463">
        <w:rPr>
          <w:spacing w:val="-4"/>
        </w:rPr>
        <w:t>For the valuation multiples method, Enriquez gathered some of the companies comparable to Shakey’s and thought she might use the multiples of price to earnings; total enterprise value to earnings before interest, taxes, depreciation, and amortization; and total enterprise value to earnings before interest and taxes (see Exhibit 11).</w:t>
      </w:r>
    </w:p>
    <w:p w14:paraId="5E4EA6EF" w14:textId="77777777" w:rsidR="00790463" w:rsidRDefault="00790463" w:rsidP="00790463">
      <w:pPr>
        <w:pStyle w:val="BodyTextMain"/>
      </w:pPr>
    </w:p>
    <w:p w14:paraId="0A670122" w14:textId="77777777" w:rsidR="00790463" w:rsidRDefault="00790463" w:rsidP="00790463">
      <w:pPr>
        <w:pStyle w:val="BodyTextMain"/>
      </w:pPr>
    </w:p>
    <w:p w14:paraId="2CA334D1" w14:textId="77777777" w:rsidR="00790463" w:rsidRDefault="00790463" w:rsidP="00790463">
      <w:pPr>
        <w:pStyle w:val="Casehead1"/>
      </w:pPr>
      <w:r>
        <w:t>THE DILEMMA</w:t>
      </w:r>
    </w:p>
    <w:p w14:paraId="0C2E0A00" w14:textId="77777777" w:rsidR="00790463" w:rsidRDefault="00790463" w:rsidP="00790463">
      <w:pPr>
        <w:pStyle w:val="BodyTextMain"/>
      </w:pPr>
    </w:p>
    <w:p w14:paraId="5D424DD5" w14:textId="77777777" w:rsidR="00790463" w:rsidRDefault="00790463" w:rsidP="00790463">
      <w:pPr>
        <w:pStyle w:val="BodyTextMain"/>
      </w:pPr>
      <w:r>
        <w:t>If vetted by Enriquez and her faculty mentors, Shakey’s would be the first and only newly listed stock held by the finance lab and would serve as the lab’s entry into the food and beverage subsectors. As a newly listed stock, Shakey’s would not be part of the PSEi and would represent an off-benchmark bet. The lab allowed up to 20 per cent of its portfolio to be placed in non-index stocks, but Shakey’s would also be the first off-index investment.</w:t>
      </w:r>
    </w:p>
    <w:p w14:paraId="3FFC8AD1" w14:textId="77777777" w:rsidR="00790463" w:rsidRDefault="00790463" w:rsidP="00790463">
      <w:pPr>
        <w:pStyle w:val="BodyTextMain"/>
      </w:pPr>
      <w:r>
        <w:lastRenderedPageBreak/>
        <w:t xml:space="preserve">Enriquez took a second look at her computations before making the final recommendations. She was unsure whether to use all available cash in the finance lab to invest in Shakey’s or whether to invest any at all. The finance lab’s stockbroker and mentors had indicated that the lab had a good chance of being allocated shares in Shakey’s IPO. Enriquez should be able to explain her reasons for her investment decision and the Shakey’s intrinsic valuation to her team. Were the new owners of Shakey’s capable of leading the continual growth of the company? Would </w:t>
      </w:r>
      <w:bookmarkStart w:id="13" w:name="_Hlk7969141"/>
      <w:r>
        <w:t>the use of the IPO proceeds</w:t>
      </w:r>
      <w:bookmarkEnd w:id="13"/>
      <w:r>
        <w:t xml:space="preserve"> strengthen the future cash flows and competitive position of Shakey’s? Were there other considerations for IPO investments? Would Shakey’s be able to manage its higher debt load from the LBO? Enriquez needed to decide soon and make her move.</w:t>
      </w:r>
    </w:p>
    <w:p w14:paraId="5666424D" w14:textId="77777777" w:rsidR="00790463" w:rsidRDefault="00790463" w:rsidP="00790463">
      <w:pPr>
        <w:pStyle w:val="BodyTextMain"/>
      </w:pPr>
    </w:p>
    <w:p w14:paraId="2C0A5DAA" w14:textId="77777777" w:rsidR="00790463" w:rsidRDefault="00790463" w:rsidP="005E7D6B">
      <w:pPr>
        <w:pStyle w:val="Footnote"/>
        <w:pBdr>
          <w:top w:val="single" w:sz="4" w:space="6" w:color="auto"/>
          <w:left w:val="single" w:sz="4" w:space="6" w:color="auto"/>
          <w:bottom w:val="single" w:sz="4" w:space="6" w:color="auto"/>
          <w:right w:val="single" w:sz="4" w:space="0" w:color="auto"/>
        </w:pBdr>
        <w:ind w:left="720" w:right="720"/>
        <w:jc w:val="center"/>
        <w:rPr>
          <w:lang w:val="en-PH"/>
        </w:rPr>
      </w:pPr>
      <w:r>
        <w:t>Maria Theresa Mañalac is an associate professor at Asian Institute of Management, Philippines; Stefanie Mae Margaret Jakosalem is s</w:t>
      </w:r>
      <w:r>
        <w:rPr>
          <w:lang w:val="en-PH"/>
        </w:rPr>
        <w:t>enior manager at Security Bank Corporation, Makati, Philippines</w:t>
      </w:r>
      <w:r>
        <w:t>; and Sandeep Puri is an associate professor at Asian Institute of Management, Philippines.</w:t>
      </w:r>
    </w:p>
    <w:p w14:paraId="24B8067F" w14:textId="77777777" w:rsidR="00790463" w:rsidRDefault="00790463" w:rsidP="00790463">
      <w:pPr>
        <w:pStyle w:val="BodyTextMain"/>
        <w:rPr>
          <w:lang w:val="en-GB"/>
        </w:rPr>
      </w:pPr>
    </w:p>
    <w:p w14:paraId="6A3703A1" w14:textId="77777777" w:rsidR="00790463" w:rsidRDefault="00790463">
      <w:pPr>
        <w:spacing w:after="200" w:line="276" w:lineRule="auto"/>
        <w:rPr>
          <w:rFonts w:ascii="Arial" w:hAnsi="Arial" w:cs="Arial"/>
          <w:b/>
          <w:caps/>
        </w:rPr>
      </w:pPr>
      <w:r>
        <w:br w:type="page"/>
      </w:r>
    </w:p>
    <w:p w14:paraId="336CC8AC" w14:textId="77777777" w:rsidR="00790463" w:rsidRPr="00790463" w:rsidRDefault="00790463" w:rsidP="00790463">
      <w:pPr>
        <w:pStyle w:val="ExhibitHeading"/>
        <w:rPr>
          <w:lang w:val="en-GB"/>
        </w:rPr>
      </w:pPr>
      <w:r w:rsidRPr="00790463">
        <w:rPr>
          <w:lang w:val="en-GB"/>
        </w:rPr>
        <w:lastRenderedPageBreak/>
        <w:t>EXHIBIT 1: OWNERSHIP STRUCTURE OF Shakey’s Pizza Asia Ventures Inc. (MARCH 2016)</w:t>
      </w:r>
    </w:p>
    <w:p w14:paraId="6F5B47B9" w14:textId="77777777" w:rsidR="00790463" w:rsidRPr="00790463" w:rsidRDefault="00790463" w:rsidP="00790463">
      <w:pPr>
        <w:pStyle w:val="BodyTextMain"/>
        <w:rPr>
          <w:lang w:val="en-GB"/>
        </w:rPr>
      </w:pPr>
    </w:p>
    <w:p w14:paraId="1BDB6ADD" w14:textId="76B78EE5" w:rsidR="00790463" w:rsidRPr="00790463" w:rsidRDefault="00790463" w:rsidP="00790463">
      <w:pPr>
        <w:pStyle w:val="BodyTextMain"/>
        <w:rPr>
          <w:lang w:val="en-GB"/>
        </w:rPr>
      </w:pPr>
      <w:r w:rsidRPr="00790463">
        <w:rPr>
          <w:noProof/>
          <w:lang w:val="en-CA" w:eastAsia="en-CA"/>
        </w:rPr>
        <mc:AlternateContent>
          <mc:Choice Requires="wpg">
            <w:drawing>
              <wp:inline distT="0" distB="0" distL="0" distR="0" wp14:anchorId="2BA4A6FB" wp14:editId="466A4A77">
                <wp:extent cx="5561965" cy="3267710"/>
                <wp:effectExtent l="9525" t="9525" r="635" b="889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1965" cy="3267710"/>
                          <a:chOff x="0" y="0"/>
                          <a:chExt cx="67442" cy="35377"/>
                        </a:xfrm>
                      </wpg:grpSpPr>
                      <wpg:grpSp>
                        <wpg:cNvPr id="51" name="Group 2"/>
                        <wpg:cNvGrpSpPr>
                          <a:grpSpLocks/>
                        </wpg:cNvGrpSpPr>
                        <wpg:grpSpPr bwMode="auto">
                          <a:xfrm>
                            <a:off x="1782" y="0"/>
                            <a:ext cx="63599" cy="6579"/>
                            <a:chOff x="1782" y="0"/>
                            <a:chExt cx="63599" cy="6579"/>
                          </a:xfrm>
                        </wpg:grpSpPr>
                        <wpg:grpSp>
                          <wpg:cNvPr id="52" name="Group 40"/>
                          <wpg:cNvGrpSpPr>
                            <a:grpSpLocks/>
                          </wpg:cNvGrpSpPr>
                          <wpg:grpSpPr bwMode="auto">
                            <a:xfrm>
                              <a:off x="1782" y="0"/>
                              <a:ext cx="14180" cy="6493"/>
                              <a:chOff x="1782" y="0"/>
                              <a:chExt cx="14179" cy="6493"/>
                            </a:xfrm>
                          </wpg:grpSpPr>
                          <wps:wsp>
                            <wps:cNvPr id="53" name="TextBox 4"/>
                            <wps:cNvSpPr txBox="1">
                              <a:spLocks noChangeArrowheads="1"/>
                            </wps:cNvSpPr>
                            <wps:spPr bwMode="auto">
                              <a:xfrm>
                                <a:off x="1782" y="1643"/>
                                <a:ext cx="14180" cy="3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CD673" w14:textId="77777777" w:rsidR="006E1BFD" w:rsidRDefault="006E1BFD" w:rsidP="00790463">
                                  <w:pPr>
                                    <w:jc w:val="center"/>
                                    <w:rPr>
                                      <w:sz w:val="16"/>
                                      <w:szCs w:val="16"/>
                                    </w:rPr>
                                  </w:pPr>
                                  <w:r>
                                    <w:rPr>
                                      <w:rFonts w:ascii="Arial" w:hAnsi="Arial" w:cs="Arial"/>
                                      <w:color w:val="000000" w:themeColor="text1"/>
                                      <w:kern w:val="24"/>
                                      <w:sz w:val="16"/>
                                      <w:szCs w:val="16"/>
                                    </w:rPr>
                                    <w:t>Arran Investment</w:t>
                                  </w:r>
                                </w:p>
                                <w:p w14:paraId="3CFBD62A" w14:textId="77777777" w:rsidR="006E1BFD" w:rsidRDefault="006E1BFD" w:rsidP="00790463">
                                  <w:pPr>
                                    <w:jc w:val="center"/>
                                    <w:rPr>
                                      <w:sz w:val="16"/>
                                      <w:szCs w:val="16"/>
                                    </w:rPr>
                                  </w:pPr>
                                  <w:r>
                                    <w:rPr>
                                      <w:rFonts w:ascii="Arial" w:hAnsi="Arial" w:cs="Arial"/>
                                      <w:color w:val="000000" w:themeColor="text1"/>
                                      <w:kern w:val="24"/>
                                      <w:sz w:val="16"/>
                                      <w:szCs w:val="16"/>
                                    </w:rPr>
                                    <w:t>Pte. Ltd.</w:t>
                                  </w:r>
                                </w:p>
                              </w:txbxContent>
                            </wps:txbx>
                            <wps:bodyPr rot="0" vert="horz" wrap="square" lIns="91440" tIns="45720" rIns="91440" bIns="45720" anchor="t" anchorCtr="0" upright="1">
                              <a:noAutofit/>
                            </wps:bodyPr>
                          </wps:wsp>
                          <wps:wsp>
                            <wps:cNvPr id="54" name="Rectangle: Rounded Corners 48"/>
                            <wps:cNvSpPr>
                              <a:spLocks noChangeArrowheads="1"/>
                            </wps:cNvSpPr>
                            <wps:spPr bwMode="auto">
                              <a:xfrm>
                                <a:off x="2379" y="0"/>
                                <a:ext cx="12987" cy="6493"/>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55" name="Group 41"/>
                          <wpg:cNvGrpSpPr>
                            <a:grpSpLocks/>
                          </wpg:cNvGrpSpPr>
                          <wpg:grpSpPr bwMode="auto">
                            <a:xfrm>
                              <a:off x="26831" y="85"/>
                              <a:ext cx="12987" cy="6494"/>
                              <a:chOff x="26831" y="85"/>
                              <a:chExt cx="12987" cy="6493"/>
                            </a:xfrm>
                          </wpg:grpSpPr>
                          <wps:wsp>
                            <wps:cNvPr id="56" name="Rectangle: Rounded Corners 45"/>
                            <wps:cNvSpPr>
                              <a:spLocks noChangeArrowheads="1"/>
                            </wps:cNvSpPr>
                            <wps:spPr bwMode="auto">
                              <a:xfrm>
                                <a:off x="26831" y="85"/>
                                <a:ext cx="12987" cy="6494"/>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7" name="TextBox 8"/>
                            <wps:cNvSpPr txBox="1">
                              <a:spLocks noChangeArrowheads="1"/>
                            </wps:cNvSpPr>
                            <wps:spPr bwMode="auto">
                              <a:xfrm>
                                <a:off x="26961" y="1464"/>
                                <a:ext cx="12719" cy="48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6A36" w14:textId="77777777" w:rsidR="006E1BFD" w:rsidRDefault="006E1BFD" w:rsidP="00790463">
                                  <w:pPr>
                                    <w:jc w:val="center"/>
                                    <w:rPr>
                                      <w:sz w:val="16"/>
                                      <w:szCs w:val="16"/>
                                    </w:rPr>
                                  </w:pPr>
                                  <w:r>
                                    <w:rPr>
                                      <w:rFonts w:ascii="Arial" w:hAnsi="Arial" w:cs="Arial"/>
                                      <w:color w:val="000000" w:themeColor="text1"/>
                                      <w:kern w:val="24"/>
                                      <w:sz w:val="16"/>
                                      <w:szCs w:val="16"/>
                                    </w:rPr>
                                    <w:t>Century Pacific</w:t>
                                  </w:r>
                                </w:p>
                                <w:p w14:paraId="07C87495" w14:textId="77777777" w:rsidR="006E1BFD" w:rsidRDefault="006E1BFD" w:rsidP="00790463">
                                  <w:pPr>
                                    <w:jc w:val="center"/>
                                    <w:rPr>
                                      <w:sz w:val="16"/>
                                      <w:szCs w:val="16"/>
                                    </w:rPr>
                                  </w:pPr>
                                  <w:r>
                                    <w:rPr>
                                      <w:rFonts w:ascii="Arial" w:hAnsi="Arial" w:cs="Arial"/>
                                      <w:color w:val="000000" w:themeColor="text1"/>
                                      <w:kern w:val="24"/>
                                      <w:sz w:val="16"/>
                                      <w:szCs w:val="16"/>
                                    </w:rPr>
                                    <w:t>Group Inc.</w:t>
                                  </w:r>
                                </w:p>
                              </w:txbxContent>
                            </wps:txbx>
                            <wps:bodyPr rot="0" vert="horz" wrap="square" lIns="91440" tIns="45720" rIns="91440" bIns="45720" anchor="t" anchorCtr="0" upright="1">
                              <a:noAutofit/>
                            </wps:bodyPr>
                          </wps:wsp>
                        </wpg:grpSp>
                        <wpg:grpSp>
                          <wpg:cNvPr id="58" name="Group 42"/>
                          <wpg:cNvGrpSpPr>
                            <a:grpSpLocks/>
                          </wpg:cNvGrpSpPr>
                          <wpg:grpSpPr bwMode="auto">
                            <a:xfrm>
                              <a:off x="52394" y="85"/>
                              <a:ext cx="12987" cy="6494"/>
                              <a:chOff x="52394" y="85"/>
                              <a:chExt cx="12987" cy="6493"/>
                            </a:xfrm>
                          </wpg:grpSpPr>
                          <wps:wsp>
                            <wps:cNvPr id="59" name="Rectangle: Rounded Corners 43"/>
                            <wps:cNvSpPr>
                              <a:spLocks noChangeArrowheads="1"/>
                            </wps:cNvSpPr>
                            <wps:spPr bwMode="auto">
                              <a:xfrm>
                                <a:off x="52394" y="85"/>
                                <a:ext cx="12987" cy="6494"/>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0" name="TextBox 10"/>
                            <wps:cNvSpPr txBox="1">
                              <a:spLocks noChangeArrowheads="1"/>
                            </wps:cNvSpPr>
                            <wps:spPr bwMode="auto">
                              <a:xfrm>
                                <a:off x="54223" y="1754"/>
                                <a:ext cx="8820" cy="4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FC919" w14:textId="77777777" w:rsidR="006E1BFD" w:rsidRDefault="006E1BFD" w:rsidP="00790463">
                                  <w:pPr>
                                    <w:rPr>
                                      <w:sz w:val="16"/>
                                      <w:szCs w:val="16"/>
                                    </w:rPr>
                                  </w:pPr>
                                  <w:r>
                                    <w:rPr>
                                      <w:rFonts w:ascii="Arial" w:hAnsi="Arial" w:cs="Arial"/>
                                      <w:color w:val="000000" w:themeColor="text1"/>
                                      <w:kern w:val="24"/>
                                      <w:sz w:val="16"/>
                                      <w:szCs w:val="16"/>
                                    </w:rPr>
                                    <w:t>Prieto family</w:t>
                                  </w:r>
                                </w:p>
                              </w:txbxContent>
                            </wps:txbx>
                            <wps:bodyPr rot="0" vert="horz" wrap="square" lIns="91440" tIns="45720" rIns="91440" bIns="45720" anchor="t" anchorCtr="0" upright="1">
                              <a:noAutofit/>
                            </wps:bodyPr>
                          </wps:wsp>
                        </wpg:grpSp>
                      </wpg:grpSp>
                      <wpg:grpSp>
                        <wpg:cNvPr id="61" name="Group 61"/>
                        <wpg:cNvGrpSpPr>
                          <a:grpSpLocks/>
                        </wpg:cNvGrpSpPr>
                        <wpg:grpSpPr bwMode="auto">
                          <a:xfrm>
                            <a:off x="25075" y="13401"/>
                            <a:ext cx="16499" cy="7860"/>
                            <a:chOff x="25075" y="13401"/>
                            <a:chExt cx="16498" cy="7859"/>
                          </a:xfrm>
                        </wpg:grpSpPr>
                        <wps:wsp>
                          <wps:cNvPr id="62" name="Rectangle: Rounded Corners 38"/>
                          <wps:cNvSpPr>
                            <a:spLocks noChangeArrowheads="1"/>
                          </wps:cNvSpPr>
                          <wps:spPr bwMode="auto">
                            <a:xfrm>
                              <a:off x="25075" y="13401"/>
                              <a:ext cx="16499" cy="7446"/>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3" name="TextBox 14"/>
                          <wps:cNvSpPr txBox="1">
                            <a:spLocks noChangeArrowheads="1"/>
                          </wps:cNvSpPr>
                          <wps:spPr bwMode="auto">
                            <a:xfrm>
                              <a:off x="25983" y="15042"/>
                              <a:ext cx="14675" cy="6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B42C1" w14:textId="77777777" w:rsidR="006E1BFD" w:rsidRDefault="006E1BFD" w:rsidP="00790463">
                                <w:pPr>
                                  <w:jc w:val="center"/>
                                  <w:rPr>
                                    <w:sz w:val="16"/>
                                    <w:szCs w:val="16"/>
                                  </w:rPr>
                                </w:pPr>
                                <w:r>
                                  <w:rPr>
                                    <w:rFonts w:ascii="Arial" w:hAnsi="Arial" w:cs="Arial"/>
                                    <w:color w:val="000000" w:themeColor="text1"/>
                                    <w:kern w:val="24"/>
                                    <w:sz w:val="16"/>
                                    <w:szCs w:val="16"/>
                                  </w:rPr>
                                  <w:t>Shakey’s Asia Food</w:t>
                                </w:r>
                              </w:p>
                              <w:p w14:paraId="333CB012" w14:textId="77777777" w:rsidR="006E1BFD" w:rsidRDefault="006E1BFD" w:rsidP="00790463">
                                <w:pPr>
                                  <w:jc w:val="center"/>
                                  <w:rPr>
                                    <w:sz w:val="16"/>
                                    <w:szCs w:val="16"/>
                                  </w:rPr>
                                </w:pPr>
                                <w:r>
                                  <w:rPr>
                                    <w:rFonts w:ascii="Arial" w:hAnsi="Arial" w:cs="Arial"/>
                                    <w:color w:val="000000" w:themeColor="text1"/>
                                    <w:kern w:val="24"/>
                                    <w:sz w:val="16"/>
                                    <w:szCs w:val="16"/>
                                  </w:rPr>
                                  <w:t>Holdings Inc.</w:t>
                                </w:r>
                              </w:p>
                            </w:txbxContent>
                          </wps:txbx>
                          <wps:bodyPr rot="0" vert="horz" wrap="square" lIns="91440" tIns="45720" rIns="91440" bIns="45720" anchor="t" anchorCtr="0" upright="1">
                            <a:noAutofit/>
                          </wps:bodyPr>
                        </wps:wsp>
                      </wpg:grpSp>
                      <wpg:grpSp>
                        <wpg:cNvPr id="64" name="Group 4"/>
                        <wpg:cNvGrpSpPr>
                          <a:grpSpLocks/>
                        </wpg:cNvGrpSpPr>
                        <wpg:grpSpPr bwMode="auto">
                          <a:xfrm>
                            <a:off x="0" y="27842"/>
                            <a:ext cx="66387" cy="7535"/>
                            <a:chOff x="0" y="27842"/>
                            <a:chExt cx="66387" cy="7535"/>
                          </a:xfrm>
                        </wpg:grpSpPr>
                        <wpg:grpSp>
                          <wpg:cNvPr id="65" name="Group 23"/>
                          <wpg:cNvGrpSpPr>
                            <a:grpSpLocks/>
                          </wpg:cNvGrpSpPr>
                          <wpg:grpSpPr bwMode="auto">
                            <a:xfrm>
                              <a:off x="0" y="27937"/>
                              <a:ext cx="9768" cy="7440"/>
                              <a:chOff x="0" y="27937"/>
                              <a:chExt cx="9768" cy="7440"/>
                            </a:xfrm>
                          </wpg:grpSpPr>
                          <wps:wsp>
                            <wps:cNvPr id="66" name="Rectangle: Rounded Corners 36"/>
                            <wps:cNvSpPr>
                              <a:spLocks noChangeArrowheads="1"/>
                            </wps:cNvSpPr>
                            <wps:spPr bwMode="auto">
                              <a:xfrm>
                                <a:off x="0" y="27937"/>
                                <a:ext cx="9768" cy="7440"/>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7" name="TextBox 24"/>
                            <wps:cNvSpPr txBox="1">
                              <a:spLocks noChangeArrowheads="1"/>
                            </wps:cNvSpPr>
                            <wps:spPr bwMode="auto">
                              <a:xfrm>
                                <a:off x="233" y="29565"/>
                                <a:ext cx="9246" cy="4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AB6A2" w14:textId="77777777" w:rsidR="006E1BFD" w:rsidRDefault="006E1BFD" w:rsidP="00790463">
                                  <w:pPr>
                                    <w:jc w:val="center"/>
                                    <w:rPr>
                                      <w:spacing w:val="-4"/>
                                      <w:sz w:val="16"/>
                                      <w:szCs w:val="16"/>
                                    </w:rPr>
                                  </w:pPr>
                                  <w:r>
                                    <w:rPr>
                                      <w:rFonts w:ascii="Arial" w:hAnsi="Arial" w:cs="Arial"/>
                                      <w:color w:val="000000" w:themeColor="text1"/>
                                      <w:spacing w:val="-4"/>
                                      <w:kern w:val="24"/>
                                      <w:sz w:val="16"/>
                                      <w:szCs w:val="16"/>
                                    </w:rPr>
                                    <w:t>Bakemasters</w:t>
                                  </w:r>
                                </w:p>
                                <w:p w14:paraId="373D3061" w14:textId="77777777" w:rsidR="006E1BFD" w:rsidRDefault="006E1BFD" w:rsidP="00790463">
                                  <w:pPr>
                                    <w:jc w:val="center"/>
                                    <w:rPr>
                                      <w:sz w:val="16"/>
                                      <w:szCs w:val="16"/>
                                    </w:rPr>
                                  </w:pPr>
                                  <w:r>
                                    <w:rPr>
                                      <w:rFonts w:ascii="Arial" w:hAnsi="Arial" w:cs="Arial"/>
                                      <w:color w:val="000000" w:themeColor="text1"/>
                                      <w:kern w:val="24"/>
                                      <w:sz w:val="16"/>
                                      <w:szCs w:val="16"/>
                                    </w:rPr>
                                    <w:t>Inc.</w:t>
                                  </w:r>
                                </w:p>
                              </w:txbxContent>
                            </wps:txbx>
                            <wps:bodyPr rot="0" vert="horz" wrap="square" lIns="91440" tIns="45720" rIns="91440" bIns="45720" anchor="t" anchorCtr="0" upright="1">
                              <a:noAutofit/>
                            </wps:bodyPr>
                          </wps:wsp>
                        </wpg:grpSp>
                        <wpg:grpSp>
                          <wpg:cNvPr id="68" name="Group 24"/>
                          <wpg:cNvGrpSpPr>
                            <a:grpSpLocks/>
                          </wpg:cNvGrpSpPr>
                          <wpg:grpSpPr bwMode="auto">
                            <a:xfrm>
                              <a:off x="14222" y="27842"/>
                              <a:ext cx="9768" cy="7441"/>
                              <a:chOff x="14222" y="27842"/>
                              <a:chExt cx="9768" cy="7440"/>
                            </a:xfrm>
                          </wpg:grpSpPr>
                          <wps:wsp>
                            <wps:cNvPr id="69" name="Rectangle: Rounded Corners 34"/>
                            <wps:cNvSpPr>
                              <a:spLocks noChangeArrowheads="1"/>
                            </wps:cNvSpPr>
                            <wps:spPr bwMode="auto">
                              <a:xfrm>
                                <a:off x="14222" y="27842"/>
                                <a:ext cx="9768" cy="7441"/>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0" name="TextBox 30"/>
                            <wps:cNvSpPr txBox="1">
                              <a:spLocks noChangeArrowheads="1"/>
                            </wps:cNvSpPr>
                            <wps:spPr bwMode="auto">
                              <a:xfrm>
                                <a:off x="14473" y="29400"/>
                                <a:ext cx="9246" cy="4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971BA" w14:textId="77777777" w:rsidR="006E1BFD" w:rsidRDefault="006E1BFD" w:rsidP="00790463">
                                  <w:pPr>
                                    <w:jc w:val="center"/>
                                    <w:rPr>
                                      <w:sz w:val="16"/>
                                      <w:szCs w:val="16"/>
                                    </w:rPr>
                                  </w:pPr>
                                  <w:r>
                                    <w:rPr>
                                      <w:rFonts w:ascii="Arial" w:hAnsi="Arial" w:cs="Arial"/>
                                      <w:color w:val="000000" w:themeColor="text1"/>
                                      <w:kern w:val="24"/>
                                      <w:sz w:val="16"/>
                                      <w:szCs w:val="16"/>
                                    </w:rPr>
                                    <w:t>Golden</w:t>
                                  </w:r>
                                </w:p>
                                <w:p w14:paraId="454CE654" w14:textId="77777777" w:rsidR="006E1BFD" w:rsidRDefault="006E1BFD" w:rsidP="00790463">
                                  <w:pPr>
                                    <w:jc w:val="center"/>
                                    <w:rPr>
                                      <w:sz w:val="16"/>
                                      <w:szCs w:val="16"/>
                                    </w:rPr>
                                  </w:pPr>
                                  <w:r>
                                    <w:rPr>
                                      <w:rFonts w:ascii="Arial" w:hAnsi="Arial" w:cs="Arial"/>
                                      <w:color w:val="000000" w:themeColor="text1"/>
                                      <w:kern w:val="24"/>
                                      <w:sz w:val="16"/>
                                      <w:szCs w:val="16"/>
                                    </w:rPr>
                                    <w:t>Gourmet Ltd.</w:t>
                                  </w:r>
                                </w:p>
                              </w:txbxContent>
                            </wps:txbx>
                            <wps:bodyPr rot="0" vert="horz" wrap="square" lIns="91440" tIns="45720" rIns="91440" bIns="45720" anchor="t" anchorCtr="0" upright="1">
                              <a:noAutofit/>
                            </wps:bodyPr>
                          </wps:wsp>
                        </wpg:grpSp>
                        <wpg:grpSp>
                          <wpg:cNvPr id="71" name="Group 25"/>
                          <wpg:cNvGrpSpPr>
                            <a:grpSpLocks/>
                          </wpg:cNvGrpSpPr>
                          <wpg:grpSpPr bwMode="auto">
                            <a:xfrm>
                              <a:off x="28620" y="27842"/>
                              <a:ext cx="9770" cy="7441"/>
                              <a:chOff x="28620" y="27842"/>
                              <a:chExt cx="9769" cy="7440"/>
                            </a:xfrm>
                          </wpg:grpSpPr>
                          <wps:wsp>
                            <wps:cNvPr id="72" name="Rectangle: Rounded Corners 32"/>
                            <wps:cNvSpPr>
                              <a:spLocks noChangeArrowheads="1"/>
                            </wps:cNvSpPr>
                            <wps:spPr bwMode="auto">
                              <a:xfrm>
                                <a:off x="28621" y="27842"/>
                                <a:ext cx="9769" cy="7441"/>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3" name="TextBox 31"/>
                            <wps:cNvSpPr txBox="1">
                              <a:spLocks noChangeArrowheads="1"/>
                            </wps:cNvSpPr>
                            <wps:spPr bwMode="auto">
                              <a:xfrm>
                                <a:off x="28620" y="28822"/>
                                <a:ext cx="9288" cy="5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B0FBE" w14:textId="77777777" w:rsidR="006E1BFD" w:rsidRDefault="006E1BFD" w:rsidP="00790463">
                                  <w:pPr>
                                    <w:jc w:val="center"/>
                                    <w:rPr>
                                      <w:sz w:val="16"/>
                                      <w:szCs w:val="16"/>
                                    </w:rPr>
                                  </w:pPr>
                                  <w:r>
                                    <w:rPr>
                                      <w:rFonts w:ascii="Arial" w:hAnsi="Arial" w:cs="Arial"/>
                                      <w:color w:val="000000" w:themeColor="text1"/>
                                      <w:kern w:val="24"/>
                                      <w:sz w:val="16"/>
                                      <w:szCs w:val="16"/>
                                    </w:rPr>
                                    <w:t>Shakey’s</w:t>
                                  </w:r>
                                </w:p>
                                <w:p w14:paraId="1D379A08" w14:textId="77777777" w:rsidR="006E1BFD" w:rsidRDefault="006E1BFD" w:rsidP="00790463">
                                  <w:pPr>
                                    <w:jc w:val="center"/>
                                    <w:rPr>
                                      <w:sz w:val="16"/>
                                      <w:szCs w:val="16"/>
                                    </w:rPr>
                                  </w:pPr>
                                  <w:r>
                                    <w:rPr>
                                      <w:rFonts w:ascii="Arial" w:hAnsi="Arial" w:cs="Arial"/>
                                      <w:color w:val="000000" w:themeColor="text1"/>
                                      <w:kern w:val="24"/>
                                      <w:sz w:val="16"/>
                                      <w:szCs w:val="16"/>
                                    </w:rPr>
                                    <w:t>International</w:t>
                                  </w:r>
                                </w:p>
                                <w:p w14:paraId="791CEC9C" w14:textId="77777777" w:rsidR="006E1BFD" w:rsidRDefault="006E1BFD" w:rsidP="00790463">
                                  <w:pPr>
                                    <w:jc w:val="center"/>
                                    <w:rPr>
                                      <w:sz w:val="16"/>
                                      <w:szCs w:val="16"/>
                                    </w:rPr>
                                  </w:pPr>
                                  <w:r>
                                    <w:rPr>
                                      <w:rFonts w:ascii="Arial" w:hAnsi="Arial" w:cs="Arial"/>
                                      <w:color w:val="000000" w:themeColor="text1"/>
                                      <w:kern w:val="24"/>
                                      <w:sz w:val="16"/>
                                      <w:szCs w:val="16"/>
                                    </w:rPr>
                                    <w:t>Limited</w:t>
                                  </w:r>
                                </w:p>
                              </w:txbxContent>
                            </wps:txbx>
                            <wps:bodyPr rot="0" vert="horz" wrap="square" lIns="91440" tIns="45720" rIns="91440" bIns="45720" anchor="t" anchorCtr="0" upright="1">
                              <a:noAutofit/>
                            </wps:bodyPr>
                          </wps:wsp>
                        </wpg:grpSp>
                        <wpg:grpSp>
                          <wpg:cNvPr id="74" name="Group 26"/>
                          <wpg:cNvGrpSpPr>
                            <a:grpSpLocks/>
                          </wpg:cNvGrpSpPr>
                          <wpg:grpSpPr bwMode="auto">
                            <a:xfrm>
                              <a:off x="42396" y="27937"/>
                              <a:ext cx="9769" cy="7440"/>
                              <a:chOff x="42396" y="27937"/>
                              <a:chExt cx="9768" cy="7440"/>
                            </a:xfrm>
                          </wpg:grpSpPr>
                          <wps:wsp>
                            <wps:cNvPr id="75" name="Rectangle: Rounded Corners 30"/>
                            <wps:cNvSpPr>
                              <a:spLocks noChangeArrowheads="1"/>
                            </wps:cNvSpPr>
                            <wps:spPr bwMode="auto">
                              <a:xfrm>
                                <a:off x="42396" y="27937"/>
                                <a:ext cx="9769" cy="7440"/>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6" name="TextBox 32"/>
                            <wps:cNvSpPr txBox="1">
                              <a:spLocks noChangeArrowheads="1"/>
                            </wps:cNvSpPr>
                            <wps:spPr bwMode="auto">
                              <a:xfrm>
                                <a:off x="42523" y="28763"/>
                                <a:ext cx="9315" cy="60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C7A4C" w14:textId="77777777" w:rsidR="006E1BFD" w:rsidRDefault="006E1BFD" w:rsidP="00790463">
                                  <w:pPr>
                                    <w:jc w:val="center"/>
                                    <w:rPr>
                                      <w:sz w:val="16"/>
                                      <w:szCs w:val="16"/>
                                    </w:rPr>
                                  </w:pPr>
                                  <w:r>
                                    <w:rPr>
                                      <w:rFonts w:ascii="Arial" w:hAnsi="Arial" w:cs="Arial"/>
                                      <w:color w:val="000000" w:themeColor="text1"/>
                                      <w:kern w:val="24"/>
                                      <w:sz w:val="16"/>
                                      <w:szCs w:val="16"/>
                                    </w:rPr>
                                    <w:t>Shakey’s</w:t>
                                  </w:r>
                                </w:p>
                                <w:p w14:paraId="280C9C43" w14:textId="77777777" w:rsidR="006E1BFD" w:rsidRDefault="006E1BFD" w:rsidP="00790463">
                                  <w:pPr>
                                    <w:jc w:val="center"/>
                                    <w:rPr>
                                      <w:sz w:val="16"/>
                                      <w:szCs w:val="16"/>
                                    </w:rPr>
                                  </w:pPr>
                                  <w:r>
                                    <w:rPr>
                                      <w:rFonts w:ascii="Arial" w:hAnsi="Arial" w:cs="Arial"/>
                                      <w:color w:val="000000" w:themeColor="text1"/>
                                      <w:kern w:val="24"/>
                                      <w:sz w:val="16"/>
                                      <w:szCs w:val="16"/>
                                    </w:rPr>
                                    <w:t>Pizza Asia</w:t>
                                  </w:r>
                                </w:p>
                                <w:p w14:paraId="06D38A57" w14:textId="77777777" w:rsidR="006E1BFD" w:rsidRDefault="006E1BFD" w:rsidP="00790463">
                                  <w:pPr>
                                    <w:jc w:val="center"/>
                                    <w:rPr>
                                      <w:sz w:val="16"/>
                                      <w:szCs w:val="16"/>
                                    </w:rPr>
                                  </w:pPr>
                                  <w:r>
                                    <w:rPr>
                                      <w:rFonts w:ascii="Arial" w:hAnsi="Arial" w:cs="Arial"/>
                                      <w:color w:val="000000" w:themeColor="text1"/>
                                      <w:kern w:val="24"/>
                                      <w:sz w:val="16"/>
                                      <w:szCs w:val="16"/>
                                    </w:rPr>
                                    <w:t>Ventures Inc.</w:t>
                                  </w:r>
                                </w:p>
                              </w:txbxContent>
                            </wps:txbx>
                            <wps:bodyPr rot="0" vert="horz" wrap="square" lIns="91440" tIns="45720" rIns="91440" bIns="45720" anchor="t" anchorCtr="0" upright="1">
                              <a:noAutofit/>
                            </wps:bodyPr>
                          </wps:wsp>
                        </wpg:grpSp>
                        <wpg:grpSp>
                          <wpg:cNvPr id="77" name="Group 27"/>
                          <wpg:cNvGrpSpPr>
                            <a:grpSpLocks/>
                          </wpg:cNvGrpSpPr>
                          <wpg:grpSpPr bwMode="auto">
                            <a:xfrm>
                              <a:off x="56619" y="27937"/>
                              <a:ext cx="9768" cy="7440"/>
                              <a:chOff x="56619" y="27937"/>
                              <a:chExt cx="9768" cy="7440"/>
                            </a:xfrm>
                          </wpg:grpSpPr>
                          <wps:wsp>
                            <wps:cNvPr id="78" name="Rectangle: Rounded Corners 28"/>
                            <wps:cNvSpPr>
                              <a:spLocks noChangeArrowheads="1"/>
                            </wps:cNvSpPr>
                            <wps:spPr bwMode="auto">
                              <a:xfrm>
                                <a:off x="56619" y="27937"/>
                                <a:ext cx="9768" cy="7440"/>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9" name="TextBox 33"/>
                            <wps:cNvSpPr txBox="1">
                              <a:spLocks noChangeArrowheads="1"/>
                            </wps:cNvSpPr>
                            <wps:spPr bwMode="auto">
                              <a:xfrm>
                                <a:off x="57097" y="29565"/>
                                <a:ext cx="8750" cy="4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07385" w14:textId="77777777" w:rsidR="006E1BFD" w:rsidRDefault="006E1BFD" w:rsidP="00790463">
                                  <w:pPr>
                                    <w:jc w:val="center"/>
                                    <w:rPr>
                                      <w:sz w:val="16"/>
                                      <w:szCs w:val="16"/>
                                    </w:rPr>
                                  </w:pPr>
                                  <w:r>
                                    <w:rPr>
                                      <w:rFonts w:ascii="Arial" w:hAnsi="Arial" w:cs="Arial"/>
                                      <w:color w:val="000000" w:themeColor="text1"/>
                                      <w:kern w:val="24"/>
                                      <w:sz w:val="16"/>
                                      <w:szCs w:val="16"/>
                                    </w:rPr>
                                    <w:t>DBE Project</w:t>
                                  </w:r>
                                </w:p>
                                <w:p w14:paraId="3D9C8CC2" w14:textId="77777777" w:rsidR="006E1BFD" w:rsidRDefault="006E1BFD" w:rsidP="00790463">
                                  <w:pPr>
                                    <w:jc w:val="center"/>
                                    <w:rPr>
                                      <w:sz w:val="16"/>
                                      <w:szCs w:val="16"/>
                                    </w:rPr>
                                  </w:pPr>
                                  <w:r>
                                    <w:rPr>
                                      <w:rFonts w:ascii="Arial" w:hAnsi="Arial" w:cs="Arial"/>
                                      <w:color w:val="000000" w:themeColor="text1"/>
                                      <w:kern w:val="24"/>
                                      <w:sz w:val="16"/>
                                      <w:szCs w:val="16"/>
                                    </w:rPr>
                                    <w:t>Inc.</w:t>
                                  </w:r>
                                </w:p>
                              </w:txbxContent>
                            </wps:txbx>
                            <wps:bodyPr rot="0" vert="horz" wrap="square" lIns="91440" tIns="45720" rIns="91440" bIns="45720" anchor="t" anchorCtr="0" upright="1">
                              <a:noAutofit/>
                            </wps:bodyPr>
                          </wps:wsp>
                        </wpg:grpSp>
                      </wpg:grpSp>
                      <wps:wsp>
                        <wps:cNvPr id="80" name="Straight Connector 5"/>
                        <wps:cNvCnPr>
                          <a:cxnSpLocks noChangeShapeType="1"/>
                          <a:stCxn id="56" idx="2"/>
                          <a:endCxn id="62" idx="0"/>
                        </wps:cNvCnPr>
                        <wps:spPr bwMode="auto">
                          <a:xfrm flipH="1">
                            <a:off x="33324" y="6579"/>
                            <a:ext cx="1" cy="6822"/>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1" name="Straight Connector 6"/>
                        <wps:cNvCnPr>
                          <a:cxnSpLocks noChangeShapeType="1"/>
                          <a:stCxn id="62" idx="2"/>
                        </wps:cNvCnPr>
                        <wps:spPr bwMode="auto">
                          <a:xfrm>
                            <a:off x="33324" y="20846"/>
                            <a:ext cx="0" cy="689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2" name="Straight Connector 7"/>
                        <wps:cNvCnPr>
                          <a:cxnSpLocks/>
                        </wps:cNvCnPr>
                        <wps:spPr bwMode="auto">
                          <a:xfrm>
                            <a:off x="8872" y="10221"/>
                            <a:ext cx="50016" cy="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3" name="Straight Connector 8"/>
                        <wps:cNvCnPr>
                          <a:cxnSpLocks noChangeShapeType="1"/>
                          <a:stCxn id="54" idx="2"/>
                        </wps:cNvCnPr>
                        <wps:spPr bwMode="auto">
                          <a:xfrm flipH="1">
                            <a:off x="8872" y="6493"/>
                            <a:ext cx="0" cy="3728"/>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4" name="Straight Connector 9"/>
                        <wps:cNvCnPr>
                          <a:cxnSpLocks noChangeShapeType="1"/>
                          <a:stCxn id="59" idx="2"/>
                        </wps:cNvCnPr>
                        <wps:spPr bwMode="auto">
                          <a:xfrm flipH="1">
                            <a:off x="58888" y="6579"/>
                            <a:ext cx="0" cy="3642"/>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5" name="TextBox 55"/>
                        <wps:cNvSpPr txBox="1">
                          <a:spLocks noChangeArrowheads="1"/>
                        </wps:cNvSpPr>
                        <wps:spPr bwMode="auto">
                          <a:xfrm>
                            <a:off x="8905" y="7388"/>
                            <a:ext cx="8545" cy="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C3EC8" w14:textId="77777777" w:rsidR="006E1BFD" w:rsidRDefault="006E1BFD" w:rsidP="00790463">
                              <w:pPr>
                                <w:rPr>
                                  <w:sz w:val="24"/>
                                  <w:szCs w:val="24"/>
                                </w:rPr>
                              </w:pPr>
                              <w:r>
                                <w:rPr>
                                  <w:rFonts w:ascii="Arial" w:hAnsi="Arial" w:cs="Arial"/>
                                  <w:color w:val="000000" w:themeColor="text1"/>
                                  <w:kern w:val="24"/>
                                </w:rPr>
                                <w:t>37.2%</w:t>
                              </w:r>
                            </w:p>
                          </w:txbxContent>
                        </wps:txbx>
                        <wps:bodyPr rot="0" vert="horz" wrap="square" lIns="91440" tIns="45720" rIns="91440" bIns="45720" anchor="t" anchorCtr="0" upright="1">
                          <a:noAutofit/>
                        </wps:bodyPr>
                      </wps:wsp>
                      <wps:wsp>
                        <wps:cNvPr id="86" name="TextBox 57"/>
                        <wps:cNvSpPr txBox="1">
                          <a:spLocks noChangeArrowheads="1"/>
                        </wps:cNvSpPr>
                        <wps:spPr bwMode="auto">
                          <a:xfrm>
                            <a:off x="33323" y="7388"/>
                            <a:ext cx="8251" cy="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35A8C" w14:textId="77777777" w:rsidR="006E1BFD" w:rsidRDefault="006E1BFD" w:rsidP="00790463">
                              <w:pPr>
                                <w:rPr>
                                  <w:sz w:val="24"/>
                                  <w:szCs w:val="24"/>
                                </w:rPr>
                              </w:pPr>
                              <w:r>
                                <w:rPr>
                                  <w:rFonts w:ascii="Arial" w:hAnsi="Arial" w:cs="Arial"/>
                                  <w:color w:val="000000" w:themeColor="text1"/>
                                  <w:kern w:val="24"/>
                                </w:rPr>
                                <w:t>55.8%</w:t>
                              </w:r>
                            </w:p>
                          </w:txbxContent>
                        </wps:txbx>
                        <wps:bodyPr rot="0" vert="horz" wrap="square" lIns="91440" tIns="45720" rIns="91440" bIns="45720" anchor="t" anchorCtr="0" upright="1">
                          <a:noAutofit/>
                        </wps:bodyPr>
                      </wps:wsp>
                      <wps:wsp>
                        <wps:cNvPr id="87" name="TextBox 58"/>
                        <wps:cNvSpPr txBox="1">
                          <a:spLocks noChangeArrowheads="1"/>
                        </wps:cNvSpPr>
                        <wps:spPr bwMode="auto">
                          <a:xfrm>
                            <a:off x="59097" y="7541"/>
                            <a:ext cx="6557" cy="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D7E36" w14:textId="77777777" w:rsidR="006E1BFD" w:rsidRDefault="006E1BFD" w:rsidP="00790463">
                              <w:pPr>
                                <w:rPr>
                                  <w:sz w:val="24"/>
                                  <w:szCs w:val="24"/>
                                </w:rPr>
                              </w:pPr>
                              <w:r>
                                <w:rPr>
                                  <w:rFonts w:ascii="Arial" w:hAnsi="Arial" w:cs="Arial"/>
                                  <w:color w:val="000000" w:themeColor="text1"/>
                                  <w:kern w:val="24"/>
                                </w:rPr>
                                <w:t>7.0%</w:t>
                              </w:r>
                            </w:p>
                          </w:txbxContent>
                        </wps:txbx>
                        <wps:bodyPr rot="0" vert="horz" wrap="square" lIns="91440" tIns="45720" rIns="91440" bIns="45720" anchor="t" anchorCtr="0" upright="1">
                          <a:noAutofit/>
                        </wps:bodyPr>
                      </wps:wsp>
                      <wps:wsp>
                        <wps:cNvPr id="88" name="Straight Connector 13"/>
                        <wps:cNvCnPr>
                          <a:cxnSpLocks/>
                        </wps:cNvCnPr>
                        <wps:spPr bwMode="auto">
                          <a:xfrm flipV="1">
                            <a:off x="4884" y="24153"/>
                            <a:ext cx="56591" cy="47"/>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9" name="Straight Connector 14"/>
                        <wps:cNvCnPr>
                          <a:cxnSpLocks noChangeShapeType="1"/>
                          <a:endCxn id="66" idx="0"/>
                        </wps:cNvCnPr>
                        <wps:spPr bwMode="auto">
                          <a:xfrm>
                            <a:off x="4884" y="24153"/>
                            <a:ext cx="0" cy="3784"/>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90" name="Straight Connector 15"/>
                        <wps:cNvCnPr>
                          <a:cxnSpLocks/>
                          <a:endCxn id="78" idx="0"/>
                        </wps:cNvCnPr>
                        <wps:spPr bwMode="auto">
                          <a:xfrm>
                            <a:off x="61475" y="24182"/>
                            <a:ext cx="28" cy="3755"/>
                          </a:xfrm>
                          <a:prstGeom prst="line">
                            <a:avLst/>
                          </a:prstGeom>
                          <a:noFill/>
                          <a:ln w="31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91" name="Straight Connector 16"/>
                        <wps:cNvCnPr>
                          <a:cxnSpLocks noChangeShapeType="1"/>
                          <a:endCxn id="69" idx="0"/>
                        </wps:cNvCnPr>
                        <wps:spPr bwMode="auto">
                          <a:xfrm>
                            <a:off x="19106" y="24153"/>
                            <a:ext cx="0" cy="368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92" name="Straight Connector 17"/>
                        <wps:cNvCnPr>
                          <a:cxnSpLocks noChangeShapeType="1"/>
                          <a:endCxn id="75" idx="0"/>
                        </wps:cNvCnPr>
                        <wps:spPr bwMode="auto">
                          <a:xfrm>
                            <a:off x="47281" y="24153"/>
                            <a:ext cx="0" cy="3784"/>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93" name="TextBox 69"/>
                        <wps:cNvSpPr txBox="1">
                          <a:spLocks noChangeArrowheads="1"/>
                        </wps:cNvSpPr>
                        <wps:spPr bwMode="auto">
                          <a:xfrm>
                            <a:off x="5015" y="25159"/>
                            <a:ext cx="7204" cy="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5D30D" w14:textId="77777777" w:rsidR="006E1BFD" w:rsidRDefault="006E1BFD" w:rsidP="00790463">
                              <w:pPr>
                                <w:rPr>
                                  <w:sz w:val="24"/>
                                  <w:szCs w:val="24"/>
                                </w:rPr>
                              </w:pPr>
                              <w:r>
                                <w:rPr>
                                  <w:rFonts w:ascii="Arial" w:hAnsi="Arial" w:cs="Arial"/>
                                  <w:color w:val="000000" w:themeColor="text1"/>
                                  <w:kern w:val="24"/>
                                </w:rPr>
                                <w:t>100%</w:t>
                              </w:r>
                            </w:p>
                          </w:txbxContent>
                        </wps:txbx>
                        <wps:bodyPr rot="0" vert="horz" wrap="square" lIns="91440" tIns="45720" rIns="91440" bIns="45720" anchor="t" anchorCtr="0" upright="1">
                          <a:noAutofit/>
                        </wps:bodyPr>
                      </wps:wsp>
                      <wps:wsp>
                        <wps:cNvPr id="94" name="TextBox 70"/>
                        <wps:cNvSpPr txBox="1">
                          <a:spLocks noChangeArrowheads="1"/>
                        </wps:cNvSpPr>
                        <wps:spPr bwMode="auto">
                          <a:xfrm>
                            <a:off x="19105" y="25448"/>
                            <a:ext cx="6877" cy="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1DA0B" w14:textId="77777777" w:rsidR="006E1BFD" w:rsidRDefault="006E1BFD" w:rsidP="00790463">
                              <w:pPr>
                                <w:rPr>
                                  <w:sz w:val="24"/>
                                  <w:szCs w:val="24"/>
                                </w:rPr>
                              </w:pPr>
                              <w:r>
                                <w:rPr>
                                  <w:rFonts w:ascii="Arial" w:hAnsi="Arial" w:cs="Arial"/>
                                  <w:color w:val="000000" w:themeColor="text1"/>
                                  <w:kern w:val="24"/>
                                </w:rPr>
                                <w:t>100%</w:t>
                              </w:r>
                            </w:p>
                          </w:txbxContent>
                        </wps:txbx>
                        <wps:bodyPr rot="0" vert="horz" wrap="square" lIns="91440" tIns="45720" rIns="91440" bIns="45720" anchor="t" anchorCtr="0" upright="1">
                          <a:noAutofit/>
                        </wps:bodyPr>
                      </wps:wsp>
                      <wps:wsp>
                        <wps:cNvPr id="95" name="TextBox 71"/>
                        <wps:cNvSpPr txBox="1">
                          <a:spLocks noChangeArrowheads="1"/>
                        </wps:cNvSpPr>
                        <wps:spPr bwMode="auto">
                          <a:xfrm>
                            <a:off x="33190" y="25159"/>
                            <a:ext cx="7687" cy="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258EF" w14:textId="77777777" w:rsidR="006E1BFD" w:rsidRDefault="006E1BFD" w:rsidP="00790463">
                              <w:pPr>
                                <w:rPr>
                                  <w:sz w:val="24"/>
                                  <w:szCs w:val="24"/>
                                </w:rPr>
                              </w:pPr>
                              <w:r>
                                <w:rPr>
                                  <w:rFonts w:ascii="Arial" w:hAnsi="Arial" w:cs="Arial"/>
                                  <w:color w:val="000000" w:themeColor="text1"/>
                                  <w:kern w:val="24"/>
                                </w:rPr>
                                <w:t>100%</w:t>
                              </w:r>
                            </w:p>
                          </w:txbxContent>
                        </wps:txbx>
                        <wps:bodyPr rot="0" vert="horz" wrap="square" lIns="91440" tIns="45720" rIns="91440" bIns="45720" anchor="t" anchorCtr="0" upright="1">
                          <a:noAutofit/>
                        </wps:bodyPr>
                      </wps:wsp>
                      <wps:wsp>
                        <wps:cNvPr id="96" name="TextBox 72"/>
                        <wps:cNvSpPr txBox="1">
                          <a:spLocks noChangeArrowheads="1"/>
                        </wps:cNvSpPr>
                        <wps:spPr bwMode="auto">
                          <a:xfrm>
                            <a:off x="47197" y="25468"/>
                            <a:ext cx="6213" cy="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24BC4" w14:textId="77777777" w:rsidR="006E1BFD" w:rsidRDefault="006E1BFD" w:rsidP="00790463">
                              <w:pPr>
                                <w:rPr>
                                  <w:sz w:val="24"/>
                                  <w:szCs w:val="24"/>
                                </w:rPr>
                              </w:pPr>
                              <w:r>
                                <w:rPr>
                                  <w:rFonts w:ascii="Arial" w:hAnsi="Arial" w:cs="Arial"/>
                                  <w:color w:val="000000" w:themeColor="text1"/>
                                  <w:kern w:val="24"/>
                                </w:rPr>
                                <w:t>100%</w:t>
                              </w:r>
                            </w:p>
                          </w:txbxContent>
                        </wps:txbx>
                        <wps:bodyPr rot="0" vert="horz" wrap="square" lIns="91440" tIns="45720" rIns="91440" bIns="45720" anchor="t" anchorCtr="0" upright="1">
                          <a:noAutofit/>
                        </wps:bodyPr>
                      </wps:wsp>
                      <wps:wsp>
                        <wps:cNvPr id="97" name="TextBox 73"/>
                        <wps:cNvSpPr txBox="1">
                          <a:spLocks noChangeArrowheads="1"/>
                        </wps:cNvSpPr>
                        <wps:spPr bwMode="auto">
                          <a:xfrm>
                            <a:off x="60960" y="25619"/>
                            <a:ext cx="6482" cy="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CBEDB" w14:textId="77777777" w:rsidR="006E1BFD" w:rsidRDefault="006E1BFD" w:rsidP="00790463">
                              <w:pPr>
                                <w:rPr>
                                  <w:sz w:val="24"/>
                                  <w:szCs w:val="24"/>
                                </w:rPr>
                              </w:pPr>
                              <w:r>
                                <w:rPr>
                                  <w:rFonts w:ascii="Arial" w:hAnsi="Arial" w:cs="Arial"/>
                                  <w:color w:val="000000" w:themeColor="text1"/>
                                  <w:kern w:val="24"/>
                                </w:rPr>
                                <w:t>100%</w:t>
                              </w:r>
                            </w:p>
                          </w:txbxContent>
                        </wps:txbx>
                        <wps:bodyPr rot="0" vert="horz" wrap="square" lIns="91440" tIns="45720" rIns="91440" bIns="45720" anchor="t" anchorCtr="0" upright="1">
                          <a:noAutofit/>
                        </wps:bodyPr>
                      </wps:wsp>
                    </wpg:wgp>
                  </a:graphicData>
                </a:graphic>
              </wp:inline>
            </w:drawing>
          </mc:Choice>
          <mc:Fallback>
            <w:pict>
              <v:group w14:anchorId="2BA4A6FB" id="Group 50" o:spid="_x0000_s1026" style="width:437.95pt;height:257.3pt;mso-position-horizontal-relative:char;mso-position-vertical-relative:line" coordsize="67442,35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">
                <v:group id="_x0000_s1027" style="position:absolute;left:1782;width:63599;height:6579" coordorigin="1782" coordsize="63599,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40" o:spid="_x0000_s1028" style="position:absolute;left:1782;width:14180;height:6493" coordorigin="1782" coordsize="14179,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type id="_x0000_t202" coordsize="21600,21600" o:spt="202" path="m,l,21600r21600,l21600,xe">
                      <v:stroke joinstyle="miter"/>
                      <v:path gradientshapeok="t" o:connecttype="rect"/>
                    </v:shapetype>
                    <v:shape id="TextBox 4" o:spid="_x0000_s1029" type="#_x0000_t202" style="position:absolute;left:1782;top:1643;width:14180;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543CD673" w14:textId="77777777" w:rsidR="006E1BFD" w:rsidRDefault="006E1BFD" w:rsidP="00790463">
                            <w:pPr>
                              <w:jc w:val="center"/>
                              <w:rPr>
                                <w:sz w:val="16"/>
                                <w:szCs w:val="16"/>
                              </w:rPr>
                            </w:pPr>
                            <w:r>
                              <w:rPr>
                                <w:rFonts w:ascii="Arial" w:hAnsi="Arial" w:cs="Arial"/>
                                <w:color w:val="000000" w:themeColor="text1"/>
                                <w:kern w:val="24"/>
                                <w:sz w:val="16"/>
                                <w:szCs w:val="16"/>
                              </w:rPr>
                              <w:t>Arran Investment</w:t>
                            </w:r>
                          </w:p>
                          <w:p w14:paraId="3CFBD62A" w14:textId="77777777" w:rsidR="006E1BFD" w:rsidRDefault="006E1BFD" w:rsidP="00790463">
                            <w:pPr>
                              <w:jc w:val="center"/>
                              <w:rPr>
                                <w:sz w:val="16"/>
                                <w:szCs w:val="16"/>
                              </w:rPr>
                            </w:pPr>
                            <w:r>
                              <w:rPr>
                                <w:rFonts w:ascii="Arial" w:hAnsi="Arial" w:cs="Arial"/>
                                <w:color w:val="000000" w:themeColor="text1"/>
                                <w:kern w:val="24"/>
                                <w:sz w:val="16"/>
                                <w:szCs w:val="16"/>
                              </w:rPr>
                              <w:t>Pte. Ltd.</w:t>
                            </w:r>
                          </w:p>
                        </w:txbxContent>
                      </v:textbox>
                    </v:shape>
                    <v:roundrect id="Rectangle: Rounded Corners 48" o:spid="_x0000_s1030" style="position:absolute;left:2379;width:12987;height:64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" filled="f" strokecolor="black [3213]" strokeweight=".5pt"/>
                  </v:group>
                  <v:group id="Group 41" o:spid="_x0000_s1031" style="position:absolute;left:26831;top:85;width:12987;height:6494" coordorigin="26831,85" coordsize="12987,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oundrect id="Rectangle: Rounded Corners 45" o:spid="_x0000_s1032" style="position:absolute;left:26831;top:85;width:12987;height:64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" filled="f" strokecolor="black [3213]" strokeweight=".5pt"/>
                    <v:shape id="TextBox 8" o:spid="_x0000_s1033" type="#_x0000_t202" style="position:absolute;left:26961;top:1464;width:12719;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41056A36" w14:textId="77777777" w:rsidR="006E1BFD" w:rsidRDefault="006E1BFD" w:rsidP="00790463">
                            <w:pPr>
                              <w:jc w:val="center"/>
                              <w:rPr>
                                <w:sz w:val="16"/>
                                <w:szCs w:val="16"/>
                              </w:rPr>
                            </w:pPr>
                            <w:r>
                              <w:rPr>
                                <w:rFonts w:ascii="Arial" w:hAnsi="Arial" w:cs="Arial"/>
                                <w:color w:val="000000" w:themeColor="text1"/>
                                <w:kern w:val="24"/>
                                <w:sz w:val="16"/>
                                <w:szCs w:val="16"/>
                              </w:rPr>
                              <w:t>Century Pacific</w:t>
                            </w:r>
                          </w:p>
                          <w:p w14:paraId="07C87495" w14:textId="77777777" w:rsidR="006E1BFD" w:rsidRDefault="006E1BFD" w:rsidP="00790463">
                            <w:pPr>
                              <w:jc w:val="center"/>
                              <w:rPr>
                                <w:sz w:val="16"/>
                                <w:szCs w:val="16"/>
                              </w:rPr>
                            </w:pPr>
                            <w:r>
                              <w:rPr>
                                <w:rFonts w:ascii="Arial" w:hAnsi="Arial" w:cs="Arial"/>
                                <w:color w:val="000000" w:themeColor="text1"/>
                                <w:kern w:val="24"/>
                                <w:sz w:val="16"/>
                                <w:szCs w:val="16"/>
                              </w:rPr>
                              <w:t>Group Inc.</w:t>
                            </w:r>
                          </w:p>
                        </w:txbxContent>
                      </v:textbox>
                    </v:shape>
                  </v:group>
                  <v:group id="Group 42" o:spid="_x0000_s1034" style="position:absolute;left:52394;top:85;width:12987;height:6494" coordorigin="52394,85" coordsize="12987,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oundrect id="Rectangle: Rounded Corners 43" o:spid="_x0000_s1035" style="position:absolute;left:52394;top:85;width:12987;height:64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" filled="f" strokecolor="black [3213]" strokeweight=".5pt"/>
                    <v:shape id="TextBox 10" o:spid="_x0000_s1036" type="#_x0000_t202" style="position:absolute;left:54223;top:1754;width:8820;height:4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52DFC919" w14:textId="77777777" w:rsidR="006E1BFD" w:rsidRDefault="006E1BFD" w:rsidP="00790463">
                            <w:pPr>
                              <w:rPr>
                                <w:sz w:val="16"/>
                                <w:szCs w:val="16"/>
                              </w:rPr>
                            </w:pPr>
                            <w:r>
                              <w:rPr>
                                <w:rFonts w:ascii="Arial" w:hAnsi="Arial" w:cs="Arial"/>
                                <w:color w:val="000000" w:themeColor="text1"/>
                                <w:kern w:val="24"/>
                                <w:sz w:val="16"/>
                                <w:szCs w:val="16"/>
                              </w:rPr>
                              <w:t>Prieto family</w:t>
                            </w:r>
                          </w:p>
                        </w:txbxContent>
                      </v:textbox>
                    </v:shape>
                  </v:group>
                </v:group>
                <v:group id="Group 61" o:spid="_x0000_s1037" style="position:absolute;left:25075;top:13401;width:16499;height:7860" coordorigin="25075,13401" coordsize="16498,7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Rectangle: Rounded Corners 38" o:spid="_x0000_s1038" style="position:absolute;left:25075;top:13401;width:16499;height:74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" filled="f" strokecolor="black [3213]" strokeweight=".5pt"/>
                  <v:shape id="TextBox 14" o:spid="_x0000_s1039" type="#_x0000_t202" style="position:absolute;left:25983;top:15042;width:14675;height:6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25FB42C1" w14:textId="77777777" w:rsidR="006E1BFD" w:rsidRDefault="006E1BFD" w:rsidP="00790463">
                          <w:pPr>
                            <w:jc w:val="center"/>
                            <w:rPr>
                              <w:sz w:val="16"/>
                              <w:szCs w:val="16"/>
                            </w:rPr>
                          </w:pPr>
                          <w:r>
                            <w:rPr>
                              <w:rFonts w:ascii="Arial" w:hAnsi="Arial" w:cs="Arial"/>
                              <w:color w:val="000000" w:themeColor="text1"/>
                              <w:kern w:val="24"/>
                              <w:sz w:val="16"/>
                              <w:szCs w:val="16"/>
                            </w:rPr>
                            <w:t>Shakey’s Asia Food</w:t>
                          </w:r>
                        </w:p>
                        <w:p w14:paraId="333CB012" w14:textId="77777777" w:rsidR="006E1BFD" w:rsidRDefault="006E1BFD" w:rsidP="00790463">
                          <w:pPr>
                            <w:jc w:val="center"/>
                            <w:rPr>
                              <w:sz w:val="16"/>
                              <w:szCs w:val="16"/>
                            </w:rPr>
                          </w:pPr>
                          <w:r>
                            <w:rPr>
                              <w:rFonts w:ascii="Arial" w:hAnsi="Arial" w:cs="Arial"/>
                              <w:color w:val="000000" w:themeColor="text1"/>
                              <w:kern w:val="24"/>
                              <w:sz w:val="16"/>
                              <w:szCs w:val="16"/>
                            </w:rPr>
                            <w:t>Holdings Inc.</w:t>
                          </w:r>
                        </w:p>
                      </w:txbxContent>
                    </v:textbox>
                  </v:shape>
                </v:group>
                <v:group id="Group 4" o:spid="_x0000_s1040" style="position:absolute;top:27842;width:66387;height:7535" coordorigin=",27842" coordsize="66387,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23" o:spid="_x0000_s1041" style="position:absolute;top:27937;width:9768;height:7440" coordorigin=",27937" coordsize="9768,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oundrect id="Rectangle: Rounded Corners 36" o:spid="_x0000_s1042" style="position:absolute;top:27937;width:9768;height:7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" filled="f" strokecolor="black [3213]" strokeweight=".5pt"/>
                    <v:shape id="TextBox 24" o:spid="_x0000_s1043" type="#_x0000_t202" style="position:absolute;left:233;top:29565;width:9246;height:4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12FAB6A2" w14:textId="77777777" w:rsidR="006E1BFD" w:rsidRDefault="006E1BFD" w:rsidP="00790463">
                            <w:pPr>
                              <w:jc w:val="center"/>
                              <w:rPr>
                                <w:spacing w:val="-4"/>
                                <w:sz w:val="16"/>
                                <w:szCs w:val="16"/>
                              </w:rPr>
                            </w:pPr>
                            <w:r>
                              <w:rPr>
                                <w:rFonts w:ascii="Arial" w:hAnsi="Arial" w:cs="Arial"/>
                                <w:color w:val="000000" w:themeColor="text1"/>
                                <w:spacing w:val="-4"/>
                                <w:kern w:val="24"/>
                                <w:sz w:val="16"/>
                                <w:szCs w:val="16"/>
                              </w:rPr>
                              <w:t>Bakemasters</w:t>
                            </w:r>
                          </w:p>
                          <w:p w14:paraId="373D3061" w14:textId="77777777" w:rsidR="006E1BFD" w:rsidRDefault="006E1BFD" w:rsidP="00790463">
                            <w:pPr>
                              <w:jc w:val="center"/>
                              <w:rPr>
                                <w:sz w:val="16"/>
                                <w:szCs w:val="16"/>
                              </w:rPr>
                            </w:pPr>
                            <w:r>
                              <w:rPr>
                                <w:rFonts w:ascii="Arial" w:hAnsi="Arial" w:cs="Arial"/>
                                <w:color w:val="000000" w:themeColor="text1"/>
                                <w:kern w:val="24"/>
                                <w:sz w:val="16"/>
                                <w:szCs w:val="16"/>
                              </w:rPr>
                              <w:t>Inc.</w:t>
                            </w:r>
                          </w:p>
                        </w:txbxContent>
                      </v:textbox>
                    </v:shape>
                  </v:group>
                  <v:group id="Group 24" o:spid="_x0000_s1044" style="position:absolute;left:14222;top:27842;width:9768;height:7441" coordorigin="14222,27842" coordsize="9768,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oundrect id="Rectangle: Rounded Corners 34" o:spid="_x0000_s1045" style="position:absolute;left:14222;top:27842;width:9768;height:74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" filled="f" strokecolor="black [3213]" strokeweight=".5pt"/>
                    <v:shape id="TextBox 30" o:spid="_x0000_s1046" type="#_x0000_t202" style="position:absolute;left:14473;top:29400;width:9246;height:4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60B971BA" w14:textId="77777777" w:rsidR="006E1BFD" w:rsidRDefault="006E1BFD" w:rsidP="00790463">
                            <w:pPr>
                              <w:jc w:val="center"/>
                              <w:rPr>
                                <w:sz w:val="16"/>
                                <w:szCs w:val="16"/>
                              </w:rPr>
                            </w:pPr>
                            <w:r>
                              <w:rPr>
                                <w:rFonts w:ascii="Arial" w:hAnsi="Arial" w:cs="Arial"/>
                                <w:color w:val="000000" w:themeColor="text1"/>
                                <w:kern w:val="24"/>
                                <w:sz w:val="16"/>
                                <w:szCs w:val="16"/>
                              </w:rPr>
                              <w:t>Golden</w:t>
                            </w:r>
                          </w:p>
                          <w:p w14:paraId="454CE654" w14:textId="77777777" w:rsidR="006E1BFD" w:rsidRDefault="006E1BFD" w:rsidP="00790463">
                            <w:pPr>
                              <w:jc w:val="center"/>
                              <w:rPr>
                                <w:sz w:val="16"/>
                                <w:szCs w:val="16"/>
                              </w:rPr>
                            </w:pPr>
                            <w:r>
                              <w:rPr>
                                <w:rFonts w:ascii="Arial" w:hAnsi="Arial" w:cs="Arial"/>
                                <w:color w:val="000000" w:themeColor="text1"/>
                                <w:kern w:val="24"/>
                                <w:sz w:val="16"/>
                                <w:szCs w:val="16"/>
                              </w:rPr>
                              <w:t>Gourmet Ltd.</w:t>
                            </w:r>
                          </w:p>
                        </w:txbxContent>
                      </v:textbox>
                    </v:shape>
                  </v:group>
                  <v:group id="Group 25" o:spid="_x0000_s1047" style="position:absolute;left:28620;top:27842;width:9770;height:7441" coordorigin="28620,27842" coordsize="9769,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oundrect id="Rectangle: Rounded Corners 32" o:spid="_x0000_s1048" style="position:absolute;left:28621;top:27842;width:9769;height:74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" filled="f" strokecolor="black [3213]" strokeweight=".5pt"/>
                    <v:shape id="TextBox 31" o:spid="_x0000_s1049" type="#_x0000_t202" style="position:absolute;left:28620;top:28822;width:9288;height:5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041B0FBE" w14:textId="77777777" w:rsidR="006E1BFD" w:rsidRDefault="006E1BFD" w:rsidP="00790463">
                            <w:pPr>
                              <w:jc w:val="center"/>
                              <w:rPr>
                                <w:sz w:val="16"/>
                                <w:szCs w:val="16"/>
                              </w:rPr>
                            </w:pPr>
                            <w:r>
                              <w:rPr>
                                <w:rFonts w:ascii="Arial" w:hAnsi="Arial" w:cs="Arial"/>
                                <w:color w:val="000000" w:themeColor="text1"/>
                                <w:kern w:val="24"/>
                                <w:sz w:val="16"/>
                                <w:szCs w:val="16"/>
                              </w:rPr>
                              <w:t>Shakey’s</w:t>
                            </w:r>
                          </w:p>
                          <w:p w14:paraId="1D379A08" w14:textId="77777777" w:rsidR="006E1BFD" w:rsidRDefault="006E1BFD" w:rsidP="00790463">
                            <w:pPr>
                              <w:jc w:val="center"/>
                              <w:rPr>
                                <w:sz w:val="16"/>
                                <w:szCs w:val="16"/>
                              </w:rPr>
                            </w:pPr>
                            <w:r>
                              <w:rPr>
                                <w:rFonts w:ascii="Arial" w:hAnsi="Arial" w:cs="Arial"/>
                                <w:color w:val="000000" w:themeColor="text1"/>
                                <w:kern w:val="24"/>
                                <w:sz w:val="16"/>
                                <w:szCs w:val="16"/>
                              </w:rPr>
                              <w:t>International</w:t>
                            </w:r>
                          </w:p>
                          <w:p w14:paraId="791CEC9C" w14:textId="77777777" w:rsidR="006E1BFD" w:rsidRDefault="006E1BFD" w:rsidP="00790463">
                            <w:pPr>
                              <w:jc w:val="center"/>
                              <w:rPr>
                                <w:sz w:val="16"/>
                                <w:szCs w:val="16"/>
                              </w:rPr>
                            </w:pPr>
                            <w:r>
                              <w:rPr>
                                <w:rFonts w:ascii="Arial" w:hAnsi="Arial" w:cs="Arial"/>
                                <w:color w:val="000000" w:themeColor="text1"/>
                                <w:kern w:val="24"/>
                                <w:sz w:val="16"/>
                                <w:szCs w:val="16"/>
                              </w:rPr>
                              <w:t>Limited</w:t>
                            </w:r>
                          </w:p>
                        </w:txbxContent>
                      </v:textbox>
                    </v:shape>
                  </v:group>
                  <v:group id="Group 26" o:spid="_x0000_s1050" style="position:absolute;left:42396;top:27937;width:9769;height:7440" coordorigin="42396,27937" coordsize="9768,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oundrect id="Rectangle: Rounded Corners 30" o:spid="_x0000_s1051" style="position:absolute;left:42396;top:27937;width:9769;height:7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" filled="f" strokecolor="black [3213]" strokeweight=".5pt"/>
                    <v:shape id="TextBox 32" o:spid="_x0000_s1052" type="#_x0000_t202" style="position:absolute;left:42523;top:28763;width:9315;height:6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629C7A4C" w14:textId="77777777" w:rsidR="006E1BFD" w:rsidRDefault="006E1BFD" w:rsidP="00790463">
                            <w:pPr>
                              <w:jc w:val="center"/>
                              <w:rPr>
                                <w:sz w:val="16"/>
                                <w:szCs w:val="16"/>
                              </w:rPr>
                            </w:pPr>
                            <w:r>
                              <w:rPr>
                                <w:rFonts w:ascii="Arial" w:hAnsi="Arial" w:cs="Arial"/>
                                <w:color w:val="000000" w:themeColor="text1"/>
                                <w:kern w:val="24"/>
                                <w:sz w:val="16"/>
                                <w:szCs w:val="16"/>
                              </w:rPr>
                              <w:t>Shakey’s</w:t>
                            </w:r>
                          </w:p>
                          <w:p w14:paraId="280C9C43" w14:textId="77777777" w:rsidR="006E1BFD" w:rsidRDefault="006E1BFD" w:rsidP="00790463">
                            <w:pPr>
                              <w:jc w:val="center"/>
                              <w:rPr>
                                <w:sz w:val="16"/>
                                <w:szCs w:val="16"/>
                              </w:rPr>
                            </w:pPr>
                            <w:r>
                              <w:rPr>
                                <w:rFonts w:ascii="Arial" w:hAnsi="Arial" w:cs="Arial"/>
                                <w:color w:val="000000" w:themeColor="text1"/>
                                <w:kern w:val="24"/>
                                <w:sz w:val="16"/>
                                <w:szCs w:val="16"/>
                              </w:rPr>
                              <w:t>Pizza Asia</w:t>
                            </w:r>
                          </w:p>
                          <w:p w14:paraId="06D38A57" w14:textId="77777777" w:rsidR="006E1BFD" w:rsidRDefault="006E1BFD" w:rsidP="00790463">
                            <w:pPr>
                              <w:jc w:val="center"/>
                              <w:rPr>
                                <w:sz w:val="16"/>
                                <w:szCs w:val="16"/>
                              </w:rPr>
                            </w:pPr>
                            <w:r>
                              <w:rPr>
                                <w:rFonts w:ascii="Arial" w:hAnsi="Arial" w:cs="Arial"/>
                                <w:color w:val="000000" w:themeColor="text1"/>
                                <w:kern w:val="24"/>
                                <w:sz w:val="16"/>
                                <w:szCs w:val="16"/>
                              </w:rPr>
                              <w:t>Ventures Inc.</w:t>
                            </w:r>
                          </w:p>
                        </w:txbxContent>
                      </v:textbox>
                    </v:shape>
                  </v:group>
                  <v:group id="Group 27" o:spid="_x0000_s1053" style="position:absolute;left:56619;top:27937;width:9768;height:7440" coordorigin="56619,27937" coordsize="9768,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oundrect id="Rectangle: Rounded Corners 28" o:spid="_x0000_s1054" style="position:absolute;left:56619;top:27937;width:9768;height:7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" filled="f" strokecolor="black [3213]" strokeweight=".5pt"/>
                    <v:shape id="TextBox 33" o:spid="_x0000_s1055" type="#_x0000_t202" style="position:absolute;left:57097;top:29565;width:8750;height:4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42407385" w14:textId="77777777" w:rsidR="006E1BFD" w:rsidRDefault="006E1BFD" w:rsidP="00790463">
                            <w:pPr>
                              <w:jc w:val="center"/>
                              <w:rPr>
                                <w:sz w:val="16"/>
                                <w:szCs w:val="16"/>
                              </w:rPr>
                            </w:pPr>
                            <w:r>
                              <w:rPr>
                                <w:rFonts w:ascii="Arial" w:hAnsi="Arial" w:cs="Arial"/>
                                <w:color w:val="000000" w:themeColor="text1"/>
                                <w:kern w:val="24"/>
                                <w:sz w:val="16"/>
                                <w:szCs w:val="16"/>
                              </w:rPr>
                              <w:t>DBE Project</w:t>
                            </w:r>
                          </w:p>
                          <w:p w14:paraId="3D9C8CC2" w14:textId="77777777" w:rsidR="006E1BFD" w:rsidRDefault="006E1BFD" w:rsidP="00790463">
                            <w:pPr>
                              <w:jc w:val="center"/>
                              <w:rPr>
                                <w:sz w:val="16"/>
                                <w:szCs w:val="16"/>
                              </w:rPr>
                            </w:pPr>
                            <w:r>
                              <w:rPr>
                                <w:rFonts w:ascii="Arial" w:hAnsi="Arial" w:cs="Arial"/>
                                <w:color w:val="000000" w:themeColor="text1"/>
                                <w:kern w:val="24"/>
                                <w:sz w:val="16"/>
                                <w:szCs w:val="16"/>
                              </w:rPr>
                              <w:t>Inc.</w:t>
                            </w:r>
                          </w:p>
                        </w:txbxContent>
                      </v:textbox>
                    </v:shape>
                  </v:group>
                </v:group>
                <v:line id="Straight Connector 5" o:spid="_x0000_s1056" style="position:absolute;flip:x;visibility:visible;mso-wrap-style:square" from="33324,6579" to="33325,13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" strokecolor="black [3213]"/>
                <v:line id="Straight Connector 6" o:spid="_x0000_s1057" style="position:absolute;visibility:visible;mso-wrap-style:square" from="33324,20846" to="33324,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" strokecolor="black [3213]"/>
                <v:line id="Straight Connector 7" o:spid="_x0000_s1058" style="position:absolute;visibility:visible;mso-wrap-style:square" from="8872,10221" to="58888,10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" strokecolor="black [3213]">
                  <o:lock v:ext="edit" shapetype="f"/>
                </v:line>
                <v:line id="Straight Connector 8" o:spid="_x0000_s1059" style="position:absolute;flip:x;visibility:visible;mso-wrap-style:square" from="8872,6493" to="8872,10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" strokecolor="black [3213]"/>
                <v:line id="Straight Connector 9" o:spid="_x0000_s1060" style="position:absolute;flip:x;visibility:visible;mso-wrap-style:square" from="58888,6579" to="58888,10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" strokecolor="black [3213]"/>
                <v:shape id="TextBox 55" o:spid="_x0000_s1061" type="#_x0000_t202" style="position:absolute;left:8905;top:7388;width:8545;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197C3EC8" w14:textId="77777777" w:rsidR="006E1BFD" w:rsidRDefault="006E1BFD" w:rsidP="00790463">
                        <w:pPr>
                          <w:rPr>
                            <w:sz w:val="24"/>
                            <w:szCs w:val="24"/>
                          </w:rPr>
                        </w:pPr>
                        <w:r>
                          <w:rPr>
                            <w:rFonts w:ascii="Arial" w:hAnsi="Arial" w:cs="Arial"/>
                            <w:color w:val="000000" w:themeColor="text1"/>
                            <w:kern w:val="24"/>
                          </w:rPr>
                          <w:t>37.2%</w:t>
                        </w:r>
                      </w:p>
                    </w:txbxContent>
                  </v:textbox>
                </v:shape>
                <v:shape id="TextBox 57" o:spid="_x0000_s1062" type="#_x0000_t202" style="position:absolute;left:33323;top:7388;width:8251;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4FA35A8C" w14:textId="77777777" w:rsidR="006E1BFD" w:rsidRDefault="006E1BFD" w:rsidP="00790463">
                        <w:pPr>
                          <w:rPr>
                            <w:sz w:val="24"/>
                            <w:szCs w:val="24"/>
                          </w:rPr>
                        </w:pPr>
                        <w:r>
                          <w:rPr>
                            <w:rFonts w:ascii="Arial" w:hAnsi="Arial" w:cs="Arial"/>
                            <w:color w:val="000000" w:themeColor="text1"/>
                            <w:kern w:val="24"/>
                          </w:rPr>
                          <w:t>55.8%</w:t>
                        </w:r>
                      </w:p>
                    </w:txbxContent>
                  </v:textbox>
                </v:shape>
                <v:shape id="TextBox 58" o:spid="_x0000_s1063" type="#_x0000_t202" style="position:absolute;left:59097;top:7541;width:6557;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419D7E36" w14:textId="77777777" w:rsidR="006E1BFD" w:rsidRDefault="006E1BFD" w:rsidP="00790463">
                        <w:pPr>
                          <w:rPr>
                            <w:sz w:val="24"/>
                            <w:szCs w:val="24"/>
                          </w:rPr>
                        </w:pPr>
                        <w:r>
                          <w:rPr>
                            <w:rFonts w:ascii="Arial" w:hAnsi="Arial" w:cs="Arial"/>
                            <w:color w:val="000000" w:themeColor="text1"/>
                            <w:kern w:val="24"/>
                          </w:rPr>
                          <w:t>7.0%</w:t>
                        </w:r>
                      </w:p>
                    </w:txbxContent>
                  </v:textbox>
                </v:shape>
                <v:line id="Straight Connector 13" o:spid="_x0000_s1064" style="position:absolute;flip:y;visibility:visible;mso-wrap-style:square" from="4884,24153" to="61475,24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" strokecolor="black [3213]">
                  <o:lock v:ext="edit" shapetype="f"/>
                </v:line>
                <v:line id="Straight Connector 14" o:spid="_x0000_s1065" style="position:absolute;visibility:visible;mso-wrap-style:square" from="4884,24153" to="4884,27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" strokecolor="black [3213]"/>
                <v:line id="Straight Connector 15" o:spid="_x0000_s1066" style="position:absolute;visibility:visible;mso-wrap-style:square" from="61475,24182" to="61503,27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" strokecolor="black [3213]" strokeweight=".25pt">
                  <o:lock v:ext="edit" shapetype="f"/>
                </v:line>
                <v:line id="Straight Connector 16" o:spid="_x0000_s1067" style="position:absolute;visibility:visible;mso-wrap-style:square" from="19106,24153" to="19106,2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" strokecolor="black [3213]"/>
                <v:line id="Straight Connector 17" o:spid="_x0000_s1068" style="position:absolute;visibility:visible;mso-wrap-style:square" from="47281,24153" to="47281,27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" strokecolor="black [3213]"/>
                <v:shape id="TextBox 69" o:spid="_x0000_s1069" type="#_x0000_t202" style="position:absolute;left:5015;top:25159;width:7204;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5795D30D" w14:textId="77777777" w:rsidR="006E1BFD" w:rsidRDefault="006E1BFD" w:rsidP="00790463">
                        <w:pPr>
                          <w:rPr>
                            <w:sz w:val="24"/>
                            <w:szCs w:val="24"/>
                          </w:rPr>
                        </w:pPr>
                        <w:r>
                          <w:rPr>
                            <w:rFonts w:ascii="Arial" w:hAnsi="Arial" w:cs="Arial"/>
                            <w:color w:val="000000" w:themeColor="text1"/>
                            <w:kern w:val="24"/>
                          </w:rPr>
                          <w:t>100%</w:t>
                        </w:r>
                      </w:p>
                    </w:txbxContent>
                  </v:textbox>
                </v:shape>
                <v:shape id="TextBox 70" o:spid="_x0000_s1070" type="#_x0000_t202" style="position:absolute;left:19105;top:25448;width:6877;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6F11DA0B" w14:textId="77777777" w:rsidR="006E1BFD" w:rsidRDefault="006E1BFD" w:rsidP="00790463">
                        <w:pPr>
                          <w:rPr>
                            <w:sz w:val="24"/>
                            <w:szCs w:val="24"/>
                          </w:rPr>
                        </w:pPr>
                        <w:r>
                          <w:rPr>
                            <w:rFonts w:ascii="Arial" w:hAnsi="Arial" w:cs="Arial"/>
                            <w:color w:val="000000" w:themeColor="text1"/>
                            <w:kern w:val="24"/>
                          </w:rPr>
                          <w:t>100%</w:t>
                        </w:r>
                      </w:p>
                    </w:txbxContent>
                  </v:textbox>
                </v:shape>
                <v:shape id="TextBox 71" o:spid="_x0000_s1071" type="#_x0000_t202" style="position:absolute;left:33190;top:25159;width:7687;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241258EF" w14:textId="77777777" w:rsidR="006E1BFD" w:rsidRDefault="006E1BFD" w:rsidP="00790463">
                        <w:pPr>
                          <w:rPr>
                            <w:sz w:val="24"/>
                            <w:szCs w:val="24"/>
                          </w:rPr>
                        </w:pPr>
                        <w:r>
                          <w:rPr>
                            <w:rFonts w:ascii="Arial" w:hAnsi="Arial" w:cs="Arial"/>
                            <w:color w:val="000000" w:themeColor="text1"/>
                            <w:kern w:val="24"/>
                          </w:rPr>
                          <w:t>100%</w:t>
                        </w:r>
                      </w:p>
                    </w:txbxContent>
                  </v:textbox>
                </v:shape>
                <v:shape id="TextBox 72" o:spid="_x0000_s1072" type="#_x0000_t202" style="position:absolute;left:47197;top:25468;width:621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39E24BC4" w14:textId="77777777" w:rsidR="006E1BFD" w:rsidRDefault="006E1BFD" w:rsidP="00790463">
                        <w:pPr>
                          <w:rPr>
                            <w:sz w:val="24"/>
                            <w:szCs w:val="24"/>
                          </w:rPr>
                        </w:pPr>
                        <w:r>
                          <w:rPr>
                            <w:rFonts w:ascii="Arial" w:hAnsi="Arial" w:cs="Arial"/>
                            <w:color w:val="000000" w:themeColor="text1"/>
                            <w:kern w:val="24"/>
                          </w:rPr>
                          <w:t>100%</w:t>
                        </w:r>
                      </w:p>
                    </w:txbxContent>
                  </v:textbox>
                </v:shape>
                <v:shape id="TextBox 73" o:spid="_x0000_s1073" type="#_x0000_t202" style="position:absolute;left:60960;top:25619;width:648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385CBEDB" w14:textId="77777777" w:rsidR="006E1BFD" w:rsidRDefault="006E1BFD" w:rsidP="00790463">
                        <w:pPr>
                          <w:rPr>
                            <w:sz w:val="24"/>
                            <w:szCs w:val="24"/>
                          </w:rPr>
                        </w:pPr>
                        <w:r>
                          <w:rPr>
                            <w:rFonts w:ascii="Arial" w:hAnsi="Arial" w:cs="Arial"/>
                            <w:color w:val="000000" w:themeColor="text1"/>
                            <w:kern w:val="24"/>
                          </w:rPr>
                          <w:t>100%</w:t>
                        </w:r>
                      </w:p>
                    </w:txbxContent>
                  </v:textbox>
                </v:shape>
                <w10:anchorlock/>
              </v:group>
            </w:pict>
          </mc:Fallback>
        </mc:AlternateContent>
      </w:r>
    </w:p>
    <w:p w14:paraId="4B9F4E11" w14:textId="77777777" w:rsidR="00790463" w:rsidRPr="00790463" w:rsidRDefault="00790463" w:rsidP="00790463">
      <w:pPr>
        <w:pStyle w:val="BodyTextMain"/>
        <w:rPr>
          <w:lang w:val="en-GB"/>
        </w:rPr>
      </w:pPr>
    </w:p>
    <w:p w14:paraId="3982BB57" w14:textId="77777777" w:rsidR="00790463" w:rsidRPr="00790463" w:rsidRDefault="00790463" w:rsidP="00790463">
      <w:pPr>
        <w:pStyle w:val="Footnote"/>
        <w:rPr>
          <w:lang w:val="en-GB"/>
        </w:rPr>
      </w:pPr>
      <w:r w:rsidRPr="00790463">
        <w:rPr>
          <w:lang w:val="en-GB"/>
        </w:rPr>
        <w:t xml:space="preserve">Source: Shakey’s Pizza Asia Ventures Inc., </w:t>
      </w:r>
      <w:r w:rsidRPr="00790463">
        <w:rPr>
          <w:i/>
          <w:lang w:val="en-GB"/>
        </w:rPr>
        <w:t>Prospectus</w:t>
      </w:r>
      <w:r w:rsidRPr="00790463">
        <w:rPr>
          <w:lang w:val="en-GB"/>
        </w:rPr>
        <w:t>, November 26, 2016, accessed April 24, 2017, https://spavi-noo-prod.s3.ap-southeast-1.amazonaws.com/s3fs-public/prospectus/2018-07/PIZZA%20Prospectus.PDF.</w:t>
      </w:r>
    </w:p>
    <w:p w14:paraId="6759D849" w14:textId="77777777" w:rsidR="00790463" w:rsidRPr="00790463" w:rsidRDefault="00790463" w:rsidP="00790463">
      <w:pPr>
        <w:pStyle w:val="BodyTextMain"/>
        <w:rPr>
          <w:lang w:val="en-GB"/>
        </w:rPr>
      </w:pPr>
    </w:p>
    <w:p w14:paraId="7CCB66FF" w14:textId="77777777" w:rsidR="00790463" w:rsidRPr="00790463" w:rsidRDefault="00790463" w:rsidP="00790463">
      <w:pPr>
        <w:pStyle w:val="BodyTextMain"/>
        <w:rPr>
          <w:lang w:val="en-GB"/>
        </w:rPr>
      </w:pPr>
    </w:p>
    <w:p w14:paraId="223B35DB" w14:textId="77777777" w:rsidR="00790463" w:rsidRPr="00790463" w:rsidRDefault="00790463" w:rsidP="00790463">
      <w:pPr>
        <w:pStyle w:val="ExhibitHeading"/>
        <w:rPr>
          <w:lang w:val="en-GB"/>
        </w:rPr>
      </w:pPr>
      <w:r w:rsidRPr="00790463">
        <w:rPr>
          <w:lang w:val="en-GB"/>
        </w:rPr>
        <w:t xml:space="preserve">EXHIBIT 2: OWNERSHIP STRUCTURE OF SHAKEY’S PIZZA ASIA VENTURES INC. </w:t>
      </w:r>
    </w:p>
    <w:p w14:paraId="548DD7B7" w14:textId="77777777" w:rsidR="00790463" w:rsidRPr="00790463" w:rsidRDefault="00790463" w:rsidP="00790463">
      <w:pPr>
        <w:pStyle w:val="ExhibitHeading"/>
        <w:rPr>
          <w:lang w:val="en-GB"/>
        </w:rPr>
      </w:pPr>
      <w:r w:rsidRPr="00790463">
        <w:rPr>
          <w:lang w:val="en-GB"/>
        </w:rPr>
        <w:t>(OCTOBER 2016)</w:t>
      </w:r>
    </w:p>
    <w:p w14:paraId="60997A6B" w14:textId="77777777" w:rsidR="00790463" w:rsidRPr="00790463" w:rsidRDefault="00790463" w:rsidP="00790463">
      <w:pPr>
        <w:pStyle w:val="BodyTextMain"/>
        <w:rPr>
          <w:lang w:val="en-GB"/>
        </w:rPr>
      </w:pPr>
    </w:p>
    <w:p w14:paraId="7AFA4D22" w14:textId="14793741" w:rsidR="00790463" w:rsidRPr="00790463" w:rsidRDefault="00790463" w:rsidP="00790463">
      <w:pPr>
        <w:pStyle w:val="BodyTextMain"/>
        <w:rPr>
          <w:lang w:val="en-GB"/>
        </w:rPr>
      </w:pPr>
      <w:r w:rsidRPr="00790463">
        <w:rPr>
          <w:noProof/>
          <w:lang w:val="en-CA" w:eastAsia="en-CA"/>
        </w:rPr>
        <mc:AlternateContent>
          <mc:Choice Requires="wpg">
            <w:drawing>
              <wp:inline distT="0" distB="0" distL="0" distR="0" wp14:anchorId="66A6A819" wp14:editId="6BA27022">
                <wp:extent cx="6109335" cy="2755265"/>
                <wp:effectExtent l="0" t="0" r="5715" b="2603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9335" cy="2755265"/>
                          <a:chOff x="0" y="0"/>
                          <a:chExt cx="66792" cy="35359"/>
                        </a:xfrm>
                      </wpg:grpSpPr>
                      <wpg:grpSp>
                        <wpg:cNvPr id="3" name="Group 96"/>
                        <wpg:cNvGrpSpPr>
                          <a:grpSpLocks/>
                        </wpg:cNvGrpSpPr>
                        <wpg:grpSpPr bwMode="auto">
                          <a:xfrm>
                            <a:off x="1706" y="0"/>
                            <a:ext cx="63599" cy="6579"/>
                            <a:chOff x="1706" y="0"/>
                            <a:chExt cx="63599" cy="6579"/>
                          </a:xfrm>
                        </wpg:grpSpPr>
                        <wpg:grpSp>
                          <wpg:cNvPr id="4" name="Group 97"/>
                          <wpg:cNvGrpSpPr>
                            <a:grpSpLocks/>
                          </wpg:cNvGrpSpPr>
                          <wpg:grpSpPr bwMode="auto">
                            <a:xfrm>
                              <a:off x="1706" y="0"/>
                              <a:ext cx="14180" cy="6493"/>
                              <a:chOff x="1706" y="0"/>
                              <a:chExt cx="14179" cy="6493"/>
                            </a:xfrm>
                          </wpg:grpSpPr>
                          <wps:wsp>
                            <wps:cNvPr id="5" name="Rectangle: Rounded Corners 49"/>
                            <wps:cNvSpPr>
                              <a:spLocks noChangeArrowheads="1"/>
                            </wps:cNvSpPr>
                            <wps:spPr bwMode="auto">
                              <a:xfrm>
                                <a:off x="2303" y="0"/>
                                <a:ext cx="12987" cy="6493"/>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3D4EE62D" w14:textId="77777777" w:rsidR="006E1BFD" w:rsidRDefault="006E1BFD" w:rsidP="00790463">
                                  <w:pPr>
                                    <w:jc w:val="center"/>
                                  </w:pPr>
                                </w:p>
                              </w:txbxContent>
                            </wps:txbx>
                            <wps:bodyPr rot="0" vert="horz" wrap="square" lIns="91440" tIns="45720" rIns="91440" bIns="45720" anchor="ctr" anchorCtr="0" upright="1">
                              <a:noAutofit/>
                            </wps:bodyPr>
                          </wps:wsp>
                          <wps:wsp>
                            <wps:cNvPr id="6" name="TextBox 48"/>
                            <wps:cNvSpPr txBox="1">
                              <a:spLocks noChangeArrowheads="1"/>
                            </wps:cNvSpPr>
                            <wps:spPr bwMode="auto">
                              <a:xfrm>
                                <a:off x="1706" y="1643"/>
                                <a:ext cx="14180" cy="3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82506" w14:textId="77777777" w:rsidR="006E1BFD" w:rsidRDefault="006E1BFD" w:rsidP="00790463">
                                  <w:pPr>
                                    <w:jc w:val="center"/>
                                    <w:rPr>
                                      <w:sz w:val="16"/>
                                      <w:szCs w:val="16"/>
                                    </w:rPr>
                                  </w:pPr>
                                  <w:r>
                                    <w:rPr>
                                      <w:rFonts w:ascii="Arial" w:hAnsi="Arial" w:cs="Arial"/>
                                      <w:color w:val="000000" w:themeColor="text1"/>
                                      <w:kern w:val="24"/>
                                      <w:sz w:val="16"/>
                                      <w:szCs w:val="16"/>
                                    </w:rPr>
                                    <w:t>Arran Investment</w:t>
                                  </w:r>
                                </w:p>
                                <w:p w14:paraId="1D414567" w14:textId="77777777" w:rsidR="006E1BFD" w:rsidRDefault="006E1BFD" w:rsidP="00790463">
                                  <w:pPr>
                                    <w:jc w:val="center"/>
                                    <w:rPr>
                                      <w:sz w:val="16"/>
                                      <w:szCs w:val="16"/>
                                    </w:rPr>
                                  </w:pPr>
                                  <w:r>
                                    <w:rPr>
                                      <w:rFonts w:ascii="Arial" w:hAnsi="Arial" w:cs="Arial"/>
                                      <w:color w:val="000000" w:themeColor="text1"/>
                                      <w:kern w:val="24"/>
                                      <w:sz w:val="16"/>
                                      <w:szCs w:val="16"/>
                                    </w:rPr>
                                    <w:t>Pte. Ltd.</w:t>
                                  </w:r>
                                </w:p>
                              </w:txbxContent>
                            </wps:txbx>
                            <wps:bodyPr rot="0" vert="horz" wrap="square" lIns="91440" tIns="45720" rIns="91440" bIns="45720" anchor="t" anchorCtr="0" upright="1">
                              <a:noAutofit/>
                            </wps:bodyPr>
                          </wps:wsp>
                        </wpg:grpSp>
                        <wpg:grpSp>
                          <wpg:cNvPr id="7" name="Group 100"/>
                          <wpg:cNvGrpSpPr>
                            <a:grpSpLocks/>
                          </wpg:cNvGrpSpPr>
                          <wpg:grpSpPr bwMode="auto">
                            <a:xfrm>
                              <a:off x="26755" y="85"/>
                              <a:ext cx="12987" cy="6494"/>
                              <a:chOff x="26755" y="85"/>
                              <a:chExt cx="12987" cy="6493"/>
                            </a:xfrm>
                          </wpg:grpSpPr>
                          <wps:wsp>
                            <wps:cNvPr id="8" name="Rectangle: Rounded Corners 46"/>
                            <wps:cNvSpPr>
                              <a:spLocks noChangeArrowheads="1"/>
                            </wps:cNvSpPr>
                            <wps:spPr bwMode="auto">
                              <a:xfrm>
                                <a:off x="26755" y="85"/>
                                <a:ext cx="12987" cy="6494"/>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 name="TextBox 47"/>
                            <wps:cNvSpPr txBox="1">
                              <a:spLocks noChangeArrowheads="1"/>
                            </wps:cNvSpPr>
                            <wps:spPr bwMode="auto">
                              <a:xfrm>
                                <a:off x="26883" y="1464"/>
                                <a:ext cx="12719" cy="40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03D0F" w14:textId="77777777" w:rsidR="006E1BFD" w:rsidRDefault="006E1BFD" w:rsidP="00790463">
                                  <w:pPr>
                                    <w:jc w:val="center"/>
                                    <w:rPr>
                                      <w:sz w:val="16"/>
                                      <w:szCs w:val="16"/>
                                    </w:rPr>
                                  </w:pPr>
                                  <w:r>
                                    <w:rPr>
                                      <w:rFonts w:ascii="Arial" w:hAnsi="Arial" w:cs="Arial"/>
                                      <w:color w:val="000000" w:themeColor="text1"/>
                                      <w:kern w:val="24"/>
                                      <w:sz w:val="16"/>
                                      <w:szCs w:val="16"/>
                                    </w:rPr>
                                    <w:t>Century Pacific</w:t>
                                  </w:r>
                                </w:p>
                                <w:p w14:paraId="7AF34FEC" w14:textId="77777777" w:rsidR="006E1BFD" w:rsidRDefault="006E1BFD" w:rsidP="00790463">
                                  <w:pPr>
                                    <w:jc w:val="center"/>
                                    <w:rPr>
                                      <w:sz w:val="16"/>
                                      <w:szCs w:val="16"/>
                                    </w:rPr>
                                  </w:pPr>
                                  <w:r>
                                    <w:rPr>
                                      <w:rFonts w:ascii="Arial" w:hAnsi="Arial" w:cs="Arial"/>
                                      <w:color w:val="000000" w:themeColor="text1"/>
                                      <w:kern w:val="24"/>
                                      <w:sz w:val="16"/>
                                      <w:szCs w:val="16"/>
                                    </w:rPr>
                                    <w:t>Group Inc.</w:t>
                                  </w:r>
                                </w:p>
                              </w:txbxContent>
                            </wps:txbx>
                            <wps:bodyPr rot="0" vert="horz" wrap="square" lIns="91440" tIns="45720" rIns="91440" bIns="45720" anchor="t" anchorCtr="0" upright="1">
                              <a:noAutofit/>
                            </wps:bodyPr>
                          </wps:wsp>
                        </wpg:grpSp>
                        <wpg:grpSp>
                          <wpg:cNvPr id="10" name="Group 103"/>
                          <wpg:cNvGrpSpPr>
                            <a:grpSpLocks/>
                          </wpg:cNvGrpSpPr>
                          <wpg:grpSpPr bwMode="auto">
                            <a:xfrm>
                              <a:off x="52318" y="85"/>
                              <a:ext cx="12987" cy="6494"/>
                              <a:chOff x="52318" y="85"/>
                              <a:chExt cx="12987" cy="6493"/>
                            </a:xfrm>
                          </wpg:grpSpPr>
                          <wps:wsp>
                            <wps:cNvPr id="11" name="Rectangle: Rounded Corners 44"/>
                            <wps:cNvSpPr>
                              <a:spLocks noChangeArrowheads="1"/>
                            </wps:cNvSpPr>
                            <wps:spPr bwMode="auto">
                              <a:xfrm>
                                <a:off x="52318" y="85"/>
                                <a:ext cx="12987" cy="6494"/>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 name="TextBox 45"/>
                            <wps:cNvSpPr txBox="1">
                              <a:spLocks noChangeArrowheads="1"/>
                            </wps:cNvSpPr>
                            <wps:spPr bwMode="auto">
                              <a:xfrm>
                                <a:off x="55615" y="1205"/>
                                <a:ext cx="6453" cy="47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98313" w14:textId="77777777" w:rsidR="006E1BFD" w:rsidRDefault="006E1BFD" w:rsidP="00790463">
                                  <w:pPr>
                                    <w:jc w:val="center"/>
                                    <w:rPr>
                                      <w:sz w:val="16"/>
                                      <w:szCs w:val="16"/>
                                    </w:rPr>
                                  </w:pPr>
                                  <w:r>
                                    <w:rPr>
                                      <w:rFonts w:ascii="Arial" w:hAnsi="Arial" w:cs="Arial"/>
                                      <w:color w:val="000000" w:themeColor="text1"/>
                                      <w:kern w:val="24"/>
                                      <w:sz w:val="16"/>
                                      <w:szCs w:val="16"/>
                                    </w:rPr>
                                    <w:t>Prieto Family</w:t>
                                  </w:r>
                                </w:p>
                              </w:txbxContent>
                            </wps:txbx>
                            <wps:bodyPr rot="0" vert="horz" wrap="square" lIns="91440" tIns="45720" rIns="91440" bIns="45720" anchor="t" anchorCtr="0" upright="1">
                              <a:noAutofit/>
                            </wps:bodyPr>
                          </wps:wsp>
                        </wpg:grpSp>
                      </wpg:grpSp>
                      <wpg:grpSp>
                        <wpg:cNvPr id="13" name="Group 106"/>
                        <wpg:cNvGrpSpPr>
                          <a:grpSpLocks/>
                        </wpg:cNvGrpSpPr>
                        <wpg:grpSpPr bwMode="auto">
                          <a:xfrm>
                            <a:off x="25075" y="13845"/>
                            <a:ext cx="16499" cy="6494"/>
                            <a:chOff x="25075" y="13845"/>
                            <a:chExt cx="16498" cy="6493"/>
                          </a:xfrm>
                        </wpg:grpSpPr>
                        <wps:wsp>
                          <wps:cNvPr id="14" name="Rectangle: Rounded Corners 39"/>
                          <wps:cNvSpPr>
                            <a:spLocks noChangeArrowheads="1"/>
                          </wps:cNvSpPr>
                          <wps:spPr bwMode="auto">
                            <a:xfrm>
                              <a:off x="25075" y="13845"/>
                              <a:ext cx="16499" cy="6494"/>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 name="TextBox 40"/>
                          <wps:cNvSpPr txBox="1">
                            <a:spLocks noChangeArrowheads="1"/>
                          </wps:cNvSpPr>
                          <wps:spPr bwMode="auto">
                            <a:xfrm>
                              <a:off x="25982" y="14883"/>
                              <a:ext cx="14675" cy="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25044" w14:textId="77777777" w:rsidR="006E1BFD" w:rsidRDefault="006E1BFD" w:rsidP="00790463">
                                <w:pPr>
                                  <w:jc w:val="center"/>
                                  <w:rPr>
                                    <w:sz w:val="16"/>
                                    <w:szCs w:val="16"/>
                                  </w:rPr>
                                </w:pPr>
                                <w:r>
                                  <w:rPr>
                                    <w:rFonts w:ascii="Arial" w:hAnsi="Arial" w:cs="Arial"/>
                                    <w:color w:val="000000" w:themeColor="text1"/>
                                    <w:kern w:val="24"/>
                                    <w:sz w:val="16"/>
                                    <w:szCs w:val="16"/>
                                  </w:rPr>
                                  <w:t>Shakey’s Pizza Asia</w:t>
                                </w:r>
                              </w:p>
                              <w:p w14:paraId="263E3C7D" w14:textId="77777777" w:rsidR="006E1BFD" w:rsidRDefault="006E1BFD" w:rsidP="00790463">
                                <w:pPr>
                                  <w:jc w:val="center"/>
                                  <w:rPr>
                                    <w:sz w:val="16"/>
                                    <w:szCs w:val="16"/>
                                  </w:rPr>
                                </w:pPr>
                                <w:r>
                                  <w:rPr>
                                    <w:rFonts w:ascii="Arial" w:hAnsi="Arial" w:cs="Arial"/>
                                    <w:color w:val="000000" w:themeColor="text1"/>
                                    <w:kern w:val="24"/>
                                    <w:sz w:val="16"/>
                                    <w:szCs w:val="16"/>
                                  </w:rPr>
                                  <w:t>Ventures Inc.</w:t>
                                </w:r>
                              </w:p>
                            </w:txbxContent>
                          </wps:txbx>
                          <wps:bodyPr rot="0" vert="horz" wrap="square" lIns="91440" tIns="45720" rIns="91440" bIns="45720" anchor="t" anchorCtr="0" upright="1">
                            <a:noAutofit/>
                          </wps:bodyPr>
                        </wps:wsp>
                      </wpg:grpSp>
                      <wpg:grpSp>
                        <wpg:cNvPr id="16" name="Group 109"/>
                        <wpg:cNvGrpSpPr>
                          <a:grpSpLocks/>
                        </wpg:cNvGrpSpPr>
                        <wpg:grpSpPr bwMode="auto">
                          <a:xfrm>
                            <a:off x="0" y="27824"/>
                            <a:ext cx="66387" cy="7535"/>
                            <a:chOff x="0" y="27824"/>
                            <a:chExt cx="66387" cy="7535"/>
                          </a:xfrm>
                        </wpg:grpSpPr>
                        <wpg:grpSp>
                          <wpg:cNvPr id="17" name="Group 110"/>
                          <wpg:cNvGrpSpPr>
                            <a:grpSpLocks/>
                          </wpg:cNvGrpSpPr>
                          <wpg:grpSpPr bwMode="auto">
                            <a:xfrm>
                              <a:off x="0" y="27919"/>
                              <a:ext cx="9768" cy="7440"/>
                              <a:chOff x="0" y="27919"/>
                              <a:chExt cx="9768" cy="7440"/>
                            </a:xfrm>
                          </wpg:grpSpPr>
                          <wps:wsp>
                            <wps:cNvPr id="18" name="Rectangle: Rounded Corners 37"/>
                            <wps:cNvSpPr>
                              <a:spLocks noChangeArrowheads="1"/>
                            </wps:cNvSpPr>
                            <wps:spPr bwMode="auto">
                              <a:xfrm>
                                <a:off x="0" y="27919"/>
                                <a:ext cx="9768" cy="7440"/>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 name="TextBox 38"/>
                            <wps:cNvSpPr txBox="1">
                              <a:spLocks noChangeArrowheads="1"/>
                            </wps:cNvSpPr>
                            <wps:spPr bwMode="auto">
                              <a:xfrm>
                                <a:off x="233" y="29550"/>
                                <a:ext cx="9246" cy="5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E637B" w14:textId="77777777" w:rsidR="006E1BFD" w:rsidRDefault="006E1BFD" w:rsidP="00790463">
                                  <w:pPr>
                                    <w:jc w:val="center"/>
                                    <w:rPr>
                                      <w:sz w:val="16"/>
                                      <w:szCs w:val="16"/>
                                    </w:rPr>
                                  </w:pPr>
                                  <w:r>
                                    <w:rPr>
                                      <w:rFonts w:ascii="Arial" w:hAnsi="Arial" w:cs="Arial"/>
                                      <w:color w:val="000000" w:themeColor="text1"/>
                                      <w:kern w:val="24"/>
                                      <w:sz w:val="16"/>
                                      <w:szCs w:val="16"/>
                                    </w:rPr>
                                    <w:t>Bakemasters</w:t>
                                  </w:r>
                                </w:p>
                                <w:p w14:paraId="54BB442B" w14:textId="77777777" w:rsidR="006E1BFD" w:rsidRDefault="006E1BFD" w:rsidP="00790463">
                                  <w:pPr>
                                    <w:jc w:val="center"/>
                                    <w:rPr>
                                      <w:sz w:val="16"/>
                                      <w:szCs w:val="16"/>
                                    </w:rPr>
                                  </w:pPr>
                                  <w:r>
                                    <w:rPr>
                                      <w:rFonts w:ascii="Arial" w:hAnsi="Arial" w:cs="Arial"/>
                                      <w:color w:val="000000" w:themeColor="text1"/>
                                      <w:kern w:val="24"/>
                                      <w:sz w:val="16"/>
                                      <w:szCs w:val="16"/>
                                    </w:rPr>
                                    <w:t>Inc.</w:t>
                                  </w:r>
                                </w:p>
                              </w:txbxContent>
                            </wps:txbx>
                            <wps:bodyPr rot="0" vert="horz" wrap="square" lIns="91440" tIns="45720" rIns="91440" bIns="45720" anchor="t" anchorCtr="0" upright="1">
                              <a:noAutofit/>
                            </wps:bodyPr>
                          </wps:wsp>
                        </wpg:grpSp>
                        <wpg:grpSp>
                          <wpg:cNvPr id="20" name="Group 113"/>
                          <wpg:cNvGrpSpPr>
                            <a:grpSpLocks/>
                          </wpg:cNvGrpSpPr>
                          <wpg:grpSpPr bwMode="auto">
                            <a:xfrm>
                              <a:off x="14222" y="27824"/>
                              <a:ext cx="9768" cy="7440"/>
                              <a:chOff x="14222" y="27824"/>
                              <a:chExt cx="9768" cy="7440"/>
                            </a:xfrm>
                          </wpg:grpSpPr>
                          <wps:wsp>
                            <wps:cNvPr id="21" name="Rectangle: Rounded Corners 35"/>
                            <wps:cNvSpPr>
                              <a:spLocks noChangeArrowheads="1"/>
                            </wps:cNvSpPr>
                            <wps:spPr bwMode="auto">
                              <a:xfrm>
                                <a:off x="14222" y="27824"/>
                                <a:ext cx="9768" cy="7440"/>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 name="TextBox 36"/>
                            <wps:cNvSpPr txBox="1">
                              <a:spLocks noChangeArrowheads="1"/>
                            </wps:cNvSpPr>
                            <wps:spPr bwMode="auto">
                              <a:xfrm>
                                <a:off x="14473" y="29386"/>
                                <a:ext cx="9246" cy="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7004E" w14:textId="77777777" w:rsidR="006E1BFD" w:rsidRDefault="006E1BFD" w:rsidP="00790463">
                                  <w:pPr>
                                    <w:jc w:val="center"/>
                                    <w:rPr>
                                      <w:sz w:val="16"/>
                                      <w:szCs w:val="16"/>
                                    </w:rPr>
                                  </w:pPr>
                                  <w:r>
                                    <w:rPr>
                                      <w:rFonts w:ascii="Arial" w:hAnsi="Arial" w:cs="Arial"/>
                                      <w:color w:val="000000" w:themeColor="text1"/>
                                      <w:kern w:val="24"/>
                                      <w:sz w:val="16"/>
                                      <w:szCs w:val="16"/>
                                    </w:rPr>
                                    <w:t>Golden</w:t>
                                  </w:r>
                                </w:p>
                                <w:p w14:paraId="376395CA" w14:textId="77777777" w:rsidR="006E1BFD" w:rsidRDefault="006E1BFD" w:rsidP="00790463">
                                  <w:pPr>
                                    <w:jc w:val="center"/>
                                    <w:rPr>
                                      <w:sz w:val="16"/>
                                      <w:szCs w:val="16"/>
                                    </w:rPr>
                                  </w:pPr>
                                  <w:r>
                                    <w:rPr>
                                      <w:rFonts w:ascii="Arial" w:hAnsi="Arial" w:cs="Arial"/>
                                      <w:color w:val="000000" w:themeColor="text1"/>
                                      <w:kern w:val="24"/>
                                      <w:sz w:val="16"/>
                                      <w:szCs w:val="16"/>
                                    </w:rPr>
                                    <w:t>Gourmet Ltd.</w:t>
                                  </w:r>
                                </w:p>
                              </w:txbxContent>
                            </wps:txbx>
                            <wps:bodyPr rot="0" vert="horz" wrap="square" lIns="91440" tIns="45720" rIns="91440" bIns="45720" anchor="t" anchorCtr="0" upright="1">
                              <a:noAutofit/>
                            </wps:bodyPr>
                          </wps:wsp>
                        </wpg:grpSp>
                        <wpg:grpSp>
                          <wpg:cNvPr id="23" name="Group 116"/>
                          <wpg:cNvGrpSpPr>
                            <a:grpSpLocks/>
                          </wpg:cNvGrpSpPr>
                          <wpg:grpSpPr bwMode="auto">
                            <a:xfrm>
                              <a:off x="28621" y="27824"/>
                              <a:ext cx="9769" cy="7440"/>
                              <a:chOff x="28621" y="27824"/>
                              <a:chExt cx="9768" cy="7440"/>
                            </a:xfrm>
                          </wpg:grpSpPr>
                          <wps:wsp>
                            <wps:cNvPr id="24" name="Rectangle: Rounded Corners 33"/>
                            <wps:cNvSpPr>
                              <a:spLocks noChangeArrowheads="1"/>
                            </wps:cNvSpPr>
                            <wps:spPr bwMode="auto">
                              <a:xfrm>
                                <a:off x="28621" y="27824"/>
                                <a:ext cx="9769" cy="7440"/>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 name="TextBox 34"/>
                            <wps:cNvSpPr txBox="1">
                              <a:spLocks noChangeArrowheads="1"/>
                            </wps:cNvSpPr>
                            <wps:spPr bwMode="auto">
                              <a:xfrm>
                                <a:off x="29088" y="28525"/>
                                <a:ext cx="8821"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46043" w14:textId="77777777" w:rsidR="006E1BFD" w:rsidRDefault="006E1BFD" w:rsidP="00790463">
                                  <w:pPr>
                                    <w:jc w:val="center"/>
                                    <w:rPr>
                                      <w:sz w:val="16"/>
                                      <w:szCs w:val="16"/>
                                    </w:rPr>
                                  </w:pPr>
                                  <w:r>
                                    <w:rPr>
                                      <w:rFonts w:ascii="Arial" w:hAnsi="Arial" w:cs="Arial"/>
                                      <w:color w:val="000000" w:themeColor="text1"/>
                                      <w:kern w:val="24"/>
                                      <w:sz w:val="16"/>
                                      <w:szCs w:val="16"/>
                                    </w:rPr>
                                    <w:t>Shakey’s</w:t>
                                  </w:r>
                                </w:p>
                                <w:p w14:paraId="2D5DA5E9" w14:textId="77777777" w:rsidR="006E1BFD" w:rsidRDefault="006E1BFD" w:rsidP="00790463">
                                  <w:pPr>
                                    <w:jc w:val="center"/>
                                    <w:rPr>
                                      <w:sz w:val="16"/>
                                      <w:szCs w:val="16"/>
                                    </w:rPr>
                                  </w:pPr>
                                  <w:r>
                                    <w:rPr>
                                      <w:rFonts w:ascii="Arial" w:hAnsi="Arial" w:cs="Arial"/>
                                      <w:color w:val="000000" w:themeColor="text1"/>
                                      <w:kern w:val="24"/>
                                      <w:sz w:val="16"/>
                                      <w:szCs w:val="16"/>
                                    </w:rPr>
                                    <w:t>International</w:t>
                                  </w:r>
                                </w:p>
                                <w:p w14:paraId="7CB2B59F" w14:textId="77777777" w:rsidR="006E1BFD" w:rsidRDefault="006E1BFD" w:rsidP="00790463">
                                  <w:pPr>
                                    <w:jc w:val="center"/>
                                    <w:rPr>
                                      <w:sz w:val="16"/>
                                      <w:szCs w:val="16"/>
                                    </w:rPr>
                                  </w:pPr>
                                  <w:r>
                                    <w:rPr>
                                      <w:rFonts w:ascii="Arial" w:hAnsi="Arial" w:cs="Arial"/>
                                      <w:color w:val="000000" w:themeColor="text1"/>
                                      <w:kern w:val="24"/>
                                      <w:sz w:val="16"/>
                                      <w:szCs w:val="16"/>
                                    </w:rPr>
                                    <w:t>Limited</w:t>
                                  </w:r>
                                </w:p>
                              </w:txbxContent>
                            </wps:txbx>
                            <wps:bodyPr rot="0" vert="horz" wrap="square" lIns="91440" tIns="45720" rIns="91440" bIns="45720" anchor="t" anchorCtr="0" upright="1">
                              <a:noAutofit/>
                            </wps:bodyPr>
                          </wps:wsp>
                        </wpg:grpSp>
                        <wpg:grpSp>
                          <wpg:cNvPr id="26" name="Group 119"/>
                          <wpg:cNvGrpSpPr>
                            <a:grpSpLocks/>
                          </wpg:cNvGrpSpPr>
                          <wpg:grpSpPr bwMode="auto">
                            <a:xfrm>
                              <a:off x="42396" y="27919"/>
                              <a:ext cx="9769" cy="7440"/>
                              <a:chOff x="42396" y="27919"/>
                              <a:chExt cx="9768" cy="7440"/>
                            </a:xfrm>
                          </wpg:grpSpPr>
                          <wps:wsp>
                            <wps:cNvPr id="27" name="Rectangle: Rounded Corners 31"/>
                            <wps:cNvSpPr>
                              <a:spLocks noChangeArrowheads="1"/>
                            </wps:cNvSpPr>
                            <wps:spPr bwMode="auto">
                              <a:xfrm>
                                <a:off x="42396" y="27919"/>
                                <a:ext cx="9769" cy="7440"/>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 name="TextBox 32"/>
                            <wps:cNvSpPr txBox="1">
                              <a:spLocks noChangeArrowheads="1"/>
                            </wps:cNvSpPr>
                            <wps:spPr bwMode="auto">
                              <a:xfrm>
                                <a:off x="42700" y="29385"/>
                                <a:ext cx="9246" cy="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F9E0" w14:textId="77777777" w:rsidR="006E1BFD" w:rsidRDefault="006E1BFD" w:rsidP="00790463">
                                  <w:pPr>
                                    <w:jc w:val="center"/>
                                    <w:rPr>
                                      <w:sz w:val="16"/>
                                      <w:szCs w:val="16"/>
                                    </w:rPr>
                                  </w:pPr>
                                  <w:r>
                                    <w:rPr>
                                      <w:rFonts w:ascii="Arial" w:hAnsi="Arial" w:cs="Arial"/>
                                      <w:color w:val="000000" w:themeColor="text1"/>
                                      <w:kern w:val="24"/>
                                      <w:sz w:val="16"/>
                                      <w:szCs w:val="16"/>
                                    </w:rPr>
                                    <w:t>Shakey’s</w:t>
                                  </w:r>
                                </w:p>
                                <w:p w14:paraId="0CA3DA86" w14:textId="77777777" w:rsidR="006E1BFD" w:rsidRDefault="006E1BFD" w:rsidP="00790463">
                                  <w:pPr>
                                    <w:jc w:val="center"/>
                                    <w:rPr>
                                      <w:sz w:val="16"/>
                                      <w:szCs w:val="16"/>
                                    </w:rPr>
                                  </w:pPr>
                                  <w:r>
                                    <w:rPr>
                                      <w:rFonts w:ascii="Arial" w:hAnsi="Arial" w:cs="Arial"/>
                                      <w:color w:val="000000" w:themeColor="text1"/>
                                      <w:kern w:val="24"/>
                                      <w:sz w:val="16"/>
                                      <w:szCs w:val="16"/>
                                    </w:rPr>
                                    <w:t>Seacrest Inc.</w:t>
                                  </w:r>
                                </w:p>
                              </w:txbxContent>
                            </wps:txbx>
                            <wps:bodyPr rot="0" vert="horz" wrap="square" lIns="91440" tIns="45720" rIns="91440" bIns="45720" anchor="t" anchorCtr="0" upright="1">
                              <a:noAutofit/>
                            </wps:bodyPr>
                          </wps:wsp>
                        </wpg:grpSp>
                        <wpg:grpSp>
                          <wpg:cNvPr id="29" name="Group 122"/>
                          <wpg:cNvGrpSpPr>
                            <a:grpSpLocks/>
                          </wpg:cNvGrpSpPr>
                          <wpg:grpSpPr bwMode="auto">
                            <a:xfrm>
                              <a:off x="56619" y="27919"/>
                              <a:ext cx="9768" cy="7440"/>
                              <a:chOff x="56619" y="27919"/>
                              <a:chExt cx="9768" cy="7440"/>
                            </a:xfrm>
                          </wpg:grpSpPr>
                          <wps:wsp>
                            <wps:cNvPr id="30" name="Rectangle: Rounded Corners 29"/>
                            <wps:cNvSpPr>
                              <a:spLocks noChangeArrowheads="1"/>
                            </wps:cNvSpPr>
                            <wps:spPr bwMode="auto">
                              <a:xfrm>
                                <a:off x="56619" y="27919"/>
                                <a:ext cx="9768" cy="7440"/>
                              </a:xfrm>
                              <a:prstGeom prst="roundRect">
                                <a:avLst>
                                  <a:gd name="adj" fmla="val 16667"/>
                                </a:avLst>
                              </a:prstGeom>
                              <a:noFill/>
                              <a:ln w="63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1" name="TextBox 30"/>
                            <wps:cNvSpPr txBox="1">
                              <a:spLocks noChangeArrowheads="1"/>
                            </wps:cNvSpPr>
                            <wps:spPr bwMode="auto">
                              <a:xfrm>
                                <a:off x="57096" y="29549"/>
                                <a:ext cx="8750" cy="5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9C35E" w14:textId="77777777" w:rsidR="006E1BFD" w:rsidRDefault="006E1BFD" w:rsidP="00790463">
                                  <w:pPr>
                                    <w:jc w:val="center"/>
                                    <w:rPr>
                                      <w:sz w:val="16"/>
                                      <w:szCs w:val="16"/>
                                    </w:rPr>
                                  </w:pPr>
                                  <w:r>
                                    <w:rPr>
                                      <w:rFonts w:ascii="Arial" w:hAnsi="Arial" w:cs="Arial"/>
                                      <w:color w:val="000000" w:themeColor="text1"/>
                                      <w:kern w:val="24"/>
                                      <w:sz w:val="16"/>
                                      <w:szCs w:val="16"/>
                                    </w:rPr>
                                    <w:t>DBE Project</w:t>
                                  </w:r>
                                </w:p>
                                <w:p w14:paraId="0338C545" w14:textId="77777777" w:rsidR="006E1BFD" w:rsidRDefault="006E1BFD" w:rsidP="00790463">
                                  <w:pPr>
                                    <w:jc w:val="center"/>
                                    <w:rPr>
                                      <w:sz w:val="16"/>
                                      <w:szCs w:val="16"/>
                                    </w:rPr>
                                  </w:pPr>
                                  <w:r>
                                    <w:rPr>
                                      <w:rFonts w:ascii="Arial" w:hAnsi="Arial" w:cs="Arial"/>
                                      <w:color w:val="000000" w:themeColor="text1"/>
                                      <w:kern w:val="24"/>
                                      <w:sz w:val="16"/>
                                      <w:szCs w:val="16"/>
                                    </w:rPr>
                                    <w:t>Inc.</w:t>
                                  </w:r>
                                </w:p>
                              </w:txbxContent>
                            </wps:txbx>
                            <wps:bodyPr rot="0" vert="horz" wrap="square" lIns="91440" tIns="45720" rIns="91440" bIns="45720" anchor="t" anchorCtr="0" upright="1">
                              <a:noAutofit/>
                            </wps:bodyPr>
                          </wps:wsp>
                        </wpg:grpSp>
                      </wpg:grpSp>
                      <wps:wsp>
                        <wps:cNvPr id="32" name="Straight Connector 125"/>
                        <wps:cNvCnPr>
                          <a:cxnSpLocks noChangeShapeType="1"/>
                        </wps:cNvCnPr>
                        <wps:spPr bwMode="auto">
                          <a:xfrm>
                            <a:off x="33249" y="6579"/>
                            <a:ext cx="76" cy="7266"/>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3" name="Straight Connector 126"/>
                        <wps:cNvCnPr>
                          <a:cxnSpLocks noChangeShapeType="1"/>
                        </wps:cNvCnPr>
                        <wps:spPr bwMode="auto">
                          <a:xfrm>
                            <a:off x="33325" y="20339"/>
                            <a:ext cx="0" cy="737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4" name="Straight Connector 127"/>
                        <wps:cNvCnPr>
                          <a:cxnSpLocks/>
                        </wps:cNvCnPr>
                        <wps:spPr bwMode="auto">
                          <a:xfrm>
                            <a:off x="8872" y="10203"/>
                            <a:ext cx="50016" cy="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5" name="Straight Connector 195"/>
                        <wps:cNvCnPr>
                          <a:cxnSpLocks noChangeShapeType="1"/>
                        </wps:cNvCnPr>
                        <wps:spPr bwMode="auto">
                          <a:xfrm flipH="1">
                            <a:off x="8796" y="6493"/>
                            <a:ext cx="0" cy="3728"/>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 name="Straight Connector 196"/>
                        <wps:cNvCnPr>
                          <a:cxnSpLocks noChangeShapeType="1"/>
                        </wps:cNvCnPr>
                        <wps:spPr bwMode="auto">
                          <a:xfrm flipH="1">
                            <a:off x="58812" y="6579"/>
                            <a:ext cx="0" cy="3642"/>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7" name="TextBox 11"/>
                        <wps:cNvSpPr txBox="1">
                          <a:spLocks noChangeArrowheads="1"/>
                        </wps:cNvSpPr>
                        <wps:spPr bwMode="auto">
                          <a:xfrm>
                            <a:off x="8904" y="7369"/>
                            <a:ext cx="6743" cy="3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10F09" w14:textId="77777777" w:rsidR="006E1BFD" w:rsidRDefault="006E1BFD" w:rsidP="00790463">
                              <w:pPr>
                                <w:rPr>
                                  <w:sz w:val="24"/>
                                  <w:szCs w:val="24"/>
                                </w:rPr>
                              </w:pPr>
                              <w:r>
                                <w:rPr>
                                  <w:rFonts w:ascii="Arial" w:hAnsi="Arial" w:cs="Arial"/>
                                  <w:color w:val="000000" w:themeColor="text1"/>
                                  <w:kern w:val="24"/>
                                </w:rPr>
                                <w:t>37.2%</w:t>
                              </w:r>
                            </w:p>
                          </w:txbxContent>
                        </wps:txbx>
                        <wps:bodyPr rot="0" vert="horz" wrap="square" lIns="91440" tIns="45720" rIns="91440" bIns="45720" anchor="t" anchorCtr="0" upright="1">
                          <a:noAutofit/>
                        </wps:bodyPr>
                      </wps:wsp>
                      <wps:wsp>
                        <wps:cNvPr id="38" name="TextBox 12"/>
                        <wps:cNvSpPr txBox="1">
                          <a:spLocks noChangeArrowheads="1"/>
                        </wps:cNvSpPr>
                        <wps:spPr bwMode="auto">
                          <a:xfrm>
                            <a:off x="37156" y="6900"/>
                            <a:ext cx="6931" cy="27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DAD10" w14:textId="77777777" w:rsidR="006E1BFD" w:rsidRDefault="006E1BFD" w:rsidP="00790463">
                              <w:pPr>
                                <w:rPr>
                                  <w:sz w:val="24"/>
                                  <w:szCs w:val="24"/>
                                </w:rPr>
                              </w:pPr>
                              <w:r>
                                <w:rPr>
                                  <w:rFonts w:ascii="Arial" w:hAnsi="Arial" w:cs="Arial"/>
                                  <w:color w:val="000000" w:themeColor="text1"/>
                                  <w:kern w:val="24"/>
                                </w:rPr>
                                <w:t>55.8%</w:t>
                              </w:r>
                            </w:p>
                          </w:txbxContent>
                        </wps:txbx>
                        <wps:bodyPr rot="0" vert="horz" wrap="square" lIns="91440" tIns="45720" rIns="91440" bIns="45720" anchor="t" anchorCtr="0" upright="1">
                          <a:noAutofit/>
                        </wps:bodyPr>
                      </wps:wsp>
                      <wps:wsp>
                        <wps:cNvPr id="39" name="TextBox 13"/>
                        <wps:cNvSpPr txBox="1">
                          <a:spLocks noChangeArrowheads="1"/>
                        </wps:cNvSpPr>
                        <wps:spPr bwMode="auto">
                          <a:xfrm>
                            <a:off x="59087" y="7522"/>
                            <a:ext cx="6371" cy="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3F1A7" w14:textId="77777777" w:rsidR="006E1BFD" w:rsidRDefault="006E1BFD" w:rsidP="00790463">
                              <w:pPr>
                                <w:rPr>
                                  <w:sz w:val="24"/>
                                  <w:szCs w:val="24"/>
                                </w:rPr>
                              </w:pPr>
                              <w:r>
                                <w:rPr>
                                  <w:rFonts w:ascii="Arial" w:hAnsi="Arial" w:cs="Arial"/>
                                  <w:color w:val="000000" w:themeColor="text1"/>
                                  <w:kern w:val="24"/>
                                </w:rPr>
                                <w:t>7.0%</w:t>
                              </w:r>
                            </w:p>
                          </w:txbxContent>
                        </wps:txbx>
                        <wps:bodyPr rot="0" vert="horz" wrap="square" lIns="91440" tIns="45720" rIns="91440" bIns="45720" anchor="t" anchorCtr="0" upright="1">
                          <a:noAutofit/>
                        </wps:bodyPr>
                      </wps:wsp>
                      <wps:wsp>
                        <wps:cNvPr id="40" name="Straight Connector 200"/>
                        <wps:cNvCnPr>
                          <a:cxnSpLocks/>
                        </wps:cNvCnPr>
                        <wps:spPr bwMode="auto">
                          <a:xfrm flipV="1">
                            <a:off x="4884" y="24049"/>
                            <a:ext cx="56591" cy="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1" name="Straight Connector 201"/>
                        <wps:cNvCnPr>
                          <a:cxnSpLocks noChangeShapeType="1"/>
                        </wps:cNvCnPr>
                        <wps:spPr bwMode="auto">
                          <a:xfrm>
                            <a:off x="4884" y="24134"/>
                            <a:ext cx="0" cy="3785"/>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2" name="Straight Connector 202"/>
                        <wps:cNvCnPr>
                          <a:cxnSpLocks/>
                        </wps:cNvCnPr>
                        <wps:spPr bwMode="auto">
                          <a:xfrm>
                            <a:off x="61475" y="24163"/>
                            <a:ext cx="28" cy="3756"/>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3" name="Straight Connector 203"/>
                        <wps:cNvCnPr>
                          <a:cxnSpLocks noChangeShapeType="1"/>
                        </wps:cNvCnPr>
                        <wps:spPr bwMode="auto">
                          <a:xfrm>
                            <a:off x="19106" y="24134"/>
                            <a:ext cx="0" cy="369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4" name="Straight Connector 204"/>
                        <wps:cNvCnPr>
                          <a:cxnSpLocks/>
                        </wps:cNvCnPr>
                        <wps:spPr bwMode="auto">
                          <a:xfrm>
                            <a:off x="47202" y="24134"/>
                            <a:ext cx="79" cy="3785"/>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5" name="TextBox 19"/>
                        <wps:cNvSpPr txBox="1">
                          <a:spLocks noChangeArrowheads="1"/>
                        </wps:cNvSpPr>
                        <wps:spPr bwMode="auto">
                          <a:xfrm>
                            <a:off x="5014" y="24486"/>
                            <a:ext cx="6460" cy="3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3F877" w14:textId="77777777" w:rsidR="006E1BFD" w:rsidRDefault="006E1BFD" w:rsidP="00790463">
                              <w:pPr>
                                <w:rPr>
                                  <w:sz w:val="24"/>
                                  <w:szCs w:val="24"/>
                                </w:rPr>
                              </w:pPr>
                              <w:r>
                                <w:rPr>
                                  <w:rFonts w:ascii="Arial" w:hAnsi="Arial" w:cs="Arial"/>
                                  <w:color w:val="000000" w:themeColor="text1"/>
                                  <w:kern w:val="24"/>
                                </w:rPr>
                                <w:t>100%</w:t>
                              </w:r>
                            </w:p>
                          </w:txbxContent>
                        </wps:txbx>
                        <wps:bodyPr rot="0" vert="horz" wrap="square" lIns="91440" tIns="45720" rIns="91440" bIns="45720" anchor="t" anchorCtr="0" upright="1">
                          <a:noAutofit/>
                        </wps:bodyPr>
                      </wps:wsp>
                      <wps:wsp>
                        <wps:cNvPr id="46" name="TextBox 20"/>
                        <wps:cNvSpPr txBox="1">
                          <a:spLocks noChangeArrowheads="1"/>
                        </wps:cNvSpPr>
                        <wps:spPr bwMode="auto">
                          <a:xfrm>
                            <a:off x="19103" y="24162"/>
                            <a:ext cx="6877" cy="3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E3C13" w14:textId="77777777" w:rsidR="006E1BFD" w:rsidRDefault="006E1BFD" w:rsidP="00790463">
                              <w:pPr>
                                <w:rPr>
                                  <w:sz w:val="24"/>
                                  <w:szCs w:val="24"/>
                                </w:rPr>
                              </w:pPr>
                              <w:r>
                                <w:rPr>
                                  <w:rFonts w:ascii="Arial" w:hAnsi="Arial" w:cs="Arial"/>
                                  <w:color w:val="000000" w:themeColor="text1"/>
                                  <w:kern w:val="24"/>
                                </w:rPr>
                                <w:t>100%</w:t>
                              </w:r>
                            </w:p>
                          </w:txbxContent>
                        </wps:txbx>
                        <wps:bodyPr rot="0" vert="horz" wrap="square" lIns="91440" tIns="45720" rIns="91440" bIns="45720" anchor="t" anchorCtr="0" upright="1">
                          <a:noAutofit/>
                        </wps:bodyPr>
                      </wps:wsp>
                      <wps:wsp>
                        <wps:cNvPr id="47" name="TextBox 21"/>
                        <wps:cNvSpPr txBox="1">
                          <a:spLocks noChangeArrowheads="1"/>
                        </wps:cNvSpPr>
                        <wps:spPr bwMode="auto">
                          <a:xfrm>
                            <a:off x="33325" y="24264"/>
                            <a:ext cx="7467" cy="37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C4CB4" w14:textId="77777777" w:rsidR="006E1BFD" w:rsidRDefault="006E1BFD" w:rsidP="00790463">
                              <w:pPr>
                                <w:rPr>
                                  <w:sz w:val="24"/>
                                  <w:szCs w:val="24"/>
                                </w:rPr>
                              </w:pPr>
                              <w:r>
                                <w:rPr>
                                  <w:rFonts w:ascii="Arial" w:hAnsi="Arial" w:cs="Arial"/>
                                  <w:color w:val="000000" w:themeColor="text1"/>
                                  <w:kern w:val="24"/>
                                </w:rPr>
                                <w:t>100%</w:t>
                              </w:r>
                            </w:p>
                          </w:txbxContent>
                        </wps:txbx>
                        <wps:bodyPr rot="0" vert="horz" wrap="square" lIns="91440" tIns="45720" rIns="91440" bIns="45720" anchor="t" anchorCtr="0" upright="1">
                          <a:noAutofit/>
                        </wps:bodyPr>
                      </wps:wsp>
                      <wps:wsp>
                        <wps:cNvPr id="48" name="TextBox 22"/>
                        <wps:cNvSpPr txBox="1">
                          <a:spLocks noChangeArrowheads="1"/>
                        </wps:cNvSpPr>
                        <wps:spPr bwMode="auto">
                          <a:xfrm>
                            <a:off x="47191" y="24483"/>
                            <a:ext cx="5662" cy="3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BC73A" w14:textId="77777777" w:rsidR="006E1BFD" w:rsidRDefault="006E1BFD" w:rsidP="00790463">
                              <w:pPr>
                                <w:rPr>
                                  <w:sz w:val="24"/>
                                  <w:szCs w:val="24"/>
                                </w:rPr>
                              </w:pPr>
                              <w:r>
                                <w:rPr>
                                  <w:rFonts w:ascii="Arial" w:hAnsi="Arial" w:cs="Arial"/>
                                  <w:color w:val="000000" w:themeColor="text1"/>
                                  <w:kern w:val="24"/>
                                </w:rPr>
                                <w:t>100%</w:t>
                              </w:r>
                            </w:p>
                          </w:txbxContent>
                        </wps:txbx>
                        <wps:bodyPr rot="0" vert="horz" wrap="square" lIns="91440" tIns="45720" rIns="91440" bIns="45720" anchor="t" anchorCtr="0" upright="1">
                          <a:noAutofit/>
                        </wps:bodyPr>
                      </wps:wsp>
                      <wps:wsp>
                        <wps:cNvPr id="49" name="TextBox 23"/>
                        <wps:cNvSpPr txBox="1">
                          <a:spLocks noChangeArrowheads="1"/>
                        </wps:cNvSpPr>
                        <wps:spPr bwMode="auto">
                          <a:xfrm>
                            <a:off x="60851" y="24733"/>
                            <a:ext cx="5941" cy="3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68E51" w14:textId="77777777" w:rsidR="006E1BFD" w:rsidRDefault="006E1BFD" w:rsidP="00790463">
                              <w:pPr>
                                <w:rPr>
                                  <w:sz w:val="24"/>
                                  <w:szCs w:val="24"/>
                                </w:rPr>
                              </w:pPr>
                              <w:r>
                                <w:rPr>
                                  <w:rFonts w:ascii="Arial" w:hAnsi="Arial" w:cs="Arial"/>
                                  <w:color w:val="000000" w:themeColor="text1"/>
                                  <w:kern w:val="24"/>
                                </w:rPr>
                                <w:t>100%</w:t>
                              </w:r>
                            </w:p>
                          </w:txbxContent>
                        </wps:txbx>
                        <wps:bodyPr rot="0" vert="horz" wrap="square" lIns="91440" tIns="45720" rIns="91440" bIns="45720" anchor="t" anchorCtr="0" upright="1">
                          <a:noAutofit/>
                        </wps:bodyPr>
                      </wps:wsp>
                    </wpg:wgp>
                  </a:graphicData>
                </a:graphic>
              </wp:inline>
            </w:drawing>
          </mc:Choice>
          <mc:Fallback>
            <w:pict>
              <v:group w14:anchorId="66A6A819" id="Group 2" o:spid="_x0000_s1074" style="width:481.05pt;height:216.95pt;mso-position-horizontal-relative:char;mso-position-vertical-relative:line" coordsize="66792,35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">
                <v:group id="Group 96" o:spid="_x0000_s1075" style="position:absolute;left:1706;width:63599;height:6579" coordorigin="1706" coordsize="63599,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97" o:spid="_x0000_s1076" style="position:absolute;left:1706;width:14180;height:6493" coordorigin="1706" coordsize="14179,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angle: Rounded Corners 49" o:spid="_x0000_s1077" style="position:absolute;left:2303;width:12987;height:64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" filled="f" strokecolor="black [3213]" strokeweight=".5pt">
                      <v:textbox>
                        <w:txbxContent>
                          <w:p w14:paraId="3D4EE62D" w14:textId="77777777" w:rsidR="006E1BFD" w:rsidRDefault="006E1BFD" w:rsidP="00790463">
                            <w:pPr>
                              <w:jc w:val="center"/>
                            </w:pPr>
                          </w:p>
                        </w:txbxContent>
                      </v:textbox>
                    </v:roundrect>
                    <v:shape id="TextBox 48" o:spid="_x0000_s1078" type="#_x0000_t202" style="position:absolute;left:1706;top:1643;width:14180;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4C82506" w14:textId="77777777" w:rsidR="006E1BFD" w:rsidRDefault="006E1BFD" w:rsidP="00790463">
                            <w:pPr>
                              <w:jc w:val="center"/>
                              <w:rPr>
                                <w:sz w:val="16"/>
                                <w:szCs w:val="16"/>
                              </w:rPr>
                            </w:pPr>
                            <w:r>
                              <w:rPr>
                                <w:rFonts w:ascii="Arial" w:hAnsi="Arial" w:cs="Arial"/>
                                <w:color w:val="000000" w:themeColor="text1"/>
                                <w:kern w:val="24"/>
                                <w:sz w:val="16"/>
                                <w:szCs w:val="16"/>
                              </w:rPr>
                              <w:t>Arran Investment</w:t>
                            </w:r>
                          </w:p>
                          <w:p w14:paraId="1D414567" w14:textId="77777777" w:rsidR="006E1BFD" w:rsidRDefault="006E1BFD" w:rsidP="00790463">
                            <w:pPr>
                              <w:jc w:val="center"/>
                              <w:rPr>
                                <w:sz w:val="16"/>
                                <w:szCs w:val="16"/>
                              </w:rPr>
                            </w:pPr>
                            <w:r>
                              <w:rPr>
                                <w:rFonts w:ascii="Arial" w:hAnsi="Arial" w:cs="Arial"/>
                                <w:color w:val="000000" w:themeColor="text1"/>
                                <w:kern w:val="24"/>
                                <w:sz w:val="16"/>
                                <w:szCs w:val="16"/>
                              </w:rPr>
                              <w:t>Pte. Ltd.</w:t>
                            </w:r>
                          </w:p>
                        </w:txbxContent>
                      </v:textbox>
                    </v:shape>
                  </v:group>
                  <v:group id="Group 100" o:spid="_x0000_s1079" style="position:absolute;left:26755;top:85;width:12987;height:6494" coordorigin="26755,85" coordsize="12987,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oundrect id="Rectangle: Rounded Corners 46" o:spid="_x0000_s1080" style="position:absolute;left:26755;top:85;width:12987;height:64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" filled="f" strokecolor="black [3213]" strokeweight=".5pt"/>
                    <v:shape id="TextBox 47" o:spid="_x0000_s1081" type="#_x0000_t202" style="position:absolute;left:26883;top:1464;width:12719;height:4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5C03D0F" w14:textId="77777777" w:rsidR="006E1BFD" w:rsidRDefault="006E1BFD" w:rsidP="00790463">
                            <w:pPr>
                              <w:jc w:val="center"/>
                              <w:rPr>
                                <w:sz w:val="16"/>
                                <w:szCs w:val="16"/>
                              </w:rPr>
                            </w:pPr>
                            <w:r>
                              <w:rPr>
                                <w:rFonts w:ascii="Arial" w:hAnsi="Arial" w:cs="Arial"/>
                                <w:color w:val="000000" w:themeColor="text1"/>
                                <w:kern w:val="24"/>
                                <w:sz w:val="16"/>
                                <w:szCs w:val="16"/>
                              </w:rPr>
                              <w:t>Century Pacific</w:t>
                            </w:r>
                          </w:p>
                          <w:p w14:paraId="7AF34FEC" w14:textId="77777777" w:rsidR="006E1BFD" w:rsidRDefault="006E1BFD" w:rsidP="00790463">
                            <w:pPr>
                              <w:jc w:val="center"/>
                              <w:rPr>
                                <w:sz w:val="16"/>
                                <w:szCs w:val="16"/>
                              </w:rPr>
                            </w:pPr>
                            <w:r>
                              <w:rPr>
                                <w:rFonts w:ascii="Arial" w:hAnsi="Arial" w:cs="Arial"/>
                                <w:color w:val="000000" w:themeColor="text1"/>
                                <w:kern w:val="24"/>
                                <w:sz w:val="16"/>
                                <w:szCs w:val="16"/>
                              </w:rPr>
                              <w:t>Group Inc.</w:t>
                            </w:r>
                          </w:p>
                        </w:txbxContent>
                      </v:textbox>
                    </v:shape>
                  </v:group>
                  <v:group id="Group 103" o:spid="_x0000_s1082" style="position:absolute;left:52318;top:85;width:12987;height:6494" coordorigin="52318,85" coordsize="12987,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ectangle: Rounded Corners 44" o:spid="_x0000_s1083" style="position:absolute;left:52318;top:85;width:12987;height:64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" filled="f" strokecolor="black [3213]" strokeweight=".5pt"/>
                    <v:shape id="TextBox 45" o:spid="_x0000_s1084" type="#_x0000_t202" style="position:absolute;left:55615;top:1205;width:6453;height:4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4098313" w14:textId="77777777" w:rsidR="006E1BFD" w:rsidRDefault="006E1BFD" w:rsidP="00790463">
                            <w:pPr>
                              <w:jc w:val="center"/>
                              <w:rPr>
                                <w:sz w:val="16"/>
                                <w:szCs w:val="16"/>
                              </w:rPr>
                            </w:pPr>
                            <w:r>
                              <w:rPr>
                                <w:rFonts w:ascii="Arial" w:hAnsi="Arial" w:cs="Arial"/>
                                <w:color w:val="000000" w:themeColor="text1"/>
                                <w:kern w:val="24"/>
                                <w:sz w:val="16"/>
                                <w:szCs w:val="16"/>
                              </w:rPr>
                              <w:t>Prieto Family</w:t>
                            </w:r>
                          </w:p>
                        </w:txbxContent>
                      </v:textbox>
                    </v:shape>
                  </v:group>
                </v:group>
                <v:group id="Group 106" o:spid="_x0000_s1085" style="position:absolute;left:25075;top:13845;width:16499;height:6494" coordorigin="25075,13845" coordsize="16498,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39" o:spid="_x0000_s1086" style="position:absolute;left:25075;top:13845;width:16499;height:64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" filled="f" strokecolor="black [3213]" strokeweight=".5pt"/>
                  <v:shape id="TextBox 40" o:spid="_x0000_s1087" type="#_x0000_t202" style="position:absolute;left:25982;top:14883;width:14675;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5325044" w14:textId="77777777" w:rsidR="006E1BFD" w:rsidRDefault="006E1BFD" w:rsidP="00790463">
                          <w:pPr>
                            <w:jc w:val="center"/>
                            <w:rPr>
                              <w:sz w:val="16"/>
                              <w:szCs w:val="16"/>
                            </w:rPr>
                          </w:pPr>
                          <w:r>
                            <w:rPr>
                              <w:rFonts w:ascii="Arial" w:hAnsi="Arial" w:cs="Arial"/>
                              <w:color w:val="000000" w:themeColor="text1"/>
                              <w:kern w:val="24"/>
                              <w:sz w:val="16"/>
                              <w:szCs w:val="16"/>
                            </w:rPr>
                            <w:t>Shakey’s Pizza Asia</w:t>
                          </w:r>
                        </w:p>
                        <w:p w14:paraId="263E3C7D" w14:textId="77777777" w:rsidR="006E1BFD" w:rsidRDefault="006E1BFD" w:rsidP="00790463">
                          <w:pPr>
                            <w:jc w:val="center"/>
                            <w:rPr>
                              <w:sz w:val="16"/>
                              <w:szCs w:val="16"/>
                            </w:rPr>
                          </w:pPr>
                          <w:r>
                            <w:rPr>
                              <w:rFonts w:ascii="Arial" w:hAnsi="Arial" w:cs="Arial"/>
                              <w:color w:val="000000" w:themeColor="text1"/>
                              <w:kern w:val="24"/>
                              <w:sz w:val="16"/>
                              <w:szCs w:val="16"/>
                            </w:rPr>
                            <w:t>Ventures Inc.</w:t>
                          </w:r>
                        </w:p>
                      </w:txbxContent>
                    </v:textbox>
                  </v:shape>
                </v:group>
                <v:group id="Group 109" o:spid="_x0000_s1088" style="position:absolute;top:27824;width:66387;height:7535" coordorigin=",27824" coordsize="66387,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0" o:spid="_x0000_s1089" style="position:absolute;top:27919;width:9768;height:7440" coordorigin=",27919" coordsize="9768,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oundrect id="Rectangle: Rounded Corners 37" o:spid="_x0000_s1090" style="position:absolute;top:27919;width:9768;height:7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" filled="f" strokecolor="black [3213]" strokeweight=".5pt"/>
                    <v:shape id="TextBox 38" o:spid="_x0000_s1091" type="#_x0000_t202" style="position:absolute;left:233;top:29550;width:9246;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5D7E637B" w14:textId="77777777" w:rsidR="006E1BFD" w:rsidRDefault="006E1BFD" w:rsidP="00790463">
                            <w:pPr>
                              <w:jc w:val="center"/>
                              <w:rPr>
                                <w:sz w:val="16"/>
                                <w:szCs w:val="16"/>
                              </w:rPr>
                            </w:pPr>
                            <w:r>
                              <w:rPr>
                                <w:rFonts w:ascii="Arial" w:hAnsi="Arial" w:cs="Arial"/>
                                <w:color w:val="000000" w:themeColor="text1"/>
                                <w:kern w:val="24"/>
                                <w:sz w:val="16"/>
                                <w:szCs w:val="16"/>
                              </w:rPr>
                              <w:t>Bakemasters</w:t>
                            </w:r>
                          </w:p>
                          <w:p w14:paraId="54BB442B" w14:textId="77777777" w:rsidR="006E1BFD" w:rsidRDefault="006E1BFD" w:rsidP="00790463">
                            <w:pPr>
                              <w:jc w:val="center"/>
                              <w:rPr>
                                <w:sz w:val="16"/>
                                <w:szCs w:val="16"/>
                              </w:rPr>
                            </w:pPr>
                            <w:r>
                              <w:rPr>
                                <w:rFonts w:ascii="Arial" w:hAnsi="Arial" w:cs="Arial"/>
                                <w:color w:val="000000" w:themeColor="text1"/>
                                <w:kern w:val="24"/>
                                <w:sz w:val="16"/>
                                <w:szCs w:val="16"/>
                              </w:rPr>
                              <w:t>Inc.</w:t>
                            </w:r>
                          </w:p>
                        </w:txbxContent>
                      </v:textbox>
                    </v:shape>
                  </v:group>
                  <v:group id="Group 113" o:spid="_x0000_s1092" style="position:absolute;left:14222;top:27824;width:9768;height:7440" coordorigin="14222,27824" coordsize="9768,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oundrect id="Rectangle: Rounded Corners 35" o:spid="_x0000_s1093" style="position:absolute;left:14222;top:27824;width:9768;height:7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" filled="f" strokecolor="black [3213]" strokeweight=".5pt"/>
                    <v:shape id="TextBox 36" o:spid="_x0000_s1094" type="#_x0000_t202" style="position:absolute;left:14473;top:29386;width:9246;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52C7004E" w14:textId="77777777" w:rsidR="006E1BFD" w:rsidRDefault="006E1BFD" w:rsidP="00790463">
                            <w:pPr>
                              <w:jc w:val="center"/>
                              <w:rPr>
                                <w:sz w:val="16"/>
                                <w:szCs w:val="16"/>
                              </w:rPr>
                            </w:pPr>
                            <w:r>
                              <w:rPr>
                                <w:rFonts w:ascii="Arial" w:hAnsi="Arial" w:cs="Arial"/>
                                <w:color w:val="000000" w:themeColor="text1"/>
                                <w:kern w:val="24"/>
                                <w:sz w:val="16"/>
                                <w:szCs w:val="16"/>
                              </w:rPr>
                              <w:t>Golden</w:t>
                            </w:r>
                          </w:p>
                          <w:p w14:paraId="376395CA" w14:textId="77777777" w:rsidR="006E1BFD" w:rsidRDefault="006E1BFD" w:rsidP="00790463">
                            <w:pPr>
                              <w:jc w:val="center"/>
                              <w:rPr>
                                <w:sz w:val="16"/>
                                <w:szCs w:val="16"/>
                              </w:rPr>
                            </w:pPr>
                            <w:r>
                              <w:rPr>
                                <w:rFonts w:ascii="Arial" w:hAnsi="Arial" w:cs="Arial"/>
                                <w:color w:val="000000" w:themeColor="text1"/>
                                <w:kern w:val="24"/>
                                <w:sz w:val="16"/>
                                <w:szCs w:val="16"/>
                              </w:rPr>
                              <w:t>Gourmet Ltd.</w:t>
                            </w:r>
                          </w:p>
                        </w:txbxContent>
                      </v:textbox>
                    </v:shape>
                  </v:group>
                  <v:group id="Group 116" o:spid="_x0000_s1095" style="position:absolute;left:28621;top:27824;width:9769;height:7440" coordorigin="28621,27824" coordsize="9768,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oundrect id="Rectangle: Rounded Corners 33" o:spid="_x0000_s1096" style="position:absolute;left:28621;top:27824;width:9769;height:7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" filled="f" strokecolor="black [3213]" strokeweight=".5pt"/>
                    <v:shape id="TextBox 34" o:spid="_x0000_s1097" type="#_x0000_t202" style="position:absolute;left:29088;top:28525;width:8821;height:5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0D346043" w14:textId="77777777" w:rsidR="006E1BFD" w:rsidRDefault="006E1BFD" w:rsidP="00790463">
                            <w:pPr>
                              <w:jc w:val="center"/>
                              <w:rPr>
                                <w:sz w:val="16"/>
                                <w:szCs w:val="16"/>
                              </w:rPr>
                            </w:pPr>
                            <w:r>
                              <w:rPr>
                                <w:rFonts w:ascii="Arial" w:hAnsi="Arial" w:cs="Arial"/>
                                <w:color w:val="000000" w:themeColor="text1"/>
                                <w:kern w:val="24"/>
                                <w:sz w:val="16"/>
                                <w:szCs w:val="16"/>
                              </w:rPr>
                              <w:t>Shakey’s</w:t>
                            </w:r>
                          </w:p>
                          <w:p w14:paraId="2D5DA5E9" w14:textId="77777777" w:rsidR="006E1BFD" w:rsidRDefault="006E1BFD" w:rsidP="00790463">
                            <w:pPr>
                              <w:jc w:val="center"/>
                              <w:rPr>
                                <w:sz w:val="16"/>
                                <w:szCs w:val="16"/>
                              </w:rPr>
                            </w:pPr>
                            <w:r>
                              <w:rPr>
                                <w:rFonts w:ascii="Arial" w:hAnsi="Arial" w:cs="Arial"/>
                                <w:color w:val="000000" w:themeColor="text1"/>
                                <w:kern w:val="24"/>
                                <w:sz w:val="16"/>
                                <w:szCs w:val="16"/>
                              </w:rPr>
                              <w:t>International</w:t>
                            </w:r>
                          </w:p>
                          <w:p w14:paraId="7CB2B59F" w14:textId="77777777" w:rsidR="006E1BFD" w:rsidRDefault="006E1BFD" w:rsidP="00790463">
                            <w:pPr>
                              <w:jc w:val="center"/>
                              <w:rPr>
                                <w:sz w:val="16"/>
                                <w:szCs w:val="16"/>
                              </w:rPr>
                            </w:pPr>
                            <w:r>
                              <w:rPr>
                                <w:rFonts w:ascii="Arial" w:hAnsi="Arial" w:cs="Arial"/>
                                <w:color w:val="000000" w:themeColor="text1"/>
                                <w:kern w:val="24"/>
                                <w:sz w:val="16"/>
                                <w:szCs w:val="16"/>
                              </w:rPr>
                              <w:t>Limited</w:t>
                            </w:r>
                          </w:p>
                        </w:txbxContent>
                      </v:textbox>
                    </v:shape>
                  </v:group>
                  <v:group id="Group 119" o:spid="_x0000_s1098" style="position:absolute;left:42396;top:27919;width:9769;height:7440" coordorigin="42396,27919" coordsize="9768,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ectangle: Rounded Corners 31" o:spid="_x0000_s1099" style="position:absolute;left:42396;top:27919;width:9769;height:7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" filled="f" strokecolor="black [3213]" strokeweight=".5pt"/>
                    <v:shape id="TextBox 32" o:spid="_x0000_s1100" type="#_x0000_t202" style="position:absolute;left:42700;top:29385;width:9246;height:5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069F9E0" w14:textId="77777777" w:rsidR="006E1BFD" w:rsidRDefault="006E1BFD" w:rsidP="00790463">
                            <w:pPr>
                              <w:jc w:val="center"/>
                              <w:rPr>
                                <w:sz w:val="16"/>
                                <w:szCs w:val="16"/>
                              </w:rPr>
                            </w:pPr>
                            <w:r>
                              <w:rPr>
                                <w:rFonts w:ascii="Arial" w:hAnsi="Arial" w:cs="Arial"/>
                                <w:color w:val="000000" w:themeColor="text1"/>
                                <w:kern w:val="24"/>
                                <w:sz w:val="16"/>
                                <w:szCs w:val="16"/>
                              </w:rPr>
                              <w:t>Shakey’s</w:t>
                            </w:r>
                          </w:p>
                          <w:p w14:paraId="0CA3DA86" w14:textId="77777777" w:rsidR="006E1BFD" w:rsidRDefault="006E1BFD" w:rsidP="00790463">
                            <w:pPr>
                              <w:jc w:val="center"/>
                              <w:rPr>
                                <w:sz w:val="16"/>
                                <w:szCs w:val="16"/>
                              </w:rPr>
                            </w:pPr>
                            <w:r>
                              <w:rPr>
                                <w:rFonts w:ascii="Arial" w:hAnsi="Arial" w:cs="Arial"/>
                                <w:color w:val="000000" w:themeColor="text1"/>
                                <w:kern w:val="24"/>
                                <w:sz w:val="16"/>
                                <w:szCs w:val="16"/>
                              </w:rPr>
                              <w:t>Seacrest Inc.</w:t>
                            </w:r>
                          </w:p>
                        </w:txbxContent>
                      </v:textbox>
                    </v:shape>
                  </v:group>
                  <v:group id="Group 122" o:spid="_x0000_s1101" style="position:absolute;left:56619;top:27919;width:9768;height:7440" coordorigin="56619,27919" coordsize="9768,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Rectangle: Rounded Corners 29" o:spid="_x0000_s1102" style="position:absolute;left:56619;top:27919;width:9768;height:7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" filled="f" strokecolor="black [3213]" strokeweight=".5pt"/>
                    <v:shape id="TextBox 30" o:spid="_x0000_s1103" type="#_x0000_t202" style="position:absolute;left:57096;top:29549;width:8750;height:5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E29C35E" w14:textId="77777777" w:rsidR="006E1BFD" w:rsidRDefault="006E1BFD" w:rsidP="00790463">
                            <w:pPr>
                              <w:jc w:val="center"/>
                              <w:rPr>
                                <w:sz w:val="16"/>
                                <w:szCs w:val="16"/>
                              </w:rPr>
                            </w:pPr>
                            <w:r>
                              <w:rPr>
                                <w:rFonts w:ascii="Arial" w:hAnsi="Arial" w:cs="Arial"/>
                                <w:color w:val="000000" w:themeColor="text1"/>
                                <w:kern w:val="24"/>
                                <w:sz w:val="16"/>
                                <w:szCs w:val="16"/>
                              </w:rPr>
                              <w:t>DBE Project</w:t>
                            </w:r>
                          </w:p>
                          <w:p w14:paraId="0338C545" w14:textId="77777777" w:rsidR="006E1BFD" w:rsidRDefault="006E1BFD" w:rsidP="00790463">
                            <w:pPr>
                              <w:jc w:val="center"/>
                              <w:rPr>
                                <w:sz w:val="16"/>
                                <w:szCs w:val="16"/>
                              </w:rPr>
                            </w:pPr>
                            <w:r>
                              <w:rPr>
                                <w:rFonts w:ascii="Arial" w:hAnsi="Arial" w:cs="Arial"/>
                                <w:color w:val="000000" w:themeColor="text1"/>
                                <w:kern w:val="24"/>
                                <w:sz w:val="16"/>
                                <w:szCs w:val="16"/>
                              </w:rPr>
                              <w:t>Inc.</w:t>
                            </w:r>
                          </w:p>
                        </w:txbxContent>
                      </v:textbox>
                    </v:shape>
                  </v:group>
                </v:group>
                <v:line id="Straight Connector 125" o:spid="_x0000_s1104" style="position:absolute;visibility:visible;mso-wrap-style:square" from="33249,6579" to="33325,13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" strokecolor="black [3213]"/>
                <v:line id="Straight Connector 126" o:spid="_x0000_s1105" style="position:absolute;visibility:visible;mso-wrap-style:square" from="33325,20339" to="33325,27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" strokecolor="black [3213]"/>
                <v:line id="Straight Connector 127" o:spid="_x0000_s1106" style="position:absolute;visibility:visible;mso-wrap-style:square" from="8872,10203" to="58888,10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" strokecolor="black [3213]">
                  <o:lock v:ext="edit" shapetype="f"/>
                </v:line>
                <v:line id="Straight Connector 195" o:spid="_x0000_s1107" style="position:absolute;flip:x;visibility:visible;mso-wrap-style:square" from="8796,6493" to="8796,10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" strokecolor="black [3213]"/>
                <v:line id="Straight Connector 196" o:spid="_x0000_s1108" style="position:absolute;flip:x;visibility:visible;mso-wrap-style:square" from="58812,6579" to="58812,10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" strokecolor="black [3213]"/>
                <v:shape id="TextBox 11" o:spid="_x0000_s1109" type="#_x0000_t202" style="position:absolute;left:8904;top:7369;width:6743;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47C10F09" w14:textId="77777777" w:rsidR="006E1BFD" w:rsidRDefault="006E1BFD" w:rsidP="00790463">
                        <w:pPr>
                          <w:rPr>
                            <w:sz w:val="24"/>
                            <w:szCs w:val="24"/>
                          </w:rPr>
                        </w:pPr>
                        <w:r>
                          <w:rPr>
                            <w:rFonts w:ascii="Arial" w:hAnsi="Arial" w:cs="Arial"/>
                            <w:color w:val="000000" w:themeColor="text1"/>
                            <w:kern w:val="24"/>
                          </w:rPr>
                          <w:t>37.2%</w:t>
                        </w:r>
                      </w:p>
                    </w:txbxContent>
                  </v:textbox>
                </v:shape>
                <v:shape id="TextBox 12" o:spid="_x0000_s1110" type="#_x0000_t202" style="position:absolute;left:37156;top:6900;width:6931;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1ADDAD10" w14:textId="77777777" w:rsidR="006E1BFD" w:rsidRDefault="006E1BFD" w:rsidP="00790463">
                        <w:pPr>
                          <w:rPr>
                            <w:sz w:val="24"/>
                            <w:szCs w:val="24"/>
                          </w:rPr>
                        </w:pPr>
                        <w:r>
                          <w:rPr>
                            <w:rFonts w:ascii="Arial" w:hAnsi="Arial" w:cs="Arial"/>
                            <w:color w:val="000000" w:themeColor="text1"/>
                            <w:kern w:val="24"/>
                          </w:rPr>
                          <w:t>55.8%</w:t>
                        </w:r>
                      </w:p>
                    </w:txbxContent>
                  </v:textbox>
                </v:shape>
                <v:shape id="TextBox 13" o:spid="_x0000_s1111" type="#_x0000_t202" style="position:absolute;left:59087;top:7522;width:6371;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123F1A7" w14:textId="77777777" w:rsidR="006E1BFD" w:rsidRDefault="006E1BFD" w:rsidP="00790463">
                        <w:pPr>
                          <w:rPr>
                            <w:sz w:val="24"/>
                            <w:szCs w:val="24"/>
                          </w:rPr>
                        </w:pPr>
                        <w:r>
                          <w:rPr>
                            <w:rFonts w:ascii="Arial" w:hAnsi="Arial" w:cs="Arial"/>
                            <w:color w:val="000000" w:themeColor="text1"/>
                            <w:kern w:val="24"/>
                          </w:rPr>
                          <w:t>7.0%</w:t>
                        </w:r>
                      </w:p>
                    </w:txbxContent>
                  </v:textbox>
                </v:shape>
                <v:line id="Straight Connector 200" o:spid="_x0000_s1112" style="position:absolute;flip:y;visibility:visible;mso-wrap-style:square" from="4884,24049" to="61475,24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" strokecolor="black [3213]">
                  <o:lock v:ext="edit" shapetype="f"/>
                </v:line>
                <v:line id="Straight Connector 201" o:spid="_x0000_s1113" style="position:absolute;visibility:visible;mso-wrap-style:square" from="4884,24134" to="4884,27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" strokecolor="black [3213]"/>
                <v:line id="Straight Connector 202" o:spid="_x0000_s1114" style="position:absolute;visibility:visible;mso-wrap-style:square" from="61475,24163" to="61503,27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" strokecolor="black [3213]">
                  <o:lock v:ext="edit" shapetype="f"/>
                </v:line>
                <v:line id="Straight Connector 203" o:spid="_x0000_s1115" style="position:absolute;visibility:visible;mso-wrap-style:square" from="19106,24134" to="19106,27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" strokecolor="black [3213]"/>
                <v:line id="Straight Connector 204" o:spid="_x0000_s1116" style="position:absolute;visibility:visible;mso-wrap-style:square" from="47202,24134" to="47281,27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" strokecolor="black [3213]">
                  <o:lock v:ext="edit" shapetype="f"/>
                </v:line>
                <v:shape id="TextBox 19" o:spid="_x0000_s1117" type="#_x0000_t202" style="position:absolute;left:5014;top:24486;width:6460;height:3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4FE3F877" w14:textId="77777777" w:rsidR="006E1BFD" w:rsidRDefault="006E1BFD" w:rsidP="00790463">
                        <w:pPr>
                          <w:rPr>
                            <w:sz w:val="24"/>
                            <w:szCs w:val="24"/>
                          </w:rPr>
                        </w:pPr>
                        <w:r>
                          <w:rPr>
                            <w:rFonts w:ascii="Arial" w:hAnsi="Arial" w:cs="Arial"/>
                            <w:color w:val="000000" w:themeColor="text1"/>
                            <w:kern w:val="24"/>
                          </w:rPr>
                          <w:t>100%</w:t>
                        </w:r>
                      </w:p>
                    </w:txbxContent>
                  </v:textbox>
                </v:shape>
                <v:shape id="TextBox 20" o:spid="_x0000_s1118" type="#_x0000_t202" style="position:absolute;left:19103;top:24162;width:6877;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14EE3C13" w14:textId="77777777" w:rsidR="006E1BFD" w:rsidRDefault="006E1BFD" w:rsidP="00790463">
                        <w:pPr>
                          <w:rPr>
                            <w:sz w:val="24"/>
                            <w:szCs w:val="24"/>
                          </w:rPr>
                        </w:pPr>
                        <w:r>
                          <w:rPr>
                            <w:rFonts w:ascii="Arial" w:hAnsi="Arial" w:cs="Arial"/>
                            <w:color w:val="000000" w:themeColor="text1"/>
                            <w:kern w:val="24"/>
                          </w:rPr>
                          <w:t>100%</w:t>
                        </w:r>
                      </w:p>
                    </w:txbxContent>
                  </v:textbox>
                </v:shape>
                <v:shape id="TextBox 21" o:spid="_x0000_s1119" type="#_x0000_t202" style="position:absolute;left:33325;top:24264;width:7467;height:3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546C4CB4" w14:textId="77777777" w:rsidR="006E1BFD" w:rsidRDefault="006E1BFD" w:rsidP="00790463">
                        <w:pPr>
                          <w:rPr>
                            <w:sz w:val="24"/>
                            <w:szCs w:val="24"/>
                          </w:rPr>
                        </w:pPr>
                        <w:r>
                          <w:rPr>
                            <w:rFonts w:ascii="Arial" w:hAnsi="Arial" w:cs="Arial"/>
                            <w:color w:val="000000" w:themeColor="text1"/>
                            <w:kern w:val="24"/>
                          </w:rPr>
                          <w:t>100%</w:t>
                        </w:r>
                      </w:p>
                    </w:txbxContent>
                  </v:textbox>
                </v:shape>
                <v:shape id="TextBox 22" o:spid="_x0000_s1120" type="#_x0000_t202" style="position:absolute;left:47191;top:24483;width:5662;height:3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520BC73A" w14:textId="77777777" w:rsidR="006E1BFD" w:rsidRDefault="006E1BFD" w:rsidP="00790463">
                        <w:pPr>
                          <w:rPr>
                            <w:sz w:val="24"/>
                            <w:szCs w:val="24"/>
                          </w:rPr>
                        </w:pPr>
                        <w:r>
                          <w:rPr>
                            <w:rFonts w:ascii="Arial" w:hAnsi="Arial" w:cs="Arial"/>
                            <w:color w:val="000000" w:themeColor="text1"/>
                            <w:kern w:val="24"/>
                          </w:rPr>
                          <w:t>100%</w:t>
                        </w:r>
                      </w:p>
                    </w:txbxContent>
                  </v:textbox>
                </v:shape>
                <v:shape id="TextBox 23" o:spid="_x0000_s1121" type="#_x0000_t202" style="position:absolute;left:60851;top:24733;width:5941;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3BF68E51" w14:textId="77777777" w:rsidR="006E1BFD" w:rsidRDefault="006E1BFD" w:rsidP="00790463">
                        <w:pPr>
                          <w:rPr>
                            <w:sz w:val="24"/>
                            <w:szCs w:val="24"/>
                          </w:rPr>
                        </w:pPr>
                        <w:r>
                          <w:rPr>
                            <w:rFonts w:ascii="Arial" w:hAnsi="Arial" w:cs="Arial"/>
                            <w:color w:val="000000" w:themeColor="text1"/>
                            <w:kern w:val="24"/>
                          </w:rPr>
                          <w:t>100%</w:t>
                        </w:r>
                      </w:p>
                    </w:txbxContent>
                  </v:textbox>
                </v:shape>
                <w10:anchorlock/>
              </v:group>
            </w:pict>
          </mc:Fallback>
        </mc:AlternateContent>
      </w:r>
    </w:p>
    <w:p w14:paraId="6F6E11A0" w14:textId="77777777" w:rsidR="00790463" w:rsidRPr="00790463" w:rsidRDefault="00790463" w:rsidP="00790463">
      <w:pPr>
        <w:pStyle w:val="BodyTextMain"/>
        <w:rPr>
          <w:lang w:val="en-GB"/>
        </w:rPr>
      </w:pPr>
    </w:p>
    <w:p w14:paraId="6CA72620" w14:textId="77777777" w:rsidR="00790463" w:rsidRPr="00790463" w:rsidRDefault="00790463" w:rsidP="00790463">
      <w:pPr>
        <w:pStyle w:val="Footnote"/>
        <w:rPr>
          <w:lang w:val="en-GB"/>
        </w:rPr>
      </w:pPr>
      <w:r w:rsidRPr="00790463">
        <w:rPr>
          <w:lang w:val="en-GB"/>
        </w:rPr>
        <w:t xml:space="preserve">Source: Shakey’s Pizza Asia Ventures Inc., </w:t>
      </w:r>
      <w:r w:rsidRPr="00790463">
        <w:rPr>
          <w:i/>
          <w:lang w:val="en-GB"/>
        </w:rPr>
        <w:t>Prospectus</w:t>
      </w:r>
      <w:r w:rsidRPr="00790463">
        <w:rPr>
          <w:lang w:val="en-GB"/>
        </w:rPr>
        <w:t>, November 26, 2016, accessed April 24, 2017, https://spavi-noo-prod.s3.ap-southeast-1.amazonaws.com/s3fs-public/prospectus/2018-07/PIZZA%20Prospectus.PDF.</w:t>
      </w:r>
    </w:p>
    <w:p w14:paraId="11B5F40C" w14:textId="77777777" w:rsidR="00790463" w:rsidRDefault="00790463" w:rsidP="00790463">
      <w:pPr>
        <w:pStyle w:val="ExhibitHeading"/>
      </w:pPr>
      <w:r>
        <w:lastRenderedPageBreak/>
        <w:t xml:space="preserve">EXHIBIT 3: MARKET SIZE and GROWTH RATE OF FULL-SERVICE chain RESTAURANTS </w:t>
      </w:r>
    </w:p>
    <w:p w14:paraId="0C602EB4" w14:textId="77777777" w:rsidR="00790463" w:rsidRDefault="00790463" w:rsidP="00790463">
      <w:pPr>
        <w:pStyle w:val="ExhibitHeading"/>
      </w:pPr>
      <w:r>
        <w:t xml:space="preserve">(₱ Billion) </w:t>
      </w:r>
    </w:p>
    <w:p w14:paraId="60EC67A9" w14:textId="77777777" w:rsidR="00790463" w:rsidRDefault="00790463" w:rsidP="00790463">
      <w:pPr>
        <w:pStyle w:val="ExhibitText"/>
      </w:pPr>
    </w:p>
    <w:tbl>
      <w:tblPr>
        <w:tblStyle w:val="TableGrid"/>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68"/>
        <w:gridCol w:w="1294"/>
        <w:gridCol w:w="1294"/>
        <w:gridCol w:w="1295"/>
        <w:gridCol w:w="1754"/>
        <w:gridCol w:w="1755"/>
      </w:tblGrid>
      <w:tr w:rsidR="00790463" w14:paraId="273B8981" w14:textId="77777777" w:rsidTr="00790463">
        <w:trPr>
          <w:trHeight w:val="288"/>
          <w:jc w:val="center"/>
        </w:trPr>
        <w:tc>
          <w:tcPr>
            <w:tcW w:w="1965" w:type="dxa"/>
            <w:tcBorders>
              <w:top w:val="single" w:sz="4" w:space="0" w:color="auto"/>
              <w:left w:val="nil"/>
              <w:bottom w:val="single" w:sz="12" w:space="0" w:color="auto"/>
              <w:right w:val="nil"/>
            </w:tcBorders>
            <w:vAlign w:val="center"/>
          </w:tcPr>
          <w:p w14:paraId="6851A80B" w14:textId="77777777" w:rsidR="00790463" w:rsidRDefault="00790463">
            <w:pPr>
              <w:autoSpaceDE w:val="0"/>
              <w:autoSpaceDN w:val="0"/>
              <w:adjustRightInd w:val="0"/>
              <w:jc w:val="center"/>
              <w:rPr>
                <w:rFonts w:ascii="Arial" w:hAnsi="Arial" w:cs="Arial"/>
                <w:color w:val="000000" w:themeColor="text1"/>
              </w:rPr>
            </w:pPr>
          </w:p>
        </w:tc>
        <w:tc>
          <w:tcPr>
            <w:tcW w:w="1293" w:type="dxa"/>
            <w:tcBorders>
              <w:top w:val="single" w:sz="4" w:space="0" w:color="auto"/>
              <w:left w:val="nil"/>
              <w:bottom w:val="single" w:sz="12" w:space="0" w:color="auto"/>
              <w:right w:val="nil"/>
            </w:tcBorders>
            <w:vAlign w:val="center"/>
            <w:hideMark/>
          </w:tcPr>
          <w:p w14:paraId="1FA88C2F" w14:textId="77777777" w:rsidR="00790463" w:rsidRDefault="00790463">
            <w:pPr>
              <w:autoSpaceDE w:val="0"/>
              <w:autoSpaceDN w:val="0"/>
              <w:adjustRightInd w:val="0"/>
              <w:jc w:val="center"/>
              <w:rPr>
                <w:rFonts w:ascii="Arial" w:hAnsi="Arial" w:cs="Arial"/>
                <w:b/>
                <w:bCs/>
                <w:color w:val="000000" w:themeColor="text1"/>
              </w:rPr>
            </w:pPr>
            <w:r>
              <w:rPr>
                <w:rFonts w:ascii="Arial" w:hAnsi="Arial" w:cs="Arial"/>
                <w:b/>
                <w:bCs/>
                <w:color w:val="000000" w:themeColor="text1"/>
              </w:rPr>
              <w:t>2011</w:t>
            </w:r>
          </w:p>
        </w:tc>
        <w:tc>
          <w:tcPr>
            <w:tcW w:w="1293" w:type="dxa"/>
            <w:tcBorders>
              <w:top w:val="single" w:sz="4" w:space="0" w:color="auto"/>
              <w:left w:val="nil"/>
              <w:bottom w:val="single" w:sz="12" w:space="0" w:color="auto"/>
              <w:right w:val="nil"/>
            </w:tcBorders>
            <w:vAlign w:val="center"/>
            <w:hideMark/>
          </w:tcPr>
          <w:p w14:paraId="2016A6EA" w14:textId="77777777" w:rsidR="00790463" w:rsidRDefault="00790463">
            <w:pPr>
              <w:autoSpaceDE w:val="0"/>
              <w:autoSpaceDN w:val="0"/>
              <w:adjustRightInd w:val="0"/>
              <w:jc w:val="center"/>
              <w:rPr>
                <w:rFonts w:ascii="Arial" w:hAnsi="Arial" w:cs="Arial"/>
                <w:b/>
                <w:bCs/>
                <w:color w:val="000000" w:themeColor="text1"/>
              </w:rPr>
            </w:pPr>
            <w:r>
              <w:rPr>
                <w:rFonts w:ascii="Arial" w:hAnsi="Arial" w:cs="Arial"/>
                <w:b/>
                <w:bCs/>
                <w:color w:val="000000" w:themeColor="text1"/>
              </w:rPr>
              <w:t>2015</w:t>
            </w:r>
          </w:p>
        </w:tc>
        <w:tc>
          <w:tcPr>
            <w:tcW w:w="1294" w:type="dxa"/>
            <w:tcBorders>
              <w:top w:val="single" w:sz="4" w:space="0" w:color="auto"/>
              <w:left w:val="nil"/>
              <w:bottom w:val="single" w:sz="12" w:space="0" w:color="auto"/>
              <w:right w:val="nil"/>
            </w:tcBorders>
            <w:vAlign w:val="center"/>
            <w:hideMark/>
          </w:tcPr>
          <w:p w14:paraId="200E2F8F" w14:textId="77777777" w:rsidR="00790463" w:rsidRDefault="00790463">
            <w:pPr>
              <w:autoSpaceDE w:val="0"/>
              <w:autoSpaceDN w:val="0"/>
              <w:adjustRightInd w:val="0"/>
              <w:jc w:val="center"/>
              <w:rPr>
                <w:rFonts w:ascii="Arial" w:hAnsi="Arial" w:cs="Arial"/>
                <w:b/>
                <w:bCs/>
                <w:color w:val="000000" w:themeColor="text1"/>
              </w:rPr>
            </w:pPr>
            <w:r>
              <w:rPr>
                <w:rFonts w:ascii="Arial" w:hAnsi="Arial" w:cs="Arial"/>
                <w:b/>
                <w:bCs/>
                <w:color w:val="000000" w:themeColor="text1"/>
              </w:rPr>
              <w:t>2020F</w:t>
            </w:r>
          </w:p>
        </w:tc>
        <w:tc>
          <w:tcPr>
            <w:tcW w:w="1752" w:type="dxa"/>
            <w:tcBorders>
              <w:top w:val="single" w:sz="4" w:space="0" w:color="auto"/>
              <w:left w:val="nil"/>
              <w:bottom w:val="single" w:sz="12" w:space="0" w:color="auto"/>
              <w:right w:val="nil"/>
            </w:tcBorders>
            <w:vAlign w:val="center"/>
            <w:hideMark/>
          </w:tcPr>
          <w:p w14:paraId="5B433E8A" w14:textId="77777777" w:rsidR="00790463" w:rsidRDefault="00790463">
            <w:pPr>
              <w:autoSpaceDE w:val="0"/>
              <w:autoSpaceDN w:val="0"/>
              <w:adjustRightInd w:val="0"/>
              <w:jc w:val="center"/>
              <w:rPr>
                <w:rFonts w:ascii="Arial" w:hAnsi="Arial" w:cs="Arial"/>
                <w:b/>
                <w:bCs/>
                <w:color w:val="000000" w:themeColor="text1"/>
              </w:rPr>
            </w:pPr>
            <w:r>
              <w:rPr>
                <w:rFonts w:ascii="Arial" w:hAnsi="Arial" w:cs="Arial"/>
                <w:b/>
                <w:bCs/>
                <w:color w:val="000000" w:themeColor="text1"/>
              </w:rPr>
              <w:t>CAGR,</w:t>
            </w:r>
          </w:p>
          <w:p w14:paraId="3DC319D0" w14:textId="77777777" w:rsidR="00790463" w:rsidRDefault="00790463">
            <w:pPr>
              <w:autoSpaceDE w:val="0"/>
              <w:autoSpaceDN w:val="0"/>
              <w:adjustRightInd w:val="0"/>
              <w:jc w:val="center"/>
              <w:rPr>
                <w:rFonts w:ascii="Arial" w:hAnsi="Arial" w:cs="Arial"/>
                <w:b/>
                <w:bCs/>
                <w:color w:val="000000" w:themeColor="text1"/>
              </w:rPr>
            </w:pPr>
            <w:r>
              <w:rPr>
                <w:rFonts w:ascii="Arial" w:hAnsi="Arial" w:cs="Arial"/>
                <w:b/>
                <w:bCs/>
                <w:color w:val="000000" w:themeColor="text1"/>
              </w:rPr>
              <w:t>2011–2015 (%)</w:t>
            </w:r>
          </w:p>
        </w:tc>
        <w:tc>
          <w:tcPr>
            <w:tcW w:w="1753" w:type="dxa"/>
            <w:tcBorders>
              <w:top w:val="single" w:sz="4" w:space="0" w:color="auto"/>
              <w:left w:val="nil"/>
              <w:bottom w:val="single" w:sz="12" w:space="0" w:color="auto"/>
              <w:right w:val="nil"/>
            </w:tcBorders>
            <w:vAlign w:val="center"/>
            <w:hideMark/>
          </w:tcPr>
          <w:p w14:paraId="00C206B3" w14:textId="77777777" w:rsidR="00790463" w:rsidRDefault="00790463">
            <w:pPr>
              <w:autoSpaceDE w:val="0"/>
              <w:autoSpaceDN w:val="0"/>
              <w:adjustRightInd w:val="0"/>
              <w:jc w:val="center"/>
              <w:rPr>
                <w:rFonts w:ascii="Arial" w:hAnsi="Arial" w:cs="Arial"/>
                <w:b/>
                <w:bCs/>
                <w:color w:val="000000" w:themeColor="text1"/>
              </w:rPr>
            </w:pPr>
            <w:r>
              <w:rPr>
                <w:rFonts w:ascii="Arial" w:hAnsi="Arial" w:cs="Arial"/>
                <w:b/>
                <w:bCs/>
                <w:color w:val="000000" w:themeColor="text1"/>
              </w:rPr>
              <w:t>CAGR,</w:t>
            </w:r>
          </w:p>
          <w:p w14:paraId="2E87B51B" w14:textId="77777777" w:rsidR="00790463" w:rsidRDefault="00790463">
            <w:pPr>
              <w:autoSpaceDE w:val="0"/>
              <w:autoSpaceDN w:val="0"/>
              <w:adjustRightInd w:val="0"/>
              <w:jc w:val="center"/>
              <w:rPr>
                <w:rFonts w:ascii="Arial" w:hAnsi="Arial" w:cs="Arial"/>
                <w:b/>
                <w:bCs/>
                <w:color w:val="000000" w:themeColor="text1"/>
              </w:rPr>
            </w:pPr>
            <w:r>
              <w:rPr>
                <w:rFonts w:ascii="Arial" w:hAnsi="Arial" w:cs="Arial"/>
                <w:b/>
                <w:bCs/>
                <w:color w:val="000000" w:themeColor="text1"/>
              </w:rPr>
              <w:t>2015–2020F (%)</w:t>
            </w:r>
          </w:p>
        </w:tc>
      </w:tr>
      <w:tr w:rsidR="00790463" w14:paraId="5884BC97" w14:textId="77777777" w:rsidTr="00790463">
        <w:trPr>
          <w:trHeight w:val="288"/>
          <w:jc w:val="center"/>
        </w:trPr>
        <w:tc>
          <w:tcPr>
            <w:tcW w:w="1965" w:type="dxa"/>
            <w:tcBorders>
              <w:top w:val="single" w:sz="12" w:space="0" w:color="auto"/>
              <w:left w:val="nil"/>
              <w:bottom w:val="nil"/>
              <w:right w:val="nil"/>
            </w:tcBorders>
            <w:vAlign w:val="center"/>
            <w:hideMark/>
          </w:tcPr>
          <w:p w14:paraId="3216DDC9" w14:textId="77777777" w:rsidR="00790463" w:rsidRDefault="00790463">
            <w:pPr>
              <w:autoSpaceDE w:val="0"/>
              <w:autoSpaceDN w:val="0"/>
              <w:adjustRightInd w:val="0"/>
              <w:rPr>
                <w:rFonts w:ascii="Arial" w:hAnsi="Arial" w:cs="Arial"/>
                <w:color w:val="000000" w:themeColor="text1"/>
              </w:rPr>
            </w:pPr>
            <w:r>
              <w:rPr>
                <w:rFonts w:ascii="Arial" w:hAnsi="Arial" w:cs="Arial"/>
                <w:color w:val="000000" w:themeColor="text1"/>
              </w:rPr>
              <w:t>Asian</w:t>
            </w:r>
          </w:p>
        </w:tc>
        <w:tc>
          <w:tcPr>
            <w:tcW w:w="1293" w:type="dxa"/>
            <w:tcBorders>
              <w:top w:val="single" w:sz="12" w:space="0" w:color="auto"/>
              <w:left w:val="nil"/>
              <w:bottom w:val="nil"/>
              <w:right w:val="nil"/>
            </w:tcBorders>
            <w:vAlign w:val="center"/>
            <w:hideMark/>
          </w:tcPr>
          <w:p w14:paraId="324747E4"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4.1</w:t>
            </w:r>
          </w:p>
        </w:tc>
        <w:tc>
          <w:tcPr>
            <w:tcW w:w="1293" w:type="dxa"/>
            <w:tcBorders>
              <w:top w:val="single" w:sz="12" w:space="0" w:color="auto"/>
              <w:left w:val="nil"/>
              <w:bottom w:val="nil"/>
              <w:right w:val="nil"/>
            </w:tcBorders>
            <w:vAlign w:val="center"/>
            <w:hideMark/>
          </w:tcPr>
          <w:p w14:paraId="739DCC2E"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5.3</w:t>
            </w:r>
          </w:p>
        </w:tc>
        <w:tc>
          <w:tcPr>
            <w:tcW w:w="1294" w:type="dxa"/>
            <w:tcBorders>
              <w:top w:val="single" w:sz="12" w:space="0" w:color="auto"/>
              <w:left w:val="nil"/>
              <w:bottom w:val="nil"/>
              <w:right w:val="nil"/>
            </w:tcBorders>
            <w:vAlign w:val="center"/>
            <w:hideMark/>
          </w:tcPr>
          <w:p w14:paraId="07AEFACF"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8.6</w:t>
            </w:r>
          </w:p>
        </w:tc>
        <w:tc>
          <w:tcPr>
            <w:tcW w:w="1752" w:type="dxa"/>
            <w:tcBorders>
              <w:top w:val="single" w:sz="12" w:space="0" w:color="auto"/>
              <w:left w:val="nil"/>
              <w:bottom w:val="nil"/>
              <w:right w:val="nil"/>
            </w:tcBorders>
            <w:vAlign w:val="center"/>
            <w:hideMark/>
          </w:tcPr>
          <w:p w14:paraId="5ED89D41"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7.20</w:t>
            </w:r>
          </w:p>
        </w:tc>
        <w:tc>
          <w:tcPr>
            <w:tcW w:w="1753" w:type="dxa"/>
            <w:tcBorders>
              <w:top w:val="single" w:sz="12" w:space="0" w:color="auto"/>
              <w:left w:val="nil"/>
              <w:bottom w:val="nil"/>
              <w:right w:val="nil"/>
            </w:tcBorders>
            <w:vAlign w:val="center"/>
            <w:hideMark/>
          </w:tcPr>
          <w:p w14:paraId="3715C073"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9.80</w:t>
            </w:r>
          </w:p>
        </w:tc>
      </w:tr>
      <w:tr w:rsidR="00790463" w14:paraId="56AD1CF2" w14:textId="77777777" w:rsidTr="00790463">
        <w:trPr>
          <w:trHeight w:val="288"/>
          <w:jc w:val="center"/>
        </w:trPr>
        <w:tc>
          <w:tcPr>
            <w:tcW w:w="1965" w:type="dxa"/>
            <w:tcBorders>
              <w:top w:val="nil"/>
              <w:left w:val="nil"/>
              <w:bottom w:val="nil"/>
              <w:right w:val="nil"/>
            </w:tcBorders>
            <w:vAlign w:val="center"/>
            <w:hideMark/>
          </w:tcPr>
          <w:p w14:paraId="7743CB43" w14:textId="77777777" w:rsidR="00790463" w:rsidRDefault="00790463">
            <w:pPr>
              <w:autoSpaceDE w:val="0"/>
              <w:autoSpaceDN w:val="0"/>
              <w:adjustRightInd w:val="0"/>
              <w:rPr>
                <w:rFonts w:ascii="Arial" w:hAnsi="Arial" w:cs="Arial"/>
                <w:color w:val="000000" w:themeColor="text1"/>
              </w:rPr>
            </w:pPr>
            <w:r>
              <w:rPr>
                <w:rFonts w:ascii="Arial" w:hAnsi="Arial" w:cs="Arial"/>
                <w:color w:val="000000" w:themeColor="text1"/>
              </w:rPr>
              <w:t>European</w:t>
            </w:r>
          </w:p>
        </w:tc>
        <w:tc>
          <w:tcPr>
            <w:tcW w:w="1293" w:type="dxa"/>
            <w:tcBorders>
              <w:top w:val="nil"/>
              <w:left w:val="nil"/>
              <w:bottom w:val="nil"/>
              <w:right w:val="nil"/>
            </w:tcBorders>
            <w:vAlign w:val="center"/>
            <w:hideMark/>
          </w:tcPr>
          <w:p w14:paraId="7ED9C472"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1.5</w:t>
            </w:r>
          </w:p>
        </w:tc>
        <w:tc>
          <w:tcPr>
            <w:tcW w:w="1293" w:type="dxa"/>
            <w:tcBorders>
              <w:top w:val="nil"/>
              <w:left w:val="nil"/>
              <w:bottom w:val="nil"/>
              <w:right w:val="nil"/>
            </w:tcBorders>
            <w:vAlign w:val="center"/>
            <w:hideMark/>
          </w:tcPr>
          <w:p w14:paraId="0352340B"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1.8</w:t>
            </w:r>
          </w:p>
        </w:tc>
        <w:tc>
          <w:tcPr>
            <w:tcW w:w="1294" w:type="dxa"/>
            <w:tcBorders>
              <w:top w:val="nil"/>
              <w:left w:val="nil"/>
              <w:bottom w:val="nil"/>
              <w:right w:val="nil"/>
            </w:tcBorders>
            <w:vAlign w:val="center"/>
            <w:hideMark/>
          </w:tcPr>
          <w:p w14:paraId="03A32965"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2.3</w:t>
            </w:r>
          </w:p>
        </w:tc>
        <w:tc>
          <w:tcPr>
            <w:tcW w:w="1752" w:type="dxa"/>
            <w:tcBorders>
              <w:top w:val="nil"/>
              <w:left w:val="nil"/>
              <w:bottom w:val="nil"/>
              <w:right w:val="nil"/>
            </w:tcBorders>
            <w:vAlign w:val="center"/>
            <w:hideMark/>
          </w:tcPr>
          <w:p w14:paraId="2577BF4B"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5.20</w:t>
            </w:r>
          </w:p>
        </w:tc>
        <w:tc>
          <w:tcPr>
            <w:tcW w:w="1753" w:type="dxa"/>
            <w:tcBorders>
              <w:top w:val="nil"/>
              <w:left w:val="nil"/>
              <w:bottom w:val="nil"/>
              <w:right w:val="nil"/>
            </w:tcBorders>
            <w:vAlign w:val="center"/>
            <w:hideMark/>
          </w:tcPr>
          <w:p w14:paraId="7DF2622C"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5.00</w:t>
            </w:r>
          </w:p>
        </w:tc>
      </w:tr>
      <w:tr w:rsidR="00790463" w14:paraId="0E507BB9" w14:textId="77777777" w:rsidTr="00790463">
        <w:trPr>
          <w:trHeight w:val="288"/>
          <w:jc w:val="center"/>
        </w:trPr>
        <w:tc>
          <w:tcPr>
            <w:tcW w:w="1965" w:type="dxa"/>
            <w:tcBorders>
              <w:top w:val="nil"/>
              <w:left w:val="nil"/>
              <w:bottom w:val="nil"/>
              <w:right w:val="nil"/>
            </w:tcBorders>
            <w:vAlign w:val="center"/>
            <w:hideMark/>
          </w:tcPr>
          <w:p w14:paraId="4A3C41CF" w14:textId="77777777" w:rsidR="00790463" w:rsidRDefault="00790463">
            <w:pPr>
              <w:autoSpaceDE w:val="0"/>
              <w:autoSpaceDN w:val="0"/>
              <w:adjustRightInd w:val="0"/>
              <w:rPr>
                <w:rFonts w:ascii="Arial" w:hAnsi="Arial" w:cs="Arial"/>
                <w:color w:val="000000" w:themeColor="text1"/>
              </w:rPr>
            </w:pPr>
            <w:r>
              <w:rPr>
                <w:rFonts w:ascii="Arial" w:hAnsi="Arial" w:cs="Arial"/>
                <w:color w:val="000000" w:themeColor="text1"/>
              </w:rPr>
              <w:t>North American</w:t>
            </w:r>
          </w:p>
        </w:tc>
        <w:tc>
          <w:tcPr>
            <w:tcW w:w="1293" w:type="dxa"/>
            <w:tcBorders>
              <w:top w:val="nil"/>
              <w:left w:val="nil"/>
              <w:bottom w:val="nil"/>
              <w:right w:val="nil"/>
            </w:tcBorders>
            <w:vAlign w:val="center"/>
            <w:hideMark/>
          </w:tcPr>
          <w:p w14:paraId="04B5907F"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3.1</w:t>
            </w:r>
          </w:p>
        </w:tc>
        <w:tc>
          <w:tcPr>
            <w:tcW w:w="1293" w:type="dxa"/>
            <w:tcBorders>
              <w:top w:val="nil"/>
              <w:left w:val="nil"/>
              <w:bottom w:val="nil"/>
              <w:right w:val="nil"/>
            </w:tcBorders>
            <w:vAlign w:val="center"/>
            <w:hideMark/>
          </w:tcPr>
          <w:p w14:paraId="44751A00"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4.5</w:t>
            </w:r>
          </w:p>
        </w:tc>
        <w:tc>
          <w:tcPr>
            <w:tcW w:w="1294" w:type="dxa"/>
            <w:tcBorders>
              <w:top w:val="nil"/>
              <w:left w:val="nil"/>
              <w:bottom w:val="nil"/>
              <w:right w:val="nil"/>
            </w:tcBorders>
            <w:vAlign w:val="center"/>
            <w:hideMark/>
          </w:tcPr>
          <w:p w14:paraId="5B733EE0"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6.7</w:t>
            </w:r>
          </w:p>
        </w:tc>
        <w:tc>
          <w:tcPr>
            <w:tcW w:w="1752" w:type="dxa"/>
            <w:tcBorders>
              <w:top w:val="nil"/>
              <w:left w:val="nil"/>
              <w:bottom w:val="nil"/>
              <w:right w:val="nil"/>
            </w:tcBorders>
            <w:vAlign w:val="center"/>
            <w:hideMark/>
          </w:tcPr>
          <w:p w14:paraId="6F3FFF26"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9.70</w:t>
            </w:r>
          </w:p>
        </w:tc>
        <w:tc>
          <w:tcPr>
            <w:tcW w:w="1753" w:type="dxa"/>
            <w:tcBorders>
              <w:top w:val="nil"/>
              <w:left w:val="nil"/>
              <w:bottom w:val="nil"/>
              <w:right w:val="nil"/>
            </w:tcBorders>
            <w:vAlign w:val="center"/>
            <w:hideMark/>
          </w:tcPr>
          <w:p w14:paraId="052C449A"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8.00</w:t>
            </w:r>
          </w:p>
        </w:tc>
      </w:tr>
      <w:tr w:rsidR="00790463" w14:paraId="0ADF54F6" w14:textId="77777777" w:rsidTr="00790463">
        <w:trPr>
          <w:trHeight w:val="288"/>
          <w:jc w:val="center"/>
        </w:trPr>
        <w:tc>
          <w:tcPr>
            <w:tcW w:w="1965" w:type="dxa"/>
            <w:tcBorders>
              <w:top w:val="nil"/>
              <w:left w:val="nil"/>
              <w:bottom w:val="nil"/>
              <w:right w:val="nil"/>
            </w:tcBorders>
            <w:vAlign w:val="center"/>
            <w:hideMark/>
          </w:tcPr>
          <w:p w14:paraId="40A72F64" w14:textId="77777777" w:rsidR="00790463" w:rsidRDefault="00790463">
            <w:pPr>
              <w:autoSpaceDE w:val="0"/>
              <w:autoSpaceDN w:val="0"/>
              <w:adjustRightInd w:val="0"/>
              <w:rPr>
                <w:rFonts w:ascii="Arial" w:hAnsi="Arial" w:cs="Arial"/>
                <w:color w:val="000000" w:themeColor="text1"/>
              </w:rPr>
            </w:pPr>
            <w:r>
              <w:rPr>
                <w:rFonts w:ascii="Arial" w:hAnsi="Arial" w:cs="Arial"/>
                <w:color w:val="000000" w:themeColor="text1"/>
              </w:rPr>
              <w:t>Pizza</w:t>
            </w:r>
          </w:p>
        </w:tc>
        <w:tc>
          <w:tcPr>
            <w:tcW w:w="1293" w:type="dxa"/>
            <w:tcBorders>
              <w:top w:val="nil"/>
              <w:left w:val="nil"/>
              <w:bottom w:val="nil"/>
              <w:right w:val="nil"/>
            </w:tcBorders>
            <w:vAlign w:val="center"/>
            <w:hideMark/>
          </w:tcPr>
          <w:p w14:paraId="68D1D83B"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6.2</w:t>
            </w:r>
          </w:p>
        </w:tc>
        <w:tc>
          <w:tcPr>
            <w:tcW w:w="1293" w:type="dxa"/>
            <w:tcBorders>
              <w:top w:val="nil"/>
              <w:left w:val="nil"/>
              <w:bottom w:val="nil"/>
              <w:right w:val="nil"/>
            </w:tcBorders>
            <w:vAlign w:val="center"/>
            <w:hideMark/>
          </w:tcPr>
          <w:p w14:paraId="55614585"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14.1</w:t>
            </w:r>
          </w:p>
        </w:tc>
        <w:tc>
          <w:tcPr>
            <w:tcW w:w="1294" w:type="dxa"/>
            <w:tcBorders>
              <w:top w:val="nil"/>
              <w:left w:val="nil"/>
              <w:bottom w:val="nil"/>
              <w:right w:val="nil"/>
            </w:tcBorders>
            <w:vAlign w:val="center"/>
            <w:hideMark/>
          </w:tcPr>
          <w:p w14:paraId="0FB4E359"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32.0</w:t>
            </w:r>
          </w:p>
        </w:tc>
        <w:tc>
          <w:tcPr>
            <w:tcW w:w="1752" w:type="dxa"/>
            <w:tcBorders>
              <w:top w:val="nil"/>
              <w:left w:val="nil"/>
              <w:bottom w:val="nil"/>
              <w:right w:val="nil"/>
            </w:tcBorders>
            <w:vAlign w:val="center"/>
            <w:hideMark/>
          </w:tcPr>
          <w:p w14:paraId="2982939E"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22.90</w:t>
            </w:r>
          </w:p>
        </w:tc>
        <w:tc>
          <w:tcPr>
            <w:tcW w:w="1753" w:type="dxa"/>
            <w:tcBorders>
              <w:top w:val="nil"/>
              <w:left w:val="nil"/>
              <w:bottom w:val="nil"/>
              <w:right w:val="nil"/>
            </w:tcBorders>
            <w:vAlign w:val="center"/>
            <w:hideMark/>
          </w:tcPr>
          <w:p w14:paraId="1165D66A"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17.80</w:t>
            </w:r>
          </w:p>
        </w:tc>
      </w:tr>
      <w:tr w:rsidR="00790463" w14:paraId="5644ED48" w14:textId="77777777" w:rsidTr="00790463">
        <w:trPr>
          <w:trHeight w:val="288"/>
          <w:jc w:val="center"/>
        </w:trPr>
        <w:tc>
          <w:tcPr>
            <w:tcW w:w="1965" w:type="dxa"/>
            <w:tcBorders>
              <w:top w:val="nil"/>
              <w:left w:val="nil"/>
              <w:bottom w:val="nil"/>
              <w:right w:val="nil"/>
            </w:tcBorders>
            <w:vAlign w:val="center"/>
            <w:hideMark/>
          </w:tcPr>
          <w:p w14:paraId="34CB1A8A" w14:textId="77777777" w:rsidR="00790463" w:rsidRDefault="00790463">
            <w:pPr>
              <w:autoSpaceDE w:val="0"/>
              <w:autoSpaceDN w:val="0"/>
              <w:adjustRightInd w:val="0"/>
              <w:rPr>
                <w:rFonts w:ascii="Arial" w:hAnsi="Arial" w:cs="Arial"/>
                <w:color w:val="000000" w:themeColor="text1"/>
              </w:rPr>
            </w:pPr>
            <w:r>
              <w:rPr>
                <w:rFonts w:ascii="Arial" w:hAnsi="Arial" w:cs="Arial"/>
                <w:color w:val="000000" w:themeColor="text1"/>
              </w:rPr>
              <w:t>Others</w:t>
            </w:r>
          </w:p>
        </w:tc>
        <w:tc>
          <w:tcPr>
            <w:tcW w:w="1293" w:type="dxa"/>
            <w:tcBorders>
              <w:top w:val="nil"/>
              <w:left w:val="nil"/>
              <w:bottom w:val="nil"/>
              <w:right w:val="nil"/>
            </w:tcBorders>
            <w:vAlign w:val="center"/>
            <w:hideMark/>
          </w:tcPr>
          <w:p w14:paraId="6EC5EA4F"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3.0</w:t>
            </w:r>
          </w:p>
        </w:tc>
        <w:tc>
          <w:tcPr>
            <w:tcW w:w="1293" w:type="dxa"/>
            <w:tcBorders>
              <w:top w:val="nil"/>
              <w:left w:val="nil"/>
              <w:bottom w:val="nil"/>
              <w:right w:val="nil"/>
            </w:tcBorders>
            <w:vAlign w:val="center"/>
            <w:hideMark/>
          </w:tcPr>
          <w:p w14:paraId="39BAD229"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4.6</w:t>
            </w:r>
          </w:p>
        </w:tc>
        <w:tc>
          <w:tcPr>
            <w:tcW w:w="1294" w:type="dxa"/>
            <w:tcBorders>
              <w:top w:val="nil"/>
              <w:left w:val="nil"/>
              <w:bottom w:val="nil"/>
              <w:right w:val="nil"/>
            </w:tcBorders>
            <w:vAlign w:val="center"/>
            <w:hideMark/>
          </w:tcPr>
          <w:p w14:paraId="4F1D334E"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7.6</w:t>
            </w:r>
          </w:p>
        </w:tc>
        <w:tc>
          <w:tcPr>
            <w:tcW w:w="1752" w:type="dxa"/>
            <w:tcBorders>
              <w:top w:val="nil"/>
              <w:left w:val="nil"/>
              <w:bottom w:val="nil"/>
              <w:right w:val="nil"/>
            </w:tcBorders>
            <w:vAlign w:val="center"/>
            <w:hideMark/>
          </w:tcPr>
          <w:p w14:paraId="2E460AF5"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11.70</w:t>
            </w:r>
          </w:p>
        </w:tc>
        <w:tc>
          <w:tcPr>
            <w:tcW w:w="1753" w:type="dxa"/>
            <w:tcBorders>
              <w:top w:val="nil"/>
              <w:left w:val="nil"/>
              <w:bottom w:val="nil"/>
              <w:right w:val="nil"/>
            </w:tcBorders>
            <w:vAlign w:val="center"/>
            <w:hideMark/>
          </w:tcPr>
          <w:p w14:paraId="501F27C1" w14:textId="77777777" w:rsidR="00790463" w:rsidRDefault="00790463" w:rsidP="00AA6693">
            <w:pPr>
              <w:autoSpaceDE w:val="0"/>
              <w:autoSpaceDN w:val="0"/>
              <w:adjustRightInd w:val="0"/>
              <w:jc w:val="center"/>
              <w:rPr>
                <w:rFonts w:ascii="Arial" w:hAnsi="Arial" w:cs="Arial"/>
                <w:color w:val="000000" w:themeColor="text1"/>
              </w:rPr>
            </w:pPr>
            <w:r>
              <w:rPr>
                <w:rFonts w:ascii="Arial" w:hAnsi="Arial" w:cs="Arial"/>
                <w:color w:val="000000" w:themeColor="text1"/>
              </w:rPr>
              <w:t>10.60</w:t>
            </w:r>
          </w:p>
        </w:tc>
      </w:tr>
      <w:tr w:rsidR="00790463" w14:paraId="63F6040F" w14:textId="77777777" w:rsidTr="00790463">
        <w:trPr>
          <w:trHeight w:val="288"/>
          <w:jc w:val="center"/>
        </w:trPr>
        <w:tc>
          <w:tcPr>
            <w:tcW w:w="1965" w:type="dxa"/>
            <w:tcBorders>
              <w:top w:val="nil"/>
              <w:left w:val="nil"/>
              <w:bottom w:val="single" w:sz="4" w:space="0" w:color="auto"/>
              <w:right w:val="nil"/>
            </w:tcBorders>
            <w:vAlign w:val="center"/>
            <w:hideMark/>
          </w:tcPr>
          <w:p w14:paraId="2D4FB8A7" w14:textId="77777777" w:rsidR="00790463" w:rsidRDefault="00790463">
            <w:pPr>
              <w:autoSpaceDE w:val="0"/>
              <w:autoSpaceDN w:val="0"/>
              <w:adjustRightInd w:val="0"/>
              <w:rPr>
                <w:rFonts w:ascii="Arial" w:hAnsi="Arial" w:cs="Arial"/>
                <w:b/>
                <w:bCs/>
                <w:color w:val="000000" w:themeColor="text1"/>
              </w:rPr>
            </w:pPr>
            <w:r>
              <w:rPr>
                <w:rFonts w:ascii="Arial" w:hAnsi="Arial" w:cs="Arial"/>
                <w:b/>
                <w:bCs/>
                <w:color w:val="000000" w:themeColor="text1"/>
              </w:rPr>
              <w:t>Total</w:t>
            </w:r>
          </w:p>
        </w:tc>
        <w:tc>
          <w:tcPr>
            <w:tcW w:w="1293" w:type="dxa"/>
            <w:tcBorders>
              <w:top w:val="nil"/>
              <w:left w:val="nil"/>
              <w:bottom w:val="single" w:sz="4" w:space="0" w:color="auto"/>
              <w:right w:val="nil"/>
            </w:tcBorders>
            <w:vAlign w:val="center"/>
            <w:hideMark/>
          </w:tcPr>
          <w:p w14:paraId="666B9BCF" w14:textId="77777777" w:rsidR="00790463" w:rsidRDefault="00790463" w:rsidP="00AA6693">
            <w:pPr>
              <w:autoSpaceDE w:val="0"/>
              <w:autoSpaceDN w:val="0"/>
              <w:adjustRightInd w:val="0"/>
              <w:jc w:val="center"/>
              <w:rPr>
                <w:rFonts w:ascii="Arial" w:hAnsi="Arial" w:cs="Arial"/>
                <w:b/>
                <w:bCs/>
                <w:color w:val="000000" w:themeColor="text1"/>
              </w:rPr>
            </w:pPr>
            <w:r>
              <w:rPr>
                <w:rFonts w:ascii="Arial" w:hAnsi="Arial" w:cs="Arial"/>
                <w:b/>
                <w:bCs/>
                <w:color w:val="000000" w:themeColor="text1"/>
              </w:rPr>
              <w:t>17.8</w:t>
            </w:r>
          </w:p>
        </w:tc>
        <w:tc>
          <w:tcPr>
            <w:tcW w:w="1293" w:type="dxa"/>
            <w:tcBorders>
              <w:top w:val="nil"/>
              <w:left w:val="nil"/>
              <w:bottom w:val="single" w:sz="4" w:space="0" w:color="auto"/>
              <w:right w:val="nil"/>
            </w:tcBorders>
            <w:vAlign w:val="center"/>
            <w:hideMark/>
          </w:tcPr>
          <w:p w14:paraId="4945366E" w14:textId="77777777" w:rsidR="00790463" w:rsidRDefault="00790463" w:rsidP="00AA6693">
            <w:pPr>
              <w:autoSpaceDE w:val="0"/>
              <w:autoSpaceDN w:val="0"/>
              <w:adjustRightInd w:val="0"/>
              <w:jc w:val="center"/>
              <w:rPr>
                <w:rFonts w:ascii="Arial" w:hAnsi="Arial" w:cs="Arial"/>
                <w:b/>
                <w:bCs/>
                <w:color w:val="000000" w:themeColor="text1"/>
              </w:rPr>
            </w:pPr>
            <w:r>
              <w:rPr>
                <w:rFonts w:ascii="Arial" w:hAnsi="Arial" w:cs="Arial"/>
                <w:b/>
                <w:bCs/>
                <w:color w:val="000000" w:themeColor="text1"/>
              </w:rPr>
              <w:t>30.4</w:t>
            </w:r>
          </w:p>
        </w:tc>
        <w:tc>
          <w:tcPr>
            <w:tcW w:w="1294" w:type="dxa"/>
            <w:tcBorders>
              <w:top w:val="nil"/>
              <w:left w:val="nil"/>
              <w:bottom w:val="single" w:sz="4" w:space="0" w:color="auto"/>
              <w:right w:val="nil"/>
            </w:tcBorders>
            <w:vAlign w:val="center"/>
            <w:hideMark/>
          </w:tcPr>
          <w:p w14:paraId="7F45F8D1" w14:textId="77777777" w:rsidR="00790463" w:rsidRDefault="00790463" w:rsidP="00AA6693">
            <w:pPr>
              <w:autoSpaceDE w:val="0"/>
              <w:autoSpaceDN w:val="0"/>
              <w:adjustRightInd w:val="0"/>
              <w:jc w:val="center"/>
              <w:rPr>
                <w:rFonts w:ascii="Arial" w:hAnsi="Arial" w:cs="Arial"/>
                <w:b/>
                <w:bCs/>
                <w:color w:val="000000" w:themeColor="text1"/>
              </w:rPr>
            </w:pPr>
            <w:r>
              <w:rPr>
                <w:rFonts w:ascii="Arial" w:hAnsi="Arial" w:cs="Arial"/>
                <w:b/>
                <w:bCs/>
                <w:color w:val="000000" w:themeColor="text1"/>
              </w:rPr>
              <w:t>57.2</w:t>
            </w:r>
          </w:p>
        </w:tc>
        <w:tc>
          <w:tcPr>
            <w:tcW w:w="1752" w:type="dxa"/>
            <w:tcBorders>
              <w:top w:val="nil"/>
              <w:left w:val="nil"/>
              <w:bottom w:val="single" w:sz="4" w:space="0" w:color="auto"/>
              <w:right w:val="nil"/>
            </w:tcBorders>
            <w:vAlign w:val="center"/>
            <w:hideMark/>
          </w:tcPr>
          <w:p w14:paraId="3A67687B" w14:textId="77777777" w:rsidR="00790463" w:rsidRDefault="00790463" w:rsidP="00AA6693">
            <w:pPr>
              <w:autoSpaceDE w:val="0"/>
              <w:autoSpaceDN w:val="0"/>
              <w:adjustRightInd w:val="0"/>
              <w:jc w:val="center"/>
              <w:rPr>
                <w:rFonts w:ascii="Arial" w:hAnsi="Arial" w:cs="Arial"/>
                <w:b/>
                <w:bCs/>
                <w:color w:val="000000" w:themeColor="text1"/>
              </w:rPr>
            </w:pPr>
            <w:r>
              <w:rPr>
                <w:rFonts w:ascii="Arial" w:hAnsi="Arial" w:cs="Arial"/>
                <w:b/>
                <w:bCs/>
                <w:color w:val="000000" w:themeColor="text1"/>
              </w:rPr>
              <w:t>14.30</w:t>
            </w:r>
          </w:p>
        </w:tc>
        <w:tc>
          <w:tcPr>
            <w:tcW w:w="1753" w:type="dxa"/>
            <w:tcBorders>
              <w:top w:val="nil"/>
              <w:left w:val="nil"/>
              <w:bottom w:val="single" w:sz="4" w:space="0" w:color="auto"/>
              <w:right w:val="nil"/>
            </w:tcBorders>
            <w:vAlign w:val="center"/>
            <w:hideMark/>
          </w:tcPr>
          <w:p w14:paraId="2C200895" w14:textId="77777777" w:rsidR="00790463" w:rsidRDefault="00790463" w:rsidP="00AA6693">
            <w:pPr>
              <w:autoSpaceDE w:val="0"/>
              <w:autoSpaceDN w:val="0"/>
              <w:adjustRightInd w:val="0"/>
              <w:jc w:val="center"/>
              <w:rPr>
                <w:rFonts w:ascii="Arial" w:hAnsi="Arial" w:cs="Arial"/>
                <w:b/>
                <w:bCs/>
                <w:color w:val="000000" w:themeColor="text1"/>
              </w:rPr>
            </w:pPr>
            <w:r>
              <w:rPr>
                <w:rFonts w:ascii="Arial" w:hAnsi="Arial" w:cs="Arial"/>
                <w:b/>
                <w:bCs/>
                <w:color w:val="000000" w:themeColor="text1"/>
              </w:rPr>
              <w:t>13.50</w:t>
            </w:r>
          </w:p>
        </w:tc>
      </w:tr>
    </w:tbl>
    <w:p w14:paraId="70069BAC" w14:textId="77777777" w:rsidR="00790463" w:rsidRDefault="00790463" w:rsidP="00790463">
      <w:pPr>
        <w:pStyle w:val="ExhibitText"/>
        <w:rPr>
          <w:lang w:val="en-GB"/>
        </w:rPr>
      </w:pPr>
    </w:p>
    <w:p w14:paraId="488F08B9" w14:textId="77777777" w:rsidR="00790463" w:rsidRDefault="00790463" w:rsidP="00790463">
      <w:pPr>
        <w:pStyle w:val="Footnote"/>
      </w:pPr>
      <w:r>
        <w:t>Note: F = forecast; CAGR = compound annual growth rate.</w:t>
      </w:r>
    </w:p>
    <w:p w14:paraId="324E8922" w14:textId="77777777" w:rsidR="00790463" w:rsidRDefault="00790463" w:rsidP="00790463">
      <w:pPr>
        <w:pStyle w:val="Footnote"/>
      </w:pPr>
      <w:r>
        <w:t xml:space="preserve">Source: Shakey’s Pizza Asia Ventures Inc., </w:t>
      </w:r>
      <w:r>
        <w:rPr>
          <w:i/>
        </w:rPr>
        <w:t>Prospectus</w:t>
      </w:r>
      <w:r>
        <w:t>, November 26, 2016, accessed April 24, 2017, https://spavi-noo-prod.s3.ap-southeast-1.amazonaws.com/s3fs-public/prospectus/2018-07/PIZZA%20Prospectus.PDF.</w:t>
      </w:r>
    </w:p>
    <w:p w14:paraId="09EFB4B9" w14:textId="77777777" w:rsidR="00790463" w:rsidRDefault="00790463" w:rsidP="00790463">
      <w:pPr>
        <w:pStyle w:val="ExhibitText"/>
      </w:pPr>
    </w:p>
    <w:p w14:paraId="4BF4C8BD" w14:textId="77777777" w:rsidR="00790463" w:rsidRDefault="00790463" w:rsidP="00790463">
      <w:pPr>
        <w:pStyle w:val="ExhibitText"/>
      </w:pPr>
    </w:p>
    <w:p w14:paraId="08C5E8F5" w14:textId="77777777" w:rsidR="00790463" w:rsidRDefault="00790463" w:rsidP="00790463">
      <w:pPr>
        <w:pStyle w:val="ExhibitHeading"/>
      </w:pPr>
      <w:r>
        <w:t>EXHIBIT 4: INITIAL PUBLIC OFFERING TERM SHEET, Shakey’s Pizza Asia Ventures Inc.</w:t>
      </w:r>
    </w:p>
    <w:p w14:paraId="2B86C0DE" w14:textId="77777777" w:rsidR="00790463" w:rsidRDefault="00790463" w:rsidP="00790463">
      <w:pPr>
        <w:pStyle w:val="ExhibitText"/>
      </w:pP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842"/>
      </w:tblGrid>
      <w:tr w:rsidR="00790463" w14:paraId="39EFE975" w14:textId="77777777" w:rsidTr="00790463">
        <w:trPr>
          <w:trHeight w:val="288"/>
          <w:jc w:val="center"/>
        </w:trPr>
        <w:tc>
          <w:tcPr>
            <w:tcW w:w="9350" w:type="dxa"/>
            <w:gridSpan w:val="2"/>
            <w:tcBorders>
              <w:top w:val="single" w:sz="4" w:space="0" w:color="auto"/>
              <w:left w:val="nil"/>
              <w:bottom w:val="single" w:sz="12" w:space="0" w:color="auto"/>
              <w:right w:val="nil"/>
            </w:tcBorders>
            <w:vAlign w:val="center"/>
            <w:hideMark/>
          </w:tcPr>
          <w:p w14:paraId="6BA1D186" w14:textId="77777777" w:rsidR="00790463" w:rsidRDefault="00790463">
            <w:pPr>
              <w:pStyle w:val="Header"/>
              <w:tabs>
                <w:tab w:val="left" w:pos="720"/>
              </w:tabs>
              <w:jc w:val="center"/>
              <w:rPr>
                <w:rFonts w:ascii="Arial" w:hAnsi="Arial" w:cs="Arial"/>
                <w:b/>
                <w:color w:val="000000" w:themeColor="text1"/>
              </w:rPr>
            </w:pPr>
            <w:r>
              <w:rPr>
                <w:rFonts w:ascii="Arial" w:hAnsi="Arial" w:cs="Arial"/>
                <w:b/>
                <w:color w:val="000000" w:themeColor="text1"/>
              </w:rPr>
              <w:t>SUMMARY OF THE OFFER</w:t>
            </w:r>
          </w:p>
        </w:tc>
      </w:tr>
      <w:tr w:rsidR="00790463" w14:paraId="59B41CCD" w14:textId="77777777" w:rsidTr="00790463">
        <w:trPr>
          <w:trHeight w:val="288"/>
          <w:jc w:val="center"/>
        </w:trPr>
        <w:tc>
          <w:tcPr>
            <w:tcW w:w="2515" w:type="dxa"/>
            <w:tcBorders>
              <w:top w:val="single" w:sz="12" w:space="0" w:color="auto"/>
              <w:left w:val="nil"/>
              <w:bottom w:val="single" w:sz="4" w:space="0" w:color="auto"/>
              <w:right w:val="nil"/>
            </w:tcBorders>
            <w:vAlign w:val="center"/>
            <w:hideMark/>
          </w:tcPr>
          <w:p w14:paraId="43DBF702" w14:textId="77777777" w:rsidR="00790463" w:rsidRDefault="00790463">
            <w:pPr>
              <w:pStyle w:val="Header"/>
              <w:tabs>
                <w:tab w:val="left" w:pos="720"/>
              </w:tabs>
              <w:jc w:val="both"/>
              <w:rPr>
                <w:rFonts w:ascii="Arial" w:hAnsi="Arial" w:cs="Arial"/>
                <w:b/>
                <w:color w:val="000000" w:themeColor="text1"/>
              </w:rPr>
            </w:pPr>
            <w:r>
              <w:rPr>
                <w:rFonts w:ascii="Arial" w:hAnsi="Arial" w:cs="Arial"/>
                <w:b/>
                <w:color w:val="000000" w:themeColor="text1"/>
              </w:rPr>
              <w:t>Issuer</w:t>
            </w:r>
          </w:p>
        </w:tc>
        <w:tc>
          <w:tcPr>
            <w:tcW w:w="6835" w:type="dxa"/>
            <w:tcBorders>
              <w:top w:val="single" w:sz="12" w:space="0" w:color="auto"/>
              <w:left w:val="nil"/>
              <w:bottom w:val="single" w:sz="4" w:space="0" w:color="auto"/>
              <w:right w:val="nil"/>
            </w:tcBorders>
            <w:vAlign w:val="center"/>
            <w:hideMark/>
          </w:tcPr>
          <w:p w14:paraId="689FE8D5" w14:textId="77777777" w:rsidR="00790463" w:rsidRDefault="00790463">
            <w:pPr>
              <w:pStyle w:val="Header"/>
              <w:tabs>
                <w:tab w:val="left" w:pos="720"/>
              </w:tabs>
              <w:jc w:val="both"/>
              <w:rPr>
                <w:rFonts w:ascii="Arial" w:hAnsi="Arial" w:cs="Arial"/>
                <w:color w:val="000000" w:themeColor="text1"/>
              </w:rPr>
            </w:pPr>
            <w:r>
              <w:rPr>
                <w:rFonts w:ascii="Arial" w:hAnsi="Arial" w:cs="Arial"/>
                <w:color w:val="000000" w:themeColor="text1"/>
              </w:rPr>
              <w:t>Shakey’s Pizza Asia Ventures Inc.</w:t>
            </w:r>
          </w:p>
        </w:tc>
      </w:tr>
      <w:tr w:rsidR="00790463" w14:paraId="742E67F1" w14:textId="77777777" w:rsidTr="00790463">
        <w:trPr>
          <w:trHeight w:val="288"/>
          <w:jc w:val="center"/>
        </w:trPr>
        <w:tc>
          <w:tcPr>
            <w:tcW w:w="2515" w:type="dxa"/>
            <w:tcBorders>
              <w:top w:val="single" w:sz="4" w:space="0" w:color="auto"/>
              <w:left w:val="nil"/>
              <w:bottom w:val="single" w:sz="4" w:space="0" w:color="auto"/>
              <w:right w:val="nil"/>
            </w:tcBorders>
            <w:vAlign w:val="center"/>
            <w:hideMark/>
          </w:tcPr>
          <w:p w14:paraId="6DC1D41D" w14:textId="77777777" w:rsidR="00790463" w:rsidRDefault="00790463">
            <w:pPr>
              <w:pStyle w:val="Header"/>
              <w:tabs>
                <w:tab w:val="left" w:pos="720"/>
              </w:tabs>
              <w:jc w:val="both"/>
              <w:rPr>
                <w:rFonts w:ascii="Arial" w:hAnsi="Arial" w:cs="Arial"/>
                <w:b/>
                <w:color w:val="000000" w:themeColor="text1"/>
              </w:rPr>
            </w:pPr>
            <w:r>
              <w:rPr>
                <w:rFonts w:ascii="Arial" w:hAnsi="Arial" w:cs="Arial"/>
                <w:b/>
                <w:color w:val="000000" w:themeColor="text1"/>
              </w:rPr>
              <w:t>Selling Shareholder</w:t>
            </w:r>
          </w:p>
        </w:tc>
        <w:tc>
          <w:tcPr>
            <w:tcW w:w="6835" w:type="dxa"/>
            <w:tcBorders>
              <w:top w:val="single" w:sz="4" w:space="0" w:color="auto"/>
              <w:left w:val="nil"/>
              <w:bottom w:val="single" w:sz="4" w:space="0" w:color="auto"/>
              <w:right w:val="nil"/>
            </w:tcBorders>
            <w:vAlign w:val="center"/>
            <w:hideMark/>
          </w:tcPr>
          <w:p w14:paraId="3FF34F1A" w14:textId="77777777" w:rsidR="00790463" w:rsidRDefault="00790463">
            <w:pPr>
              <w:pStyle w:val="Header"/>
              <w:tabs>
                <w:tab w:val="left" w:pos="720"/>
              </w:tabs>
              <w:jc w:val="both"/>
              <w:rPr>
                <w:rFonts w:ascii="Arial" w:hAnsi="Arial" w:cs="Arial"/>
                <w:color w:val="000000" w:themeColor="text1"/>
              </w:rPr>
            </w:pPr>
            <w:r>
              <w:rPr>
                <w:rFonts w:ascii="Arial" w:hAnsi="Arial" w:cs="Arial"/>
                <w:color w:val="000000" w:themeColor="text1"/>
              </w:rPr>
              <w:t>Arran Investment Pte. Ltd.</w:t>
            </w:r>
          </w:p>
        </w:tc>
      </w:tr>
      <w:tr w:rsidR="00790463" w14:paraId="3B66430B" w14:textId="77777777" w:rsidTr="00790463">
        <w:trPr>
          <w:trHeight w:val="288"/>
          <w:jc w:val="center"/>
        </w:trPr>
        <w:tc>
          <w:tcPr>
            <w:tcW w:w="2515" w:type="dxa"/>
            <w:tcBorders>
              <w:top w:val="single" w:sz="4" w:space="0" w:color="auto"/>
              <w:left w:val="nil"/>
              <w:bottom w:val="single" w:sz="4" w:space="0" w:color="auto"/>
              <w:right w:val="nil"/>
            </w:tcBorders>
            <w:vAlign w:val="center"/>
            <w:hideMark/>
          </w:tcPr>
          <w:p w14:paraId="33567E0A" w14:textId="77777777" w:rsidR="00790463" w:rsidRDefault="00790463">
            <w:pPr>
              <w:pStyle w:val="Header"/>
              <w:tabs>
                <w:tab w:val="left" w:pos="720"/>
              </w:tabs>
              <w:jc w:val="both"/>
              <w:rPr>
                <w:rFonts w:ascii="Arial" w:hAnsi="Arial" w:cs="Arial"/>
                <w:b/>
                <w:color w:val="000000" w:themeColor="text1"/>
              </w:rPr>
            </w:pPr>
            <w:r>
              <w:rPr>
                <w:rFonts w:ascii="Arial" w:hAnsi="Arial" w:cs="Arial"/>
                <w:b/>
                <w:color w:val="000000" w:themeColor="text1"/>
              </w:rPr>
              <w:t>Ticker</w:t>
            </w:r>
          </w:p>
        </w:tc>
        <w:tc>
          <w:tcPr>
            <w:tcW w:w="6835" w:type="dxa"/>
            <w:tcBorders>
              <w:top w:val="single" w:sz="4" w:space="0" w:color="auto"/>
              <w:left w:val="nil"/>
              <w:bottom w:val="single" w:sz="4" w:space="0" w:color="auto"/>
              <w:right w:val="nil"/>
            </w:tcBorders>
            <w:vAlign w:val="center"/>
            <w:hideMark/>
          </w:tcPr>
          <w:p w14:paraId="182E1848" w14:textId="77777777" w:rsidR="00790463" w:rsidRDefault="00790463">
            <w:pPr>
              <w:pStyle w:val="Header"/>
              <w:tabs>
                <w:tab w:val="left" w:pos="720"/>
              </w:tabs>
              <w:jc w:val="both"/>
              <w:rPr>
                <w:rFonts w:ascii="Arial" w:hAnsi="Arial" w:cs="Arial"/>
                <w:color w:val="000000" w:themeColor="text1"/>
              </w:rPr>
            </w:pPr>
            <w:r>
              <w:rPr>
                <w:rFonts w:ascii="Arial" w:hAnsi="Arial" w:cs="Arial"/>
                <w:color w:val="000000" w:themeColor="text1"/>
              </w:rPr>
              <w:t>PIZZA</w:t>
            </w:r>
          </w:p>
        </w:tc>
      </w:tr>
      <w:tr w:rsidR="00790463" w14:paraId="73F4EC0E" w14:textId="77777777" w:rsidTr="00790463">
        <w:trPr>
          <w:trHeight w:val="288"/>
          <w:jc w:val="center"/>
        </w:trPr>
        <w:tc>
          <w:tcPr>
            <w:tcW w:w="2515" w:type="dxa"/>
            <w:tcBorders>
              <w:top w:val="single" w:sz="4" w:space="0" w:color="auto"/>
              <w:left w:val="nil"/>
              <w:bottom w:val="single" w:sz="4" w:space="0" w:color="auto"/>
              <w:right w:val="nil"/>
            </w:tcBorders>
            <w:vAlign w:val="center"/>
            <w:hideMark/>
          </w:tcPr>
          <w:p w14:paraId="5D26E25F" w14:textId="77777777" w:rsidR="00790463" w:rsidRDefault="00790463">
            <w:pPr>
              <w:pStyle w:val="Header"/>
              <w:tabs>
                <w:tab w:val="left" w:pos="720"/>
              </w:tabs>
              <w:jc w:val="both"/>
              <w:rPr>
                <w:rFonts w:ascii="Arial" w:hAnsi="Arial" w:cs="Arial"/>
                <w:b/>
                <w:color w:val="000000" w:themeColor="text1"/>
              </w:rPr>
            </w:pPr>
            <w:r>
              <w:rPr>
                <w:rFonts w:ascii="Arial" w:hAnsi="Arial" w:cs="Arial"/>
                <w:b/>
                <w:color w:val="000000" w:themeColor="text1"/>
              </w:rPr>
              <w:t>Stock Exchange</w:t>
            </w:r>
          </w:p>
        </w:tc>
        <w:tc>
          <w:tcPr>
            <w:tcW w:w="6835" w:type="dxa"/>
            <w:tcBorders>
              <w:top w:val="single" w:sz="4" w:space="0" w:color="auto"/>
              <w:left w:val="nil"/>
              <w:bottom w:val="single" w:sz="4" w:space="0" w:color="auto"/>
              <w:right w:val="nil"/>
            </w:tcBorders>
            <w:vAlign w:val="center"/>
            <w:hideMark/>
          </w:tcPr>
          <w:p w14:paraId="37C74D80" w14:textId="77777777" w:rsidR="00790463" w:rsidRDefault="00790463">
            <w:pPr>
              <w:pStyle w:val="Header"/>
              <w:tabs>
                <w:tab w:val="left" w:pos="720"/>
              </w:tabs>
              <w:jc w:val="both"/>
              <w:rPr>
                <w:rFonts w:ascii="Arial" w:hAnsi="Arial" w:cs="Arial"/>
                <w:color w:val="000000" w:themeColor="text1"/>
              </w:rPr>
            </w:pPr>
            <w:r>
              <w:rPr>
                <w:rFonts w:ascii="Arial" w:hAnsi="Arial" w:cs="Arial"/>
                <w:color w:val="000000" w:themeColor="text1"/>
              </w:rPr>
              <w:t>Philippine Stock Exchange (PSE)</w:t>
            </w:r>
          </w:p>
        </w:tc>
      </w:tr>
      <w:tr w:rsidR="00790463" w14:paraId="18465C9E" w14:textId="77777777" w:rsidTr="00790463">
        <w:trPr>
          <w:trHeight w:val="288"/>
          <w:jc w:val="center"/>
        </w:trPr>
        <w:tc>
          <w:tcPr>
            <w:tcW w:w="2515" w:type="dxa"/>
            <w:tcBorders>
              <w:top w:val="single" w:sz="4" w:space="0" w:color="auto"/>
              <w:left w:val="nil"/>
              <w:bottom w:val="single" w:sz="4" w:space="0" w:color="auto"/>
              <w:right w:val="nil"/>
            </w:tcBorders>
            <w:vAlign w:val="center"/>
            <w:hideMark/>
          </w:tcPr>
          <w:p w14:paraId="1610DD02" w14:textId="77777777" w:rsidR="00790463" w:rsidRDefault="00790463">
            <w:pPr>
              <w:pStyle w:val="Header"/>
              <w:tabs>
                <w:tab w:val="left" w:pos="720"/>
              </w:tabs>
              <w:jc w:val="both"/>
              <w:rPr>
                <w:rFonts w:ascii="Arial" w:hAnsi="Arial" w:cs="Arial"/>
                <w:b/>
                <w:color w:val="000000" w:themeColor="text1"/>
              </w:rPr>
            </w:pPr>
            <w:r>
              <w:rPr>
                <w:rFonts w:ascii="Arial" w:hAnsi="Arial" w:cs="Arial"/>
                <w:b/>
                <w:color w:val="000000" w:themeColor="text1"/>
              </w:rPr>
              <w:t>Offer</w:t>
            </w:r>
          </w:p>
        </w:tc>
        <w:tc>
          <w:tcPr>
            <w:tcW w:w="6835" w:type="dxa"/>
            <w:tcBorders>
              <w:top w:val="single" w:sz="4" w:space="0" w:color="auto"/>
              <w:left w:val="nil"/>
              <w:bottom w:val="single" w:sz="4" w:space="0" w:color="auto"/>
              <w:right w:val="nil"/>
            </w:tcBorders>
            <w:vAlign w:val="center"/>
            <w:hideMark/>
          </w:tcPr>
          <w:p w14:paraId="1FFB5C63" w14:textId="77777777" w:rsidR="00790463" w:rsidRDefault="00790463">
            <w:pPr>
              <w:pStyle w:val="Header"/>
              <w:tabs>
                <w:tab w:val="left" w:pos="720"/>
              </w:tabs>
              <w:jc w:val="both"/>
              <w:rPr>
                <w:rFonts w:ascii="Arial" w:hAnsi="Arial" w:cs="Arial"/>
                <w:color w:val="000000" w:themeColor="text1"/>
              </w:rPr>
            </w:pPr>
            <w:r>
              <w:rPr>
                <w:rFonts w:ascii="Arial" w:hAnsi="Arial" w:cs="Arial"/>
                <w:color w:val="000000" w:themeColor="text1"/>
              </w:rPr>
              <w:t>306,000,000 firm shares consisting of</w:t>
            </w:r>
          </w:p>
          <w:p w14:paraId="09140075" w14:textId="77777777" w:rsidR="00790463" w:rsidRDefault="00790463" w:rsidP="00790463">
            <w:pPr>
              <w:pStyle w:val="Header"/>
              <w:numPr>
                <w:ilvl w:val="0"/>
                <w:numId w:val="14"/>
              </w:numPr>
              <w:tabs>
                <w:tab w:val="left" w:pos="720"/>
              </w:tabs>
              <w:jc w:val="both"/>
              <w:rPr>
                <w:rFonts w:ascii="Arial" w:hAnsi="Arial" w:cs="Arial"/>
                <w:color w:val="000000" w:themeColor="text1"/>
              </w:rPr>
            </w:pPr>
            <w:r>
              <w:rPr>
                <w:rFonts w:ascii="Arial" w:hAnsi="Arial" w:cs="Arial"/>
                <w:color w:val="000000" w:themeColor="text1"/>
              </w:rPr>
              <w:t>104,000,000 primary,</w:t>
            </w:r>
          </w:p>
          <w:p w14:paraId="5F624EB6" w14:textId="77777777" w:rsidR="00790463" w:rsidRDefault="00790463" w:rsidP="00790463">
            <w:pPr>
              <w:pStyle w:val="Header"/>
              <w:numPr>
                <w:ilvl w:val="0"/>
                <w:numId w:val="14"/>
              </w:numPr>
              <w:tabs>
                <w:tab w:val="left" w:pos="720"/>
              </w:tabs>
              <w:rPr>
                <w:rFonts w:ascii="Arial" w:hAnsi="Arial" w:cs="Arial"/>
                <w:color w:val="000000" w:themeColor="text1"/>
              </w:rPr>
            </w:pPr>
            <w:r>
              <w:rPr>
                <w:rFonts w:ascii="Arial" w:hAnsi="Arial" w:cs="Arial"/>
                <w:color w:val="000000" w:themeColor="text1"/>
              </w:rPr>
              <w:t xml:space="preserve">202,000,000 secondary shares, and </w:t>
            </w:r>
          </w:p>
          <w:p w14:paraId="59727D86" w14:textId="77777777" w:rsidR="00790463" w:rsidRDefault="00790463" w:rsidP="00790463">
            <w:pPr>
              <w:pStyle w:val="Header"/>
              <w:numPr>
                <w:ilvl w:val="0"/>
                <w:numId w:val="14"/>
              </w:numPr>
              <w:tabs>
                <w:tab w:val="left" w:pos="720"/>
              </w:tabs>
              <w:rPr>
                <w:rFonts w:ascii="Arial" w:hAnsi="Arial" w:cs="Arial"/>
                <w:color w:val="000000" w:themeColor="text1"/>
              </w:rPr>
            </w:pPr>
            <w:r>
              <w:rPr>
                <w:rFonts w:ascii="Arial" w:hAnsi="Arial" w:cs="Arial"/>
                <w:color w:val="000000" w:themeColor="text1"/>
              </w:rPr>
              <w:t>an additional offer of up to 45,900,000 optional shares by the selling shareholder pursuant to the overallotment option.</w:t>
            </w:r>
          </w:p>
        </w:tc>
      </w:tr>
      <w:tr w:rsidR="00790463" w14:paraId="02D126FD" w14:textId="77777777" w:rsidTr="00790463">
        <w:trPr>
          <w:trHeight w:val="288"/>
          <w:jc w:val="center"/>
        </w:trPr>
        <w:tc>
          <w:tcPr>
            <w:tcW w:w="2515" w:type="dxa"/>
            <w:tcBorders>
              <w:top w:val="single" w:sz="4" w:space="0" w:color="auto"/>
              <w:left w:val="nil"/>
              <w:bottom w:val="single" w:sz="4" w:space="0" w:color="auto"/>
              <w:right w:val="nil"/>
            </w:tcBorders>
            <w:vAlign w:val="center"/>
            <w:hideMark/>
          </w:tcPr>
          <w:p w14:paraId="5E5BD231" w14:textId="77777777" w:rsidR="00790463" w:rsidRDefault="00790463">
            <w:pPr>
              <w:pStyle w:val="Header"/>
              <w:tabs>
                <w:tab w:val="left" w:pos="720"/>
              </w:tabs>
              <w:jc w:val="both"/>
              <w:rPr>
                <w:rFonts w:ascii="Arial" w:hAnsi="Arial" w:cs="Arial"/>
                <w:b/>
                <w:color w:val="000000" w:themeColor="text1"/>
              </w:rPr>
            </w:pPr>
            <w:r>
              <w:rPr>
                <w:rFonts w:ascii="Arial" w:hAnsi="Arial" w:cs="Arial"/>
                <w:b/>
                <w:color w:val="000000" w:themeColor="text1"/>
              </w:rPr>
              <w:t>Offer Price</w:t>
            </w:r>
          </w:p>
        </w:tc>
        <w:tc>
          <w:tcPr>
            <w:tcW w:w="6835" w:type="dxa"/>
            <w:tcBorders>
              <w:top w:val="single" w:sz="4" w:space="0" w:color="auto"/>
              <w:left w:val="nil"/>
              <w:bottom w:val="single" w:sz="4" w:space="0" w:color="auto"/>
              <w:right w:val="nil"/>
            </w:tcBorders>
            <w:vAlign w:val="center"/>
            <w:hideMark/>
          </w:tcPr>
          <w:p w14:paraId="039B95DE" w14:textId="77777777" w:rsidR="00790463" w:rsidRDefault="00790463">
            <w:pPr>
              <w:pStyle w:val="Header"/>
              <w:tabs>
                <w:tab w:val="left" w:pos="720"/>
              </w:tabs>
              <w:jc w:val="both"/>
              <w:rPr>
                <w:rFonts w:ascii="Arial" w:hAnsi="Arial" w:cs="Arial"/>
                <w:color w:val="000000" w:themeColor="text1"/>
              </w:rPr>
            </w:pPr>
            <w:r>
              <w:rPr>
                <w:rFonts w:ascii="Arial" w:hAnsi="Arial" w:cs="Arial"/>
                <w:color w:val="000000" w:themeColor="text1"/>
              </w:rPr>
              <w:t>₱11.26 per share</w:t>
            </w:r>
          </w:p>
        </w:tc>
      </w:tr>
      <w:tr w:rsidR="00790463" w14:paraId="5769C5BD" w14:textId="77777777" w:rsidTr="00790463">
        <w:trPr>
          <w:trHeight w:val="288"/>
          <w:jc w:val="center"/>
        </w:trPr>
        <w:tc>
          <w:tcPr>
            <w:tcW w:w="2515" w:type="dxa"/>
            <w:tcBorders>
              <w:top w:val="single" w:sz="4" w:space="0" w:color="auto"/>
              <w:left w:val="nil"/>
              <w:bottom w:val="single" w:sz="4" w:space="0" w:color="auto"/>
              <w:right w:val="nil"/>
            </w:tcBorders>
            <w:vAlign w:val="center"/>
            <w:hideMark/>
          </w:tcPr>
          <w:p w14:paraId="2CD17A60" w14:textId="77777777" w:rsidR="00790463" w:rsidRDefault="00790463">
            <w:pPr>
              <w:pStyle w:val="Header"/>
              <w:tabs>
                <w:tab w:val="left" w:pos="720"/>
              </w:tabs>
              <w:jc w:val="both"/>
              <w:rPr>
                <w:rFonts w:ascii="Arial" w:hAnsi="Arial" w:cs="Arial"/>
                <w:b/>
                <w:color w:val="000000" w:themeColor="text1"/>
              </w:rPr>
            </w:pPr>
            <w:r>
              <w:rPr>
                <w:rFonts w:ascii="Arial" w:hAnsi="Arial" w:cs="Arial"/>
                <w:b/>
                <w:color w:val="000000" w:themeColor="text1"/>
              </w:rPr>
              <w:t>Overallotment Options</w:t>
            </w:r>
          </w:p>
        </w:tc>
        <w:tc>
          <w:tcPr>
            <w:tcW w:w="6835" w:type="dxa"/>
            <w:tcBorders>
              <w:top w:val="single" w:sz="4" w:space="0" w:color="auto"/>
              <w:left w:val="nil"/>
              <w:bottom w:val="single" w:sz="4" w:space="0" w:color="auto"/>
              <w:right w:val="nil"/>
            </w:tcBorders>
            <w:vAlign w:val="center"/>
            <w:hideMark/>
          </w:tcPr>
          <w:p w14:paraId="7B506CC5" w14:textId="77777777" w:rsidR="00790463" w:rsidRDefault="00790463">
            <w:pPr>
              <w:pStyle w:val="Header"/>
              <w:tabs>
                <w:tab w:val="left" w:pos="720"/>
              </w:tabs>
              <w:rPr>
                <w:rFonts w:ascii="Arial" w:hAnsi="Arial" w:cs="Arial"/>
                <w:color w:val="000000" w:themeColor="text1"/>
              </w:rPr>
            </w:pPr>
            <w:r>
              <w:rPr>
                <w:rFonts w:ascii="Arial" w:hAnsi="Arial" w:cs="Arial"/>
                <w:color w:val="000000" w:themeColor="text1"/>
              </w:rPr>
              <w:t>The selling shareholder has granted an overallotment option to purchase up to 45,900,000 optional shares at the offer price, on the same terms and conditions as the firm shares, solely to cover overallotments and effect price stabilization transactions.</w:t>
            </w:r>
          </w:p>
        </w:tc>
      </w:tr>
      <w:tr w:rsidR="00790463" w14:paraId="2AA2DE6D" w14:textId="77777777" w:rsidTr="00790463">
        <w:trPr>
          <w:trHeight w:val="288"/>
          <w:jc w:val="center"/>
        </w:trPr>
        <w:tc>
          <w:tcPr>
            <w:tcW w:w="2515" w:type="dxa"/>
            <w:tcBorders>
              <w:top w:val="single" w:sz="4" w:space="0" w:color="auto"/>
              <w:left w:val="nil"/>
              <w:bottom w:val="single" w:sz="4" w:space="0" w:color="auto"/>
              <w:right w:val="nil"/>
            </w:tcBorders>
            <w:vAlign w:val="center"/>
            <w:hideMark/>
          </w:tcPr>
          <w:p w14:paraId="0FD3CD63" w14:textId="77777777" w:rsidR="00790463" w:rsidRDefault="00790463">
            <w:pPr>
              <w:pStyle w:val="Header"/>
              <w:tabs>
                <w:tab w:val="left" w:pos="720"/>
              </w:tabs>
              <w:jc w:val="both"/>
              <w:rPr>
                <w:rFonts w:ascii="Arial" w:hAnsi="Arial" w:cs="Arial"/>
                <w:b/>
                <w:color w:val="000000" w:themeColor="text1"/>
              </w:rPr>
            </w:pPr>
            <w:r>
              <w:rPr>
                <w:rFonts w:ascii="Arial" w:hAnsi="Arial" w:cs="Arial"/>
                <w:b/>
                <w:color w:val="000000" w:themeColor="text1"/>
              </w:rPr>
              <w:t>Use of Proceeds</w:t>
            </w:r>
          </w:p>
        </w:tc>
        <w:tc>
          <w:tcPr>
            <w:tcW w:w="6835" w:type="dxa"/>
            <w:tcBorders>
              <w:top w:val="single" w:sz="4" w:space="0" w:color="auto"/>
              <w:left w:val="nil"/>
              <w:bottom w:val="single" w:sz="4" w:space="0" w:color="auto"/>
              <w:right w:val="nil"/>
            </w:tcBorders>
            <w:vAlign w:val="center"/>
            <w:hideMark/>
          </w:tcPr>
          <w:p w14:paraId="4B7B0DC1" w14:textId="77777777" w:rsidR="00790463" w:rsidRDefault="00790463">
            <w:pPr>
              <w:pStyle w:val="Header"/>
              <w:tabs>
                <w:tab w:val="left" w:pos="720"/>
              </w:tabs>
              <w:jc w:val="both"/>
              <w:rPr>
                <w:rFonts w:ascii="Arial" w:hAnsi="Arial" w:cs="Arial"/>
                <w:color w:val="000000" w:themeColor="text1"/>
              </w:rPr>
            </w:pPr>
            <w:r>
              <w:rPr>
                <w:rFonts w:ascii="Arial" w:hAnsi="Arial" w:cs="Arial"/>
                <w:color w:val="000000" w:themeColor="text1"/>
              </w:rPr>
              <w:t>Net proceeds are intended to be used primarily for</w:t>
            </w:r>
          </w:p>
          <w:p w14:paraId="4ACB8732" w14:textId="77777777" w:rsidR="00790463" w:rsidRDefault="00790463" w:rsidP="00790463">
            <w:pPr>
              <w:pStyle w:val="Header"/>
              <w:numPr>
                <w:ilvl w:val="0"/>
                <w:numId w:val="15"/>
              </w:numPr>
              <w:tabs>
                <w:tab w:val="left" w:pos="720"/>
              </w:tabs>
              <w:jc w:val="both"/>
              <w:rPr>
                <w:rFonts w:ascii="Arial" w:hAnsi="Arial" w:cs="Arial"/>
                <w:color w:val="000000" w:themeColor="text1"/>
              </w:rPr>
            </w:pPr>
            <w:r>
              <w:rPr>
                <w:rFonts w:ascii="Arial" w:hAnsi="Arial" w:cs="Arial"/>
                <w:color w:val="000000" w:themeColor="text1"/>
              </w:rPr>
              <w:t>debt repayment; and</w:t>
            </w:r>
          </w:p>
          <w:p w14:paraId="7D0E5A15" w14:textId="77777777" w:rsidR="00790463" w:rsidRDefault="00790463" w:rsidP="00790463">
            <w:pPr>
              <w:pStyle w:val="Header"/>
              <w:numPr>
                <w:ilvl w:val="0"/>
                <w:numId w:val="15"/>
              </w:numPr>
              <w:tabs>
                <w:tab w:val="left" w:pos="720"/>
              </w:tabs>
              <w:rPr>
                <w:rFonts w:ascii="Arial" w:hAnsi="Arial" w:cs="Arial"/>
                <w:color w:val="000000" w:themeColor="text1"/>
              </w:rPr>
            </w:pPr>
            <w:r>
              <w:rPr>
                <w:rFonts w:ascii="Arial" w:hAnsi="Arial" w:cs="Arial"/>
                <w:color w:val="000000" w:themeColor="text1"/>
              </w:rPr>
              <w:t>capital expenditures in connection with the expansion of the company’s in-house commissary and new corporate headquarters.</w:t>
            </w:r>
          </w:p>
        </w:tc>
      </w:tr>
      <w:tr w:rsidR="00790463" w14:paraId="69DECE44" w14:textId="77777777" w:rsidTr="00790463">
        <w:trPr>
          <w:trHeight w:val="288"/>
          <w:jc w:val="center"/>
        </w:trPr>
        <w:tc>
          <w:tcPr>
            <w:tcW w:w="2515" w:type="dxa"/>
            <w:tcBorders>
              <w:top w:val="single" w:sz="4" w:space="0" w:color="auto"/>
              <w:left w:val="nil"/>
              <w:bottom w:val="single" w:sz="4" w:space="0" w:color="auto"/>
              <w:right w:val="nil"/>
            </w:tcBorders>
            <w:vAlign w:val="center"/>
            <w:hideMark/>
          </w:tcPr>
          <w:p w14:paraId="453BCCBF" w14:textId="77777777" w:rsidR="00790463" w:rsidRDefault="00790463">
            <w:pPr>
              <w:pStyle w:val="Header"/>
              <w:tabs>
                <w:tab w:val="left" w:pos="720"/>
              </w:tabs>
              <w:jc w:val="both"/>
              <w:rPr>
                <w:rFonts w:ascii="Arial" w:hAnsi="Arial" w:cs="Arial"/>
                <w:b/>
                <w:color w:val="000000" w:themeColor="text1"/>
              </w:rPr>
            </w:pPr>
            <w:r>
              <w:rPr>
                <w:rFonts w:ascii="Arial" w:hAnsi="Arial" w:cs="Arial"/>
                <w:b/>
                <w:color w:val="000000" w:themeColor="text1"/>
              </w:rPr>
              <w:t>Expected Timetable</w:t>
            </w:r>
          </w:p>
        </w:tc>
        <w:tc>
          <w:tcPr>
            <w:tcW w:w="6835" w:type="dxa"/>
            <w:tcBorders>
              <w:top w:val="single" w:sz="4" w:space="0" w:color="auto"/>
              <w:left w:val="nil"/>
              <w:bottom w:val="single" w:sz="4" w:space="0" w:color="auto"/>
              <w:right w:val="nil"/>
            </w:tcBorders>
            <w:vAlign w:val="center"/>
            <w:hideMark/>
          </w:tcPr>
          <w:p w14:paraId="222A8A5D" w14:textId="77777777" w:rsidR="00790463" w:rsidRDefault="00790463">
            <w:pPr>
              <w:pStyle w:val="Header"/>
              <w:tabs>
                <w:tab w:val="left" w:pos="720"/>
              </w:tabs>
              <w:rPr>
                <w:rFonts w:ascii="Arial" w:hAnsi="Arial" w:cs="Arial"/>
                <w:color w:val="000000" w:themeColor="text1"/>
              </w:rPr>
            </w:pPr>
            <w:r>
              <w:rPr>
                <w:rFonts w:ascii="Arial" w:hAnsi="Arial" w:cs="Arial"/>
                <w:color w:val="000000" w:themeColor="text1"/>
              </w:rPr>
              <w:t>December 2–6, 2016: PSE trading participants’ commitment period</w:t>
            </w:r>
          </w:p>
          <w:p w14:paraId="550AD67E" w14:textId="77777777" w:rsidR="00790463" w:rsidRDefault="00790463">
            <w:pPr>
              <w:pStyle w:val="Header"/>
              <w:tabs>
                <w:tab w:val="left" w:pos="720"/>
              </w:tabs>
              <w:rPr>
                <w:rFonts w:ascii="Arial" w:hAnsi="Arial" w:cs="Arial"/>
                <w:color w:val="000000" w:themeColor="text1"/>
              </w:rPr>
            </w:pPr>
            <w:r>
              <w:rPr>
                <w:rFonts w:ascii="Arial" w:hAnsi="Arial" w:cs="Arial"/>
                <w:color w:val="000000" w:themeColor="text1"/>
              </w:rPr>
              <w:t>December 6, 2016: Submission of firm order and commitment by PSE trading participants</w:t>
            </w:r>
          </w:p>
          <w:p w14:paraId="1BD38F45" w14:textId="77777777" w:rsidR="00790463" w:rsidRDefault="00790463">
            <w:pPr>
              <w:pStyle w:val="Header"/>
              <w:tabs>
                <w:tab w:val="left" w:pos="720"/>
              </w:tabs>
              <w:rPr>
                <w:rFonts w:ascii="Arial" w:hAnsi="Arial" w:cs="Arial"/>
                <w:color w:val="000000" w:themeColor="text1"/>
              </w:rPr>
            </w:pPr>
            <w:r>
              <w:rPr>
                <w:rFonts w:ascii="Arial" w:hAnsi="Arial" w:cs="Arial"/>
                <w:color w:val="000000" w:themeColor="text1"/>
              </w:rPr>
              <w:t>December 2 to 8, 2016: Local small investors and public offer period</w:t>
            </w:r>
          </w:p>
          <w:p w14:paraId="1E2C0856" w14:textId="77777777" w:rsidR="00790463" w:rsidRDefault="00790463">
            <w:pPr>
              <w:pStyle w:val="Header"/>
              <w:tabs>
                <w:tab w:val="left" w:pos="720"/>
              </w:tabs>
              <w:rPr>
                <w:rFonts w:ascii="Arial" w:hAnsi="Arial" w:cs="Arial"/>
                <w:color w:val="000000" w:themeColor="text1"/>
              </w:rPr>
            </w:pPr>
            <w:r>
              <w:rPr>
                <w:rFonts w:ascii="Arial" w:hAnsi="Arial" w:cs="Arial"/>
                <w:color w:val="000000" w:themeColor="text1"/>
              </w:rPr>
              <w:t>December 13, 2016: Domestic offer settlement date</w:t>
            </w:r>
          </w:p>
          <w:p w14:paraId="1A487C8C" w14:textId="77777777" w:rsidR="00790463" w:rsidRDefault="00790463">
            <w:pPr>
              <w:pStyle w:val="Header"/>
              <w:tabs>
                <w:tab w:val="left" w:pos="720"/>
              </w:tabs>
              <w:rPr>
                <w:rFonts w:ascii="Arial" w:hAnsi="Arial" w:cs="Arial"/>
                <w:color w:val="000000" w:themeColor="text1"/>
              </w:rPr>
            </w:pPr>
            <w:r>
              <w:rPr>
                <w:rFonts w:ascii="Arial" w:hAnsi="Arial" w:cs="Arial"/>
                <w:color w:val="000000" w:themeColor="text1"/>
              </w:rPr>
              <w:t>December 15, 2016: Listing date and commencement of trading on the PSE</w:t>
            </w:r>
          </w:p>
        </w:tc>
      </w:tr>
    </w:tbl>
    <w:p w14:paraId="239BE484" w14:textId="77777777" w:rsidR="00790463" w:rsidRDefault="00790463" w:rsidP="00790463">
      <w:pPr>
        <w:pStyle w:val="ExhibitText"/>
        <w:rPr>
          <w:lang w:val="en-GB"/>
        </w:rPr>
      </w:pPr>
    </w:p>
    <w:p w14:paraId="2E9A5F51" w14:textId="77777777" w:rsidR="00790463" w:rsidRDefault="00790463" w:rsidP="00790463">
      <w:pPr>
        <w:pStyle w:val="Footnote"/>
      </w:pPr>
      <w:r>
        <w:t>Note: PSE = Philippine Stock Exchange.</w:t>
      </w:r>
    </w:p>
    <w:p w14:paraId="73476536" w14:textId="77777777" w:rsidR="00790463" w:rsidRDefault="00790463" w:rsidP="00790463">
      <w:pPr>
        <w:pStyle w:val="Footnote"/>
        <w:rPr>
          <w:b/>
          <w:spacing w:val="-4"/>
        </w:rPr>
      </w:pPr>
      <w:r>
        <w:rPr>
          <w:spacing w:val="-4"/>
        </w:rPr>
        <w:t xml:space="preserve">Source: Adapted by the authors from Shakey’s Pizza Asia Ventures Inc., </w:t>
      </w:r>
      <w:r>
        <w:rPr>
          <w:i/>
          <w:spacing w:val="-4"/>
        </w:rPr>
        <w:t>Prospectus</w:t>
      </w:r>
      <w:r>
        <w:rPr>
          <w:spacing w:val="-4"/>
        </w:rPr>
        <w:t>, November 26, 2016, accessed April 24, 2017, https://spavi-noo-prod.s3.ap-southeast-1.amazonaws.com/s3fs-public/prospectus/2018-07/PIZZA%20Prospectus.PDF.</w:t>
      </w:r>
    </w:p>
    <w:p w14:paraId="4D128217" w14:textId="77777777" w:rsidR="00790463" w:rsidRDefault="00790463" w:rsidP="00790463">
      <w:pPr>
        <w:pStyle w:val="BodyTextMain"/>
      </w:pPr>
    </w:p>
    <w:p w14:paraId="0EA688B0" w14:textId="77777777" w:rsidR="00790463" w:rsidRDefault="00790463" w:rsidP="00790463">
      <w:pPr>
        <w:pStyle w:val="BodyTextMain"/>
      </w:pPr>
    </w:p>
    <w:p w14:paraId="3D55B030" w14:textId="77777777" w:rsidR="00790463" w:rsidRDefault="00790463" w:rsidP="00790463">
      <w:pPr>
        <w:pStyle w:val="ExhibitHeading"/>
      </w:pPr>
      <w:r>
        <w:lastRenderedPageBreak/>
        <w:t>EXHIBIT 5: PHILIPPINE DEALING SYSTEM TREASURY REFERENCE RATES (%)</w:t>
      </w:r>
    </w:p>
    <w:p w14:paraId="1B54FFA0" w14:textId="77777777" w:rsidR="00790463" w:rsidRDefault="00790463" w:rsidP="00790463">
      <w:pPr>
        <w:pStyle w:val="ExhibitText"/>
      </w:pPr>
    </w:p>
    <w:tbl>
      <w:tblPr>
        <w:tblStyle w:val="TableGrid"/>
        <w:tblW w:w="576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gridCol w:w="1440"/>
        <w:gridCol w:w="1440"/>
      </w:tblGrid>
      <w:tr w:rsidR="00790463" w14:paraId="4BFDE262" w14:textId="77777777" w:rsidTr="00790463">
        <w:trPr>
          <w:trHeight w:val="288"/>
          <w:jc w:val="center"/>
        </w:trPr>
        <w:tc>
          <w:tcPr>
            <w:tcW w:w="1300" w:type="dxa"/>
            <w:tcBorders>
              <w:top w:val="single" w:sz="4" w:space="0" w:color="auto"/>
              <w:left w:val="nil"/>
              <w:bottom w:val="single" w:sz="12" w:space="0" w:color="auto"/>
              <w:right w:val="nil"/>
            </w:tcBorders>
            <w:noWrap/>
            <w:vAlign w:val="center"/>
            <w:hideMark/>
          </w:tcPr>
          <w:p w14:paraId="26DF5CF7" w14:textId="77777777" w:rsidR="00790463" w:rsidRDefault="00790463">
            <w:pPr>
              <w:jc w:val="center"/>
              <w:rPr>
                <w:rFonts w:ascii="Arial" w:hAnsi="Arial" w:cs="Arial"/>
                <w:b/>
                <w:bCs/>
                <w:color w:val="000000" w:themeColor="text1"/>
              </w:rPr>
            </w:pPr>
            <w:r>
              <w:rPr>
                <w:rFonts w:ascii="Arial" w:hAnsi="Arial" w:cs="Arial"/>
                <w:b/>
                <w:bCs/>
                <w:color w:val="000000" w:themeColor="text1"/>
              </w:rPr>
              <w:t>Maturity</w:t>
            </w:r>
          </w:p>
        </w:tc>
        <w:tc>
          <w:tcPr>
            <w:tcW w:w="1300" w:type="dxa"/>
            <w:tcBorders>
              <w:top w:val="single" w:sz="4" w:space="0" w:color="auto"/>
              <w:left w:val="nil"/>
              <w:bottom w:val="single" w:sz="12" w:space="0" w:color="auto"/>
              <w:right w:val="nil"/>
            </w:tcBorders>
            <w:noWrap/>
            <w:vAlign w:val="center"/>
            <w:hideMark/>
          </w:tcPr>
          <w:p w14:paraId="61FE4047" w14:textId="77777777" w:rsidR="00790463" w:rsidRDefault="00790463">
            <w:pPr>
              <w:jc w:val="center"/>
              <w:rPr>
                <w:rFonts w:ascii="Arial" w:hAnsi="Arial" w:cs="Arial"/>
                <w:b/>
                <w:bCs/>
                <w:color w:val="000000" w:themeColor="text1"/>
              </w:rPr>
            </w:pPr>
            <w:r>
              <w:rPr>
                <w:rFonts w:ascii="Arial" w:hAnsi="Arial" w:cs="Arial"/>
                <w:b/>
                <w:bCs/>
                <w:color w:val="000000" w:themeColor="text1"/>
              </w:rPr>
              <w:t>Rate</w:t>
            </w:r>
          </w:p>
        </w:tc>
        <w:tc>
          <w:tcPr>
            <w:tcW w:w="1300" w:type="dxa"/>
            <w:tcBorders>
              <w:top w:val="single" w:sz="4" w:space="0" w:color="auto"/>
              <w:left w:val="nil"/>
              <w:bottom w:val="single" w:sz="12" w:space="0" w:color="auto"/>
              <w:right w:val="nil"/>
            </w:tcBorders>
            <w:vAlign w:val="center"/>
            <w:hideMark/>
          </w:tcPr>
          <w:p w14:paraId="71F4C7BF" w14:textId="77777777" w:rsidR="00790463" w:rsidRDefault="00790463">
            <w:pPr>
              <w:jc w:val="center"/>
              <w:rPr>
                <w:rFonts w:ascii="Arial" w:hAnsi="Arial" w:cs="Arial"/>
                <w:b/>
                <w:bCs/>
                <w:color w:val="000000" w:themeColor="text1"/>
              </w:rPr>
            </w:pPr>
            <w:r>
              <w:rPr>
                <w:rFonts w:ascii="Arial" w:hAnsi="Arial" w:cs="Arial"/>
                <w:b/>
                <w:bCs/>
                <w:color w:val="000000" w:themeColor="text1"/>
              </w:rPr>
              <w:t>Maturity</w:t>
            </w:r>
          </w:p>
        </w:tc>
        <w:tc>
          <w:tcPr>
            <w:tcW w:w="1300" w:type="dxa"/>
            <w:tcBorders>
              <w:top w:val="single" w:sz="4" w:space="0" w:color="auto"/>
              <w:left w:val="nil"/>
              <w:bottom w:val="single" w:sz="12" w:space="0" w:color="auto"/>
              <w:right w:val="nil"/>
            </w:tcBorders>
            <w:vAlign w:val="center"/>
            <w:hideMark/>
          </w:tcPr>
          <w:p w14:paraId="569FD010" w14:textId="77777777" w:rsidR="00790463" w:rsidRDefault="00790463">
            <w:pPr>
              <w:jc w:val="center"/>
              <w:rPr>
                <w:rFonts w:ascii="Arial" w:hAnsi="Arial" w:cs="Arial"/>
                <w:b/>
                <w:bCs/>
                <w:color w:val="000000" w:themeColor="text1"/>
              </w:rPr>
            </w:pPr>
            <w:r>
              <w:rPr>
                <w:rFonts w:ascii="Arial" w:hAnsi="Arial" w:cs="Arial"/>
                <w:b/>
                <w:bCs/>
                <w:color w:val="000000" w:themeColor="text1"/>
              </w:rPr>
              <w:t>Rate</w:t>
            </w:r>
          </w:p>
        </w:tc>
      </w:tr>
      <w:tr w:rsidR="00790463" w14:paraId="5A332D38" w14:textId="77777777" w:rsidTr="00790463">
        <w:trPr>
          <w:trHeight w:val="288"/>
          <w:jc w:val="center"/>
        </w:trPr>
        <w:tc>
          <w:tcPr>
            <w:tcW w:w="1300" w:type="dxa"/>
            <w:tcBorders>
              <w:top w:val="single" w:sz="12" w:space="0" w:color="auto"/>
              <w:left w:val="nil"/>
              <w:bottom w:val="nil"/>
              <w:right w:val="nil"/>
            </w:tcBorders>
            <w:noWrap/>
            <w:vAlign w:val="center"/>
            <w:hideMark/>
          </w:tcPr>
          <w:p w14:paraId="65E2AB02" w14:textId="77777777" w:rsidR="00790463" w:rsidRDefault="00790463">
            <w:pPr>
              <w:jc w:val="center"/>
              <w:rPr>
                <w:rFonts w:ascii="Arial" w:hAnsi="Arial" w:cs="Arial"/>
                <w:color w:val="000000" w:themeColor="text1"/>
              </w:rPr>
            </w:pPr>
            <w:r>
              <w:rPr>
                <w:rFonts w:ascii="Arial" w:hAnsi="Arial" w:cs="Arial"/>
                <w:color w:val="000000" w:themeColor="text1"/>
              </w:rPr>
              <w:t>1 month</w:t>
            </w:r>
          </w:p>
        </w:tc>
        <w:tc>
          <w:tcPr>
            <w:tcW w:w="1300" w:type="dxa"/>
            <w:tcBorders>
              <w:top w:val="single" w:sz="12" w:space="0" w:color="auto"/>
              <w:left w:val="nil"/>
              <w:bottom w:val="nil"/>
              <w:right w:val="nil"/>
            </w:tcBorders>
            <w:noWrap/>
            <w:vAlign w:val="center"/>
            <w:hideMark/>
          </w:tcPr>
          <w:p w14:paraId="43C74AA9" w14:textId="77777777" w:rsidR="00790463" w:rsidRDefault="00790463">
            <w:pPr>
              <w:jc w:val="center"/>
              <w:rPr>
                <w:rFonts w:ascii="Arial" w:hAnsi="Arial" w:cs="Arial"/>
                <w:color w:val="000000" w:themeColor="text1"/>
              </w:rPr>
            </w:pPr>
            <w:r>
              <w:rPr>
                <w:rFonts w:ascii="Arial" w:hAnsi="Arial" w:cs="Arial"/>
                <w:color w:val="000000" w:themeColor="text1"/>
              </w:rPr>
              <w:t>1.69</w:t>
            </w:r>
          </w:p>
        </w:tc>
        <w:tc>
          <w:tcPr>
            <w:tcW w:w="1300" w:type="dxa"/>
            <w:tcBorders>
              <w:top w:val="single" w:sz="12" w:space="0" w:color="auto"/>
              <w:left w:val="nil"/>
              <w:bottom w:val="nil"/>
              <w:right w:val="nil"/>
            </w:tcBorders>
            <w:vAlign w:val="center"/>
            <w:hideMark/>
          </w:tcPr>
          <w:p w14:paraId="4F88148E" w14:textId="77777777" w:rsidR="00790463" w:rsidRDefault="00790463">
            <w:pPr>
              <w:jc w:val="center"/>
              <w:rPr>
                <w:rFonts w:ascii="Arial" w:hAnsi="Arial" w:cs="Arial"/>
                <w:color w:val="000000" w:themeColor="text1"/>
              </w:rPr>
            </w:pPr>
            <w:r>
              <w:rPr>
                <w:rFonts w:ascii="Arial" w:hAnsi="Arial" w:cs="Arial"/>
                <w:color w:val="000000" w:themeColor="text1"/>
              </w:rPr>
              <w:t>7 years</w:t>
            </w:r>
          </w:p>
        </w:tc>
        <w:tc>
          <w:tcPr>
            <w:tcW w:w="1300" w:type="dxa"/>
            <w:tcBorders>
              <w:top w:val="single" w:sz="12" w:space="0" w:color="auto"/>
              <w:left w:val="nil"/>
              <w:bottom w:val="nil"/>
              <w:right w:val="nil"/>
            </w:tcBorders>
            <w:vAlign w:val="center"/>
            <w:hideMark/>
          </w:tcPr>
          <w:p w14:paraId="3289594A" w14:textId="77777777" w:rsidR="00790463" w:rsidRDefault="00790463">
            <w:pPr>
              <w:jc w:val="center"/>
              <w:rPr>
                <w:rFonts w:ascii="Arial" w:hAnsi="Arial" w:cs="Arial"/>
                <w:color w:val="000000" w:themeColor="text1"/>
              </w:rPr>
            </w:pPr>
            <w:r>
              <w:rPr>
                <w:rFonts w:ascii="Arial" w:hAnsi="Arial" w:cs="Arial"/>
                <w:color w:val="000000" w:themeColor="text1"/>
              </w:rPr>
              <w:t>5.11</w:t>
            </w:r>
          </w:p>
        </w:tc>
      </w:tr>
      <w:tr w:rsidR="00790463" w14:paraId="44B2BAA6" w14:textId="77777777" w:rsidTr="00790463">
        <w:trPr>
          <w:trHeight w:val="288"/>
          <w:jc w:val="center"/>
        </w:trPr>
        <w:tc>
          <w:tcPr>
            <w:tcW w:w="1300" w:type="dxa"/>
            <w:tcBorders>
              <w:top w:val="nil"/>
              <w:left w:val="nil"/>
              <w:bottom w:val="nil"/>
              <w:right w:val="nil"/>
            </w:tcBorders>
            <w:noWrap/>
            <w:vAlign w:val="center"/>
            <w:hideMark/>
          </w:tcPr>
          <w:p w14:paraId="785AA62A" w14:textId="77777777" w:rsidR="00790463" w:rsidRDefault="00790463">
            <w:pPr>
              <w:jc w:val="center"/>
              <w:rPr>
                <w:rFonts w:ascii="Arial" w:hAnsi="Arial" w:cs="Arial"/>
                <w:color w:val="000000" w:themeColor="text1"/>
              </w:rPr>
            </w:pPr>
            <w:r>
              <w:rPr>
                <w:rFonts w:ascii="Arial" w:hAnsi="Arial" w:cs="Arial"/>
                <w:color w:val="000000" w:themeColor="text1"/>
              </w:rPr>
              <w:t>6 months</w:t>
            </w:r>
          </w:p>
        </w:tc>
        <w:tc>
          <w:tcPr>
            <w:tcW w:w="1300" w:type="dxa"/>
            <w:tcBorders>
              <w:top w:val="nil"/>
              <w:left w:val="nil"/>
              <w:bottom w:val="nil"/>
              <w:right w:val="nil"/>
            </w:tcBorders>
            <w:noWrap/>
            <w:vAlign w:val="center"/>
            <w:hideMark/>
          </w:tcPr>
          <w:p w14:paraId="48A59DE1" w14:textId="77777777" w:rsidR="00790463" w:rsidRDefault="00790463">
            <w:pPr>
              <w:jc w:val="center"/>
              <w:rPr>
                <w:rFonts w:ascii="Arial" w:hAnsi="Arial" w:cs="Arial"/>
                <w:color w:val="000000" w:themeColor="text1"/>
              </w:rPr>
            </w:pPr>
            <w:r>
              <w:rPr>
                <w:rFonts w:ascii="Arial" w:hAnsi="Arial" w:cs="Arial"/>
                <w:color w:val="000000" w:themeColor="text1"/>
              </w:rPr>
              <w:t>1.84</w:t>
            </w:r>
          </w:p>
        </w:tc>
        <w:tc>
          <w:tcPr>
            <w:tcW w:w="1300" w:type="dxa"/>
            <w:tcBorders>
              <w:top w:val="nil"/>
              <w:left w:val="nil"/>
              <w:bottom w:val="nil"/>
              <w:right w:val="nil"/>
            </w:tcBorders>
            <w:vAlign w:val="center"/>
            <w:hideMark/>
          </w:tcPr>
          <w:p w14:paraId="14A6AE10" w14:textId="77777777" w:rsidR="00790463" w:rsidRDefault="00790463">
            <w:pPr>
              <w:jc w:val="center"/>
              <w:rPr>
                <w:rFonts w:ascii="Arial" w:hAnsi="Arial" w:cs="Arial"/>
                <w:color w:val="000000" w:themeColor="text1"/>
              </w:rPr>
            </w:pPr>
            <w:r>
              <w:rPr>
                <w:rFonts w:ascii="Arial" w:hAnsi="Arial" w:cs="Arial"/>
                <w:color w:val="000000" w:themeColor="text1"/>
              </w:rPr>
              <w:t>10 years</w:t>
            </w:r>
          </w:p>
        </w:tc>
        <w:tc>
          <w:tcPr>
            <w:tcW w:w="1300" w:type="dxa"/>
            <w:tcBorders>
              <w:top w:val="nil"/>
              <w:left w:val="nil"/>
              <w:bottom w:val="nil"/>
              <w:right w:val="nil"/>
            </w:tcBorders>
            <w:vAlign w:val="center"/>
            <w:hideMark/>
          </w:tcPr>
          <w:p w14:paraId="59704FD0" w14:textId="77777777" w:rsidR="00790463" w:rsidRDefault="00790463">
            <w:pPr>
              <w:jc w:val="center"/>
              <w:rPr>
                <w:rFonts w:ascii="Arial" w:hAnsi="Arial" w:cs="Arial"/>
                <w:color w:val="000000" w:themeColor="text1"/>
              </w:rPr>
            </w:pPr>
            <w:r>
              <w:rPr>
                <w:rFonts w:ascii="Arial" w:hAnsi="Arial" w:cs="Arial"/>
                <w:color w:val="000000" w:themeColor="text1"/>
              </w:rPr>
              <w:t>4.53</w:t>
            </w:r>
          </w:p>
        </w:tc>
      </w:tr>
      <w:tr w:rsidR="00790463" w14:paraId="2F3A278E" w14:textId="77777777" w:rsidTr="00790463">
        <w:trPr>
          <w:trHeight w:val="288"/>
          <w:jc w:val="center"/>
        </w:trPr>
        <w:tc>
          <w:tcPr>
            <w:tcW w:w="1300" w:type="dxa"/>
            <w:tcBorders>
              <w:top w:val="nil"/>
              <w:left w:val="nil"/>
              <w:bottom w:val="nil"/>
              <w:right w:val="nil"/>
            </w:tcBorders>
            <w:noWrap/>
            <w:vAlign w:val="center"/>
            <w:hideMark/>
          </w:tcPr>
          <w:p w14:paraId="17AF5536" w14:textId="77777777" w:rsidR="00790463" w:rsidRDefault="00790463">
            <w:pPr>
              <w:jc w:val="center"/>
              <w:rPr>
                <w:rFonts w:ascii="Arial" w:hAnsi="Arial" w:cs="Arial"/>
                <w:color w:val="000000" w:themeColor="text1"/>
              </w:rPr>
            </w:pPr>
            <w:r>
              <w:rPr>
                <w:rFonts w:ascii="Arial" w:hAnsi="Arial" w:cs="Arial"/>
                <w:color w:val="000000" w:themeColor="text1"/>
              </w:rPr>
              <w:t>1 year</w:t>
            </w:r>
          </w:p>
        </w:tc>
        <w:tc>
          <w:tcPr>
            <w:tcW w:w="1300" w:type="dxa"/>
            <w:tcBorders>
              <w:top w:val="nil"/>
              <w:left w:val="nil"/>
              <w:bottom w:val="nil"/>
              <w:right w:val="nil"/>
            </w:tcBorders>
            <w:noWrap/>
            <w:vAlign w:val="center"/>
            <w:hideMark/>
          </w:tcPr>
          <w:p w14:paraId="3C64C977" w14:textId="77777777" w:rsidR="00790463" w:rsidRDefault="00790463">
            <w:pPr>
              <w:jc w:val="center"/>
              <w:rPr>
                <w:rFonts w:ascii="Arial" w:hAnsi="Arial" w:cs="Arial"/>
                <w:color w:val="000000" w:themeColor="text1"/>
              </w:rPr>
            </w:pPr>
            <w:r>
              <w:rPr>
                <w:rFonts w:ascii="Arial" w:hAnsi="Arial" w:cs="Arial"/>
                <w:color w:val="000000" w:themeColor="text1"/>
              </w:rPr>
              <w:t>2.90</w:t>
            </w:r>
          </w:p>
        </w:tc>
        <w:tc>
          <w:tcPr>
            <w:tcW w:w="1300" w:type="dxa"/>
            <w:tcBorders>
              <w:top w:val="nil"/>
              <w:left w:val="nil"/>
              <w:bottom w:val="nil"/>
              <w:right w:val="nil"/>
            </w:tcBorders>
            <w:vAlign w:val="center"/>
            <w:hideMark/>
          </w:tcPr>
          <w:p w14:paraId="0191B3B3" w14:textId="77777777" w:rsidR="00790463" w:rsidRDefault="00790463">
            <w:pPr>
              <w:jc w:val="center"/>
              <w:rPr>
                <w:rFonts w:ascii="Arial" w:hAnsi="Arial" w:cs="Arial"/>
                <w:color w:val="000000" w:themeColor="text1"/>
              </w:rPr>
            </w:pPr>
            <w:r>
              <w:rPr>
                <w:rFonts w:ascii="Arial" w:hAnsi="Arial" w:cs="Arial"/>
                <w:color w:val="000000" w:themeColor="text1"/>
              </w:rPr>
              <w:t>20 years</w:t>
            </w:r>
          </w:p>
        </w:tc>
        <w:tc>
          <w:tcPr>
            <w:tcW w:w="1300" w:type="dxa"/>
            <w:tcBorders>
              <w:top w:val="nil"/>
              <w:left w:val="nil"/>
              <w:bottom w:val="nil"/>
              <w:right w:val="nil"/>
            </w:tcBorders>
            <w:vAlign w:val="center"/>
            <w:hideMark/>
          </w:tcPr>
          <w:p w14:paraId="4DA788DB" w14:textId="77777777" w:rsidR="00790463" w:rsidRDefault="00790463">
            <w:pPr>
              <w:jc w:val="center"/>
              <w:rPr>
                <w:rFonts w:ascii="Arial" w:hAnsi="Arial" w:cs="Arial"/>
                <w:color w:val="000000" w:themeColor="text1"/>
              </w:rPr>
            </w:pPr>
            <w:r>
              <w:rPr>
                <w:rFonts w:ascii="Arial" w:hAnsi="Arial" w:cs="Arial"/>
                <w:color w:val="000000" w:themeColor="text1"/>
              </w:rPr>
              <w:t>5.61</w:t>
            </w:r>
          </w:p>
        </w:tc>
      </w:tr>
      <w:tr w:rsidR="00790463" w14:paraId="5B47D7B9" w14:textId="77777777" w:rsidTr="00790463">
        <w:trPr>
          <w:trHeight w:val="288"/>
          <w:jc w:val="center"/>
        </w:trPr>
        <w:tc>
          <w:tcPr>
            <w:tcW w:w="1300" w:type="dxa"/>
            <w:tcBorders>
              <w:top w:val="nil"/>
              <w:left w:val="nil"/>
              <w:bottom w:val="single" w:sz="4" w:space="0" w:color="auto"/>
              <w:right w:val="nil"/>
            </w:tcBorders>
            <w:noWrap/>
            <w:vAlign w:val="center"/>
            <w:hideMark/>
          </w:tcPr>
          <w:p w14:paraId="650C4A66" w14:textId="77777777" w:rsidR="00790463" w:rsidRDefault="00790463">
            <w:pPr>
              <w:jc w:val="center"/>
              <w:rPr>
                <w:rFonts w:ascii="Arial" w:hAnsi="Arial" w:cs="Arial"/>
                <w:color w:val="000000" w:themeColor="text1"/>
              </w:rPr>
            </w:pPr>
            <w:r>
              <w:rPr>
                <w:rFonts w:ascii="Arial" w:hAnsi="Arial" w:cs="Arial"/>
                <w:color w:val="000000" w:themeColor="text1"/>
              </w:rPr>
              <w:t>5 years</w:t>
            </w:r>
          </w:p>
        </w:tc>
        <w:tc>
          <w:tcPr>
            <w:tcW w:w="1300" w:type="dxa"/>
            <w:tcBorders>
              <w:top w:val="nil"/>
              <w:left w:val="nil"/>
              <w:bottom w:val="single" w:sz="4" w:space="0" w:color="auto"/>
              <w:right w:val="nil"/>
            </w:tcBorders>
            <w:noWrap/>
            <w:vAlign w:val="center"/>
            <w:hideMark/>
          </w:tcPr>
          <w:p w14:paraId="238F26C3" w14:textId="77777777" w:rsidR="00790463" w:rsidRDefault="00790463">
            <w:pPr>
              <w:jc w:val="center"/>
              <w:rPr>
                <w:rFonts w:ascii="Arial" w:hAnsi="Arial" w:cs="Arial"/>
                <w:color w:val="000000" w:themeColor="text1"/>
              </w:rPr>
            </w:pPr>
            <w:r>
              <w:rPr>
                <w:rFonts w:ascii="Arial" w:hAnsi="Arial" w:cs="Arial"/>
                <w:color w:val="000000" w:themeColor="text1"/>
              </w:rPr>
              <w:t>4.88</w:t>
            </w:r>
          </w:p>
        </w:tc>
        <w:tc>
          <w:tcPr>
            <w:tcW w:w="1300" w:type="dxa"/>
            <w:tcBorders>
              <w:top w:val="nil"/>
              <w:left w:val="nil"/>
              <w:bottom w:val="single" w:sz="4" w:space="0" w:color="auto"/>
              <w:right w:val="nil"/>
            </w:tcBorders>
            <w:vAlign w:val="center"/>
            <w:hideMark/>
          </w:tcPr>
          <w:p w14:paraId="45CEDC68" w14:textId="77777777" w:rsidR="00790463" w:rsidRDefault="00790463">
            <w:pPr>
              <w:jc w:val="center"/>
              <w:rPr>
                <w:rFonts w:ascii="Arial" w:hAnsi="Arial" w:cs="Arial"/>
                <w:color w:val="000000" w:themeColor="text1"/>
              </w:rPr>
            </w:pPr>
            <w:r>
              <w:rPr>
                <w:rFonts w:ascii="Arial" w:hAnsi="Arial" w:cs="Arial"/>
                <w:color w:val="000000" w:themeColor="text1"/>
              </w:rPr>
              <w:t xml:space="preserve"> </w:t>
            </w:r>
          </w:p>
        </w:tc>
        <w:tc>
          <w:tcPr>
            <w:tcW w:w="1300" w:type="dxa"/>
            <w:tcBorders>
              <w:top w:val="nil"/>
              <w:left w:val="nil"/>
              <w:bottom w:val="single" w:sz="4" w:space="0" w:color="auto"/>
              <w:right w:val="nil"/>
            </w:tcBorders>
            <w:vAlign w:val="center"/>
            <w:hideMark/>
          </w:tcPr>
          <w:p w14:paraId="2BEA6C42" w14:textId="77777777" w:rsidR="00790463" w:rsidRDefault="00790463">
            <w:pPr>
              <w:jc w:val="center"/>
              <w:rPr>
                <w:rFonts w:ascii="Arial" w:hAnsi="Arial" w:cs="Arial"/>
                <w:color w:val="000000" w:themeColor="text1"/>
              </w:rPr>
            </w:pPr>
            <w:r>
              <w:rPr>
                <w:rFonts w:ascii="Arial" w:hAnsi="Arial" w:cs="Arial"/>
                <w:color w:val="000000" w:themeColor="text1"/>
              </w:rPr>
              <w:t xml:space="preserve"> </w:t>
            </w:r>
          </w:p>
        </w:tc>
      </w:tr>
    </w:tbl>
    <w:p w14:paraId="6E2BB370" w14:textId="77777777" w:rsidR="00790463" w:rsidRDefault="00790463" w:rsidP="00790463">
      <w:pPr>
        <w:pStyle w:val="ExhibitText"/>
        <w:rPr>
          <w:lang w:val="en-GB"/>
        </w:rPr>
      </w:pPr>
    </w:p>
    <w:p w14:paraId="1D8FCAB9" w14:textId="77777777" w:rsidR="00790463" w:rsidRDefault="00790463" w:rsidP="00790463">
      <w:pPr>
        <w:pStyle w:val="Footnote"/>
      </w:pPr>
      <w:r>
        <w:t xml:space="preserve">Note: The Philippine Dealing System is a regulated capital market infrastructure that provides trading, clearing, settlement, and post-settlement services across different asset classes in the Philippines. The Philippine Dealing System Treasury Reference Rates (PDST-R1 and PDST-R2) are interest rates, composed of benchmark securities and non-benchmark securities, to be used as reference rates for daily market valuation of Philippine Treasury instruments and other interest-rate-sensitive instruments. </w:t>
      </w:r>
    </w:p>
    <w:p w14:paraId="3060D893" w14:textId="77777777" w:rsidR="00790463" w:rsidRDefault="00790463" w:rsidP="00790463">
      <w:pPr>
        <w:pStyle w:val="Footnote"/>
      </w:pPr>
      <w:r>
        <w:t xml:space="preserve">Source: Philippine Dealing &amp; Exchange Corp., </w:t>
      </w:r>
      <w:r>
        <w:rPr>
          <w:i/>
        </w:rPr>
        <w:t>Philippine Treasury Reference Rates—PM (PDST-R2)</w:t>
      </w:r>
      <w:r>
        <w:t>, accessed October 9, 2018, www.pds.com.ph/wp-content/uploads/2018/10/09-2018-PDST-R2-TABLE.pdf.</w:t>
      </w:r>
    </w:p>
    <w:p w14:paraId="0E61502E" w14:textId="77777777" w:rsidR="00790463" w:rsidRDefault="00790463" w:rsidP="00790463">
      <w:pPr>
        <w:pStyle w:val="ExhibitText"/>
      </w:pPr>
    </w:p>
    <w:p w14:paraId="464DA0D8" w14:textId="77777777" w:rsidR="00790463" w:rsidRDefault="00790463" w:rsidP="00790463">
      <w:pPr>
        <w:pStyle w:val="ExhibitText"/>
      </w:pPr>
    </w:p>
    <w:p w14:paraId="2B2057C9" w14:textId="77777777" w:rsidR="00790463" w:rsidRDefault="00790463" w:rsidP="00790463">
      <w:pPr>
        <w:pStyle w:val="ExhibitHeading"/>
      </w:pPr>
      <w:r>
        <w:t>EXHIBIT 6: USE OF SHAKEY’S Initial Public Offering Proceeds</w:t>
      </w:r>
    </w:p>
    <w:p w14:paraId="12D48148" w14:textId="77777777" w:rsidR="00790463" w:rsidRDefault="00790463" w:rsidP="00790463">
      <w:pPr>
        <w:pStyle w:val="ExhibitText"/>
      </w:pP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5"/>
        <w:gridCol w:w="2142"/>
        <w:gridCol w:w="2143"/>
      </w:tblGrid>
      <w:tr w:rsidR="00790463" w14:paraId="0F7C00C6" w14:textId="77777777" w:rsidTr="00790463">
        <w:trPr>
          <w:trHeight w:val="288"/>
          <w:jc w:val="center"/>
        </w:trPr>
        <w:tc>
          <w:tcPr>
            <w:tcW w:w="5069" w:type="dxa"/>
            <w:tcBorders>
              <w:top w:val="single" w:sz="4" w:space="0" w:color="auto"/>
              <w:left w:val="nil"/>
              <w:bottom w:val="single" w:sz="12" w:space="0" w:color="auto"/>
              <w:right w:val="nil"/>
            </w:tcBorders>
            <w:noWrap/>
            <w:vAlign w:val="center"/>
            <w:hideMark/>
          </w:tcPr>
          <w:p w14:paraId="7D7050AA" w14:textId="77777777" w:rsidR="00790463" w:rsidRDefault="00790463">
            <w:pPr>
              <w:rPr>
                <w:rFonts w:ascii="Arial" w:hAnsi="Arial" w:cs="Arial"/>
                <w:b/>
                <w:bCs/>
                <w:color w:val="000000" w:themeColor="text1"/>
              </w:rPr>
            </w:pPr>
            <w:r>
              <w:rPr>
                <w:rFonts w:ascii="Arial" w:hAnsi="Arial" w:cs="Arial"/>
                <w:b/>
                <w:bCs/>
                <w:color w:val="000000" w:themeColor="text1"/>
              </w:rPr>
              <w:t>Total Proceeds</w:t>
            </w:r>
          </w:p>
        </w:tc>
        <w:tc>
          <w:tcPr>
            <w:tcW w:w="2140" w:type="dxa"/>
            <w:tcBorders>
              <w:top w:val="single" w:sz="4" w:space="0" w:color="auto"/>
              <w:left w:val="nil"/>
              <w:bottom w:val="single" w:sz="12" w:space="0" w:color="auto"/>
              <w:right w:val="nil"/>
            </w:tcBorders>
            <w:noWrap/>
            <w:vAlign w:val="center"/>
            <w:hideMark/>
          </w:tcPr>
          <w:p w14:paraId="58D37BB9" w14:textId="77777777" w:rsidR="00790463" w:rsidRDefault="00790463">
            <w:pPr>
              <w:jc w:val="center"/>
              <w:rPr>
                <w:rFonts w:ascii="Arial" w:hAnsi="Arial" w:cs="Arial"/>
                <w:b/>
                <w:bCs/>
                <w:color w:val="000000" w:themeColor="text1"/>
              </w:rPr>
            </w:pPr>
            <w:r>
              <w:rPr>
                <w:rFonts w:ascii="Arial" w:hAnsi="Arial" w:cs="Arial"/>
                <w:b/>
                <w:bCs/>
                <w:color w:val="000000" w:themeColor="text1"/>
              </w:rPr>
              <w:t>Common Shares</w:t>
            </w:r>
          </w:p>
        </w:tc>
        <w:tc>
          <w:tcPr>
            <w:tcW w:w="2141" w:type="dxa"/>
            <w:tcBorders>
              <w:top w:val="single" w:sz="4" w:space="0" w:color="auto"/>
              <w:left w:val="nil"/>
              <w:bottom w:val="single" w:sz="12" w:space="0" w:color="auto"/>
              <w:right w:val="nil"/>
            </w:tcBorders>
            <w:vAlign w:val="center"/>
            <w:hideMark/>
          </w:tcPr>
          <w:p w14:paraId="443E4CB0" w14:textId="77777777" w:rsidR="00790463" w:rsidRDefault="00790463">
            <w:pPr>
              <w:jc w:val="center"/>
              <w:rPr>
                <w:rFonts w:ascii="Arial" w:hAnsi="Arial" w:cs="Arial"/>
                <w:b/>
                <w:bCs/>
                <w:color w:val="000000" w:themeColor="text1"/>
              </w:rPr>
            </w:pPr>
            <w:r>
              <w:rPr>
                <w:rFonts w:ascii="Arial" w:hAnsi="Arial" w:cs="Arial"/>
                <w:b/>
                <w:bCs/>
                <w:color w:val="000000" w:themeColor="text1"/>
              </w:rPr>
              <w:t>Amount</w:t>
            </w:r>
          </w:p>
          <w:p w14:paraId="2510C5AB" w14:textId="77777777" w:rsidR="00790463" w:rsidRDefault="00790463">
            <w:pPr>
              <w:jc w:val="center"/>
              <w:rPr>
                <w:rFonts w:ascii="Arial" w:hAnsi="Arial" w:cs="Arial"/>
                <w:b/>
                <w:bCs/>
                <w:color w:val="000000" w:themeColor="text1"/>
              </w:rPr>
            </w:pPr>
            <w:r>
              <w:rPr>
                <w:rFonts w:ascii="Arial" w:hAnsi="Arial" w:cs="Arial"/>
                <w:b/>
                <w:bCs/>
                <w:color w:val="000000" w:themeColor="text1"/>
              </w:rPr>
              <w:t>(₱11.26 per share)</w:t>
            </w:r>
          </w:p>
        </w:tc>
      </w:tr>
      <w:tr w:rsidR="00790463" w14:paraId="114FD15B" w14:textId="77777777" w:rsidTr="00790463">
        <w:trPr>
          <w:trHeight w:val="288"/>
          <w:jc w:val="center"/>
        </w:trPr>
        <w:tc>
          <w:tcPr>
            <w:tcW w:w="5069" w:type="dxa"/>
            <w:tcBorders>
              <w:top w:val="single" w:sz="12" w:space="0" w:color="auto"/>
              <w:left w:val="nil"/>
              <w:bottom w:val="nil"/>
              <w:right w:val="nil"/>
            </w:tcBorders>
            <w:noWrap/>
            <w:vAlign w:val="center"/>
            <w:hideMark/>
          </w:tcPr>
          <w:p w14:paraId="233662A1" w14:textId="77777777" w:rsidR="00790463" w:rsidRDefault="00790463">
            <w:pPr>
              <w:rPr>
                <w:rFonts w:ascii="Arial" w:hAnsi="Arial" w:cs="Arial"/>
                <w:color w:val="000000" w:themeColor="text1"/>
              </w:rPr>
            </w:pPr>
            <w:r>
              <w:rPr>
                <w:rFonts w:ascii="Arial" w:hAnsi="Arial" w:cs="Arial"/>
                <w:color w:val="000000" w:themeColor="text1"/>
              </w:rPr>
              <w:t>Primary shares*</w:t>
            </w:r>
          </w:p>
        </w:tc>
        <w:tc>
          <w:tcPr>
            <w:tcW w:w="2140" w:type="dxa"/>
            <w:tcBorders>
              <w:top w:val="single" w:sz="12" w:space="0" w:color="auto"/>
              <w:left w:val="nil"/>
              <w:bottom w:val="nil"/>
              <w:right w:val="nil"/>
            </w:tcBorders>
            <w:noWrap/>
            <w:vAlign w:val="center"/>
            <w:hideMark/>
          </w:tcPr>
          <w:p w14:paraId="787284E4" w14:textId="77777777" w:rsidR="00790463" w:rsidRDefault="00790463">
            <w:pPr>
              <w:jc w:val="right"/>
              <w:rPr>
                <w:rFonts w:ascii="Arial" w:hAnsi="Arial" w:cs="Arial"/>
                <w:color w:val="000000" w:themeColor="text1"/>
              </w:rPr>
            </w:pPr>
            <w:r>
              <w:rPr>
                <w:rFonts w:ascii="Arial" w:hAnsi="Arial" w:cs="Arial"/>
                <w:color w:val="000000" w:themeColor="text1"/>
              </w:rPr>
              <w:t>104,000,000</w:t>
            </w:r>
          </w:p>
        </w:tc>
        <w:tc>
          <w:tcPr>
            <w:tcW w:w="2141" w:type="dxa"/>
            <w:tcBorders>
              <w:top w:val="single" w:sz="12" w:space="0" w:color="auto"/>
              <w:left w:val="nil"/>
              <w:bottom w:val="nil"/>
              <w:right w:val="nil"/>
            </w:tcBorders>
            <w:noWrap/>
            <w:vAlign w:val="center"/>
            <w:hideMark/>
          </w:tcPr>
          <w:p w14:paraId="5C6106D4" w14:textId="77777777" w:rsidR="00790463" w:rsidRDefault="00790463">
            <w:pPr>
              <w:jc w:val="right"/>
              <w:rPr>
                <w:rFonts w:ascii="Arial" w:hAnsi="Arial" w:cs="Arial"/>
                <w:color w:val="000000" w:themeColor="text1"/>
              </w:rPr>
            </w:pPr>
            <w:r>
              <w:rPr>
                <w:rFonts w:ascii="Arial" w:hAnsi="Arial" w:cs="Arial"/>
                <w:color w:val="000000" w:themeColor="text1"/>
              </w:rPr>
              <w:t>1,171,040,000.00</w:t>
            </w:r>
          </w:p>
        </w:tc>
      </w:tr>
      <w:tr w:rsidR="00790463" w14:paraId="7C7924A1" w14:textId="77777777" w:rsidTr="00790463">
        <w:trPr>
          <w:trHeight w:val="288"/>
          <w:jc w:val="center"/>
        </w:trPr>
        <w:tc>
          <w:tcPr>
            <w:tcW w:w="5069" w:type="dxa"/>
            <w:tcBorders>
              <w:top w:val="nil"/>
              <w:left w:val="nil"/>
              <w:bottom w:val="nil"/>
              <w:right w:val="nil"/>
            </w:tcBorders>
            <w:noWrap/>
            <w:vAlign w:val="center"/>
            <w:hideMark/>
          </w:tcPr>
          <w:p w14:paraId="3E1F3779" w14:textId="77777777" w:rsidR="00790463" w:rsidRDefault="00790463">
            <w:pPr>
              <w:rPr>
                <w:rFonts w:ascii="Arial" w:hAnsi="Arial" w:cs="Arial"/>
                <w:color w:val="000000" w:themeColor="text1"/>
              </w:rPr>
            </w:pPr>
            <w:r>
              <w:rPr>
                <w:rFonts w:ascii="Arial" w:hAnsi="Arial" w:cs="Arial"/>
                <w:color w:val="000000" w:themeColor="text1"/>
              </w:rPr>
              <w:t>Secondary shares</w:t>
            </w:r>
          </w:p>
        </w:tc>
        <w:tc>
          <w:tcPr>
            <w:tcW w:w="2140" w:type="dxa"/>
            <w:tcBorders>
              <w:top w:val="nil"/>
              <w:left w:val="nil"/>
              <w:bottom w:val="nil"/>
              <w:right w:val="nil"/>
            </w:tcBorders>
            <w:noWrap/>
            <w:vAlign w:val="center"/>
            <w:hideMark/>
          </w:tcPr>
          <w:p w14:paraId="4E9FE543" w14:textId="77777777" w:rsidR="00790463" w:rsidRDefault="00790463">
            <w:pPr>
              <w:jc w:val="right"/>
              <w:rPr>
                <w:rFonts w:ascii="Arial" w:hAnsi="Arial" w:cs="Arial"/>
                <w:color w:val="000000" w:themeColor="text1"/>
              </w:rPr>
            </w:pPr>
            <w:r>
              <w:rPr>
                <w:rFonts w:ascii="Arial" w:hAnsi="Arial" w:cs="Arial"/>
                <w:color w:val="000000" w:themeColor="text1"/>
              </w:rPr>
              <w:t>202,000,000</w:t>
            </w:r>
          </w:p>
        </w:tc>
        <w:tc>
          <w:tcPr>
            <w:tcW w:w="2141" w:type="dxa"/>
            <w:tcBorders>
              <w:top w:val="nil"/>
              <w:left w:val="nil"/>
              <w:bottom w:val="nil"/>
              <w:right w:val="nil"/>
            </w:tcBorders>
            <w:noWrap/>
            <w:vAlign w:val="center"/>
            <w:hideMark/>
          </w:tcPr>
          <w:p w14:paraId="672B200B" w14:textId="77777777" w:rsidR="00790463" w:rsidRDefault="00790463">
            <w:pPr>
              <w:jc w:val="right"/>
              <w:rPr>
                <w:rFonts w:ascii="Arial" w:hAnsi="Arial" w:cs="Arial"/>
                <w:color w:val="000000" w:themeColor="text1"/>
              </w:rPr>
            </w:pPr>
            <w:r>
              <w:rPr>
                <w:rFonts w:ascii="Arial" w:hAnsi="Arial" w:cs="Arial"/>
                <w:color w:val="000000" w:themeColor="text1"/>
              </w:rPr>
              <w:t>2,274,520,000.00</w:t>
            </w:r>
          </w:p>
        </w:tc>
      </w:tr>
      <w:tr w:rsidR="00790463" w14:paraId="758911F4" w14:textId="77777777" w:rsidTr="00790463">
        <w:trPr>
          <w:trHeight w:val="288"/>
          <w:jc w:val="center"/>
        </w:trPr>
        <w:tc>
          <w:tcPr>
            <w:tcW w:w="5069" w:type="dxa"/>
            <w:tcBorders>
              <w:top w:val="nil"/>
              <w:left w:val="nil"/>
              <w:bottom w:val="single" w:sz="4" w:space="0" w:color="auto"/>
              <w:right w:val="nil"/>
            </w:tcBorders>
            <w:noWrap/>
            <w:vAlign w:val="center"/>
            <w:hideMark/>
          </w:tcPr>
          <w:p w14:paraId="4E7F1E23" w14:textId="77777777" w:rsidR="00790463" w:rsidRDefault="00790463">
            <w:pPr>
              <w:rPr>
                <w:rFonts w:ascii="Arial" w:hAnsi="Arial" w:cs="Arial"/>
                <w:color w:val="000000" w:themeColor="text1"/>
              </w:rPr>
            </w:pPr>
            <w:r>
              <w:rPr>
                <w:rFonts w:ascii="Arial" w:hAnsi="Arial" w:cs="Arial"/>
                <w:color w:val="000000" w:themeColor="text1"/>
              </w:rPr>
              <w:t>Total common shares</w:t>
            </w:r>
          </w:p>
        </w:tc>
        <w:tc>
          <w:tcPr>
            <w:tcW w:w="2140" w:type="dxa"/>
            <w:tcBorders>
              <w:top w:val="nil"/>
              <w:left w:val="nil"/>
              <w:bottom w:val="single" w:sz="4" w:space="0" w:color="auto"/>
              <w:right w:val="nil"/>
            </w:tcBorders>
            <w:noWrap/>
            <w:vAlign w:val="center"/>
            <w:hideMark/>
          </w:tcPr>
          <w:p w14:paraId="7DB4030C" w14:textId="77777777" w:rsidR="00790463" w:rsidRDefault="00790463">
            <w:pPr>
              <w:jc w:val="right"/>
              <w:rPr>
                <w:rFonts w:ascii="Arial" w:hAnsi="Arial" w:cs="Arial"/>
                <w:color w:val="000000" w:themeColor="text1"/>
              </w:rPr>
            </w:pPr>
            <w:r>
              <w:rPr>
                <w:rFonts w:ascii="Arial" w:hAnsi="Arial" w:cs="Arial"/>
                <w:color w:val="000000" w:themeColor="text1"/>
              </w:rPr>
              <w:t>306,000,000</w:t>
            </w:r>
          </w:p>
        </w:tc>
        <w:tc>
          <w:tcPr>
            <w:tcW w:w="2141" w:type="dxa"/>
            <w:tcBorders>
              <w:top w:val="nil"/>
              <w:left w:val="nil"/>
              <w:bottom w:val="single" w:sz="4" w:space="0" w:color="auto"/>
              <w:right w:val="nil"/>
            </w:tcBorders>
            <w:noWrap/>
            <w:vAlign w:val="center"/>
            <w:hideMark/>
          </w:tcPr>
          <w:p w14:paraId="7DE5D77F" w14:textId="77777777" w:rsidR="00790463" w:rsidRDefault="00790463">
            <w:pPr>
              <w:jc w:val="right"/>
              <w:rPr>
                <w:rFonts w:ascii="Arial" w:hAnsi="Arial" w:cs="Arial"/>
                <w:color w:val="000000" w:themeColor="text1"/>
              </w:rPr>
            </w:pPr>
            <w:r>
              <w:rPr>
                <w:rFonts w:ascii="Arial" w:hAnsi="Arial" w:cs="Arial"/>
                <w:color w:val="000000" w:themeColor="text1"/>
              </w:rPr>
              <w:t>3,445,560,000.00</w:t>
            </w:r>
          </w:p>
        </w:tc>
      </w:tr>
      <w:tr w:rsidR="00790463" w14:paraId="70B1B65C" w14:textId="77777777" w:rsidTr="00790463">
        <w:trPr>
          <w:trHeight w:val="288"/>
          <w:jc w:val="center"/>
        </w:trPr>
        <w:tc>
          <w:tcPr>
            <w:tcW w:w="5069" w:type="dxa"/>
            <w:tcBorders>
              <w:top w:val="single" w:sz="4" w:space="0" w:color="auto"/>
              <w:left w:val="nil"/>
              <w:bottom w:val="single" w:sz="12" w:space="0" w:color="auto"/>
              <w:right w:val="nil"/>
            </w:tcBorders>
            <w:noWrap/>
            <w:vAlign w:val="center"/>
            <w:hideMark/>
          </w:tcPr>
          <w:p w14:paraId="2682B05C" w14:textId="77777777" w:rsidR="00790463" w:rsidRDefault="00790463">
            <w:pPr>
              <w:rPr>
                <w:rFonts w:ascii="Arial" w:hAnsi="Arial" w:cs="Arial"/>
                <w:b/>
                <w:bCs/>
                <w:color w:val="000000" w:themeColor="text1"/>
              </w:rPr>
            </w:pPr>
            <w:r>
              <w:rPr>
                <w:rFonts w:ascii="Arial" w:hAnsi="Arial" w:cs="Arial"/>
                <w:b/>
                <w:bCs/>
                <w:color w:val="000000" w:themeColor="text1"/>
              </w:rPr>
              <w:t>Use of Proceeds</w:t>
            </w:r>
          </w:p>
        </w:tc>
        <w:tc>
          <w:tcPr>
            <w:tcW w:w="2140" w:type="dxa"/>
            <w:tcBorders>
              <w:top w:val="single" w:sz="4" w:space="0" w:color="auto"/>
              <w:left w:val="nil"/>
              <w:bottom w:val="single" w:sz="12" w:space="0" w:color="auto"/>
              <w:right w:val="nil"/>
            </w:tcBorders>
            <w:noWrap/>
            <w:vAlign w:val="center"/>
            <w:hideMark/>
          </w:tcPr>
          <w:p w14:paraId="7EB4707E" w14:textId="77777777" w:rsidR="00790463" w:rsidRDefault="00790463">
            <w:pPr>
              <w:jc w:val="center"/>
              <w:rPr>
                <w:rFonts w:ascii="Arial" w:hAnsi="Arial" w:cs="Arial"/>
                <w:b/>
                <w:bCs/>
                <w:color w:val="000000" w:themeColor="text1"/>
              </w:rPr>
            </w:pPr>
            <w:r>
              <w:rPr>
                <w:rFonts w:ascii="Arial" w:hAnsi="Arial" w:cs="Arial"/>
                <w:b/>
                <w:bCs/>
                <w:color w:val="000000" w:themeColor="text1"/>
              </w:rPr>
              <w:t>Amount (₱)</w:t>
            </w:r>
          </w:p>
        </w:tc>
        <w:tc>
          <w:tcPr>
            <w:tcW w:w="2141" w:type="dxa"/>
            <w:tcBorders>
              <w:top w:val="single" w:sz="4" w:space="0" w:color="auto"/>
              <w:left w:val="nil"/>
              <w:bottom w:val="single" w:sz="12" w:space="0" w:color="auto"/>
              <w:right w:val="nil"/>
            </w:tcBorders>
            <w:noWrap/>
            <w:vAlign w:val="center"/>
            <w:hideMark/>
          </w:tcPr>
          <w:p w14:paraId="6B4C7F04" w14:textId="77777777" w:rsidR="00790463" w:rsidRDefault="00790463">
            <w:pPr>
              <w:jc w:val="center"/>
              <w:rPr>
                <w:rFonts w:ascii="Arial" w:hAnsi="Arial" w:cs="Arial"/>
                <w:b/>
                <w:bCs/>
                <w:color w:val="000000" w:themeColor="text1"/>
              </w:rPr>
            </w:pPr>
            <w:r>
              <w:rPr>
                <w:rFonts w:ascii="Arial" w:hAnsi="Arial" w:cs="Arial"/>
                <w:b/>
                <w:bCs/>
                <w:color w:val="000000" w:themeColor="text1"/>
              </w:rPr>
              <w:t>Weight (%)</w:t>
            </w:r>
          </w:p>
        </w:tc>
      </w:tr>
      <w:tr w:rsidR="00790463" w14:paraId="1225DAD3" w14:textId="77777777" w:rsidTr="00790463">
        <w:trPr>
          <w:trHeight w:val="288"/>
          <w:jc w:val="center"/>
        </w:trPr>
        <w:tc>
          <w:tcPr>
            <w:tcW w:w="5069" w:type="dxa"/>
            <w:tcBorders>
              <w:top w:val="single" w:sz="12" w:space="0" w:color="auto"/>
              <w:left w:val="nil"/>
              <w:bottom w:val="nil"/>
              <w:right w:val="nil"/>
            </w:tcBorders>
            <w:noWrap/>
            <w:vAlign w:val="center"/>
            <w:hideMark/>
          </w:tcPr>
          <w:p w14:paraId="6CADD5A4" w14:textId="77777777" w:rsidR="00790463" w:rsidRDefault="00790463">
            <w:pPr>
              <w:rPr>
                <w:rFonts w:ascii="Arial" w:hAnsi="Arial" w:cs="Arial"/>
                <w:color w:val="000000" w:themeColor="text1"/>
              </w:rPr>
            </w:pPr>
            <w:r>
              <w:rPr>
                <w:rFonts w:ascii="Arial" w:hAnsi="Arial" w:cs="Arial"/>
                <w:color w:val="000000" w:themeColor="text1"/>
              </w:rPr>
              <w:t>Debt repayment</w:t>
            </w:r>
          </w:p>
        </w:tc>
        <w:tc>
          <w:tcPr>
            <w:tcW w:w="2140" w:type="dxa"/>
            <w:tcBorders>
              <w:top w:val="single" w:sz="12" w:space="0" w:color="auto"/>
              <w:left w:val="nil"/>
              <w:bottom w:val="nil"/>
              <w:right w:val="nil"/>
            </w:tcBorders>
            <w:noWrap/>
            <w:vAlign w:val="center"/>
            <w:hideMark/>
          </w:tcPr>
          <w:p w14:paraId="63E9D5E8" w14:textId="77777777" w:rsidR="00790463" w:rsidRDefault="00790463">
            <w:pPr>
              <w:jc w:val="right"/>
              <w:rPr>
                <w:rFonts w:ascii="Arial" w:hAnsi="Arial" w:cs="Arial"/>
                <w:color w:val="000000" w:themeColor="text1"/>
              </w:rPr>
            </w:pPr>
            <w:r>
              <w:rPr>
                <w:rFonts w:ascii="Arial" w:hAnsi="Arial" w:cs="Arial"/>
                <w:color w:val="000000" w:themeColor="text1"/>
              </w:rPr>
              <w:t>940,300,000.00</w:t>
            </w:r>
          </w:p>
        </w:tc>
        <w:tc>
          <w:tcPr>
            <w:tcW w:w="2141" w:type="dxa"/>
            <w:tcBorders>
              <w:top w:val="single" w:sz="12" w:space="0" w:color="auto"/>
              <w:left w:val="nil"/>
              <w:bottom w:val="nil"/>
              <w:right w:val="nil"/>
            </w:tcBorders>
            <w:noWrap/>
            <w:vAlign w:val="center"/>
            <w:hideMark/>
          </w:tcPr>
          <w:p w14:paraId="1CC023B0" w14:textId="77777777" w:rsidR="00790463" w:rsidRDefault="00790463">
            <w:pPr>
              <w:jc w:val="right"/>
              <w:rPr>
                <w:rFonts w:ascii="Arial" w:hAnsi="Arial" w:cs="Arial"/>
                <w:color w:val="000000" w:themeColor="text1"/>
              </w:rPr>
            </w:pPr>
            <w:r>
              <w:rPr>
                <w:rFonts w:ascii="Arial" w:hAnsi="Arial" w:cs="Arial"/>
                <w:color w:val="000000" w:themeColor="text1"/>
              </w:rPr>
              <w:t>87.28</w:t>
            </w:r>
          </w:p>
        </w:tc>
      </w:tr>
      <w:tr w:rsidR="00790463" w14:paraId="4377730C" w14:textId="77777777" w:rsidTr="00790463">
        <w:trPr>
          <w:trHeight w:val="288"/>
          <w:jc w:val="center"/>
        </w:trPr>
        <w:tc>
          <w:tcPr>
            <w:tcW w:w="5069" w:type="dxa"/>
            <w:tcBorders>
              <w:top w:val="nil"/>
              <w:left w:val="nil"/>
              <w:bottom w:val="nil"/>
              <w:right w:val="nil"/>
            </w:tcBorders>
            <w:vAlign w:val="center"/>
            <w:hideMark/>
          </w:tcPr>
          <w:p w14:paraId="514899DB" w14:textId="77777777" w:rsidR="00790463" w:rsidRDefault="00790463">
            <w:pPr>
              <w:rPr>
                <w:rFonts w:ascii="Arial" w:hAnsi="Arial" w:cs="Arial"/>
                <w:color w:val="000000" w:themeColor="text1"/>
              </w:rPr>
            </w:pPr>
            <w:r>
              <w:rPr>
                <w:rFonts w:ascii="Arial" w:hAnsi="Arial" w:cs="Arial"/>
                <w:color w:val="000000" w:themeColor="text1"/>
              </w:rPr>
              <w:t>Capital expenditures for commissary expansion and relocation of corporate headquarters</w:t>
            </w:r>
          </w:p>
        </w:tc>
        <w:tc>
          <w:tcPr>
            <w:tcW w:w="2140" w:type="dxa"/>
            <w:tcBorders>
              <w:top w:val="nil"/>
              <w:left w:val="nil"/>
              <w:bottom w:val="nil"/>
              <w:right w:val="nil"/>
            </w:tcBorders>
            <w:noWrap/>
            <w:vAlign w:val="center"/>
            <w:hideMark/>
          </w:tcPr>
          <w:p w14:paraId="69435227" w14:textId="77777777" w:rsidR="00790463" w:rsidRDefault="00790463">
            <w:pPr>
              <w:jc w:val="right"/>
              <w:rPr>
                <w:rFonts w:ascii="Arial" w:hAnsi="Arial" w:cs="Arial"/>
                <w:color w:val="000000" w:themeColor="text1"/>
              </w:rPr>
            </w:pPr>
            <w:r>
              <w:rPr>
                <w:rFonts w:ascii="Arial" w:hAnsi="Arial" w:cs="Arial"/>
                <w:color w:val="000000" w:themeColor="text1"/>
              </w:rPr>
              <w:t>137,000,000.00</w:t>
            </w:r>
          </w:p>
        </w:tc>
        <w:tc>
          <w:tcPr>
            <w:tcW w:w="2141" w:type="dxa"/>
            <w:tcBorders>
              <w:top w:val="nil"/>
              <w:left w:val="nil"/>
              <w:bottom w:val="nil"/>
              <w:right w:val="nil"/>
            </w:tcBorders>
            <w:noWrap/>
            <w:vAlign w:val="center"/>
            <w:hideMark/>
          </w:tcPr>
          <w:p w14:paraId="56B39C13" w14:textId="77777777" w:rsidR="00790463" w:rsidRDefault="00790463">
            <w:pPr>
              <w:jc w:val="right"/>
              <w:rPr>
                <w:rFonts w:ascii="Arial" w:hAnsi="Arial" w:cs="Arial"/>
                <w:color w:val="000000" w:themeColor="text1"/>
              </w:rPr>
            </w:pPr>
            <w:r>
              <w:rPr>
                <w:rFonts w:ascii="Arial" w:hAnsi="Arial" w:cs="Arial"/>
                <w:color w:val="000000" w:themeColor="text1"/>
              </w:rPr>
              <w:t>12.72</w:t>
            </w:r>
          </w:p>
        </w:tc>
      </w:tr>
      <w:tr w:rsidR="00790463" w14:paraId="46EB16D0" w14:textId="77777777" w:rsidTr="00790463">
        <w:trPr>
          <w:trHeight w:val="288"/>
          <w:jc w:val="center"/>
        </w:trPr>
        <w:tc>
          <w:tcPr>
            <w:tcW w:w="5069" w:type="dxa"/>
            <w:tcBorders>
              <w:top w:val="nil"/>
              <w:left w:val="nil"/>
              <w:bottom w:val="single" w:sz="4" w:space="0" w:color="auto"/>
              <w:right w:val="nil"/>
            </w:tcBorders>
            <w:noWrap/>
            <w:vAlign w:val="center"/>
            <w:hideMark/>
          </w:tcPr>
          <w:p w14:paraId="58856DA6" w14:textId="77777777" w:rsidR="00790463" w:rsidRDefault="00790463">
            <w:pPr>
              <w:rPr>
                <w:rFonts w:ascii="Arial" w:hAnsi="Arial" w:cs="Arial"/>
                <w:color w:val="000000" w:themeColor="text1"/>
              </w:rPr>
            </w:pPr>
            <w:r>
              <w:rPr>
                <w:rFonts w:ascii="Arial" w:hAnsi="Arial" w:cs="Arial"/>
                <w:color w:val="000000" w:themeColor="text1"/>
              </w:rPr>
              <w:t>Net proceeds from sale of primary shares</w:t>
            </w:r>
          </w:p>
        </w:tc>
        <w:tc>
          <w:tcPr>
            <w:tcW w:w="2140" w:type="dxa"/>
            <w:tcBorders>
              <w:top w:val="nil"/>
              <w:left w:val="nil"/>
              <w:bottom w:val="single" w:sz="4" w:space="0" w:color="auto"/>
              <w:right w:val="nil"/>
            </w:tcBorders>
            <w:noWrap/>
            <w:vAlign w:val="center"/>
            <w:hideMark/>
          </w:tcPr>
          <w:p w14:paraId="11CC4E6D" w14:textId="77777777" w:rsidR="00790463" w:rsidRDefault="00790463">
            <w:pPr>
              <w:jc w:val="right"/>
              <w:rPr>
                <w:rFonts w:ascii="Arial" w:hAnsi="Arial" w:cs="Arial"/>
                <w:color w:val="000000" w:themeColor="text1"/>
              </w:rPr>
            </w:pPr>
            <w:r>
              <w:rPr>
                <w:rFonts w:ascii="Arial" w:hAnsi="Arial" w:cs="Arial"/>
                <w:color w:val="000000" w:themeColor="text1"/>
              </w:rPr>
              <w:t>1,077,300,000.00</w:t>
            </w:r>
          </w:p>
        </w:tc>
        <w:tc>
          <w:tcPr>
            <w:tcW w:w="2141" w:type="dxa"/>
            <w:tcBorders>
              <w:top w:val="nil"/>
              <w:left w:val="nil"/>
              <w:bottom w:val="single" w:sz="4" w:space="0" w:color="auto"/>
              <w:right w:val="nil"/>
            </w:tcBorders>
            <w:noWrap/>
            <w:vAlign w:val="center"/>
            <w:hideMark/>
          </w:tcPr>
          <w:p w14:paraId="65E96C42" w14:textId="77777777" w:rsidR="00790463" w:rsidRDefault="00790463">
            <w:pPr>
              <w:jc w:val="right"/>
              <w:rPr>
                <w:rFonts w:ascii="Arial" w:hAnsi="Arial" w:cs="Arial"/>
                <w:color w:val="000000" w:themeColor="text1"/>
              </w:rPr>
            </w:pPr>
            <w:r>
              <w:rPr>
                <w:rFonts w:ascii="Arial" w:hAnsi="Arial" w:cs="Arial"/>
                <w:color w:val="000000" w:themeColor="text1"/>
              </w:rPr>
              <w:t>100.00</w:t>
            </w:r>
          </w:p>
        </w:tc>
      </w:tr>
    </w:tbl>
    <w:p w14:paraId="43D7068C" w14:textId="77777777" w:rsidR="00790463" w:rsidRDefault="00790463" w:rsidP="00790463">
      <w:pPr>
        <w:pStyle w:val="ExhibitText"/>
        <w:rPr>
          <w:lang w:val="en-GB"/>
        </w:rPr>
      </w:pPr>
    </w:p>
    <w:p w14:paraId="2B2312A9" w14:textId="77777777" w:rsidR="00790463" w:rsidRDefault="00790463" w:rsidP="00790463">
      <w:pPr>
        <w:pStyle w:val="Footnote"/>
        <w:rPr>
          <w:spacing w:val="-2"/>
        </w:rPr>
      </w:pPr>
      <w:r>
        <w:rPr>
          <w:spacing w:val="-2"/>
        </w:rPr>
        <w:t xml:space="preserve">Note: ₱ = PHP = Philippine peso; US$1 = ₱49.6269 on December 2, 2016. </w:t>
      </w:r>
      <w:r>
        <w:rPr>
          <w:color w:val="000000" w:themeColor="text1"/>
          <w:spacing w:val="-2"/>
        </w:rPr>
        <w:t xml:space="preserve">*Initial public offering fees amount to </w:t>
      </w:r>
      <w:r>
        <w:rPr>
          <w:bCs/>
          <w:color w:val="000000" w:themeColor="text1"/>
          <w:spacing w:val="-2"/>
        </w:rPr>
        <w:t>₱93,740,000.</w:t>
      </w:r>
    </w:p>
    <w:p w14:paraId="7B8FA326" w14:textId="77777777" w:rsidR="00790463" w:rsidRDefault="00790463" w:rsidP="00790463">
      <w:pPr>
        <w:pStyle w:val="Footnote"/>
        <w:rPr>
          <w:spacing w:val="-2"/>
        </w:rPr>
      </w:pPr>
      <w:r>
        <w:rPr>
          <w:spacing w:val="-2"/>
        </w:rPr>
        <w:t xml:space="preserve">Source: Adapted by the authors from Shakey’s Pizza Asia Ventures Inc., </w:t>
      </w:r>
      <w:r>
        <w:rPr>
          <w:i/>
          <w:spacing w:val="-2"/>
        </w:rPr>
        <w:t>Prospectus</w:t>
      </w:r>
      <w:r>
        <w:rPr>
          <w:spacing w:val="-2"/>
        </w:rPr>
        <w:t>, November 26, 2016, accessed April 24, 2017, https://spavi-noo-prod.s3.ap-southeast-1.amazonaws.com/s3fs-public/prospectus/2018-07/PIZZA%20Prospectus.PDF.</w:t>
      </w:r>
    </w:p>
    <w:p w14:paraId="5072ED21" w14:textId="77777777" w:rsidR="00790463" w:rsidRDefault="00790463" w:rsidP="00790463">
      <w:pPr>
        <w:pStyle w:val="ExhibitText"/>
      </w:pPr>
    </w:p>
    <w:p w14:paraId="63FFDC6F" w14:textId="77777777" w:rsidR="00790463" w:rsidRDefault="00790463" w:rsidP="00790463">
      <w:pPr>
        <w:pStyle w:val="ExhibitText"/>
      </w:pPr>
    </w:p>
    <w:p w14:paraId="69B8792B" w14:textId="77777777" w:rsidR="00790463" w:rsidRDefault="00790463" w:rsidP="00790463">
      <w:pPr>
        <w:pStyle w:val="ExhibitHeading"/>
      </w:pPr>
      <w:r>
        <w:t>EXHIBIT 7: PHILIPPINE FUND PORTFOLIO AS OF OCTOBER 2016</w:t>
      </w:r>
    </w:p>
    <w:p w14:paraId="650D6792" w14:textId="77777777" w:rsidR="00790463" w:rsidRDefault="00790463" w:rsidP="00790463">
      <w:pPr>
        <w:pStyle w:val="ExhibitText"/>
      </w:pPr>
    </w:p>
    <w:tbl>
      <w:tblPr>
        <w:tblStyle w:val="TableGrid"/>
        <w:tblW w:w="35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559"/>
        <w:gridCol w:w="1737"/>
      </w:tblGrid>
      <w:tr w:rsidR="00790463" w14:paraId="52CC8FA6" w14:textId="77777777" w:rsidTr="00790463">
        <w:trPr>
          <w:trHeight w:val="288"/>
          <w:jc w:val="center"/>
        </w:trPr>
        <w:tc>
          <w:tcPr>
            <w:tcW w:w="3256" w:type="dxa"/>
            <w:tcBorders>
              <w:top w:val="single" w:sz="4" w:space="0" w:color="auto"/>
              <w:left w:val="nil"/>
              <w:bottom w:val="single" w:sz="12" w:space="0" w:color="auto"/>
              <w:right w:val="nil"/>
            </w:tcBorders>
            <w:noWrap/>
            <w:vAlign w:val="center"/>
            <w:hideMark/>
          </w:tcPr>
          <w:p w14:paraId="4E4B3D08" w14:textId="77777777" w:rsidR="00790463" w:rsidRDefault="00790463">
            <w:pPr>
              <w:rPr>
                <w:rFonts w:ascii="Arial" w:hAnsi="Arial" w:cs="Arial"/>
                <w:b/>
                <w:color w:val="000000" w:themeColor="text1"/>
              </w:rPr>
            </w:pPr>
            <w:r>
              <w:rPr>
                <w:rFonts w:ascii="Arial" w:hAnsi="Arial" w:cs="Arial"/>
                <w:b/>
                <w:color w:val="000000" w:themeColor="text1"/>
              </w:rPr>
              <w:t xml:space="preserve">Philippine Stock Market Sector </w:t>
            </w:r>
          </w:p>
        </w:tc>
        <w:tc>
          <w:tcPr>
            <w:tcW w:w="1559" w:type="dxa"/>
            <w:tcBorders>
              <w:top w:val="single" w:sz="4" w:space="0" w:color="auto"/>
              <w:left w:val="nil"/>
              <w:bottom w:val="single" w:sz="12" w:space="0" w:color="auto"/>
              <w:right w:val="nil"/>
            </w:tcBorders>
            <w:noWrap/>
            <w:vAlign w:val="center"/>
            <w:hideMark/>
          </w:tcPr>
          <w:p w14:paraId="37713273" w14:textId="77777777" w:rsidR="00790463" w:rsidRDefault="00790463">
            <w:pPr>
              <w:jc w:val="right"/>
              <w:rPr>
                <w:rFonts w:ascii="Arial" w:hAnsi="Arial" w:cs="Arial"/>
                <w:b/>
                <w:color w:val="000000" w:themeColor="text1"/>
              </w:rPr>
            </w:pPr>
            <w:r>
              <w:rPr>
                <w:rFonts w:ascii="Arial" w:hAnsi="Arial" w:cs="Arial"/>
                <w:b/>
                <w:color w:val="000000" w:themeColor="text1"/>
              </w:rPr>
              <w:t>% of Portfolio</w:t>
            </w:r>
          </w:p>
        </w:tc>
        <w:tc>
          <w:tcPr>
            <w:tcW w:w="2699" w:type="dxa"/>
            <w:tcBorders>
              <w:top w:val="single" w:sz="4" w:space="0" w:color="auto"/>
              <w:left w:val="nil"/>
              <w:bottom w:val="single" w:sz="12" w:space="0" w:color="auto"/>
              <w:right w:val="nil"/>
            </w:tcBorders>
            <w:vAlign w:val="center"/>
            <w:hideMark/>
          </w:tcPr>
          <w:p w14:paraId="0CA937C1" w14:textId="77777777" w:rsidR="00790463" w:rsidRDefault="00790463">
            <w:pPr>
              <w:jc w:val="right"/>
              <w:rPr>
                <w:rFonts w:ascii="Arial" w:hAnsi="Arial" w:cs="Arial"/>
                <w:b/>
                <w:color w:val="000000" w:themeColor="text1"/>
              </w:rPr>
            </w:pPr>
            <w:r>
              <w:rPr>
                <w:rFonts w:ascii="Arial" w:hAnsi="Arial" w:cs="Arial"/>
                <w:b/>
                <w:color w:val="000000" w:themeColor="text1"/>
              </w:rPr>
              <w:t>Benchmark PSEi Weights</w:t>
            </w:r>
          </w:p>
        </w:tc>
      </w:tr>
      <w:tr w:rsidR="00790463" w14:paraId="0A36711B" w14:textId="77777777" w:rsidTr="00790463">
        <w:trPr>
          <w:trHeight w:val="288"/>
          <w:jc w:val="center"/>
        </w:trPr>
        <w:tc>
          <w:tcPr>
            <w:tcW w:w="3256" w:type="dxa"/>
            <w:tcBorders>
              <w:top w:val="single" w:sz="12" w:space="0" w:color="auto"/>
              <w:left w:val="nil"/>
              <w:bottom w:val="nil"/>
              <w:right w:val="nil"/>
            </w:tcBorders>
            <w:noWrap/>
            <w:vAlign w:val="center"/>
            <w:hideMark/>
          </w:tcPr>
          <w:p w14:paraId="0CAFB76A" w14:textId="77777777" w:rsidR="00790463" w:rsidRDefault="00790463">
            <w:pPr>
              <w:rPr>
                <w:rFonts w:ascii="Arial" w:hAnsi="Arial" w:cs="Arial"/>
                <w:color w:val="000000" w:themeColor="text1"/>
              </w:rPr>
            </w:pPr>
            <w:r>
              <w:rPr>
                <w:rFonts w:ascii="Arial" w:hAnsi="Arial" w:cs="Arial"/>
                <w:color w:val="000000" w:themeColor="text1"/>
              </w:rPr>
              <w:t>Financials</w:t>
            </w:r>
          </w:p>
        </w:tc>
        <w:tc>
          <w:tcPr>
            <w:tcW w:w="1559" w:type="dxa"/>
            <w:tcBorders>
              <w:top w:val="single" w:sz="12" w:space="0" w:color="auto"/>
              <w:left w:val="nil"/>
              <w:bottom w:val="nil"/>
              <w:right w:val="nil"/>
            </w:tcBorders>
            <w:noWrap/>
            <w:vAlign w:val="center"/>
            <w:hideMark/>
          </w:tcPr>
          <w:p w14:paraId="4C1C0465" w14:textId="77777777" w:rsidR="00790463" w:rsidRDefault="00790463">
            <w:pPr>
              <w:jc w:val="right"/>
              <w:rPr>
                <w:rFonts w:ascii="Arial" w:hAnsi="Arial" w:cs="Arial"/>
                <w:color w:val="000000" w:themeColor="text1"/>
              </w:rPr>
            </w:pPr>
            <w:r>
              <w:rPr>
                <w:rFonts w:ascii="Arial" w:hAnsi="Arial" w:cs="Arial"/>
                <w:color w:val="000000" w:themeColor="text1"/>
              </w:rPr>
              <w:t>21.2%</w:t>
            </w:r>
          </w:p>
        </w:tc>
        <w:tc>
          <w:tcPr>
            <w:tcW w:w="2699" w:type="dxa"/>
            <w:tcBorders>
              <w:top w:val="single" w:sz="12" w:space="0" w:color="auto"/>
              <w:left w:val="nil"/>
              <w:bottom w:val="nil"/>
              <w:right w:val="nil"/>
            </w:tcBorders>
            <w:vAlign w:val="center"/>
            <w:hideMark/>
          </w:tcPr>
          <w:p w14:paraId="69E17AF1" w14:textId="77777777" w:rsidR="00790463" w:rsidRDefault="00790463">
            <w:pPr>
              <w:jc w:val="right"/>
              <w:rPr>
                <w:rFonts w:ascii="Arial" w:hAnsi="Arial" w:cs="Arial"/>
                <w:color w:val="000000" w:themeColor="text1"/>
              </w:rPr>
            </w:pPr>
            <w:r>
              <w:rPr>
                <w:rFonts w:ascii="Arial" w:hAnsi="Arial" w:cs="Arial"/>
                <w:color w:val="000000" w:themeColor="text1"/>
              </w:rPr>
              <w:t>17.3%</w:t>
            </w:r>
          </w:p>
        </w:tc>
      </w:tr>
      <w:tr w:rsidR="00790463" w14:paraId="45AB570E" w14:textId="77777777" w:rsidTr="00790463">
        <w:trPr>
          <w:trHeight w:val="288"/>
          <w:jc w:val="center"/>
        </w:trPr>
        <w:tc>
          <w:tcPr>
            <w:tcW w:w="3256" w:type="dxa"/>
            <w:tcBorders>
              <w:top w:val="nil"/>
              <w:left w:val="nil"/>
              <w:bottom w:val="nil"/>
              <w:right w:val="nil"/>
            </w:tcBorders>
            <w:noWrap/>
            <w:vAlign w:val="center"/>
            <w:hideMark/>
          </w:tcPr>
          <w:p w14:paraId="659DCE75" w14:textId="77777777" w:rsidR="00790463" w:rsidRDefault="00790463">
            <w:pPr>
              <w:rPr>
                <w:rFonts w:ascii="Arial" w:hAnsi="Arial" w:cs="Arial"/>
                <w:color w:val="000000" w:themeColor="text1"/>
              </w:rPr>
            </w:pPr>
            <w:r>
              <w:rPr>
                <w:rFonts w:ascii="Arial" w:hAnsi="Arial" w:cs="Arial"/>
                <w:color w:val="000000" w:themeColor="text1"/>
              </w:rPr>
              <w:t>Holding Firms</w:t>
            </w:r>
          </w:p>
        </w:tc>
        <w:tc>
          <w:tcPr>
            <w:tcW w:w="1559" w:type="dxa"/>
            <w:tcBorders>
              <w:top w:val="nil"/>
              <w:left w:val="nil"/>
              <w:bottom w:val="nil"/>
              <w:right w:val="nil"/>
            </w:tcBorders>
            <w:noWrap/>
            <w:vAlign w:val="center"/>
            <w:hideMark/>
          </w:tcPr>
          <w:p w14:paraId="72063A70" w14:textId="77777777" w:rsidR="00790463" w:rsidRDefault="00790463">
            <w:pPr>
              <w:jc w:val="right"/>
              <w:rPr>
                <w:rFonts w:ascii="Arial" w:hAnsi="Arial" w:cs="Arial"/>
                <w:color w:val="000000" w:themeColor="text1"/>
              </w:rPr>
            </w:pPr>
            <w:r>
              <w:rPr>
                <w:rFonts w:ascii="Arial" w:hAnsi="Arial" w:cs="Arial"/>
                <w:color w:val="000000" w:themeColor="text1"/>
              </w:rPr>
              <w:t>17.2%</w:t>
            </w:r>
          </w:p>
        </w:tc>
        <w:tc>
          <w:tcPr>
            <w:tcW w:w="2699" w:type="dxa"/>
            <w:tcBorders>
              <w:top w:val="nil"/>
              <w:left w:val="nil"/>
              <w:bottom w:val="nil"/>
              <w:right w:val="nil"/>
            </w:tcBorders>
            <w:vAlign w:val="center"/>
            <w:hideMark/>
          </w:tcPr>
          <w:p w14:paraId="73FCD604" w14:textId="77777777" w:rsidR="00790463" w:rsidRDefault="00790463">
            <w:pPr>
              <w:jc w:val="right"/>
              <w:rPr>
                <w:rFonts w:ascii="Arial" w:hAnsi="Arial" w:cs="Arial"/>
                <w:color w:val="000000" w:themeColor="text1"/>
              </w:rPr>
            </w:pPr>
            <w:r>
              <w:rPr>
                <w:rFonts w:ascii="Arial" w:hAnsi="Arial" w:cs="Arial"/>
                <w:color w:val="000000" w:themeColor="text1"/>
              </w:rPr>
              <w:t>40.0%</w:t>
            </w:r>
          </w:p>
        </w:tc>
      </w:tr>
      <w:tr w:rsidR="00790463" w14:paraId="48C10C1B" w14:textId="77777777" w:rsidTr="00790463">
        <w:trPr>
          <w:trHeight w:val="288"/>
          <w:jc w:val="center"/>
        </w:trPr>
        <w:tc>
          <w:tcPr>
            <w:tcW w:w="3256" w:type="dxa"/>
            <w:tcBorders>
              <w:top w:val="nil"/>
              <w:left w:val="nil"/>
              <w:bottom w:val="nil"/>
              <w:right w:val="nil"/>
            </w:tcBorders>
            <w:noWrap/>
            <w:vAlign w:val="center"/>
            <w:hideMark/>
          </w:tcPr>
          <w:p w14:paraId="59379AD0" w14:textId="77777777" w:rsidR="00790463" w:rsidRDefault="00790463">
            <w:pPr>
              <w:rPr>
                <w:rFonts w:ascii="Arial" w:hAnsi="Arial" w:cs="Arial"/>
                <w:color w:val="000000" w:themeColor="text1"/>
              </w:rPr>
            </w:pPr>
            <w:r>
              <w:rPr>
                <w:rFonts w:ascii="Arial" w:hAnsi="Arial" w:cs="Arial"/>
                <w:color w:val="000000" w:themeColor="text1"/>
              </w:rPr>
              <w:t>Industrial</w:t>
            </w:r>
          </w:p>
        </w:tc>
        <w:tc>
          <w:tcPr>
            <w:tcW w:w="1559" w:type="dxa"/>
            <w:tcBorders>
              <w:top w:val="nil"/>
              <w:left w:val="nil"/>
              <w:bottom w:val="nil"/>
              <w:right w:val="nil"/>
            </w:tcBorders>
            <w:noWrap/>
            <w:vAlign w:val="center"/>
            <w:hideMark/>
          </w:tcPr>
          <w:p w14:paraId="453AF887" w14:textId="77777777" w:rsidR="00790463" w:rsidRDefault="00790463">
            <w:pPr>
              <w:jc w:val="right"/>
              <w:rPr>
                <w:rFonts w:ascii="Arial" w:hAnsi="Arial" w:cs="Arial"/>
                <w:color w:val="000000" w:themeColor="text1"/>
              </w:rPr>
            </w:pPr>
            <w:r>
              <w:rPr>
                <w:rFonts w:ascii="Arial" w:hAnsi="Arial" w:cs="Arial"/>
                <w:color w:val="000000" w:themeColor="text1"/>
              </w:rPr>
              <w:t>19.2%</w:t>
            </w:r>
          </w:p>
        </w:tc>
        <w:tc>
          <w:tcPr>
            <w:tcW w:w="2699" w:type="dxa"/>
            <w:tcBorders>
              <w:top w:val="nil"/>
              <w:left w:val="nil"/>
              <w:bottom w:val="nil"/>
              <w:right w:val="nil"/>
            </w:tcBorders>
            <w:vAlign w:val="center"/>
            <w:hideMark/>
          </w:tcPr>
          <w:p w14:paraId="025D1A27" w14:textId="77777777" w:rsidR="00790463" w:rsidRDefault="00790463">
            <w:pPr>
              <w:jc w:val="right"/>
              <w:rPr>
                <w:rFonts w:ascii="Arial" w:hAnsi="Arial" w:cs="Arial"/>
                <w:color w:val="000000" w:themeColor="text1"/>
              </w:rPr>
            </w:pPr>
            <w:r>
              <w:rPr>
                <w:rFonts w:ascii="Arial" w:hAnsi="Arial" w:cs="Arial"/>
                <w:color w:val="000000" w:themeColor="text1"/>
              </w:rPr>
              <w:t>15.3%</w:t>
            </w:r>
          </w:p>
        </w:tc>
      </w:tr>
      <w:tr w:rsidR="00790463" w14:paraId="68C4200D" w14:textId="77777777" w:rsidTr="00790463">
        <w:trPr>
          <w:trHeight w:val="288"/>
          <w:jc w:val="center"/>
        </w:trPr>
        <w:tc>
          <w:tcPr>
            <w:tcW w:w="3256" w:type="dxa"/>
            <w:tcBorders>
              <w:top w:val="nil"/>
              <w:left w:val="nil"/>
              <w:bottom w:val="nil"/>
              <w:right w:val="nil"/>
            </w:tcBorders>
            <w:noWrap/>
            <w:vAlign w:val="center"/>
            <w:hideMark/>
          </w:tcPr>
          <w:p w14:paraId="30FA3BA8" w14:textId="77777777" w:rsidR="00790463" w:rsidRDefault="00790463">
            <w:pPr>
              <w:rPr>
                <w:rFonts w:ascii="Arial" w:hAnsi="Arial" w:cs="Arial"/>
                <w:color w:val="000000" w:themeColor="text1"/>
              </w:rPr>
            </w:pPr>
            <w:r>
              <w:rPr>
                <w:rFonts w:ascii="Arial" w:hAnsi="Arial" w:cs="Arial"/>
                <w:color w:val="000000" w:themeColor="text1"/>
              </w:rPr>
              <w:t>Property</w:t>
            </w:r>
          </w:p>
        </w:tc>
        <w:tc>
          <w:tcPr>
            <w:tcW w:w="1559" w:type="dxa"/>
            <w:tcBorders>
              <w:top w:val="nil"/>
              <w:left w:val="nil"/>
              <w:bottom w:val="nil"/>
              <w:right w:val="nil"/>
            </w:tcBorders>
            <w:noWrap/>
            <w:vAlign w:val="center"/>
            <w:hideMark/>
          </w:tcPr>
          <w:p w14:paraId="0ACF7054" w14:textId="77777777" w:rsidR="00790463" w:rsidRDefault="00790463">
            <w:pPr>
              <w:jc w:val="right"/>
              <w:rPr>
                <w:rFonts w:ascii="Arial" w:hAnsi="Arial" w:cs="Arial"/>
                <w:color w:val="000000" w:themeColor="text1"/>
              </w:rPr>
            </w:pPr>
            <w:r>
              <w:rPr>
                <w:rFonts w:ascii="Arial" w:hAnsi="Arial" w:cs="Arial"/>
                <w:color w:val="000000" w:themeColor="text1"/>
              </w:rPr>
              <w:t>13.9%</w:t>
            </w:r>
          </w:p>
        </w:tc>
        <w:tc>
          <w:tcPr>
            <w:tcW w:w="2699" w:type="dxa"/>
            <w:tcBorders>
              <w:top w:val="nil"/>
              <w:left w:val="nil"/>
              <w:bottom w:val="nil"/>
              <w:right w:val="nil"/>
            </w:tcBorders>
            <w:vAlign w:val="center"/>
            <w:hideMark/>
          </w:tcPr>
          <w:p w14:paraId="53150741" w14:textId="77777777" w:rsidR="00790463" w:rsidRDefault="00790463">
            <w:pPr>
              <w:jc w:val="right"/>
              <w:rPr>
                <w:rFonts w:ascii="Arial" w:hAnsi="Arial" w:cs="Arial"/>
                <w:color w:val="000000" w:themeColor="text1"/>
              </w:rPr>
            </w:pPr>
            <w:r>
              <w:rPr>
                <w:rFonts w:ascii="Arial" w:hAnsi="Arial" w:cs="Arial"/>
                <w:color w:val="000000" w:themeColor="text1"/>
              </w:rPr>
              <w:t>17.8%</w:t>
            </w:r>
          </w:p>
        </w:tc>
      </w:tr>
      <w:tr w:rsidR="00790463" w14:paraId="26B62F98" w14:textId="77777777" w:rsidTr="00790463">
        <w:trPr>
          <w:trHeight w:val="288"/>
          <w:jc w:val="center"/>
        </w:trPr>
        <w:tc>
          <w:tcPr>
            <w:tcW w:w="3256" w:type="dxa"/>
            <w:tcBorders>
              <w:top w:val="nil"/>
              <w:left w:val="nil"/>
              <w:bottom w:val="nil"/>
              <w:right w:val="nil"/>
            </w:tcBorders>
            <w:noWrap/>
            <w:vAlign w:val="center"/>
            <w:hideMark/>
          </w:tcPr>
          <w:p w14:paraId="470E91F3" w14:textId="77777777" w:rsidR="00790463" w:rsidRDefault="00790463">
            <w:pPr>
              <w:rPr>
                <w:rFonts w:ascii="Arial" w:hAnsi="Arial" w:cs="Arial"/>
                <w:color w:val="000000" w:themeColor="text1"/>
              </w:rPr>
            </w:pPr>
            <w:r>
              <w:rPr>
                <w:rFonts w:ascii="Arial" w:hAnsi="Arial" w:cs="Arial"/>
                <w:color w:val="000000" w:themeColor="text1"/>
              </w:rPr>
              <w:t>Services</w:t>
            </w:r>
          </w:p>
        </w:tc>
        <w:tc>
          <w:tcPr>
            <w:tcW w:w="1559" w:type="dxa"/>
            <w:tcBorders>
              <w:top w:val="nil"/>
              <w:left w:val="nil"/>
              <w:bottom w:val="nil"/>
              <w:right w:val="nil"/>
            </w:tcBorders>
            <w:noWrap/>
            <w:vAlign w:val="center"/>
            <w:hideMark/>
          </w:tcPr>
          <w:p w14:paraId="15020174" w14:textId="77777777" w:rsidR="00790463" w:rsidRDefault="00790463">
            <w:pPr>
              <w:jc w:val="right"/>
              <w:rPr>
                <w:rFonts w:ascii="Arial" w:hAnsi="Arial" w:cs="Arial"/>
                <w:color w:val="000000" w:themeColor="text1"/>
              </w:rPr>
            </w:pPr>
            <w:r>
              <w:rPr>
                <w:rFonts w:ascii="Arial" w:hAnsi="Arial" w:cs="Arial"/>
                <w:color w:val="000000" w:themeColor="text1"/>
              </w:rPr>
              <w:t>19.0%</w:t>
            </w:r>
          </w:p>
        </w:tc>
        <w:tc>
          <w:tcPr>
            <w:tcW w:w="2699" w:type="dxa"/>
            <w:tcBorders>
              <w:top w:val="nil"/>
              <w:left w:val="nil"/>
              <w:bottom w:val="nil"/>
              <w:right w:val="nil"/>
            </w:tcBorders>
            <w:vAlign w:val="center"/>
            <w:hideMark/>
          </w:tcPr>
          <w:p w14:paraId="08FE8162" w14:textId="77777777" w:rsidR="00790463" w:rsidRDefault="00790463">
            <w:pPr>
              <w:jc w:val="right"/>
              <w:rPr>
                <w:rFonts w:ascii="Arial" w:hAnsi="Arial" w:cs="Arial"/>
                <w:color w:val="000000" w:themeColor="text1"/>
              </w:rPr>
            </w:pPr>
            <w:r>
              <w:rPr>
                <w:rFonts w:ascii="Arial" w:hAnsi="Arial" w:cs="Arial"/>
                <w:color w:val="000000" w:themeColor="text1"/>
              </w:rPr>
              <w:t>8.5%</w:t>
            </w:r>
          </w:p>
        </w:tc>
      </w:tr>
      <w:tr w:rsidR="00790463" w14:paraId="492D95D9" w14:textId="77777777" w:rsidTr="00790463">
        <w:trPr>
          <w:trHeight w:val="288"/>
          <w:jc w:val="center"/>
        </w:trPr>
        <w:tc>
          <w:tcPr>
            <w:tcW w:w="3256" w:type="dxa"/>
            <w:tcBorders>
              <w:top w:val="nil"/>
              <w:left w:val="nil"/>
              <w:bottom w:val="nil"/>
              <w:right w:val="nil"/>
            </w:tcBorders>
            <w:noWrap/>
            <w:vAlign w:val="center"/>
            <w:hideMark/>
          </w:tcPr>
          <w:p w14:paraId="364CAD64" w14:textId="77777777" w:rsidR="00790463" w:rsidRDefault="00790463">
            <w:pPr>
              <w:rPr>
                <w:rFonts w:ascii="Arial" w:hAnsi="Arial" w:cs="Arial"/>
                <w:color w:val="000000" w:themeColor="text1"/>
              </w:rPr>
            </w:pPr>
            <w:r>
              <w:rPr>
                <w:rFonts w:ascii="Arial" w:hAnsi="Arial" w:cs="Arial"/>
                <w:color w:val="000000" w:themeColor="text1"/>
              </w:rPr>
              <w:t>Total Equities</w:t>
            </w:r>
          </w:p>
        </w:tc>
        <w:tc>
          <w:tcPr>
            <w:tcW w:w="1559" w:type="dxa"/>
            <w:tcBorders>
              <w:top w:val="nil"/>
              <w:left w:val="nil"/>
              <w:bottom w:val="nil"/>
              <w:right w:val="nil"/>
            </w:tcBorders>
            <w:noWrap/>
            <w:vAlign w:val="center"/>
            <w:hideMark/>
          </w:tcPr>
          <w:p w14:paraId="36A4A0A2" w14:textId="77777777" w:rsidR="00790463" w:rsidRDefault="00790463">
            <w:pPr>
              <w:jc w:val="right"/>
              <w:rPr>
                <w:rFonts w:ascii="Arial" w:hAnsi="Arial" w:cs="Arial"/>
                <w:color w:val="000000" w:themeColor="text1"/>
              </w:rPr>
            </w:pPr>
            <w:r>
              <w:rPr>
                <w:rFonts w:ascii="Arial" w:hAnsi="Arial" w:cs="Arial"/>
                <w:color w:val="000000" w:themeColor="text1"/>
              </w:rPr>
              <w:t>90.5%</w:t>
            </w:r>
          </w:p>
        </w:tc>
        <w:tc>
          <w:tcPr>
            <w:tcW w:w="2699" w:type="dxa"/>
            <w:tcBorders>
              <w:top w:val="nil"/>
              <w:left w:val="nil"/>
              <w:bottom w:val="nil"/>
              <w:right w:val="nil"/>
            </w:tcBorders>
            <w:vAlign w:val="center"/>
            <w:hideMark/>
          </w:tcPr>
          <w:p w14:paraId="64B32F61" w14:textId="77777777" w:rsidR="00790463" w:rsidRDefault="00790463">
            <w:pPr>
              <w:jc w:val="right"/>
              <w:rPr>
                <w:rFonts w:ascii="Arial" w:hAnsi="Arial" w:cs="Arial"/>
                <w:color w:val="000000" w:themeColor="text1"/>
              </w:rPr>
            </w:pPr>
            <w:r>
              <w:rPr>
                <w:rFonts w:ascii="Arial" w:hAnsi="Arial" w:cs="Arial"/>
                <w:color w:val="000000" w:themeColor="text1"/>
              </w:rPr>
              <w:t>1.0%</w:t>
            </w:r>
          </w:p>
        </w:tc>
      </w:tr>
      <w:tr w:rsidR="00790463" w14:paraId="4FDB556D" w14:textId="77777777" w:rsidTr="00790463">
        <w:trPr>
          <w:trHeight w:val="288"/>
          <w:jc w:val="center"/>
        </w:trPr>
        <w:tc>
          <w:tcPr>
            <w:tcW w:w="3256" w:type="dxa"/>
            <w:tcBorders>
              <w:top w:val="nil"/>
              <w:left w:val="nil"/>
              <w:bottom w:val="single" w:sz="4" w:space="0" w:color="auto"/>
              <w:right w:val="nil"/>
            </w:tcBorders>
            <w:noWrap/>
            <w:vAlign w:val="center"/>
            <w:hideMark/>
          </w:tcPr>
          <w:p w14:paraId="74DA781A" w14:textId="77777777" w:rsidR="00790463" w:rsidRDefault="00790463">
            <w:pPr>
              <w:rPr>
                <w:rFonts w:ascii="Arial" w:hAnsi="Arial" w:cs="Arial"/>
                <w:color w:val="000000" w:themeColor="text1"/>
              </w:rPr>
            </w:pPr>
            <w:r>
              <w:rPr>
                <w:rFonts w:ascii="Arial" w:hAnsi="Arial" w:cs="Arial"/>
                <w:color w:val="000000" w:themeColor="text1"/>
              </w:rPr>
              <w:t xml:space="preserve">Cash </w:t>
            </w:r>
          </w:p>
        </w:tc>
        <w:tc>
          <w:tcPr>
            <w:tcW w:w="1559" w:type="dxa"/>
            <w:tcBorders>
              <w:top w:val="nil"/>
              <w:left w:val="nil"/>
              <w:bottom w:val="single" w:sz="4" w:space="0" w:color="auto"/>
              <w:right w:val="nil"/>
            </w:tcBorders>
            <w:noWrap/>
            <w:vAlign w:val="center"/>
            <w:hideMark/>
          </w:tcPr>
          <w:p w14:paraId="7C3E6837" w14:textId="77777777" w:rsidR="00790463" w:rsidRDefault="00790463">
            <w:pPr>
              <w:jc w:val="right"/>
              <w:rPr>
                <w:rFonts w:ascii="Arial" w:hAnsi="Arial" w:cs="Arial"/>
                <w:color w:val="000000" w:themeColor="text1"/>
              </w:rPr>
            </w:pPr>
            <w:r>
              <w:rPr>
                <w:rFonts w:ascii="Arial" w:hAnsi="Arial" w:cs="Arial"/>
                <w:color w:val="000000" w:themeColor="text1"/>
              </w:rPr>
              <w:t>9.50%</w:t>
            </w:r>
          </w:p>
        </w:tc>
        <w:tc>
          <w:tcPr>
            <w:tcW w:w="2699" w:type="dxa"/>
            <w:tcBorders>
              <w:top w:val="nil"/>
              <w:left w:val="nil"/>
              <w:bottom w:val="single" w:sz="4" w:space="0" w:color="auto"/>
              <w:right w:val="nil"/>
            </w:tcBorders>
            <w:vAlign w:val="center"/>
            <w:hideMark/>
          </w:tcPr>
          <w:p w14:paraId="0131000B" w14:textId="77777777" w:rsidR="00790463" w:rsidRDefault="00790463">
            <w:pPr>
              <w:jc w:val="right"/>
              <w:rPr>
                <w:rFonts w:ascii="Arial" w:hAnsi="Arial" w:cs="Arial"/>
                <w:color w:val="000000" w:themeColor="text1"/>
              </w:rPr>
            </w:pPr>
            <w:r>
              <w:rPr>
                <w:rFonts w:ascii="Arial" w:hAnsi="Arial" w:cs="Arial"/>
                <w:color w:val="000000" w:themeColor="text1"/>
              </w:rPr>
              <w:t xml:space="preserve"> </w:t>
            </w:r>
          </w:p>
        </w:tc>
      </w:tr>
      <w:tr w:rsidR="00790463" w14:paraId="592FE4D4" w14:textId="77777777" w:rsidTr="00790463">
        <w:trPr>
          <w:trHeight w:val="288"/>
          <w:jc w:val="center"/>
        </w:trPr>
        <w:tc>
          <w:tcPr>
            <w:tcW w:w="3256" w:type="dxa"/>
            <w:tcBorders>
              <w:top w:val="single" w:sz="4" w:space="0" w:color="auto"/>
              <w:left w:val="nil"/>
              <w:bottom w:val="single" w:sz="4" w:space="0" w:color="auto"/>
              <w:right w:val="nil"/>
            </w:tcBorders>
            <w:noWrap/>
            <w:vAlign w:val="center"/>
            <w:hideMark/>
          </w:tcPr>
          <w:p w14:paraId="2C690F9D" w14:textId="77777777" w:rsidR="00790463" w:rsidRDefault="00790463">
            <w:pPr>
              <w:rPr>
                <w:rFonts w:ascii="Arial" w:hAnsi="Arial" w:cs="Arial"/>
                <w:color w:val="000000" w:themeColor="text1"/>
              </w:rPr>
            </w:pPr>
            <w:r>
              <w:rPr>
                <w:rFonts w:ascii="Arial" w:hAnsi="Arial" w:cs="Arial"/>
                <w:color w:val="000000" w:themeColor="text1"/>
              </w:rPr>
              <w:t>Total Portfolio Allocation</w:t>
            </w:r>
          </w:p>
        </w:tc>
        <w:tc>
          <w:tcPr>
            <w:tcW w:w="1559" w:type="dxa"/>
            <w:tcBorders>
              <w:top w:val="single" w:sz="4" w:space="0" w:color="auto"/>
              <w:left w:val="nil"/>
              <w:bottom w:val="single" w:sz="4" w:space="0" w:color="auto"/>
              <w:right w:val="nil"/>
            </w:tcBorders>
            <w:noWrap/>
            <w:vAlign w:val="center"/>
            <w:hideMark/>
          </w:tcPr>
          <w:p w14:paraId="5588D73F" w14:textId="77777777" w:rsidR="00790463" w:rsidRDefault="00790463">
            <w:pPr>
              <w:jc w:val="right"/>
              <w:rPr>
                <w:rFonts w:ascii="Arial" w:hAnsi="Arial" w:cs="Arial"/>
                <w:color w:val="000000" w:themeColor="text1"/>
              </w:rPr>
            </w:pPr>
            <w:r>
              <w:rPr>
                <w:rFonts w:ascii="Arial" w:hAnsi="Arial" w:cs="Arial"/>
                <w:color w:val="000000" w:themeColor="text1"/>
              </w:rPr>
              <w:t>100.00%</w:t>
            </w:r>
          </w:p>
        </w:tc>
        <w:tc>
          <w:tcPr>
            <w:tcW w:w="2699" w:type="dxa"/>
            <w:tcBorders>
              <w:top w:val="single" w:sz="4" w:space="0" w:color="auto"/>
              <w:left w:val="nil"/>
              <w:bottom w:val="single" w:sz="4" w:space="0" w:color="auto"/>
              <w:right w:val="nil"/>
            </w:tcBorders>
            <w:vAlign w:val="center"/>
            <w:hideMark/>
          </w:tcPr>
          <w:p w14:paraId="7DB66439" w14:textId="77777777" w:rsidR="00790463" w:rsidRDefault="00790463">
            <w:pPr>
              <w:jc w:val="right"/>
              <w:rPr>
                <w:rFonts w:ascii="Arial" w:hAnsi="Arial" w:cs="Arial"/>
                <w:color w:val="000000" w:themeColor="text1"/>
              </w:rPr>
            </w:pPr>
            <w:r>
              <w:rPr>
                <w:rFonts w:ascii="Arial" w:hAnsi="Arial" w:cs="Arial"/>
                <w:color w:val="000000" w:themeColor="text1"/>
              </w:rPr>
              <w:t>100.00%</w:t>
            </w:r>
          </w:p>
        </w:tc>
      </w:tr>
    </w:tbl>
    <w:p w14:paraId="1D6A7840" w14:textId="77777777" w:rsidR="00790463" w:rsidRDefault="00790463" w:rsidP="00790463">
      <w:pPr>
        <w:pStyle w:val="ExhibitText"/>
        <w:rPr>
          <w:lang w:val="en-GB"/>
        </w:rPr>
      </w:pPr>
    </w:p>
    <w:p w14:paraId="189403EC" w14:textId="77777777" w:rsidR="00790463" w:rsidRDefault="00790463" w:rsidP="00790463">
      <w:pPr>
        <w:pStyle w:val="Footnote"/>
      </w:pPr>
      <w:r>
        <w:t>Source: “Philippine Fund Attribution Report,” Asian Institute of Management, October 2016.</w:t>
      </w:r>
    </w:p>
    <w:p w14:paraId="5D85DC6C" w14:textId="77777777" w:rsidR="00790463" w:rsidRDefault="00790463" w:rsidP="00790463">
      <w:pPr>
        <w:pStyle w:val="BodyTextMain"/>
      </w:pPr>
    </w:p>
    <w:p w14:paraId="766EDEDB" w14:textId="77777777" w:rsidR="00790463" w:rsidRDefault="00790463" w:rsidP="00790463">
      <w:pPr>
        <w:pStyle w:val="ExhibitHeading"/>
      </w:pPr>
      <w:r>
        <w:lastRenderedPageBreak/>
        <w:t>EXHIBIT 8: STATEMENTS OF INCOME FOR YEARS ENDED DECEMBER 31, 2014, 2015, AND 2016E (</w:t>
      </w:r>
      <w:r>
        <w:rPr>
          <w:bCs/>
        </w:rPr>
        <w:t>₱</w:t>
      </w:r>
      <w:r>
        <w:t>)</w:t>
      </w:r>
    </w:p>
    <w:p w14:paraId="16687F2F" w14:textId="77777777" w:rsidR="00790463" w:rsidRDefault="00790463" w:rsidP="00790463">
      <w:pPr>
        <w:pStyle w:val="ExhibitText"/>
      </w:pP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1778"/>
        <w:gridCol w:w="1778"/>
        <w:gridCol w:w="1778"/>
      </w:tblGrid>
      <w:tr w:rsidR="00790463" w14:paraId="4A5D9702" w14:textId="77777777" w:rsidTr="00790463">
        <w:trPr>
          <w:trHeight w:val="288"/>
          <w:jc w:val="center"/>
        </w:trPr>
        <w:tc>
          <w:tcPr>
            <w:tcW w:w="3690" w:type="dxa"/>
            <w:tcBorders>
              <w:top w:val="single" w:sz="4" w:space="0" w:color="auto"/>
              <w:left w:val="nil"/>
              <w:bottom w:val="nil"/>
              <w:right w:val="nil"/>
            </w:tcBorders>
            <w:noWrap/>
            <w:vAlign w:val="center"/>
            <w:hideMark/>
          </w:tcPr>
          <w:p w14:paraId="41E3D8DC" w14:textId="77777777" w:rsidR="00790463" w:rsidRDefault="00790463"/>
        </w:tc>
        <w:tc>
          <w:tcPr>
            <w:tcW w:w="1629" w:type="dxa"/>
            <w:tcBorders>
              <w:top w:val="single" w:sz="4" w:space="0" w:color="auto"/>
              <w:left w:val="nil"/>
              <w:bottom w:val="nil"/>
              <w:right w:val="nil"/>
            </w:tcBorders>
            <w:noWrap/>
            <w:vAlign w:val="center"/>
            <w:hideMark/>
          </w:tcPr>
          <w:p w14:paraId="5D033EE5" w14:textId="77777777" w:rsidR="00790463" w:rsidRDefault="00790463" w:rsidP="00AA6693">
            <w:pPr>
              <w:jc w:val="center"/>
              <w:rPr>
                <w:rFonts w:ascii="Arial" w:hAnsi="Arial" w:cs="Arial"/>
                <w:b/>
                <w:bCs/>
                <w:color w:val="000000" w:themeColor="text1"/>
                <w:lang w:val="en-GB"/>
              </w:rPr>
            </w:pPr>
            <w:r>
              <w:rPr>
                <w:rFonts w:ascii="Arial" w:hAnsi="Arial" w:cs="Arial"/>
                <w:b/>
                <w:bCs/>
                <w:color w:val="000000" w:themeColor="text1"/>
              </w:rPr>
              <w:t>December 31</w:t>
            </w:r>
          </w:p>
        </w:tc>
        <w:tc>
          <w:tcPr>
            <w:tcW w:w="1629" w:type="dxa"/>
            <w:tcBorders>
              <w:top w:val="single" w:sz="4" w:space="0" w:color="auto"/>
              <w:left w:val="nil"/>
              <w:bottom w:val="nil"/>
              <w:right w:val="nil"/>
            </w:tcBorders>
            <w:noWrap/>
            <w:vAlign w:val="center"/>
            <w:hideMark/>
          </w:tcPr>
          <w:p w14:paraId="6090C243" w14:textId="77777777" w:rsidR="00790463" w:rsidRDefault="00790463" w:rsidP="00AA6693">
            <w:pPr>
              <w:jc w:val="center"/>
              <w:rPr>
                <w:rFonts w:ascii="Arial" w:hAnsi="Arial" w:cs="Arial"/>
                <w:b/>
                <w:bCs/>
                <w:color w:val="000000" w:themeColor="text1"/>
              </w:rPr>
            </w:pPr>
            <w:r>
              <w:rPr>
                <w:rFonts w:ascii="Arial" w:hAnsi="Arial" w:cs="Arial"/>
                <w:b/>
                <w:bCs/>
                <w:color w:val="000000" w:themeColor="text1"/>
              </w:rPr>
              <w:t>December 31</w:t>
            </w:r>
          </w:p>
        </w:tc>
        <w:tc>
          <w:tcPr>
            <w:tcW w:w="1629" w:type="dxa"/>
            <w:tcBorders>
              <w:top w:val="single" w:sz="4" w:space="0" w:color="auto"/>
              <w:left w:val="nil"/>
              <w:bottom w:val="nil"/>
              <w:right w:val="nil"/>
            </w:tcBorders>
            <w:noWrap/>
            <w:vAlign w:val="center"/>
            <w:hideMark/>
          </w:tcPr>
          <w:p w14:paraId="2C7973D6" w14:textId="77777777" w:rsidR="00790463" w:rsidRDefault="00790463" w:rsidP="00AA6693">
            <w:pPr>
              <w:jc w:val="center"/>
              <w:rPr>
                <w:rFonts w:ascii="Arial" w:hAnsi="Arial" w:cs="Arial"/>
                <w:b/>
                <w:bCs/>
                <w:color w:val="000000" w:themeColor="text1"/>
              </w:rPr>
            </w:pPr>
            <w:r>
              <w:rPr>
                <w:rFonts w:ascii="Arial" w:hAnsi="Arial" w:cs="Arial"/>
                <w:b/>
                <w:bCs/>
                <w:color w:val="000000" w:themeColor="text1"/>
              </w:rPr>
              <w:t>December 31</w:t>
            </w:r>
          </w:p>
        </w:tc>
      </w:tr>
      <w:tr w:rsidR="00790463" w14:paraId="28858774" w14:textId="77777777" w:rsidTr="00790463">
        <w:trPr>
          <w:trHeight w:val="288"/>
          <w:jc w:val="center"/>
        </w:trPr>
        <w:tc>
          <w:tcPr>
            <w:tcW w:w="3690" w:type="dxa"/>
            <w:tcBorders>
              <w:top w:val="nil"/>
              <w:left w:val="nil"/>
              <w:bottom w:val="single" w:sz="12" w:space="0" w:color="auto"/>
              <w:right w:val="nil"/>
            </w:tcBorders>
            <w:noWrap/>
            <w:vAlign w:val="center"/>
            <w:hideMark/>
          </w:tcPr>
          <w:p w14:paraId="0376FF66" w14:textId="77777777" w:rsidR="00790463" w:rsidRDefault="00790463">
            <w:pPr>
              <w:rPr>
                <w:rFonts w:ascii="Arial" w:hAnsi="Arial" w:cs="Arial"/>
                <w:color w:val="000000" w:themeColor="text1"/>
              </w:rPr>
            </w:pPr>
            <w:r>
              <w:rPr>
                <w:rFonts w:ascii="Arial" w:hAnsi="Arial" w:cs="Arial"/>
                <w:color w:val="000000" w:themeColor="text1"/>
              </w:rPr>
              <w:t xml:space="preserve"> </w:t>
            </w:r>
          </w:p>
        </w:tc>
        <w:tc>
          <w:tcPr>
            <w:tcW w:w="1629" w:type="dxa"/>
            <w:tcBorders>
              <w:top w:val="nil"/>
              <w:left w:val="nil"/>
              <w:bottom w:val="single" w:sz="12" w:space="0" w:color="auto"/>
              <w:right w:val="nil"/>
            </w:tcBorders>
            <w:noWrap/>
            <w:vAlign w:val="center"/>
            <w:hideMark/>
          </w:tcPr>
          <w:p w14:paraId="07308D1A" w14:textId="77777777" w:rsidR="00790463" w:rsidRDefault="00790463" w:rsidP="00AA6693">
            <w:pPr>
              <w:jc w:val="center"/>
              <w:rPr>
                <w:rFonts w:ascii="Arial" w:hAnsi="Arial" w:cs="Arial"/>
                <w:b/>
                <w:bCs/>
                <w:color w:val="000000" w:themeColor="text1"/>
              </w:rPr>
            </w:pPr>
            <w:r>
              <w:rPr>
                <w:rFonts w:ascii="Arial" w:hAnsi="Arial" w:cs="Arial"/>
                <w:b/>
                <w:bCs/>
                <w:color w:val="000000" w:themeColor="text1"/>
              </w:rPr>
              <w:t>2014</w:t>
            </w:r>
          </w:p>
        </w:tc>
        <w:tc>
          <w:tcPr>
            <w:tcW w:w="1629" w:type="dxa"/>
            <w:tcBorders>
              <w:top w:val="nil"/>
              <w:left w:val="nil"/>
              <w:bottom w:val="single" w:sz="12" w:space="0" w:color="auto"/>
              <w:right w:val="nil"/>
            </w:tcBorders>
            <w:noWrap/>
            <w:vAlign w:val="center"/>
            <w:hideMark/>
          </w:tcPr>
          <w:p w14:paraId="6CA1D5E4" w14:textId="77777777" w:rsidR="00790463" w:rsidRDefault="00790463" w:rsidP="00AA6693">
            <w:pPr>
              <w:jc w:val="center"/>
              <w:rPr>
                <w:rFonts w:ascii="Arial" w:hAnsi="Arial" w:cs="Arial"/>
                <w:b/>
                <w:bCs/>
                <w:color w:val="000000" w:themeColor="text1"/>
              </w:rPr>
            </w:pPr>
            <w:r>
              <w:rPr>
                <w:rFonts w:ascii="Arial" w:hAnsi="Arial" w:cs="Arial"/>
                <w:b/>
                <w:bCs/>
                <w:color w:val="000000" w:themeColor="text1"/>
              </w:rPr>
              <w:t>2015</w:t>
            </w:r>
          </w:p>
        </w:tc>
        <w:tc>
          <w:tcPr>
            <w:tcW w:w="1629" w:type="dxa"/>
            <w:tcBorders>
              <w:top w:val="nil"/>
              <w:left w:val="nil"/>
              <w:bottom w:val="single" w:sz="12" w:space="0" w:color="auto"/>
              <w:right w:val="nil"/>
            </w:tcBorders>
            <w:noWrap/>
            <w:vAlign w:val="center"/>
            <w:hideMark/>
          </w:tcPr>
          <w:p w14:paraId="1797758E" w14:textId="77777777" w:rsidR="00790463" w:rsidRDefault="00790463" w:rsidP="00AA6693">
            <w:pPr>
              <w:jc w:val="center"/>
              <w:rPr>
                <w:rFonts w:ascii="Arial" w:hAnsi="Arial" w:cs="Arial"/>
                <w:b/>
                <w:bCs/>
                <w:color w:val="000000" w:themeColor="text1"/>
              </w:rPr>
            </w:pPr>
            <w:r>
              <w:rPr>
                <w:rFonts w:ascii="Arial" w:hAnsi="Arial" w:cs="Arial"/>
                <w:b/>
                <w:bCs/>
                <w:color w:val="000000" w:themeColor="text1"/>
              </w:rPr>
              <w:t>2016E*</w:t>
            </w:r>
          </w:p>
        </w:tc>
      </w:tr>
      <w:tr w:rsidR="00790463" w14:paraId="47A34999" w14:textId="77777777" w:rsidTr="00790463">
        <w:trPr>
          <w:trHeight w:val="288"/>
          <w:jc w:val="center"/>
        </w:trPr>
        <w:tc>
          <w:tcPr>
            <w:tcW w:w="3690" w:type="dxa"/>
            <w:tcBorders>
              <w:top w:val="single" w:sz="12" w:space="0" w:color="auto"/>
              <w:left w:val="nil"/>
              <w:bottom w:val="nil"/>
              <w:right w:val="nil"/>
            </w:tcBorders>
            <w:noWrap/>
            <w:vAlign w:val="center"/>
            <w:hideMark/>
          </w:tcPr>
          <w:p w14:paraId="25AA2FD4" w14:textId="77777777" w:rsidR="00790463" w:rsidRDefault="00790463">
            <w:pPr>
              <w:rPr>
                <w:rFonts w:ascii="Arial" w:hAnsi="Arial" w:cs="Arial"/>
                <w:color w:val="000000" w:themeColor="text1"/>
              </w:rPr>
            </w:pPr>
            <w:r>
              <w:rPr>
                <w:rFonts w:ascii="Arial" w:hAnsi="Arial" w:cs="Arial"/>
                <w:color w:val="000000" w:themeColor="text1"/>
              </w:rPr>
              <w:t>Gross sales</w:t>
            </w:r>
          </w:p>
        </w:tc>
        <w:tc>
          <w:tcPr>
            <w:tcW w:w="1629" w:type="dxa"/>
            <w:tcBorders>
              <w:top w:val="single" w:sz="12" w:space="0" w:color="auto"/>
              <w:left w:val="nil"/>
              <w:bottom w:val="nil"/>
              <w:right w:val="nil"/>
            </w:tcBorders>
            <w:noWrap/>
            <w:vAlign w:val="center"/>
            <w:hideMark/>
          </w:tcPr>
          <w:p w14:paraId="0CF9A4D2" w14:textId="77777777" w:rsidR="00790463" w:rsidRDefault="00790463">
            <w:pPr>
              <w:jc w:val="right"/>
              <w:rPr>
                <w:rFonts w:ascii="Arial" w:hAnsi="Arial" w:cs="Arial"/>
                <w:color w:val="000000" w:themeColor="text1"/>
              </w:rPr>
            </w:pPr>
            <w:r>
              <w:rPr>
                <w:rFonts w:ascii="Arial" w:hAnsi="Arial" w:cs="Arial"/>
                <w:color w:val="000000" w:themeColor="text1"/>
              </w:rPr>
              <w:t>4,684,594,869</w:t>
            </w:r>
          </w:p>
        </w:tc>
        <w:tc>
          <w:tcPr>
            <w:tcW w:w="1629" w:type="dxa"/>
            <w:tcBorders>
              <w:top w:val="single" w:sz="12" w:space="0" w:color="auto"/>
              <w:left w:val="nil"/>
              <w:bottom w:val="nil"/>
              <w:right w:val="nil"/>
            </w:tcBorders>
            <w:noWrap/>
            <w:vAlign w:val="center"/>
            <w:hideMark/>
          </w:tcPr>
          <w:p w14:paraId="6034C6BB" w14:textId="77777777" w:rsidR="00790463" w:rsidRDefault="00790463">
            <w:pPr>
              <w:jc w:val="right"/>
              <w:rPr>
                <w:rFonts w:ascii="Arial" w:hAnsi="Arial" w:cs="Arial"/>
                <w:color w:val="000000" w:themeColor="text1"/>
              </w:rPr>
            </w:pPr>
            <w:r>
              <w:rPr>
                <w:rFonts w:ascii="Arial" w:hAnsi="Arial" w:cs="Arial"/>
                <w:color w:val="000000" w:themeColor="text1"/>
              </w:rPr>
              <w:t>5,238,539,745</w:t>
            </w:r>
          </w:p>
        </w:tc>
        <w:tc>
          <w:tcPr>
            <w:tcW w:w="1629" w:type="dxa"/>
            <w:tcBorders>
              <w:top w:val="single" w:sz="12" w:space="0" w:color="auto"/>
              <w:left w:val="nil"/>
              <w:bottom w:val="nil"/>
              <w:right w:val="nil"/>
            </w:tcBorders>
            <w:noWrap/>
            <w:vAlign w:val="center"/>
            <w:hideMark/>
          </w:tcPr>
          <w:p w14:paraId="63B8E7D9" w14:textId="77777777" w:rsidR="00790463" w:rsidRDefault="00790463">
            <w:pPr>
              <w:jc w:val="right"/>
              <w:rPr>
                <w:rFonts w:ascii="Arial" w:hAnsi="Arial" w:cs="Arial"/>
                <w:color w:val="000000" w:themeColor="text1"/>
              </w:rPr>
            </w:pPr>
            <w:r>
              <w:rPr>
                <w:rFonts w:ascii="Arial" w:hAnsi="Arial" w:cs="Arial"/>
                <w:color w:val="000000" w:themeColor="text1"/>
              </w:rPr>
              <w:t>5,935,789,385</w:t>
            </w:r>
          </w:p>
        </w:tc>
      </w:tr>
      <w:tr w:rsidR="00790463" w14:paraId="10233656" w14:textId="77777777" w:rsidTr="00790463">
        <w:trPr>
          <w:trHeight w:val="288"/>
          <w:jc w:val="center"/>
        </w:trPr>
        <w:tc>
          <w:tcPr>
            <w:tcW w:w="3690" w:type="dxa"/>
            <w:tcBorders>
              <w:top w:val="nil"/>
              <w:left w:val="nil"/>
              <w:bottom w:val="nil"/>
              <w:right w:val="nil"/>
            </w:tcBorders>
            <w:noWrap/>
            <w:vAlign w:val="center"/>
            <w:hideMark/>
          </w:tcPr>
          <w:p w14:paraId="5E4B3D49" w14:textId="77777777" w:rsidR="00790463" w:rsidRDefault="00790463">
            <w:pPr>
              <w:rPr>
                <w:rFonts w:ascii="Arial" w:hAnsi="Arial" w:cs="Arial"/>
                <w:color w:val="000000" w:themeColor="text1"/>
              </w:rPr>
            </w:pPr>
            <w:r>
              <w:rPr>
                <w:rFonts w:ascii="Arial" w:hAnsi="Arial" w:cs="Arial"/>
                <w:color w:val="000000" w:themeColor="text1"/>
              </w:rPr>
              <w:t>Less:</w:t>
            </w:r>
          </w:p>
        </w:tc>
        <w:tc>
          <w:tcPr>
            <w:tcW w:w="1629" w:type="dxa"/>
            <w:tcBorders>
              <w:top w:val="nil"/>
              <w:left w:val="nil"/>
              <w:bottom w:val="nil"/>
              <w:right w:val="nil"/>
            </w:tcBorders>
            <w:noWrap/>
            <w:vAlign w:val="center"/>
            <w:hideMark/>
          </w:tcPr>
          <w:p w14:paraId="077AF709" w14:textId="77777777" w:rsidR="00790463" w:rsidRDefault="00790463">
            <w:pPr>
              <w:rPr>
                <w:rFonts w:ascii="Arial" w:hAnsi="Arial" w:cs="Arial"/>
                <w:color w:val="000000" w:themeColor="text1"/>
              </w:rPr>
            </w:pPr>
          </w:p>
        </w:tc>
        <w:tc>
          <w:tcPr>
            <w:tcW w:w="1629" w:type="dxa"/>
            <w:tcBorders>
              <w:top w:val="nil"/>
              <w:left w:val="nil"/>
              <w:bottom w:val="nil"/>
              <w:right w:val="nil"/>
            </w:tcBorders>
            <w:noWrap/>
            <w:vAlign w:val="center"/>
            <w:hideMark/>
          </w:tcPr>
          <w:p w14:paraId="1363BBC3" w14:textId="77777777" w:rsidR="00790463" w:rsidRDefault="00790463">
            <w:pPr>
              <w:rPr>
                <w:rFonts w:asciiTheme="minorHAnsi" w:eastAsiaTheme="minorHAnsi" w:hAnsiTheme="minorHAnsi" w:cstheme="minorBidi"/>
                <w:lang w:val="en-CA" w:eastAsia="en-CA"/>
              </w:rPr>
            </w:pPr>
          </w:p>
        </w:tc>
        <w:tc>
          <w:tcPr>
            <w:tcW w:w="1629" w:type="dxa"/>
            <w:tcBorders>
              <w:top w:val="nil"/>
              <w:left w:val="nil"/>
              <w:bottom w:val="nil"/>
              <w:right w:val="nil"/>
            </w:tcBorders>
            <w:noWrap/>
            <w:vAlign w:val="center"/>
            <w:hideMark/>
          </w:tcPr>
          <w:p w14:paraId="7426D0BF" w14:textId="77777777" w:rsidR="00790463" w:rsidRDefault="00790463">
            <w:pPr>
              <w:rPr>
                <w:rFonts w:asciiTheme="minorHAnsi" w:eastAsiaTheme="minorHAnsi" w:hAnsiTheme="minorHAnsi" w:cstheme="minorBidi"/>
                <w:lang w:val="en-CA" w:eastAsia="en-CA"/>
              </w:rPr>
            </w:pPr>
          </w:p>
        </w:tc>
      </w:tr>
      <w:tr w:rsidR="00790463" w14:paraId="4F1844BF" w14:textId="77777777" w:rsidTr="00790463">
        <w:trPr>
          <w:trHeight w:val="288"/>
          <w:jc w:val="center"/>
        </w:trPr>
        <w:tc>
          <w:tcPr>
            <w:tcW w:w="3690" w:type="dxa"/>
            <w:tcBorders>
              <w:top w:val="nil"/>
              <w:left w:val="nil"/>
              <w:bottom w:val="nil"/>
              <w:right w:val="nil"/>
            </w:tcBorders>
            <w:noWrap/>
            <w:vAlign w:val="center"/>
            <w:hideMark/>
          </w:tcPr>
          <w:p w14:paraId="31E839F7" w14:textId="77777777" w:rsidR="00790463" w:rsidRDefault="00790463">
            <w:pPr>
              <w:ind w:firstLineChars="200" w:firstLine="400"/>
              <w:rPr>
                <w:rFonts w:ascii="Arial" w:hAnsi="Arial" w:cs="Arial"/>
                <w:color w:val="000000" w:themeColor="text1"/>
                <w:lang w:val="en-GB"/>
              </w:rPr>
            </w:pPr>
            <w:r>
              <w:rPr>
                <w:rFonts w:ascii="Arial" w:hAnsi="Arial" w:cs="Arial"/>
                <w:color w:val="000000" w:themeColor="text1"/>
              </w:rPr>
              <w:t>Sales discount</w:t>
            </w:r>
          </w:p>
        </w:tc>
        <w:tc>
          <w:tcPr>
            <w:tcW w:w="1629" w:type="dxa"/>
            <w:tcBorders>
              <w:top w:val="nil"/>
              <w:left w:val="nil"/>
              <w:bottom w:val="nil"/>
              <w:right w:val="nil"/>
            </w:tcBorders>
            <w:noWrap/>
            <w:vAlign w:val="center"/>
            <w:hideMark/>
          </w:tcPr>
          <w:p w14:paraId="35047F77" w14:textId="77777777" w:rsidR="00790463" w:rsidRDefault="00790463">
            <w:pPr>
              <w:jc w:val="right"/>
              <w:rPr>
                <w:rFonts w:ascii="Arial" w:hAnsi="Arial" w:cs="Arial"/>
                <w:color w:val="000000" w:themeColor="text1"/>
              </w:rPr>
            </w:pPr>
            <w:r>
              <w:rPr>
                <w:rFonts w:ascii="Arial" w:hAnsi="Arial" w:cs="Arial"/>
                <w:color w:val="000000" w:themeColor="text1"/>
              </w:rPr>
              <w:t>(130,156,897)</w:t>
            </w:r>
          </w:p>
        </w:tc>
        <w:tc>
          <w:tcPr>
            <w:tcW w:w="1629" w:type="dxa"/>
            <w:tcBorders>
              <w:top w:val="nil"/>
              <w:left w:val="nil"/>
              <w:bottom w:val="nil"/>
              <w:right w:val="nil"/>
            </w:tcBorders>
            <w:noWrap/>
            <w:vAlign w:val="center"/>
            <w:hideMark/>
          </w:tcPr>
          <w:p w14:paraId="089ABDB1" w14:textId="77777777" w:rsidR="00790463" w:rsidRDefault="00790463">
            <w:pPr>
              <w:jc w:val="right"/>
              <w:rPr>
                <w:rFonts w:ascii="Arial" w:hAnsi="Arial" w:cs="Arial"/>
                <w:color w:val="000000" w:themeColor="text1"/>
              </w:rPr>
            </w:pPr>
            <w:r>
              <w:rPr>
                <w:rFonts w:ascii="Arial" w:hAnsi="Arial" w:cs="Arial"/>
                <w:color w:val="000000" w:themeColor="text1"/>
              </w:rPr>
              <w:t>(161,333,628)</w:t>
            </w:r>
          </w:p>
        </w:tc>
        <w:tc>
          <w:tcPr>
            <w:tcW w:w="1629" w:type="dxa"/>
            <w:tcBorders>
              <w:top w:val="nil"/>
              <w:left w:val="nil"/>
              <w:bottom w:val="nil"/>
              <w:right w:val="nil"/>
            </w:tcBorders>
            <w:noWrap/>
            <w:vAlign w:val="center"/>
            <w:hideMark/>
          </w:tcPr>
          <w:p w14:paraId="336BF163" w14:textId="77777777" w:rsidR="00790463" w:rsidRDefault="00790463">
            <w:pPr>
              <w:jc w:val="right"/>
              <w:rPr>
                <w:rFonts w:ascii="Arial" w:hAnsi="Arial" w:cs="Arial"/>
                <w:color w:val="000000" w:themeColor="text1"/>
              </w:rPr>
            </w:pPr>
            <w:r>
              <w:rPr>
                <w:rFonts w:ascii="Arial" w:hAnsi="Arial" w:cs="Arial"/>
                <w:color w:val="000000" w:themeColor="text1"/>
              </w:rPr>
              <w:t>(182,822,313)</w:t>
            </w:r>
          </w:p>
        </w:tc>
      </w:tr>
      <w:tr w:rsidR="00790463" w14:paraId="6E15A5D6" w14:textId="77777777" w:rsidTr="00790463">
        <w:trPr>
          <w:trHeight w:val="288"/>
          <w:jc w:val="center"/>
        </w:trPr>
        <w:tc>
          <w:tcPr>
            <w:tcW w:w="3690" w:type="dxa"/>
            <w:tcBorders>
              <w:top w:val="nil"/>
              <w:left w:val="nil"/>
              <w:bottom w:val="nil"/>
              <w:right w:val="nil"/>
            </w:tcBorders>
            <w:noWrap/>
            <w:vAlign w:val="center"/>
            <w:hideMark/>
          </w:tcPr>
          <w:p w14:paraId="71122ECC" w14:textId="77777777" w:rsidR="00790463" w:rsidRDefault="00790463">
            <w:pPr>
              <w:ind w:firstLineChars="200" w:firstLine="400"/>
              <w:rPr>
                <w:rFonts w:ascii="Arial" w:hAnsi="Arial" w:cs="Arial"/>
                <w:color w:val="000000" w:themeColor="text1"/>
              </w:rPr>
            </w:pPr>
            <w:r>
              <w:rPr>
                <w:rFonts w:ascii="Arial" w:hAnsi="Arial" w:cs="Arial"/>
                <w:color w:val="000000" w:themeColor="text1"/>
              </w:rPr>
              <w:t>Sales returns</w:t>
            </w:r>
          </w:p>
        </w:tc>
        <w:tc>
          <w:tcPr>
            <w:tcW w:w="1629" w:type="dxa"/>
            <w:tcBorders>
              <w:top w:val="nil"/>
              <w:left w:val="nil"/>
              <w:bottom w:val="nil"/>
              <w:right w:val="nil"/>
            </w:tcBorders>
            <w:noWrap/>
            <w:vAlign w:val="center"/>
            <w:hideMark/>
          </w:tcPr>
          <w:p w14:paraId="619A3906" w14:textId="77777777" w:rsidR="00790463" w:rsidRDefault="00790463">
            <w:pPr>
              <w:jc w:val="right"/>
              <w:rPr>
                <w:rFonts w:ascii="Arial" w:hAnsi="Arial" w:cs="Arial"/>
                <w:color w:val="000000" w:themeColor="text1"/>
              </w:rPr>
            </w:pPr>
            <w:r>
              <w:rPr>
                <w:rFonts w:ascii="Arial" w:hAnsi="Arial" w:cs="Arial"/>
                <w:color w:val="000000" w:themeColor="text1"/>
              </w:rPr>
              <w:t>(938,155)</w:t>
            </w:r>
          </w:p>
        </w:tc>
        <w:tc>
          <w:tcPr>
            <w:tcW w:w="1629" w:type="dxa"/>
            <w:tcBorders>
              <w:top w:val="nil"/>
              <w:left w:val="nil"/>
              <w:bottom w:val="nil"/>
              <w:right w:val="nil"/>
            </w:tcBorders>
            <w:noWrap/>
            <w:vAlign w:val="center"/>
            <w:hideMark/>
          </w:tcPr>
          <w:p w14:paraId="748A9130" w14:textId="77777777" w:rsidR="00790463" w:rsidRDefault="00790463">
            <w:pPr>
              <w:jc w:val="right"/>
              <w:rPr>
                <w:rFonts w:ascii="Arial" w:hAnsi="Arial" w:cs="Arial"/>
                <w:color w:val="000000" w:themeColor="text1"/>
              </w:rPr>
            </w:pPr>
            <w:r>
              <w:rPr>
                <w:rFonts w:ascii="Arial" w:hAnsi="Arial" w:cs="Arial"/>
                <w:color w:val="000000" w:themeColor="text1"/>
              </w:rPr>
              <w:t>(1,214,837)</w:t>
            </w:r>
          </w:p>
        </w:tc>
        <w:tc>
          <w:tcPr>
            <w:tcW w:w="1629" w:type="dxa"/>
            <w:tcBorders>
              <w:top w:val="nil"/>
              <w:left w:val="nil"/>
              <w:bottom w:val="nil"/>
              <w:right w:val="nil"/>
            </w:tcBorders>
            <w:noWrap/>
            <w:vAlign w:val="center"/>
            <w:hideMark/>
          </w:tcPr>
          <w:p w14:paraId="02F0E1DE" w14:textId="77777777" w:rsidR="00790463" w:rsidRDefault="00790463">
            <w:pPr>
              <w:jc w:val="right"/>
              <w:rPr>
                <w:rFonts w:ascii="Arial" w:hAnsi="Arial" w:cs="Arial"/>
                <w:color w:val="000000" w:themeColor="text1"/>
              </w:rPr>
            </w:pPr>
            <w:r>
              <w:rPr>
                <w:rFonts w:ascii="Arial" w:hAnsi="Arial" w:cs="Arial"/>
                <w:color w:val="000000" w:themeColor="text1"/>
              </w:rPr>
              <w:t>(1,365,232)</w:t>
            </w:r>
          </w:p>
        </w:tc>
      </w:tr>
      <w:tr w:rsidR="00790463" w14:paraId="3A8B512B" w14:textId="77777777" w:rsidTr="00790463">
        <w:trPr>
          <w:trHeight w:val="288"/>
          <w:jc w:val="center"/>
        </w:trPr>
        <w:tc>
          <w:tcPr>
            <w:tcW w:w="3690" w:type="dxa"/>
            <w:tcBorders>
              <w:top w:val="nil"/>
              <w:left w:val="nil"/>
              <w:bottom w:val="nil"/>
              <w:right w:val="nil"/>
            </w:tcBorders>
            <w:noWrap/>
            <w:vAlign w:val="center"/>
            <w:hideMark/>
          </w:tcPr>
          <w:p w14:paraId="4F87F8AE" w14:textId="77777777" w:rsidR="00790463" w:rsidRDefault="00790463">
            <w:pPr>
              <w:rPr>
                <w:rFonts w:ascii="Arial" w:hAnsi="Arial" w:cs="Arial"/>
                <w:b/>
                <w:bCs/>
                <w:color w:val="000000" w:themeColor="text1"/>
              </w:rPr>
            </w:pPr>
            <w:r>
              <w:rPr>
                <w:rFonts w:ascii="Arial" w:hAnsi="Arial" w:cs="Arial"/>
                <w:b/>
                <w:bCs/>
                <w:color w:val="000000" w:themeColor="text1"/>
              </w:rPr>
              <w:t>Net Sales</w:t>
            </w:r>
          </w:p>
        </w:tc>
        <w:tc>
          <w:tcPr>
            <w:tcW w:w="1629" w:type="dxa"/>
            <w:tcBorders>
              <w:top w:val="nil"/>
              <w:left w:val="nil"/>
              <w:bottom w:val="nil"/>
              <w:right w:val="nil"/>
            </w:tcBorders>
            <w:noWrap/>
            <w:vAlign w:val="center"/>
            <w:hideMark/>
          </w:tcPr>
          <w:p w14:paraId="2E5C1862" w14:textId="77777777" w:rsidR="00790463" w:rsidRDefault="00790463">
            <w:pPr>
              <w:jc w:val="right"/>
              <w:rPr>
                <w:rFonts w:ascii="Arial" w:hAnsi="Arial" w:cs="Arial"/>
                <w:b/>
                <w:bCs/>
                <w:color w:val="000000" w:themeColor="text1"/>
              </w:rPr>
            </w:pPr>
            <w:r>
              <w:rPr>
                <w:rFonts w:ascii="Arial" w:hAnsi="Arial" w:cs="Arial"/>
                <w:b/>
                <w:bCs/>
                <w:color w:val="000000" w:themeColor="text1"/>
              </w:rPr>
              <w:t>4,553,499,817</w:t>
            </w:r>
          </w:p>
        </w:tc>
        <w:tc>
          <w:tcPr>
            <w:tcW w:w="1629" w:type="dxa"/>
            <w:tcBorders>
              <w:top w:val="nil"/>
              <w:left w:val="nil"/>
              <w:bottom w:val="nil"/>
              <w:right w:val="nil"/>
            </w:tcBorders>
            <w:noWrap/>
            <w:vAlign w:val="center"/>
            <w:hideMark/>
          </w:tcPr>
          <w:p w14:paraId="1E203408" w14:textId="77777777" w:rsidR="00790463" w:rsidRDefault="00790463">
            <w:pPr>
              <w:jc w:val="right"/>
              <w:rPr>
                <w:rFonts w:ascii="Arial" w:hAnsi="Arial" w:cs="Arial"/>
                <w:b/>
                <w:bCs/>
                <w:color w:val="000000" w:themeColor="text1"/>
              </w:rPr>
            </w:pPr>
            <w:r>
              <w:rPr>
                <w:rFonts w:ascii="Arial" w:hAnsi="Arial" w:cs="Arial"/>
                <w:b/>
                <w:bCs/>
                <w:color w:val="000000" w:themeColor="text1"/>
              </w:rPr>
              <w:t>5,075,991,280</w:t>
            </w:r>
          </w:p>
        </w:tc>
        <w:tc>
          <w:tcPr>
            <w:tcW w:w="1629" w:type="dxa"/>
            <w:tcBorders>
              <w:top w:val="nil"/>
              <w:left w:val="nil"/>
              <w:bottom w:val="nil"/>
              <w:right w:val="nil"/>
            </w:tcBorders>
            <w:noWrap/>
            <w:vAlign w:val="center"/>
            <w:hideMark/>
          </w:tcPr>
          <w:p w14:paraId="5478D4DF" w14:textId="77777777" w:rsidR="00790463" w:rsidRDefault="00790463">
            <w:pPr>
              <w:jc w:val="right"/>
              <w:rPr>
                <w:rFonts w:ascii="Arial" w:hAnsi="Arial" w:cs="Arial"/>
                <w:b/>
                <w:bCs/>
                <w:color w:val="000000" w:themeColor="text1"/>
              </w:rPr>
            </w:pPr>
            <w:r>
              <w:rPr>
                <w:rFonts w:ascii="Arial" w:hAnsi="Arial" w:cs="Arial"/>
                <w:b/>
                <w:bCs/>
                <w:color w:val="000000" w:themeColor="text1"/>
              </w:rPr>
              <w:t>5,751,601,840</w:t>
            </w:r>
          </w:p>
        </w:tc>
      </w:tr>
      <w:tr w:rsidR="00790463" w14:paraId="1C518198" w14:textId="77777777" w:rsidTr="00790463">
        <w:trPr>
          <w:trHeight w:val="288"/>
          <w:jc w:val="center"/>
        </w:trPr>
        <w:tc>
          <w:tcPr>
            <w:tcW w:w="3690" w:type="dxa"/>
            <w:tcBorders>
              <w:top w:val="nil"/>
              <w:left w:val="nil"/>
              <w:bottom w:val="nil"/>
              <w:right w:val="nil"/>
            </w:tcBorders>
            <w:noWrap/>
            <w:vAlign w:val="center"/>
            <w:hideMark/>
          </w:tcPr>
          <w:p w14:paraId="0DB5B684" w14:textId="77777777" w:rsidR="00790463" w:rsidRDefault="00790463">
            <w:pPr>
              <w:rPr>
                <w:rFonts w:ascii="Arial" w:hAnsi="Arial" w:cs="Arial"/>
                <w:color w:val="000000" w:themeColor="text1"/>
              </w:rPr>
            </w:pPr>
            <w:r>
              <w:rPr>
                <w:rFonts w:ascii="Arial" w:hAnsi="Arial" w:cs="Arial"/>
                <w:color w:val="000000" w:themeColor="text1"/>
              </w:rPr>
              <w:t>Royalty and franchise fees</w:t>
            </w:r>
          </w:p>
        </w:tc>
        <w:tc>
          <w:tcPr>
            <w:tcW w:w="1629" w:type="dxa"/>
            <w:tcBorders>
              <w:top w:val="nil"/>
              <w:left w:val="nil"/>
              <w:bottom w:val="nil"/>
              <w:right w:val="nil"/>
            </w:tcBorders>
            <w:noWrap/>
            <w:vAlign w:val="center"/>
            <w:hideMark/>
          </w:tcPr>
          <w:p w14:paraId="0F279BE8" w14:textId="77777777" w:rsidR="00790463" w:rsidRDefault="00790463">
            <w:pPr>
              <w:jc w:val="right"/>
              <w:rPr>
                <w:rFonts w:ascii="Arial" w:hAnsi="Arial" w:cs="Arial"/>
                <w:color w:val="000000" w:themeColor="text1"/>
              </w:rPr>
            </w:pPr>
            <w:r>
              <w:rPr>
                <w:rFonts w:ascii="Arial" w:hAnsi="Arial" w:cs="Arial"/>
                <w:color w:val="000000" w:themeColor="text1"/>
              </w:rPr>
              <w:t>142,986,854</w:t>
            </w:r>
          </w:p>
        </w:tc>
        <w:tc>
          <w:tcPr>
            <w:tcW w:w="1629" w:type="dxa"/>
            <w:tcBorders>
              <w:top w:val="nil"/>
              <w:left w:val="nil"/>
              <w:bottom w:val="nil"/>
              <w:right w:val="nil"/>
            </w:tcBorders>
            <w:noWrap/>
            <w:vAlign w:val="center"/>
            <w:hideMark/>
          </w:tcPr>
          <w:p w14:paraId="7D94BE5D" w14:textId="77777777" w:rsidR="00790463" w:rsidRDefault="00790463">
            <w:pPr>
              <w:jc w:val="right"/>
              <w:rPr>
                <w:rFonts w:ascii="Arial" w:hAnsi="Arial" w:cs="Arial"/>
                <w:color w:val="000000" w:themeColor="text1"/>
              </w:rPr>
            </w:pPr>
            <w:r>
              <w:rPr>
                <w:rFonts w:ascii="Arial" w:hAnsi="Arial" w:cs="Arial"/>
                <w:color w:val="000000" w:themeColor="text1"/>
              </w:rPr>
              <w:t>168,348,361</w:t>
            </w:r>
          </w:p>
        </w:tc>
        <w:tc>
          <w:tcPr>
            <w:tcW w:w="1629" w:type="dxa"/>
            <w:tcBorders>
              <w:top w:val="nil"/>
              <w:left w:val="nil"/>
              <w:bottom w:val="nil"/>
              <w:right w:val="nil"/>
            </w:tcBorders>
            <w:noWrap/>
            <w:vAlign w:val="center"/>
            <w:hideMark/>
          </w:tcPr>
          <w:p w14:paraId="4E57E0A2" w14:textId="77777777" w:rsidR="00790463" w:rsidRDefault="00790463">
            <w:pPr>
              <w:jc w:val="right"/>
              <w:rPr>
                <w:rFonts w:ascii="Arial" w:hAnsi="Arial" w:cs="Arial"/>
                <w:color w:val="000000" w:themeColor="text1"/>
              </w:rPr>
            </w:pPr>
            <w:r>
              <w:rPr>
                <w:rFonts w:ascii="Arial" w:hAnsi="Arial" w:cs="Arial"/>
                <w:color w:val="000000" w:themeColor="text1"/>
              </w:rPr>
              <w:t>190,538,839</w:t>
            </w:r>
          </w:p>
        </w:tc>
      </w:tr>
      <w:tr w:rsidR="00790463" w14:paraId="2BB1A1A3" w14:textId="77777777" w:rsidTr="00790463">
        <w:trPr>
          <w:trHeight w:val="288"/>
          <w:jc w:val="center"/>
        </w:trPr>
        <w:tc>
          <w:tcPr>
            <w:tcW w:w="3690" w:type="dxa"/>
            <w:tcBorders>
              <w:top w:val="nil"/>
              <w:left w:val="nil"/>
              <w:bottom w:val="nil"/>
              <w:right w:val="nil"/>
            </w:tcBorders>
            <w:noWrap/>
            <w:vAlign w:val="center"/>
            <w:hideMark/>
          </w:tcPr>
          <w:p w14:paraId="7DE5566B" w14:textId="77777777" w:rsidR="00790463" w:rsidRDefault="00790463">
            <w:pPr>
              <w:rPr>
                <w:rFonts w:ascii="Arial" w:hAnsi="Arial" w:cs="Arial"/>
                <w:color w:val="000000" w:themeColor="text1"/>
              </w:rPr>
            </w:pPr>
            <w:r>
              <w:rPr>
                <w:rFonts w:ascii="Arial" w:hAnsi="Arial" w:cs="Arial"/>
                <w:color w:val="000000" w:themeColor="text1"/>
              </w:rPr>
              <w:t>Cost of sales</w:t>
            </w:r>
          </w:p>
        </w:tc>
        <w:tc>
          <w:tcPr>
            <w:tcW w:w="1629" w:type="dxa"/>
            <w:tcBorders>
              <w:top w:val="nil"/>
              <w:left w:val="nil"/>
              <w:bottom w:val="nil"/>
              <w:right w:val="nil"/>
            </w:tcBorders>
            <w:noWrap/>
            <w:vAlign w:val="center"/>
            <w:hideMark/>
          </w:tcPr>
          <w:p w14:paraId="62313B88" w14:textId="77777777" w:rsidR="00790463" w:rsidRDefault="00790463">
            <w:pPr>
              <w:jc w:val="right"/>
              <w:rPr>
                <w:rFonts w:ascii="Arial" w:hAnsi="Arial" w:cs="Arial"/>
                <w:color w:val="000000" w:themeColor="text1"/>
              </w:rPr>
            </w:pPr>
            <w:r>
              <w:rPr>
                <w:rFonts w:ascii="Arial" w:hAnsi="Arial" w:cs="Arial"/>
                <w:color w:val="000000" w:themeColor="text1"/>
              </w:rPr>
              <w:t>(3,638,500,150)</w:t>
            </w:r>
          </w:p>
        </w:tc>
        <w:tc>
          <w:tcPr>
            <w:tcW w:w="1629" w:type="dxa"/>
            <w:tcBorders>
              <w:top w:val="nil"/>
              <w:left w:val="nil"/>
              <w:bottom w:val="nil"/>
              <w:right w:val="nil"/>
            </w:tcBorders>
            <w:noWrap/>
            <w:vAlign w:val="center"/>
            <w:hideMark/>
          </w:tcPr>
          <w:p w14:paraId="15C5C991" w14:textId="77777777" w:rsidR="00790463" w:rsidRDefault="00790463">
            <w:pPr>
              <w:jc w:val="right"/>
              <w:rPr>
                <w:rFonts w:ascii="Arial" w:hAnsi="Arial" w:cs="Arial"/>
                <w:color w:val="000000" w:themeColor="text1"/>
              </w:rPr>
            </w:pPr>
            <w:r>
              <w:rPr>
                <w:rFonts w:ascii="Arial" w:hAnsi="Arial" w:cs="Arial"/>
                <w:color w:val="000000" w:themeColor="text1"/>
              </w:rPr>
              <w:t>(4,048,378,689)</w:t>
            </w:r>
          </w:p>
        </w:tc>
        <w:tc>
          <w:tcPr>
            <w:tcW w:w="1629" w:type="dxa"/>
            <w:tcBorders>
              <w:top w:val="nil"/>
              <w:left w:val="nil"/>
              <w:bottom w:val="nil"/>
              <w:right w:val="nil"/>
            </w:tcBorders>
            <w:noWrap/>
            <w:vAlign w:val="center"/>
            <w:hideMark/>
          </w:tcPr>
          <w:p w14:paraId="5FD28E80" w14:textId="77777777" w:rsidR="00790463" w:rsidRDefault="00790463">
            <w:pPr>
              <w:jc w:val="right"/>
              <w:rPr>
                <w:rFonts w:ascii="Arial" w:hAnsi="Arial" w:cs="Arial"/>
                <w:color w:val="000000" w:themeColor="text1"/>
              </w:rPr>
            </w:pPr>
            <w:r>
              <w:rPr>
                <w:rFonts w:ascii="Arial" w:hAnsi="Arial" w:cs="Arial"/>
                <w:color w:val="000000" w:themeColor="text1"/>
              </w:rPr>
              <w:t>(4,363,695,566)</w:t>
            </w:r>
          </w:p>
        </w:tc>
      </w:tr>
      <w:tr w:rsidR="00790463" w14:paraId="68C8EF6E" w14:textId="77777777" w:rsidTr="00790463">
        <w:trPr>
          <w:trHeight w:val="288"/>
          <w:jc w:val="center"/>
        </w:trPr>
        <w:tc>
          <w:tcPr>
            <w:tcW w:w="3690" w:type="dxa"/>
            <w:tcBorders>
              <w:top w:val="nil"/>
              <w:left w:val="nil"/>
              <w:bottom w:val="nil"/>
              <w:right w:val="nil"/>
            </w:tcBorders>
            <w:noWrap/>
            <w:vAlign w:val="center"/>
            <w:hideMark/>
          </w:tcPr>
          <w:p w14:paraId="5892BB96" w14:textId="77777777" w:rsidR="00790463" w:rsidRDefault="00790463">
            <w:pPr>
              <w:rPr>
                <w:rFonts w:ascii="Arial" w:hAnsi="Arial" w:cs="Arial"/>
                <w:b/>
                <w:bCs/>
                <w:color w:val="000000" w:themeColor="text1"/>
              </w:rPr>
            </w:pPr>
            <w:r>
              <w:rPr>
                <w:rFonts w:ascii="Arial" w:hAnsi="Arial" w:cs="Arial"/>
                <w:b/>
                <w:bCs/>
                <w:color w:val="000000" w:themeColor="text1"/>
              </w:rPr>
              <w:t>Gross Income (Loss)</w:t>
            </w:r>
          </w:p>
        </w:tc>
        <w:tc>
          <w:tcPr>
            <w:tcW w:w="1629" w:type="dxa"/>
            <w:tcBorders>
              <w:top w:val="nil"/>
              <w:left w:val="nil"/>
              <w:bottom w:val="nil"/>
              <w:right w:val="nil"/>
            </w:tcBorders>
            <w:noWrap/>
            <w:vAlign w:val="center"/>
            <w:hideMark/>
          </w:tcPr>
          <w:p w14:paraId="10334D60" w14:textId="77777777" w:rsidR="00790463" w:rsidRDefault="00790463">
            <w:pPr>
              <w:jc w:val="right"/>
              <w:rPr>
                <w:rFonts w:ascii="Arial" w:hAnsi="Arial" w:cs="Arial"/>
                <w:b/>
                <w:bCs/>
                <w:color w:val="000000" w:themeColor="text1"/>
              </w:rPr>
            </w:pPr>
            <w:r>
              <w:rPr>
                <w:rFonts w:ascii="Arial" w:hAnsi="Arial" w:cs="Arial"/>
                <w:b/>
                <w:bCs/>
                <w:color w:val="000000" w:themeColor="text1"/>
              </w:rPr>
              <w:t>1,057,986,521</w:t>
            </w:r>
          </w:p>
        </w:tc>
        <w:tc>
          <w:tcPr>
            <w:tcW w:w="1629" w:type="dxa"/>
            <w:tcBorders>
              <w:top w:val="nil"/>
              <w:left w:val="nil"/>
              <w:bottom w:val="nil"/>
              <w:right w:val="nil"/>
            </w:tcBorders>
            <w:noWrap/>
            <w:vAlign w:val="center"/>
            <w:hideMark/>
          </w:tcPr>
          <w:p w14:paraId="1B2C1439" w14:textId="77777777" w:rsidR="00790463" w:rsidRDefault="00790463">
            <w:pPr>
              <w:jc w:val="right"/>
              <w:rPr>
                <w:rFonts w:ascii="Arial" w:hAnsi="Arial" w:cs="Arial"/>
                <w:b/>
                <w:bCs/>
                <w:color w:val="000000" w:themeColor="text1"/>
              </w:rPr>
            </w:pPr>
            <w:r>
              <w:rPr>
                <w:rFonts w:ascii="Arial" w:hAnsi="Arial" w:cs="Arial"/>
                <w:b/>
                <w:bCs/>
                <w:color w:val="000000" w:themeColor="text1"/>
              </w:rPr>
              <w:t>1,195,960,952</w:t>
            </w:r>
          </w:p>
        </w:tc>
        <w:tc>
          <w:tcPr>
            <w:tcW w:w="1629" w:type="dxa"/>
            <w:tcBorders>
              <w:top w:val="nil"/>
              <w:left w:val="nil"/>
              <w:bottom w:val="nil"/>
              <w:right w:val="nil"/>
            </w:tcBorders>
            <w:noWrap/>
            <w:vAlign w:val="center"/>
            <w:hideMark/>
          </w:tcPr>
          <w:p w14:paraId="051098F7" w14:textId="77777777" w:rsidR="00790463" w:rsidRDefault="00790463">
            <w:pPr>
              <w:jc w:val="right"/>
              <w:rPr>
                <w:rFonts w:ascii="Arial" w:hAnsi="Arial" w:cs="Arial"/>
                <w:b/>
                <w:bCs/>
                <w:color w:val="000000" w:themeColor="text1"/>
              </w:rPr>
            </w:pPr>
            <w:r>
              <w:rPr>
                <w:rFonts w:ascii="Arial" w:hAnsi="Arial" w:cs="Arial"/>
                <w:b/>
                <w:bCs/>
                <w:color w:val="000000" w:themeColor="text1"/>
              </w:rPr>
              <w:t>1,578,445,113</w:t>
            </w:r>
          </w:p>
        </w:tc>
      </w:tr>
      <w:tr w:rsidR="00790463" w14:paraId="53451DCA" w14:textId="77777777" w:rsidTr="00790463">
        <w:trPr>
          <w:trHeight w:val="288"/>
          <w:jc w:val="center"/>
        </w:trPr>
        <w:tc>
          <w:tcPr>
            <w:tcW w:w="3690" w:type="dxa"/>
            <w:tcBorders>
              <w:top w:val="nil"/>
              <w:left w:val="nil"/>
              <w:bottom w:val="nil"/>
              <w:right w:val="nil"/>
            </w:tcBorders>
            <w:noWrap/>
            <w:vAlign w:val="center"/>
            <w:hideMark/>
          </w:tcPr>
          <w:p w14:paraId="7F963589" w14:textId="77777777" w:rsidR="00790463" w:rsidRDefault="00790463">
            <w:pPr>
              <w:rPr>
                <w:rFonts w:ascii="Arial" w:hAnsi="Arial" w:cs="Arial"/>
                <w:color w:val="000000" w:themeColor="text1"/>
              </w:rPr>
            </w:pPr>
            <w:r>
              <w:rPr>
                <w:rFonts w:ascii="Arial" w:hAnsi="Arial" w:cs="Arial"/>
                <w:color w:val="000000" w:themeColor="text1"/>
              </w:rPr>
              <w:t>General and administrative expenses</w:t>
            </w:r>
          </w:p>
        </w:tc>
        <w:tc>
          <w:tcPr>
            <w:tcW w:w="1629" w:type="dxa"/>
            <w:tcBorders>
              <w:top w:val="nil"/>
              <w:left w:val="nil"/>
              <w:bottom w:val="nil"/>
              <w:right w:val="nil"/>
            </w:tcBorders>
            <w:noWrap/>
            <w:vAlign w:val="center"/>
            <w:hideMark/>
          </w:tcPr>
          <w:p w14:paraId="4090BC29" w14:textId="77777777" w:rsidR="00790463" w:rsidRDefault="00790463">
            <w:pPr>
              <w:jc w:val="right"/>
              <w:rPr>
                <w:rFonts w:ascii="Arial" w:hAnsi="Arial" w:cs="Arial"/>
                <w:color w:val="000000" w:themeColor="text1"/>
              </w:rPr>
            </w:pPr>
            <w:r>
              <w:rPr>
                <w:rFonts w:ascii="Arial" w:hAnsi="Arial" w:cs="Arial"/>
                <w:color w:val="000000" w:themeColor="text1"/>
              </w:rPr>
              <w:t>(363,448,471)</w:t>
            </w:r>
          </w:p>
        </w:tc>
        <w:tc>
          <w:tcPr>
            <w:tcW w:w="1629" w:type="dxa"/>
            <w:tcBorders>
              <w:top w:val="nil"/>
              <w:left w:val="nil"/>
              <w:bottom w:val="nil"/>
              <w:right w:val="nil"/>
            </w:tcBorders>
            <w:noWrap/>
            <w:vAlign w:val="center"/>
            <w:hideMark/>
          </w:tcPr>
          <w:p w14:paraId="0B8F403F" w14:textId="77777777" w:rsidR="00790463" w:rsidRDefault="00790463">
            <w:pPr>
              <w:jc w:val="right"/>
              <w:rPr>
                <w:rFonts w:ascii="Arial" w:hAnsi="Arial" w:cs="Arial"/>
                <w:color w:val="000000" w:themeColor="text1"/>
              </w:rPr>
            </w:pPr>
            <w:r>
              <w:rPr>
                <w:rFonts w:ascii="Arial" w:hAnsi="Arial" w:cs="Arial"/>
                <w:color w:val="000000" w:themeColor="text1"/>
              </w:rPr>
              <w:t>(372,679,937)</w:t>
            </w:r>
          </w:p>
        </w:tc>
        <w:tc>
          <w:tcPr>
            <w:tcW w:w="1629" w:type="dxa"/>
            <w:tcBorders>
              <w:top w:val="nil"/>
              <w:left w:val="nil"/>
              <w:bottom w:val="nil"/>
              <w:right w:val="nil"/>
            </w:tcBorders>
            <w:noWrap/>
            <w:vAlign w:val="center"/>
            <w:hideMark/>
          </w:tcPr>
          <w:p w14:paraId="11A07214" w14:textId="77777777" w:rsidR="00790463" w:rsidRDefault="00790463">
            <w:pPr>
              <w:jc w:val="right"/>
              <w:rPr>
                <w:rFonts w:ascii="Arial" w:hAnsi="Arial" w:cs="Arial"/>
                <w:color w:val="000000" w:themeColor="text1"/>
              </w:rPr>
            </w:pPr>
            <w:r>
              <w:rPr>
                <w:rFonts w:ascii="Arial" w:hAnsi="Arial" w:cs="Arial"/>
                <w:color w:val="000000" w:themeColor="text1"/>
              </w:rPr>
              <w:t>(687,378,939)</w:t>
            </w:r>
          </w:p>
        </w:tc>
      </w:tr>
      <w:tr w:rsidR="00790463" w14:paraId="72348155" w14:textId="77777777" w:rsidTr="00790463">
        <w:trPr>
          <w:trHeight w:val="288"/>
          <w:jc w:val="center"/>
        </w:trPr>
        <w:tc>
          <w:tcPr>
            <w:tcW w:w="3690" w:type="dxa"/>
            <w:tcBorders>
              <w:top w:val="nil"/>
              <w:left w:val="nil"/>
              <w:bottom w:val="nil"/>
              <w:right w:val="nil"/>
            </w:tcBorders>
            <w:noWrap/>
            <w:vAlign w:val="center"/>
            <w:hideMark/>
          </w:tcPr>
          <w:p w14:paraId="1D94B4E3" w14:textId="77777777" w:rsidR="00790463" w:rsidRDefault="00790463">
            <w:pPr>
              <w:rPr>
                <w:rFonts w:ascii="Arial" w:hAnsi="Arial" w:cs="Arial"/>
                <w:color w:val="000000" w:themeColor="text1"/>
              </w:rPr>
            </w:pPr>
            <w:r>
              <w:rPr>
                <w:rFonts w:ascii="Arial" w:hAnsi="Arial" w:cs="Arial"/>
                <w:color w:val="000000" w:themeColor="text1"/>
              </w:rPr>
              <w:t>Depreciation and amortization</w:t>
            </w:r>
          </w:p>
        </w:tc>
        <w:tc>
          <w:tcPr>
            <w:tcW w:w="1629" w:type="dxa"/>
            <w:tcBorders>
              <w:top w:val="nil"/>
              <w:left w:val="nil"/>
              <w:bottom w:val="nil"/>
              <w:right w:val="nil"/>
            </w:tcBorders>
            <w:noWrap/>
            <w:vAlign w:val="center"/>
            <w:hideMark/>
          </w:tcPr>
          <w:p w14:paraId="6CEC2E85" w14:textId="77777777" w:rsidR="00790463" w:rsidRDefault="00790463">
            <w:pPr>
              <w:jc w:val="right"/>
              <w:rPr>
                <w:rFonts w:ascii="Arial" w:hAnsi="Arial" w:cs="Arial"/>
                <w:color w:val="000000" w:themeColor="text1"/>
              </w:rPr>
            </w:pPr>
            <w:r>
              <w:rPr>
                <w:rFonts w:ascii="Arial" w:hAnsi="Arial" w:cs="Arial"/>
                <w:color w:val="000000" w:themeColor="text1"/>
              </w:rPr>
              <w:t>(164,048,040)</w:t>
            </w:r>
          </w:p>
        </w:tc>
        <w:tc>
          <w:tcPr>
            <w:tcW w:w="1629" w:type="dxa"/>
            <w:tcBorders>
              <w:top w:val="nil"/>
              <w:left w:val="nil"/>
              <w:bottom w:val="nil"/>
              <w:right w:val="nil"/>
            </w:tcBorders>
            <w:noWrap/>
            <w:vAlign w:val="center"/>
            <w:hideMark/>
          </w:tcPr>
          <w:p w14:paraId="3BC19E27" w14:textId="77777777" w:rsidR="00790463" w:rsidRDefault="00790463">
            <w:pPr>
              <w:jc w:val="right"/>
              <w:rPr>
                <w:rFonts w:ascii="Arial" w:hAnsi="Arial" w:cs="Arial"/>
                <w:color w:val="000000" w:themeColor="text1"/>
              </w:rPr>
            </w:pPr>
            <w:r>
              <w:rPr>
                <w:rFonts w:ascii="Arial" w:hAnsi="Arial" w:cs="Arial"/>
                <w:color w:val="000000" w:themeColor="text1"/>
              </w:rPr>
              <w:t>(209,946,662)</w:t>
            </w:r>
          </w:p>
        </w:tc>
        <w:tc>
          <w:tcPr>
            <w:tcW w:w="1629" w:type="dxa"/>
            <w:tcBorders>
              <w:top w:val="nil"/>
              <w:left w:val="nil"/>
              <w:bottom w:val="nil"/>
              <w:right w:val="nil"/>
            </w:tcBorders>
            <w:noWrap/>
            <w:vAlign w:val="center"/>
            <w:hideMark/>
          </w:tcPr>
          <w:p w14:paraId="0DDCFF22" w14:textId="77777777" w:rsidR="00790463" w:rsidRDefault="00790463">
            <w:pPr>
              <w:jc w:val="right"/>
              <w:rPr>
                <w:rFonts w:ascii="Arial" w:hAnsi="Arial" w:cs="Arial"/>
                <w:color w:val="000000" w:themeColor="text1"/>
              </w:rPr>
            </w:pPr>
            <w:r>
              <w:rPr>
                <w:rFonts w:ascii="Arial" w:hAnsi="Arial" w:cs="Arial"/>
                <w:color w:val="000000" w:themeColor="text1"/>
              </w:rPr>
              <w:t>(155,161,830)</w:t>
            </w:r>
          </w:p>
        </w:tc>
      </w:tr>
      <w:tr w:rsidR="00790463" w14:paraId="1F591D71" w14:textId="77777777" w:rsidTr="00790463">
        <w:trPr>
          <w:trHeight w:val="288"/>
          <w:jc w:val="center"/>
        </w:trPr>
        <w:tc>
          <w:tcPr>
            <w:tcW w:w="3690" w:type="dxa"/>
            <w:tcBorders>
              <w:top w:val="nil"/>
              <w:left w:val="nil"/>
              <w:bottom w:val="nil"/>
              <w:right w:val="nil"/>
            </w:tcBorders>
            <w:noWrap/>
            <w:vAlign w:val="center"/>
            <w:hideMark/>
          </w:tcPr>
          <w:p w14:paraId="63528CBE" w14:textId="77777777" w:rsidR="00790463" w:rsidRDefault="00790463">
            <w:pPr>
              <w:rPr>
                <w:rFonts w:ascii="Arial" w:hAnsi="Arial" w:cs="Arial"/>
                <w:b/>
                <w:bCs/>
                <w:color w:val="000000" w:themeColor="text1"/>
              </w:rPr>
            </w:pPr>
            <w:r>
              <w:rPr>
                <w:rFonts w:ascii="Arial" w:hAnsi="Arial" w:cs="Arial"/>
                <w:b/>
                <w:bCs/>
                <w:color w:val="000000" w:themeColor="text1"/>
              </w:rPr>
              <w:t>Earnings before Interest and Taxes</w:t>
            </w:r>
          </w:p>
        </w:tc>
        <w:tc>
          <w:tcPr>
            <w:tcW w:w="1629" w:type="dxa"/>
            <w:tcBorders>
              <w:top w:val="nil"/>
              <w:left w:val="nil"/>
              <w:bottom w:val="nil"/>
              <w:right w:val="nil"/>
            </w:tcBorders>
            <w:noWrap/>
            <w:vAlign w:val="center"/>
            <w:hideMark/>
          </w:tcPr>
          <w:p w14:paraId="70EE4065" w14:textId="77777777" w:rsidR="00790463" w:rsidRDefault="00790463">
            <w:pPr>
              <w:jc w:val="right"/>
              <w:rPr>
                <w:rFonts w:ascii="Arial" w:hAnsi="Arial" w:cs="Arial"/>
                <w:b/>
                <w:bCs/>
                <w:color w:val="000000" w:themeColor="text1"/>
              </w:rPr>
            </w:pPr>
            <w:r>
              <w:rPr>
                <w:rFonts w:ascii="Arial" w:hAnsi="Arial" w:cs="Arial"/>
                <w:b/>
                <w:bCs/>
                <w:color w:val="000000" w:themeColor="text1"/>
              </w:rPr>
              <w:t>530,490,010</w:t>
            </w:r>
          </w:p>
        </w:tc>
        <w:tc>
          <w:tcPr>
            <w:tcW w:w="1629" w:type="dxa"/>
            <w:tcBorders>
              <w:top w:val="nil"/>
              <w:left w:val="nil"/>
              <w:bottom w:val="nil"/>
              <w:right w:val="nil"/>
            </w:tcBorders>
            <w:noWrap/>
            <w:vAlign w:val="center"/>
            <w:hideMark/>
          </w:tcPr>
          <w:p w14:paraId="7F2947B1" w14:textId="77777777" w:rsidR="00790463" w:rsidRDefault="00790463">
            <w:pPr>
              <w:jc w:val="right"/>
              <w:rPr>
                <w:rFonts w:ascii="Arial" w:hAnsi="Arial" w:cs="Arial"/>
                <w:b/>
                <w:bCs/>
                <w:color w:val="000000" w:themeColor="text1"/>
              </w:rPr>
            </w:pPr>
            <w:r>
              <w:rPr>
                <w:rFonts w:ascii="Arial" w:hAnsi="Arial" w:cs="Arial"/>
                <w:b/>
                <w:bCs/>
                <w:color w:val="000000" w:themeColor="text1"/>
              </w:rPr>
              <w:t>613,334,353</w:t>
            </w:r>
          </w:p>
        </w:tc>
        <w:tc>
          <w:tcPr>
            <w:tcW w:w="1629" w:type="dxa"/>
            <w:tcBorders>
              <w:top w:val="nil"/>
              <w:left w:val="nil"/>
              <w:bottom w:val="nil"/>
              <w:right w:val="nil"/>
            </w:tcBorders>
            <w:noWrap/>
            <w:vAlign w:val="center"/>
            <w:hideMark/>
          </w:tcPr>
          <w:p w14:paraId="6DB04BCE" w14:textId="77777777" w:rsidR="00790463" w:rsidRDefault="00790463">
            <w:pPr>
              <w:jc w:val="right"/>
              <w:rPr>
                <w:rFonts w:ascii="Arial" w:hAnsi="Arial" w:cs="Arial"/>
                <w:b/>
                <w:bCs/>
                <w:color w:val="000000" w:themeColor="text1"/>
              </w:rPr>
            </w:pPr>
            <w:r>
              <w:rPr>
                <w:rFonts w:ascii="Arial" w:hAnsi="Arial" w:cs="Arial"/>
                <w:b/>
                <w:bCs/>
                <w:color w:val="000000" w:themeColor="text1"/>
              </w:rPr>
              <w:t>735,904,345</w:t>
            </w:r>
          </w:p>
        </w:tc>
      </w:tr>
      <w:tr w:rsidR="00790463" w14:paraId="0D26DC62" w14:textId="77777777" w:rsidTr="00790463">
        <w:trPr>
          <w:trHeight w:val="288"/>
          <w:jc w:val="center"/>
        </w:trPr>
        <w:tc>
          <w:tcPr>
            <w:tcW w:w="3690" w:type="dxa"/>
            <w:tcBorders>
              <w:top w:val="nil"/>
              <w:left w:val="nil"/>
              <w:bottom w:val="nil"/>
              <w:right w:val="nil"/>
            </w:tcBorders>
            <w:noWrap/>
            <w:vAlign w:val="center"/>
            <w:hideMark/>
          </w:tcPr>
          <w:p w14:paraId="38CB386A" w14:textId="77777777" w:rsidR="00790463" w:rsidRDefault="00790463">
            <w:pPr>
              <w:rPr>
                <w:rFonts w:ascii="Arial" w:hAnsi="Arial" w:cs="Arial"/>
                <w:color w:val="000000" w:themeColor="text1"/>
              </w:rPr>
            </w:pPr>
            <w:r>
              <w:rPr>
                <w:rFonts w:ascii="Arial" w:hAnsi="Arial" w:cs="Arial"/>
                <w:color w:val="000000" w:themeColor="text1"/>
              </w:rPr>
              <w:t>Interest expense</w:t>
            </w:r>
          </w:p>
        </w:tc>
        <w:tc>
          <w:tcPr>
            <w:tcW w:w="1629" w:type="dxa"/>
            <w:tcBorders>
              <w:top w:val="nil"/>
              <w:left w:val="nil"/>
              <w:bottom w:val="nil"/>
              <w:right w:val="nil"/>
            </w:tcBorders>
            <w:noWrap/>
            <w:vAlign w:val="center"/>
            <w:hideMark/>
          </w:tcPr>
          <w:p w14:paraId="67401578" w14:textId="77777777" w:rsidR="00790463" w:rsidRDefault="00790463">
            <w:pPr>
              <w:jc w:val="right"/>
              <w:rPr>
                <w:rFonts w:ascii="Arial" w:hAnsi="Arial" w:cs="Arial"/>
                <w:color w:val="000000" w:themeColor="text1"/>
              </w:rPr>
            </w:pPr>
            <w:r>
              <w:rPr>
                <w:rFonts w:ascii="Arial" w:hAnsi="Arial" w:cs="Arial"/>
                <w:color w:val="000000" w:themeColor="text1"/>
              </w:rPr>
              <w:t>-</w:t>
            </w:r>
          </w:p>
        </w:tc>
        <w:tc>
          <w:tcPr>
            <w:tcW w:w="1629" w:type="dxa"/>
            <w:tcBorders>
              <w:top w:val="nil"/>
              <w:left w:val="nil"/>
              <w:bottom w:val="nil"/>
              <w:right w:val="nil"/>
            </w:tcBorders>
            <w:noWrap/>
            <w:vAlign w:val="center"/>
            <w:hideMark/>
          </w:tcPr>
          <w:p w14:paraId="20848A11" w14:textId="77777777" w:rsidR="00790463" w:rsidRDefault="00790463">
            <w:pPr>
              <w:jc w:val="right"/>
              <w:rPr>
                <w:rFonts w:ascii="Arial" w:hAnsi="Arial" w:cs="Arial"/>
                <w:color w:val="000000" w:themeColor="text1"/>
              </w:rPr>
            </w:pPr>
            <w:r>
              <w:rPr>
                <w:rFonts w:ascii="Arial" w:hAnsi="Arial" w:cs="Arial"/>
                <w:color w:val="000000" w:themeColor="text1"/>
              </w:rPr>
              <w:t>-</w:t>
            </w:r>
          </w:p>
        </w:tc>
        <w:tc>
          <w:tcPr>
            <w:tcW w:w="1629" w:type="dxa"/>
            <w:tcBorders>
              <w:top w:val="nil"/>
              <w:left w:val="nil"/>
              <w:bottom w:val="nil"/>
              <w:right w:val="nil"/>
            </w:tcBorders>
            <w:noWrap/>
            <w:vAlign w:val="center"/>
            <w:hideMark/>
          </w:tcPr>
          <w:p w14:paraId="17B1701E" w14:textId="77777777" w:rsidR="00790463" w:rsidRDefault="00790463">
            <w:pPr>
              <w:jc w:val="right"/>
              <w:rPr>
                <w:rFonts w:ascii="Arial" w:hAnsi="Arial" w:cs="Arial"/>
                <w:color w:val="000000" w:themeColor="text1"/>
              </w:rPr>
            </w:pPr>
            <w:r>
              <w:rPr>
                <w:rFonts w:ascii="Arial" w:hAnsi="Arial" w:cs="Arial"/>
                <w:color w:val="000000" w:themeColor="text1"/>
              </w:rPr>
              <w:t>(140,750,000)</w:t>
            </w:r>
          </w:p>
        </w:tc>
      </w:tr>
      <w:tr w:rsidR="00790463" w14:paraId="35E51F5E" w14:textId="77777777" w:rsidTr="00790463">
        <w:trPr>
          <w:trHeight w:val="288"/>
          <w:jc w:val="center"/>
        </w:trPr>
        <w:tc>
          <w:tcPr>
            <w:tcW w:w="3690" w:type="dxa"/>
            <w:tcBorders>
              <w:top w:val="nil"/>
              <w:left w:val="nil"/>
              <w:bottom w:val="nil"/>
              <w:right w:val="nil"/>
            </w:tcBorders>
            <w:noWrap/>
            <w:vAlign w:val="center"/>
            <w:hideMark/>
          </w:tcPr>
          <w:p w14:paraId="26E158E5" w14:textId="77777777" w:rsidR="00790463" w:rsidRDefault="00790463">
            <w:pPr>
              <w:rPr>
                <w:rFonts w:ascii="Arial" w:hAnsi="Arial" w:cs="Arial"/>
                <w:color w:val="000000" w:themeColor="text1"/>
              </w:rPr>
            </w:pPr>
            <w:r>
              <w:rPr>
                <w:rFonts w:ascii="Arial" w:hAnsi="Arial" w:cs="Arial"/>
                <w:color w:val="000000" w:themeColor="text1"/>
              </w:rPr>
              <w:t>Other income (expense)—Net</w:t>
            </w:r>
          </w:p>
        </w:tc>
        <w:tc>
          <w:tcPr>
            <w:tcW w:w="1629" w:type="dxa"/>
            <w:tcBorders>
              <w:top w:val="nil"/>
              <w:left w:val="nil"/>
              <w:bottom w:val="nil"/>
              <w:right w:val="nil"/>
            </w:tcBorders>
            <w:noWrap/>
            <w:vAlign w:val="center"/>
            <w:hideMark/>
          </w:tcPr>
          <w:p w14:paraId="2E1C12FF" w14:textId="77777777" w:rsidR="00790463" w:rsidRDefault="00790463">
            <w:pPr>
              <w:jc w:val="right"/>
              <w:rPr>
                <w:rFonts w:ascii="Arial" w:hAnsi="Arial" w:cs="Arial"/>
                <w:color w:val="000000" w:themeColor="text1"/>
              </w:rPr>
            </w:pPr>
            <w:r>
              <w:rPr>
                <w:rFonts w:ascii="Arial" w:hAnsi="Arial" w:cs="Arial"/>
                <w:color w:val="000000" w:themeColor="text1"/>
              </w:rPr>
              <w:t>50,400,313</w:t>
            </w:r>
          </w:p>
        </w:tc>
        <w:tc>
          <w:tcPr>
            <w:tcW w:w="1629" w:type="dxa"/>
            <w:tcBorders>
              <w:top w:val="nil"/>
              <w:left w:val="nil"/>
              <w:bottom w:val="nil"/>
              <w:right w:val="nil"/>
            </w:tcBorders>
            <w:noWrap/>
            <w:vAlign w:val="center"/>
            <w:hideMark/>
          </w:tcPr>
          <w:p w14:paraId="06119742" w14:textId="77777777" w:rsidR="00790463" w:rsidRDefault="00790463">
            <w:pPr>
              <w:jc w:val="right"/>
              <w:rPr>
                <w:rFonts w:ascii="Arial" w:hAnsi="Arial" w:cs="Arial"/>
                <w:color w:val="000000" w:themeColor="text1"/>
              </w:rPr>
            </w:pPr>
            <w:r>
              <w:rPr>
                <w:rFonts w:ascii="Arial" w:hAnsi="Arial" w:cs="Arial"/>
                <w:color w:val="000000" w:themeColor="text1"/>
              </w:rPr>
              <w:t>45,610,763</w:t>
            </w:r>
          </w:p>
        </w:tc>
        <w:tc>
          <w:tcPr>
            <w:tcW w:w="1629" w:type="dxa"/>
            <w:tcBorders>
              <w:top w:val="nil"/>
              <w:left w:val="nil"/>
              <w:bottom w:val="nil"/>
              <w:right w:val="nil"/>
            </w:tcBorders>
            <w:noWrap/>
            <w:vAlign w:val="center"/>
            <w:hideMark/>
          </w:tcPr>
          <w:p w14:paraId="6BE4718D" w14:textId="77777777" w:rsidR="00790463" w:rsidRDefault="00790463">
            <w:pPr>
              <w:jc w:val="right"/>
              <w:rPr>
                <w:rFonts w:ascii="Arial" w:hAnsi="Arial" w:cs="Arial"/>
                <w:color w:val="000000" w:themeColor="text1"/>
              </w:rPr>
            </w:pPr>
            <w:r>
              <w:rPr>
                <w:rFonts w:ascii="Arial" w:hAnsi="Arial" w:cs="Arial"/>
                <w:color w:val="000000" w:themeColor="text1"/>
              </w:rPr>
              <w:t>115,747,698</w:t>
            </w:r>
          </w:p>
        </w:tc>
      </w:tr>
      <w:tr w:rsidR="00790463" w14:paraId="00AD2276" w14:textId="77777777" w:rsidTr="00790463">
        <w:trPr>
          <w:trHeight w:val="288"/>
          <w:jc w:val="center"/>
        </w:trPr>
        <w:tc>
          <w:tcPr>
            <w:tcW w:w="3690" w:type="dxa"/>
            <w:tcBorders>
              <w:top w:val="nil"/>
              <w:left w:val="nil"/>
              <w:bottom w:val="nil"/>
              <w:right w:val="nil"/>
            </w:tcBorders>
            <w:noWrap/>
            <w:vAlign w:val="center"/>
            <w:hideMark/>
          </w:tcPr>
          <w:p w14:paraId="31F1176A" w14:textId="77777777" w:rsidR="00790463" w:rsidRDefault="00790463">
            <w:pPr>
              <w:rPr>
                <w:rFonts w:ascii="Arial" w:hAnsi="Arial" w:cs="Arial"/>
                <w:b/>
                <w:bCs/>
                <w:color w:val="000000" w:themeColor="text1"/>
              </w:rPr>
            </w:pPr>
            <w:r>
              <w:rPr>
                <w:rFonts w:ascii="Arial" w:hAnsi="Arial" w:cs="Arial"/>
                <w:b/>
                <w:bCs/>
                <w:color w:val="000000" w:themeColor="text1"/>
              </w:rPr>
              <w:t>Income (Loss) before Income Tax</w:t>
            </w:r>
          </w:p>
        </w:tc>
        <w:tc>
          <w:tcPr>
            <w:tcW w:w="1629" w:type="dxa"/>
            <w:tcBorders>
              <w:top w:val="nil"/>
              <w:left w:val="nil"/>
              <w:bottom w:val="nil"/>
              <w:right w:val="nil"/>
            </w:tcBorders>
            <w:noWrap/>
            <w:vAlign w:val="center"/>
            <w:hideMark/>
          </w:tcPr>
          <w:p w14:paraId="091C152D" w14:textId="77777777" w:rsidR="00790463" w:rsidRDefault="00790463">
            <w:pPr>
              <w:jc w:val="right"/>
              <w:rPr>
                <w:rFonts w:ascii="Arial" w:hAnsi="Arial" w:cs="Arial"/>
                <w:b/>
                <w:bCs/>
                <w:color w:val="000000" w:themeColor="text1"/>
              </w:rPr>
            </w:pPr>
            <w:r>
              <w:rPr>
                <w:rFonts w:ascii="Arial" w:hAnsi="Arial" w:cs="Arial"/>
                <w:b/>
                <w:bCs/>
                <w:color w:val="000000" w:themeColor="text1"/>
              </w:rPr>
              <w:t>580,890,323</w:t>
            </w:r>
          </w:p>
        </w:tc>
        <w:tc>
          <w:tcPr>
            <w:tcW w:w="1629" w:type="dxa"/>
            <w:tcBorders>
              <w:top w:val="nil"/>
              <w:left w:val="nil"/>
              <w:bottom w:val="nil"/>
              <w:right w:val="nil"/>
            </w:tcBorders>
            <w:noWrap/>
            <w:vAlign w:val="center"/>
            <w:hideMark/>
          </w:tcPr>
          <w:p w14:paraId="156526C2" w14:textId="77777777" w:rsidR="00790463" w:rsidRDefault="00790463">
            <w:pPr>
              <w:jc w:val="right"/>
              <w:rPr>
                <w:rFonts w:ascii="Arial" w:hAnsi="Arial" w:cs="Arial"/>
                <w:b/>
                <w:bCs/>
                <w:color w:val="000000" w:themeColor="text1"/>
              </w:rPr>
            </w:pPr>
            <w:r>
              <w:rPr>
                <w:rFonts w:ascii="Arial" w:hAnsi="Arial" w:cs="Arial"/>
                <w:b/>
                <w:bCs/>
                <w:color w:val="000000" w:themeColor="text1"/>
              </w:rPr>
              <w:t>658,945,116</w:t>
            </w:r>
          </w:p>
        </w:tc>
        <w:tc>
          <w:tcPr>
            <w:tcW w:w="1629" w:type="dxa"/>
            <w:tcBorders>
              <w:top w:val="nil"/>
              <w:left w:val="nil"/>
              <w:bottom w:val="nil"/>
              <w:right w:val="nil"/>
            </w:tcBorders>
            <w:noWrap/>
            <w:vAlign w:val="center"/>
            <w:hideMark/>
          </w:tcPr>
          <w:p w14:paraId="648C97EC" w14:textId="77777777" w:rsidR="00790463" w:rsidRDefault="00790463">
            <w:pPr>
              <w:jc w:val="right"/>
              <w:rPr>
                <w:rFonts w:ascii="Arial" w:hAnsi="Arial" w:cs="Arial"/>
                <w:b/>
                <w:bCs/>
                <w:color w:val="000000" w:themeColor="text1"/>
              </w:rPr>
            </w:pPr>
            <w:r>
              <w:rPr>
                <w:rFonts w:ascii="Arial" w:hAnsi="Arial" w:cs="Arial"/>
                <w:b/>
                <w:bCs/>
                <w:color w:val="000000" w:themeColor="text1"/>
              </w:rPr>
              <w:t>710,902,043</w:t>
            </w:r>
          </w:p>
        </w:tc>
      </w:tr>
      <w:tr w:rsidR="00790463" w14:paraId="1E0C0197" w14:textId="77777777" w:rsidTr="00790463">
        <w:trPr>
          <w:trHeight w:val="288"/>
          <w:jc w:val="center"/>
        </w:trPr>
        <w:tc>
          <w:tcPr>
            <w:tcW w:w="3690" w:type="dxa"/>
            <w:tcBorders>
              <w:top w:val="nil"/>
              <w:left w:val="nil"/>
              <w:bottom w:val="nil"/>
              <w:right w:val="nil"/>
            </w:tcBorders>
            <w:noWrap/>
            <w:vAlign w:val="center"/>
            <w:hideMark/>
          </w:tcPr>
          <w:p w14:paraId="0D0FC7A9" w14:textId="77777777" w:rsidR="00790463" w:rsidRDefault="00790463">
            <w:pPr>
              <w:rPr>
                <w:rFonts w:ascii="Arial" w:hAnsi="Arial" w:cs="Arial"/>
                <w:color w:val="000000" w:themeColor="text1"/>
              </w:rPr>
            </w:pPr>
            <w:r>
              <w:rPr>
                <w:rFonts w:ascii="Arial" w:hAnsi="Arial" w:cs="Arial"/>
                <w:color w:val="000000" w:themeColor="text1"/>
              </w:rPr>
              <w:t>Benefit from (provision for) income tax</w:t>
            </w:r>
          </w:p>
        </w:tc>
        <w:tc>
          <w:tcPr>
            <w:tcW w:w="1629" w:type="dxa"/>
            <w:tcBorders>
              <w:top w:val="nil"/>
              <w:left w:val="nil"/>
              <w:bottom w:val="nil"/>
              <w:right w:val="nil"/>
            </w:tcBorders>
            <w:noWrap/>
            <w:vAlign w:val="center"/>
            <w:hideMark/>
          </w:tcPr>
          <w:p w14:paraId="316B5A1D" w14:textId="77777777" w:rsidR="00790463" w:rsidRDefault="00790463">
            <w:pPr>
              <w:jc w:val="right"/>
              <w:rPr>
                <w:rFonts w:ascii="Arial" w:hAnsi="Arial" w:cs="Arial"/>
                <w:color w:val="000000" w:themeColor="text1"/>
              </w:rPr>
            </w:pPr>
            <w:r>
              <w:rPr>
                <w:rFonts w:ascii="Arial" w:hAnsi="Arial" w:cs="Arial"/>
                <w:color w:val="000000" w:themeColor="text1"/>
              </w:rPr>
              <w:t>(151,738,516)</w:t>
            </w:r>
          </w:p>
        </w:tc>
        <w:tc>
          <w:tcPr>
            <w:tcW w:w="1629" w:type="dxa"/>
            <w:tcBorders>
              <w:top w:val="nil"/>
              <w:left w:val="nil"/>
              <w:bottom w:val="nil"/>
              <w:right w:val="nil"/>
            </w:tcBorders>
            <w:noWrap/>
            <w:vAlign w:val="center"/>
            <w:hideMark/>
          </w:tcPr>
          <w:p w14:paraId="7E6CE6F5" w14:textId="77777777" w:rsidR="00790463" w:rsidRDefault="00790463">
            <w:pPr>
              <w:jc w:val="right"/>
              <w:rPr>
                <w:rFonts w:ascii="Arial" w:hAnsi="Arial" w:cs="Arial"/>
                <w:color w:val="000000" w:themeColor="text1"/>
              </w:rPr>
            </w:pPr>
            <w:r>
              <w:rPr>
                <w:rFonts w:ascii="Arial" w:hAnsi="Arial" w:cs="Arial"/>
                <w:color w:val="000000" w:themeColor="text1"/>
              </w:rPr>
              <w:t>(179,352,712)</w:t>
            </w:r>
          </w:p>
        </w:tc>
        <w:tc>
          <w:tcPr>
            <w:tcW w:w="1629" w:type="dxa"/>
            <w:tcBorders>
              <w:top w:val="nil"/>
              <w:left w:val="nil"/>
              <w:bottom w:val="nil"/>
              <w:right w:val="nil"/>
            </w:tcBorders>
            <w:noWrap/>
            <w:vAlign w:val="center"/>
            <w:hideMark/>
          </w:tcPr>
          <w:p w14:paraId="32E53416" w14:textId="77777777" w:rsidR="00790463" w:rsidRDefault="00790463">
            <w:pPr>
              <w:jc w:val="right"/>
              <w:rPr>
                <w:rFonts w:ascii="Arial" w:hAnsi="Arial" w:cs="Arial"/>
                <w:color w:val="000000" w:themeColor="text1"/>
              </w:rPr>
            </w:pPr>
            <w:r>
              <w:rPr>
                <w:rFonts w:ascii="Arial" w:hAnsi="Arial" w:cs="Arial"/>
                <w:color w:val="000000" w:themeColor="text1"/>
              </w:rPr>
              <w:t>(192,319,576)</w:t>
            </w:r>
          </w:p>
        </w:tc>
      </w:tr>
      <w:tr w:rsidR="00790463" w14:paraId="2D947B4E" w14:textId="77777777" w:rsidTr="00790463">
        <w:trPr>
          <w:trHeight w:val="288"/>
          <w:jc w:val="center"/>
        </w:trPr>
        <w:tc>
          <w:tcPr>
            <w:tcW w:w="3690" w:type="dxa"/>
            <w:tcBorders>
              <w:top w:val="nil"/>
              <w:left w:val="nil"/>
              <w:bottom w:val="single" w:sz="4" w:space="0" w:color="auto"/>
              <w:right w:val="nil"/>
            </w:tcBorders>
            <w:noWrap/>
            <w:vAlign w:val="center"/>
            <w:hideMark/>
          </w:tcPr>
          <w:p w14:paraId="4DA5D047" w14:textId="77777777" w:rsidR="00790463" w:rsidRDefault="00790463">
            <w:pPr>
              <w:rPr>
                <w:rFonts w:ascii="Arial" w:hAnsi="Arial" w:cs="Arial"/>
                <w:b/>
                <w:bCs/>
                <w:color w:val="000000" w:themeColor="text1"/>
              </w:rPr>
            </w:pPr>
            <w:r>
              <w:rPr>
                <w:rFonts w:ascii="Arial" w:hAnsi="Arial" w:cs="Arial"/>
                <w:b/>
                <w:bCs/>
                <w:color w:val="000000" w:themeColor="text1"/>
              </w:rPr>
              <w:t>Net Income (Loss)</w:t>
            </w:r>
          </w:p>
        </w:tc>
        <w:tc>
          <w:tcPr>
            <w:tcW w:w="1629" w:type="dxa"/>
            <w:tcBorders>
              <w:top w:val="nil"/>
              <w:left w:val="nil"/>
              <w:bottom w:val="single" w:sz="4" w:space="0" w:color="auto"/>
              <w:right w:val="nil"/>
            </w:tcBorders>
            <w:noWrap/>
            <w:vAlign w:val="center"/>
            <w:hideMark/>
          </w:tcPr>
          <w:p w14:paraId="6D340623" w14:textId="77777777" w:rsidR="00790463" w:rsidRDefault="00790463">
            <w:pPr>
              <w:jc w:val="right"/>
              <w:rPr>
                <w:rFonts w:ascii="Arial" w:hAnsi="Arial" w:cs="Arial"/>
                <w:b/>
                <w:bCs/>
                <w:color w:val="000000" w:themeColor="text1"/>
              </w:rPr>
            </w:pPr>
            <w:r>
              <w:rPr>
                <w:rFonts w:ascii="Arial" w:hAnsi="Arial" w:cs="Arial"/>
                <w:b/>
                <w:bCs/>
                <w:color w:val="000000" w:themeColor="text1"/>
              </w:rPr>
              <w:t>429,151,807</w:t>
            </w:r>
          </w:p>
        </w:tc>
        <w:tc>
          <w:tcPr>
            <w:tcW w:w="1629" w:type="dxa"/>
            <w:tcBorders>
              <w:top w:val="nil"/>
              <w:left w:val="nil"/>
              <w:bottom w:val="single" w:sz="4" w:space="0" w:color="auto"/>
              <w:right w:val="nil"/>
            </w:tcBorders>
            <w:noWrap/>
            <w:vAlign w:val="center"/>
            <w:hideMark/>
          </w:tcPr>
          <w:p w14:paraId="7FDC5E74" w14:textId="77777777" w:rsidR="00790463" w:rsidRDefault="00790463">
            <w:pPr>
              <w:jc w:val="right"/>
              <w:rPr>
                <w:rFonts w:ascii="Arial" w:hAnsi="Arial" w:cs="Arial"/>
                <w:b/>
                <w:bCs/>
                <w:color w:val="000000" w:themeColor="text1"/>
              </w:rPr>
            </w:pPr>
            <w:r>
              <w:rPr>
                <w:rFonts w:ascii="Arial" w:hAnsi="Arial" w:cs="Arial"/>
                <w:b/>
                <w:bCs/>
                <w:color w:val="000000" w:themeColor="text1"/>
              </w:rPr>
              <w:t>479,592,404</w:t>
            </w:r>
          </w:p>
        </w:tc>
        <w:tc>
          <w:tcPr>
            <w:tcW w:w="1629" w:type="dxa"/>
            <w:tcBorders>
              <w:top w:val="nil"/>
              <w:left w:val="nil"/>
              <w:bottom w:val="single" w:sz="4" w:space="0" w:color="auto"/>
              <w:right w:val="nil"/>
            </w:tcBorders>
            <w:noWrap/>
            <w:vAlign w:val="center"/>
            <w:hideMark/>
          </w:tcPr>
          <w:p w14:paraId="44207E27" w14:textId="77777777" w:rsidR="00790463" w:rsidRDefault="00790463">
            <w:pPr>
              <w:jc w:val="right"/>
              <w:rPr>
                <w:rFonts w:ascii="Arial" w:hAnsi="Arial" w:cs="Arial"/>
                <w:b/>
                <w:bCs/>
                <w:color w:val="000000" w:themeColor="text1"/>
              </w:rPr>
            </w:pPr>
            <w:r>
              <w:rPr>
                <w:rFonts w:ascii="Arial" w:hAnsi="Arial" w:cs="Arial"/>
                <w:b/>
                <w:bCs/>
                <w:color w:val="000000" w:themeColor="text1"/>
              </w:rPr>
              <w:t>518,582,467</w:t>
            </w:r>
          </w:p>
        </w:tc>
      </w:tr>
    </w:tbl>
    <w:p w14:paraId="344B30B6" w14:textId="77777777" w:rsidR="00790463" w:rsidRDefault="00790463" w:rsidP="00790463">
      <w:pPr>
        <w:pStyle w:val="ExhibitText"/>
        <w:rPr>
          <w:lang w:val="en-GB"/>
        </w:rPr>
      </w:pPr>
    </w:p>
    <w:p w14:paraId="439873A2" w14:textId="77777777" w:rsidR="00790463" w:rsidRDefault="00790463" w:rsidP="00790463">
      <w:pPr>
        <w:pStyle w:val="Footnote"/>
      </w:pPr>
      <w:r>
        <w:t>Note: *2016E is based on the case writer’s estimate.</w:t>
      </w:r>
    </w:p>
    <w:p w14:paraId="4A98EC90" w14:textId="77777777" w:rsidR="00790463" w:rsidRDefault="00790463" w:rsidP="00790463">
      <w:pPr>
        <w:pStyle w:val="Footnote"/>
      </w:pPr>
      <w:r>
        <w:t xml:space="preserve">Source: S&amp;P Capital IQ, accessed November 16, 2017. </w:t>
      </w:r>
    </w:p>
    <w:p w14:paraId="2BE1E2ED" w14:textId="77777777" w:rsidR="00790463" w:rsidRDefault="00790463" w:rsidP="00790463">
      <w:pPr>
        <w:pStyle w:val="BodyTextMain"/>
      </w:pPr>
    </w:p>
    <w:p w14:paraId="0D2FE52E" w14:textId="77777777" w:rsidR="00790463" w:rsidRDefault="00790463" w:rsidP="00790463">
      <w:pPr>
        <w:pStyle w:val="BodyTextMain"/>
      </w:pPr>
    </w:p>
    <w:p w14:paraId="4A712260" w14:textId="13727A8C" w:rsidR="00790463" w:rsidRDefault="00790463">
      <w:pPr>
        <w:spacing w:after="200" w:line="276" w:lineRule="auto"/>
        <w:rPr>
          <w:sz w:val="22"/>
          <w:szCs w:val="22"/>
        </w:rPr>
      </w:pPr>
      <w:r>
        <w:br w:type="page"/>
      </w:r>
    </w:p>
    <w:p w14:paraId="0D7FB913" w14:textId="77777777" w:rsidR="00790463" w:rsidRDefault="00790463" w:rsidP="00790463">
      <w:pPr>
        <w:pStyle w:val="ExhibitHeading"/>
        <w:rPr>
          <w:bCs/>
        </w:rPr>
      </w:pPr>
      <w:r>
        <w:lastRenderedPageBreak/>
        <w:t>EXHIBIT 9: BALANCE SHEETS FOR YEARS ENDED DECEMBER 31, 2014, 2015, AND 2016E (</w:t>
      </w:r>
      <w:r>
        <w:rPr>
          <w:bCs/>
        </w:rPr>
        <w:t>₱)</w:t>
      </w:r>
    </w:p>
    <w:p w14:paraId="77EBD947" w14:textId="77777777" w:rsidR="00790463" w:rsidRDefault="00790463" w:rsidP="00790463">
      <w:pPr>
        <w:pStyle w:val="ExhibitText"/>
      </w:pP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1508"/>
        <w:gridCol w:w="1508"/>
        <w:gridCol w:w="1534"/>
      </w:tblGrid>
      <w:tr w:rsidR="00790463" w14:paraId="5048E729" w14:textId="77777777" w:rsidTr="00790463">
        <w:trPr>
          <w:trHeight w:val="202"/>
          <w:jc w:val="center"/>
        </w:trPr>
        <w:tc>
          <w:tcPr>
            <w:tcW w:w="4810" w:type="dxa"/>
            <w:tcBorders>
              <w:top w:val="single" w:sz="4" w:space="0" w:color="auto"/>
              <w:left w:val="nil"/>
              <w:bottom w:val="single" w:sz="12" w:space="0" w:color="auto"/>
              <w:right w:val="nil"/>
            </w:tcBorders>
            <w:noWrap/>
            <w:vAlign w:val="center"/>
            <w:hideMark/>
          </w:tcPr>
          <w:p w14:paraId="2DFB6EA8"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 xml:space="preserve"> </w:t>
            </w:r>
          </w:p>
        </w:tc>
        <w:tc>
          <w:tcPr>
            <w:tcW w:w="1508" w:type="dxa"/>
            <w:tcBorders>
              <w:top w:val="single" w:sz="4" w:space="0" w:color="auto"/>
              <w:left w:val="nil"/>
              <w:bottom w:val="single" w:sz="12" w:space="0" w:color="auto"/>
              <w:right w:val="nil"/>
            </w:tcBorders>
            <w:noWrap/>
            <w:vAlign w:val="center"/>
            <w:hideMark/>
          </w:tcPr>
          <w:p w14:paraId="21D0F23C" w14:textId="77777777" w:rsidR="00790463" w:rsidRDefault="00790463">
            <w:pPr>
              <w:jc w:val="center"/>
              <w:rPr>
                <w:rFonts w:ascii="Arial" w:hAnsi="Arial" w:cs="Arial"/>
                <w:b/>
                <w:bCs/>
                <w:color w:val="000000" w:themeColor="text1"/>
                <w:sz w:val="18"/>
                <w:szCs w:val="18"/>
              </w:rPr>
            </w:pPr>
            <w:r>
              <w:rPr>
                <w:rFonts w:ascii="Arial" w:hAnsi="Arial" w:cs="Arial"/>
                <w:b/>
                <w:bCs/>
                <w:color w:val="000000" w:themeColor="text1"/>
                <w:sz w:val="18"/>
                <w:szCs w:val="18"/>
              </w:rPr>
              <w:t>2014</w:t>
            </w:r>
          </w:p>
        </w:tc>
        <w:tc>
          <w:tcPr>
            <w:tcW w:w="1508" w:type="dxa"/>
            <w:tcBorders>
              <w:top w:val="single" w:sz="4" w:space="0" w:color="auto"/>
              <w:left w:val="nil"/>
              <w:bottom w:val="single" w:sz="12" w:space="0" w:color="auto"/>
              <w:right w:val="nil"/>
            </w:tcBorders>
            <w:noWrap/>
            <w:vAlign w:val="center"/>
            <w:hideMark/>
          </w:tcPr>
          <w:p w14:paraId="67E99B0C" w14:textId="77777777" w:rsidR="00790463" w:rsidRDefault="00790463">
            <w:pPr>
              <w:jc w:val="center"/>
              <w:rPr>
                <w:rFonts w:ascii="Arial" w:hAnsi="Arial" w:cs="Arial"/>
                <w:b/>
                <w:bCs/>
                <w:color w:val="000000" w:themeColor="text1"/>
                <w:sz w:val="18"/>
                <w:szCs w:val="18"/>
              </w:rPr>
            </w:pPr>
            <w:r>
              <w:rPr>
                <w:rFonts w:ascii="Arial" w:hAnsi="Arial" w:cs="Arial"/>
                <w:b/>
                <w:bCs/>
                <w:color w:val="000000" w:themeColor="text1"/>
                <w:sz w:val="18"/>
                <w:szCs w:val="18"/>
              </w:rPr>
              <w:t>2015</w:t>
            </w:r>
          </w:p>
        </w:tc>
        <w:tc>
          <w:tcPr>
            <w:tcW w:w="1534" w:type="dxa"/>
            <w:tcBorders>
              <w:top w:val="single" w:sz="4" w:space="0" w:color="auto"/>
              <w:left w:val="nil"/>
              <w:bottom w:val="single" w:sz="12" w:space="0" w:color="auto"/>
              <w:right w:val="nil"/>
            </w:tcBorders>
            <w:noWrap/>
            <w:vAlign w:val="center"/>
            <w:hideMark/>
          </w:tcPr>
          <w:p w14:paraId="07EDFE7E" w14:textId="77777777" w:rsidR="00790463" w:rsidRDefault="00790463">
            <w:pPr>
              <w:jc w:val="center"/>
              <w:rPr>
                <w:rFonts w:ascii="Arial" w:hAnsi="Arial" w:cs="Arial"/>
                <w:b/>
                <w:bCs/>
                <w:color w:val="000000" w:themeColor="text1"/>
                <w:sz w:val="18"/>
                <w:szCs w:val="18"/>
              </w:rPr>
            </w:pPr>
            <w:r>
              <w:rPr>
                <w:rFonts w:ascii="Arial" w:hAnsi="Arial" w:cs="Arial"/>
                <w:b/>
                <w:bCs/>
                <w:color w:val="000000" w:themeColor="text1"/>
                <w:sz w:val="18"/>
                <w:szCs w:val="18"/>
              </w:rPr>
              <w:t>2016E*</w:t>
            </w:r>
          </w:p>
        </w:tc>
      </w:tr>
      <w:tr w:rsidR="00790463" w14:paraId="6ED85D3F" w14:textId="77777777" w:rsidTr="00790463">
        <w:trPr>
          <w:trHeight w:val="202"/>
          <w:jc w:val="center"/>
        </w:trPr>
        <w:tc>
          <w:tcPr>
            <w:tcW w:w="4810" w:type="dxa"/>
            <w:tcBorders>
              <w:top w:val="single" w:sz="12" w:space="0" w:color="auto"/>
              <w:left w:val="nil"/>
              <w:bottom w:val="nil"/>
              <w:right w:val="nil"/>
            </w:tcBorders>
            <w:noWrap/>
            <w:vAlign w:val="center"/>
            <w:hideMark/>
          </w:tcPr>
          <w:p w14:paraId="17D9035D" w14:textId="77777777" w:rsidR="00790463" w:rsidRDefault="00790463">
            <w:pPr>
              <w:rPr>
                <w:rFonts w:ascii="Arial" w:hAnsi="Arial" w:cs="Arial"/>
                <w:b/>
                <w:bCs/>
                <w:color w:val="000000" w:themeColor="text1"/>
                <w:sz w:val="18"/>
                <w:szCs w:val="18"/>
              </w:rPr>
            </w:pPr>
            <w:r>
              <w:rPr>
                <w:rFonts w:ascii="Arial" w:hAnsi="Arial" w:cs="Arial"/>
                <w:b/>
                <w:bCs/>
                <w:color w:val="000000" w:themeColor="text1"/>
                <w:sz w:val="18"/>
                <w:szCs w:val="18"/>
              </w:rPr>
              <w:t>ASSETS</w:t>
            </w:r>
          </w:p>
        </w:tc>
        <w:tc>
          <w:tcPr>
            <w:tcW w:w="1508" w:type="dxa"/>
            <w:tcBorders>
              <w:top w:val="single" w:sz="12" w:space="0" w:color="auto"/>
              <w:left w:val="nil"/>
              <w:bottom w:val="nil"/>
              <w:right w:val="nil"/>
            </w:tcBorders>
            <w:noWrap/>
            <w:vAlign w:val="center"/>
            <w:hideMark/>
          </w:tcPr>
          <w:p w14:paraId="7B62B6BC" w14:textId="77777777" w:rsidR="00790463" w:rsidRDefault="00790463">
            <w:pPr>
              <w:rPr>
                <w:rFonts w:ascii="Arial" w:hAnsi="Arial" w:cs="Arial"/>
                <w:b/>
                <w:bCs/>
                <w:color w:val="000000" w:themeColor="text1"/>
                <w:sz w:val="18"/>
                <w:szCs w:val="18"/>
              </w:rPr>
            </w:pPr>
          </w:p>
        </w:tc>
        <w:tc>
          <w:tcPr>
            <w:tcW w:w="1508" w:type="dxa"/>
            <w:tcBorders>
              <w:top w:val="single" w:sz="12" w:space="0" w:color="auto"/>
              <w:left w:val="nil"/>
              <w:bottom w:val="nil"/>
              <w:right w:val="nil"/>
            </w:tcBorders>
            <w:noWrap/>
            <w:vAlign w:val="center"/>
            <w:hideMark/>
          </w:tcPr>
          <w:p w14:paraId="15095418" w14:textId="77777777" w:rsidR="00790463" w:rsidRDefault="00790463">
            <w:pPr>
              <w:rPr>
                <w:rFonts w:asciiTheme="minorHAnsi" w:eastAsiaTheme="minorHAnsi" w:hAnsiTheme="minorHAnsi" w:cstheme="minorBidi"/>
                <w:lang w:val="en-CA" w:eastAsia="en-CA"/>
              </w:rPr>
            </w:pPr>
          </w:p>
        </w:tc>
        <w:tc>
          <w:tcPr>
            <w:tcW w:w="1534" w:type="dxa"/>
            <w:tcBorders>
              <w:top w:val="single" w:sz="12" w:space="0" w:color="auto"/>
              <w:left w:val="nil"/>
              <w:bottom w:val="nil"/>
              <w:right w:val="nil"/>
            </w:tcBorders>
            <w:noWrap/>
            <w:vAlign w:val="center"/>
            <w:hideMark/>
          </w:tcPr>
          <w:p w14:paraId="21EBD1B2" w14:textId="77777777" w:rsidR="00790463" w:rsidRDefault="00790463">
            <w:pPr>
              <w:rPr>
                <w:rFonts w:asciiTheme="minorHAnsi" w:eastAsiaTheme="minorHAnsi" w:hAnsiTheme="minorHAnsi" w:cstheme="minorBidi"/>
                <w:lang w:val="en-CA" w:eastAsia="en-CA"/>
              </w:rPr>
            </w:pPr>
          </w:p>
        </w:tc>
      </w:tr>
      <w:tr w:rsidR="00790463" w14:paraId="26319A2F" w14:textId="77777777" w:rsidTr="00790463">
        <w:trPr>
          <w:trHeight w:val="202"/>
          <w:jc w:val="center"/>
        </w:trPr>
        <w:tc>
          <w:tcPr>
            <w:tcW w:w="4810" w:type="dxa"/>
            <w:tcBorders>
              <w:top w:val="nil"/>
              <w:left w:val="nil"/>
              <w:bottom w:val="nil"/>
              <w:right w:val="nil"/>
            </w:tcBorders>
            <w:noWrap/>
            <w:vAlign w:val="center"/>
            <w:hideMark/>
          </w:tcPr>
          <w:p w14:paraId="7D7E33F1" w14:textId="77777777" w:rsidR="00790463" w:rsidRDefault="00790463">
            <w:pPr>
              <w:rPr>
                <w:rFonts w:ascii="Arial" w:hAnsi="Arial" w:cs="Arial"/>
                <w:b/>
                <w:bCs/>
                <w:color w:val="000000" w:themeColor="text1"/>
                <w:sz w:val="18"/>
                <w:szCs w:val="18"/>
                <w:lang w:val="en-GB"/>
              </w:rPr>
            </w:pPr>
            <w:r>
              <w:rPr>
                <w:rFonts w:ascii="Arial" w:hAnsi="Arial" w:cs="Arial"/>
                <w:b/>
                <w:bCs/>
                <w:color w:val="000000" w:themeColor="text1"/>
                <w:sz w:val="18"/>
                <w:szCs w:val="18"/>
              </w:rPr>
              <w:t>Current Assets</w:t>
            </w:r>
          </w:p>
        </w:tc>
        <w:tc>
          <w:tcPr>
            <w:tcW w:w="1508" w:type="dxa"/>
            <w:tcBorders>
              <w:top w:val="nil"/>
              <w:left w:val="nil"/>
              <w:bottom w:val="nil"/>
              <w:right w:val="nil"/>
            </w:tcBorders>
            <w:noWrap/>
            <w:vAlign w:val="center"/>
            <w:hideMark/>
          </w:tcPr>
          <w:p w14:paraId="6D9BA0B4" w14:textId="77777777" w:rsidR="00790463" w:rsidRDefault="00790463">
            <w:pPr>
              <w:rPr>
                <w:rFonts w:ascii="Arial" w:hAnsi="Arial" w:cs="Arial"/>
                <w:b/>
                <w:bCs/>
                <w:color w:val="000000" w:themeColor="text1"/>
                <w:sz w:val="18"/>
                <w:szCs w:val="18"/>
              </w:rPr>
            </w:pPr>
          </w:p>
        </w:tc>
        <w:tc>
          <w:tcPr>
            <w:tcW w:w="1508" w:type="dxa"/>
            <w:tcBorders>
              <w:top w:val="nil"/>
              <w:left w:val="nil"/>
              <w:bottom w:val="nil"/>
              <w:right w:val="nil"/>
            </w:tcBorders>
            <w:noWrap/>
            <w:vAlign w:val="center"/>
            <w:hideMark/>
          </w:tcPr>
          <w:p w14:paraId="067118D9" w14:textId="77777777" w:rsidR="00790463" w:rsidRDefault="00790463">
            <w:pPr>
              <w:rPr>
                <w:rFonts w:asciiTheme="minorHAnsi" w:eastAsiaTheme="minorHAnsi" w:hAnsiTheme="minorHAnsi" w:cstheme="minorBidi"/>
                <w:lang w:val="en-CA" w:eastAsia="en-CA"/>
              </w:rPr>
            </w:pPr>
          </w:p>
        </w:tc>
        <w:tc>
          <w:tcPr>
            <w:tcW w:w="1534" w:type="dxa"/>
            <w:tcBorders>
              <w:top w:val="nil"/>
              <w:left w:val="nil"/>
              <w:bottom w:val="nil"/>
              <w:right w:val="nil"/>
            </w:tcBorders>
            <w:noWrap/>
            <w:vAlign w:val="center"/>
            <w:hideMark/>
          </w:tcPr>
          <w:p w14:paraId="3BD2EF42" w14:textId="77777777" w:rsidR="00790463" w:rsidRDefault="00790463">
            <w:pPr>
              <w:rPr>
                <w:rFonts w:asciiTheme="minorHAnsi" w:eastAsiaTheme="minorHAnsi" w:hAnsiTheme="minorHAnsi" w:cstheme="minorBidi"/>
                <w:lang w:val="en-CA" w:eastAsia="en-CA"/>
              </w:rPr>
            </w:pPr>
          </w:p>
        </w:tc>
      </w:tr>
      <w:tr w:rsidR="00790463" w14:paraId="78952DCB" w14:textId="77777777" w:rsidTr="00790463">
        <w:trPr>
          <w:trHeight w:val="202"/>
          <w:jc w:val="center"/>
        </w:trPr>
        <w:tc>
          <w:tcPr>
            <w:tcW w:w="4810" w:type="dxa"/>
            <w:tcBorders>
              <w:top w:val="nil"/>
              <w:left w:val="nil"/>
              <w:bottom w:val="nil"/>
              <w:right w:val="nil"/>
            </w:tcBorders>
            <w:noWrap/>
            <w:vAlign w:val="center"/>
            <w:hideMark/>
          </w:tcPr>
          <w:p w14:paraId="57F4C36E" w14:textId="77777777" w:rsidR="00790463" w:rsidRDefault="00790463">
            <w:pPr>
              <w:rPr>
                <w:rFonts w:ascii="Arial" w:hAnsi="Arial" w:cs="Arial"/>
                <w:color w:val="000000" w:themeColor="text1"/>
                <w:sz w:val="18"/>
                <w:szCs w:val="18"/>
                <w:lang w:val="en-GB"/>
              </w:rPr>
            </w:pPr>
            <w:r>
              <w:rPr>
                <w:rFonts w:ascii="Arial" w:hAnsi="Arial" w:cs="Arial"/>
                <w:color w:val="000000" w:themeColor="text1"/>
                <w:sz w:val="18"/>
                <w:szCs w:val="18"/>
              </w:rPr>
              <w:t>Cash and cash equivalents</w:t>
            </w:r>
          </w:p>
        </w:tc>
        <w:tc>
          <w:tcPr>
            <w:tcW w:w="1508" w:type="dxa"/>
            <w:tcBorders>
              <w:top w:val="nil"/>
              <w:left w:val="nil"/>
              <w:bottom w:val="nil"/>
              <w:right w:val="nil"/>
            </w:tcBorders>
            <w:noWrap/>
            <w:vAlign w:val="center"/>
            <w:hideMark/>
          </w:tcPr>
          <w:p w14:paraId="63FA424D"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406,299,422</w:t>
            </w:r>
          </w:p>
        </w:tc>
        <w:tc>
          <w:tcPr>
            <w:tcW w:w="1508" w:type="dxa"/>
            <w:tcBorders>
              <w:top w:val="nil"/>
              <w:left w:val="nil"/>
              <w:bottom w:val="nil"/>
              <w:right w:val="nil"/>
            </w:tcBorders>
            <w:noWrap/>
            <w:vAlign w:val="center"/>
            <w:hideMark/>
          </w:tcPr>
          <w:p w14:paraId="12CE8108"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388,872,392</w:t>
            </w:r>
          </w:p>
        </w:tc>
        <w:tc>
          <w:tcPr>
            <w:tcW w:w="1534" w:type="dxa"/>
            <w:tcBorders>
              <w:top w:val="nil"/>
              <w:left w:val="nil"/>
              <w:bottom w:val="nil"/>
              <w:right w:val="nil"/>
            </w:tcBorders>
            <w:noWrap/>
            <w:vAlign w:val="center"/>
            <w:hideMark/>
          </w:tcPr>
          <w:p w14:paraId="1738C974"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561,696,137</w:t>
            </w:r>
          </w:p>
        </w:tc>
      </w:tr>
      <w:tr w:rsidR="00790463" w14:paraId="213129BC" w14:textId="77777777" w:rsidTr="00790463">
        <w:trPr>
          <w:trHeight w:val="202"/>
          <w:jc w:val="center"/>
        </w:trPr>
        <w:tc>
          <w:tcPr>
            <w:tcW w:w="4810" w:type="dxa"/>
            <w:tcBorders>
              <w:top w:val="nil"/>
              <w:left w:val="nil"/>
              <w:bottom w:val="nil"/>
              <w:right w:val="nil"/>
            </w:tcBorders>
            <w:noWrap/>
            <w:vAlign w:val="center"/>
            <w:hideMark/>
          </w:tcPr>
          <w:p w14:paraId="0E0ACFF7"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Financial assets at fair value through profit or loss</w:t>
            </w:r>
          </w:p>
        </w:tc>
        <w:tc>
          <w:tcPr>
            <w:tcW w:w="1508" w:type="dxa"/>
            <w:tcBorders>
              <w:top w:val="nil"/>
              <w:left w:val="nil"/>
              <w:bottom w:val="nil"/>
              <w:right w:val="nil"/>
            </w:tcBorders>
            <w:noWrap/>
            <w:vAlign w:val="center"/>
            <w:hideMark/>
          </w:tcPr>
          <w:p w14:paraId="4FD8FD16"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38,891,488</w:t>
            </w:r>
          </w:p>
        </w:tc>
        <w:tc>
          <w:tcPr>
            <w:tcW w:w="1508" w:type="dxa"/>
            <w:tcBorders>
              <w:top w:val="nil"/>
              <w:left w:val="nil"/>
              <w:bottom w:val="nil"/>
              <w:right w:val="nil"/>
            </w:tcBorders>
            <w:noWrap/>
            <w:vAlign w:val="center"/>
            <w:hideMark/>
          </w:tcPr>
          <w:p w14:paraId="52722456"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36,084,300</w:t>
            </w:r>
          </w:p>
        </w:tc>
        <w:tc>
          <w:tcPr>
            <w:tcW w:w="1534" w:type="dxa"/>
            <w:tcBorders>
              <w:top w:val="nil"/>
              <w:left w:val="nil"/>
              <w:bottom w:val="nil"/>
              <w:right w:val="nil"/>
            </w:tcBorders>
            <w:noWrap/>
            <w:vAlign w:val="center"/>
            <w:hideMark/>
          </w:tcPr>
          <w:p w14:paraId="7FE8CDEE"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w:t>
            </w:r>
          </w:p>
        </w:tc>
      </w:tr>
      <w:tr w:rsidR="00790463" w14:paraId="5A81B076" w14:textId="77777777" w:rsidTr="00790463">
        <w:trPr>
          <w:trHeight w:val="202"/>
          <w:jc w:val="center"/>
        </w:trPr>
        <w:tc>
          <w:tcPr>
            <w:tcW w:w="4810" w:type="dxa"/>
            <w:tcBorders>
              <w:top w:val="nil"/>
              <w:left w:val="nil"/>
              <w:bottom w:val="nil"/>
              <w:right w:val="nil"/>
            </w:tcBorders>
            <w:noWrap/>
            <w:vAlign w:val="center"/>
            <w:hideMark/>
          </w:tcPr>
          <w:p w14:paraId="761AD7F4"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Available-for-sale investments</w:t>
            </w:r>
          </w:p>
        </w:tc>
        <w:tc>
          <w:tcPr>
            <w:tcW w:w="1508" w:type="dxa"/>
            <w:tcBorders>
              <w:top w:val="nil"/>
              <w:left w:val="nil"/>
              <w:bottom w:val="nil"/>
              <w:right w:val="nil"/>
            </w:tcBorders>
            <w:noWrap/>
            <w:vAlign w:val="center"/>
            <w:hideMark/>
          </w:tcPr>
          <w:p w14:paraId="7EDB907E"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w:t>
            </w:r>
          </w:p>
        </w:tc>
        <w:tc>
          <w:tcPr>
            <w:tcW w:w="1508" w:type="dxa"/>
            <w:tcBorders>
              <w:top w:val="nil"/>
              <w:left w:val="nil"/>
              <w:bottom w:val="nil"/>
              <w:right w:val="nil"/>
            </w:tcBorders>
            <w:noWrap/>
            <w:vAlign w:val="center"/>
            <w:hideMark/>
          </w:tcPr>
          <w:p w14:paraId="48431E7F"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w:t>
            </w:r>
          </w:p>
        </w:tc>
        <w:tc>
          <w:tcPr>
            <w:tcW w:w="1534" w:type="dxa"/>
            <w:tcBorders>
              <w:top w:val="nil"/>
              <w:left w:val="nil"/>
              <w:bottom w:val="nil"/>
              <w:right w:val="nil"/>
            </w:tcBorders>
            <w:noWrap/>
            <w:vAlign w:val="center"/>
            <w:hideMark/>
          </w:tcPr>
          <w:p w14:paraId="51F5B731"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1,077,300,000</w:t>
            </w:r>
          </w:p>
        </w:tc>
      </w:tr>
      <w:tr w:rsidR="00790463" w14:paraId="4A088D10" w14:textId="77777777" w:rsidTr="00790463">
        <w:trPr>
          <w:trHeight w:val="202"/>
          <w:jc w:val="center"/>
        </w:trPr>
        <w:tc>
          <w:tcPr>
            <w:tcW w:w="4810" w:type="dxa"/>
            <w:tcBorders>
              <w:top w:val="nil"/>
              <w:left w:val="nil"/>
              <w:bottom w:val="nil"/>
              <w:right w:val="nil"/>
            </w:tcBorders>
            <w:noWrap/>
            <w:vAlign w:val="center"/>
            <w:hideMark/>
          </w:tcPr>
          <w:p w14:paraId="3C5B7AA8"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Trade and other receivables</w:t>
            </w:r>
          </w:p>
        </w:tc>
        <w:tc>
          <w:tcPr>
            <w:tcW w:w="1508" w:type="dxa"/>
            <w:tcBorders>
              <w:top w:val="nil"/>
              <w:left w:val="nil"/>
              <w:bottom w:val="nil"/>
              <w:right w:val="nil"/>
            </w:tcBorders>
            <w:noWrap/>
            <w:vAlign w:val="center"/>
            <w:hideMark/>
          </w:tcPr>
          <w:p w14:paraId="1C7D4611"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400,206,162</w:t>
            </w:r>
          </w:p>
        </w:tc>
        <w:tc>
          <w:tcPr>
            <w:tcW w:w="1508" w:type="dxa"/>
            <w:tcBorders>
              <w:top w:val="nil"/>
              <w:left w:val="nil"/>
              <w:bottom w:val="nil"/>
              <w:right w:val="nil"/>
            </w:tcBorders>
            <w:noWrap/>
            <w:vAlign w:val="center"/>
            <w:hideMark/>
          </w:tcPr>
          <w:p w14:paraId="0CF5B526"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543,196,681</w:t>
            </w:r>
          </w:p>
        </w:tc>
        <w:tc>
          <w:tcPr>
            <w:tcW w:w="1534" w:type="dxa"/>
            <w:tcBorders>
              <w:top w:val="nil"/>
              <w:left w:val="nil"/>
              <w:bottom w:val="nil"/>
              <w:right w:val="nil"/>
            </w:tcBorders>
            <w:noWrap/>
            <w:vAlign w:val="center"/>
            <w:hideMark/>
          </w:tcPr>
          <w:p w14:paraId="49332468"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615,500,186</w:t>
            </w:r>
          </w:p>
        </w:tc>
      </w:tr>
      <w:tr w:rsidR="00790463" w14:paraId="1F4D817E" w14:textId="77777777" w:rsidTr="00790463">
        <w:trPr>
          <w:trHeight w:val="202"/>
          <w:jc w:val="center"/>
        </w:trPr>
        <w:tc>
          <w:tcPr>
            <w:tcW w:w="4810" w:type="dxa"/>
            <w:tcBorders>
              <w:top w:val="nil"/>
              <w:left w:val="nil"/>
              <w:bottom w:val="nil"/>
              <w:right w:val="nil"/>
            </w:tcBorders>
            <w:noWrap/>
            <w:vAlign w:val="center"/>
            <w:hideMark/>
          </w:tcPr>
          <w:p w14:paraId="45186C23"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Current portion of loans to related parties</w:t>
            </w:r>
          </w:p>
        </w:tc>
        <w:tc>
          <w:tcPr>
            <w:tcW w:w="1508" w:type="dxa"/>
            <w:tcBorders>
              <w:top w:val="nil"/>
              <w:left w:val="nil"/>
              <w:bottom w:val="nil"/>
              <w:right w:val="nil"/>
            </w:tcBorders>
            <w:noWrap/>
            <w:vAlign w:val="center"/>
            <w:hideMark/>
          </w:tcPr>
          <w:p w14:paraId="54F965F0"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32,333,333</w:t>
            </w:r>
          </w:p>
        </w:tc>
        <w:tc>
          <w:tcPr>
            <w:tcW w:w="1508" w:type="dxa"/>
            <w:tcBorders>
              <w:top w:val="nil"/>
              <w:left w:val="nil"/>
              <w:bottom w:val="nil"/>
              <w:right w:val="nil"/>
            </w:tcBorders>
            <w:noWrap/>
            <w:vAlign w:val="center"/>
            <w:hideMark/>
          </w:tcPr>
          <w:p w14:paraId="7EC87F40"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23,527,778</w:t>
            </w:r>
          </w:p>
        </w:tc>
        <w:tc>
          <w:tcPr>
            <w:tcW w:w="1534" w:type="dxa"/>
            <w:tcBorders>
              <w:top w:val="nil"/>
              <w:left w:val="nil"/>
              <w:bottom w:val="nil"/>
              <w:right w:val="nil"/>
            </w:tcBorders>
            <w:noWrap/>
            <w:vAlign w:val="center"/>
            <w:hideMark/>
          </w:tcPr>
          <w:p w14:paraId="6CC6BCFF"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27,933,333</w:t>
            </w:r>
          </w:p>
        </w:tc>
      </w:tr>
      <w:tr w:rsidR="00790463" w14:paraId="38C61D1A" w14:textId="77777777" w:rsidTr="00790463">
        <w:trPr>
          <w:trHeight w:val="202"/>
          <w:jc w:val="center"/>
        </w:trPr>
        <w:tc>
          <w:tcPr>
            <w:tcW w:w="4810" w:type="dxa"/>
            <w:tcBorders>
              <w:top w:val="nil"/>
              <w:left w:val="nil"/>
              <w:bottom w:val="nil"/>
              <w:right w:val="nil"/>
            </w:tcBorders>
            <w:noWrap/>
            <w:vAlign w:val="center"/>
            <w:hideMark/>
          </w:tcPr>
          <w:p w14:paraId="7B6D862D"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Inventories</w:t>
            </w:r>
          </w:p>
        </w:tc>
        <w:tc>
          <w:tcPr>
            <w:tcW w:w="1508" w:type="dxa"/>
            <w:tcBorders>
              <w:top w:val="nil"/>
              <w:left w:val="nil"/>
              <w:bottom w:val="nil"/>
              <w:right w:val="nil"/>
            </w:tcBorders>
            <w:noWrap/>
            <w:vAlign w:val="center"/>
            <w:hideMark/>
          </w:tcPr>
          <w:p w14:paraId="33C17086"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255,272,986</w:t>
            </w:r>
          </w:p>
        </w:tc>
        <w:tc>
          <w:tcPr>
            <w:tcW w:w="1508" w:type="dxa"/>
            <w:tcBorders>
              <w:top w:val="nil"/>
              <w:left w:val="nil"/>
              <w:bottom w:val="nil"/>
              <w:right w:val="nil"/>
            </w:tcBorders>
            <w:noWrap/>
            <w:vAlign w:val="center"/>
            <w:hideMark/>
          </w:tcPr>
          <w:p w14:paraId="1F06880B"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238,738,578</w:t>
            </w:r>
          </w:p>
        </w:tc>
        <w:tc>
          <w:tcPr>
            <w:tcW w:w="1534" w:type="dxa"/>
            <w:tcBorders>
              <w:top w:val="nil"/>
              <w:left w:val="nil"/>
              <w:bottom w:val="nil"/>
              <w:right w:val="nil"/>
            </w:tcBorders>
            <w:noWrap/>
            <w:vAlign w:val="center"/>
            <w:hideMark/>
          </w:tcPr>
          <w:p w14:paraId="589DCCC9"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257,278,708</w:t>
            </w:r>
          </w:p>
        </w:tc>
      </w:tr>
      <w:tr w:rsidR="00790463" w14:paraId="09879463" w14:textId="77777777" w:rsidTr="00790463">
        <w:trPr>
          <w:trHeight w:val="202"/>
          <w:jc w:val="center"/>
        </w:trPr>
        <w:tc>
          <w:tcPr>
            <w:tcW w:w="4810" w:type="dxa"/>
            <w:tcBorders>
              <w:top w:val="nil"/>
              <w:left w:val="nil"/>
              <w:bottom w:val="nil"/>
              <w:right w:val="nil"/>
            </w:tcBorders>
            <w:noWrap/>
            <w:vAlign w:val="center"/>
            <w:hideMark/>
          </w:tcPr>
          <w:p w14:paraId="23573F5F"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Prepaid expenses and other current assets</w:t>
            </w:r>
          </w:p>
        </w:tc>
        <w:tc>
          <w:tcPr>
            <w:tcW w:w="1508" w:type="dxa"/>
            <w:tcBorders>
              <w:top w:val="nil"/>
              <w:left w:val="nil"/>
              <w:bottom w:val="nil"/>
              <w:right w:val="nil"/>
            </w:tcBorders>
            <w:noWrap/>
            <w:vAlign w:val="center"/>
            <w:hideMark/>
          </w:tcPr>
          <w:p w14:paraId="6526D994"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10,750,976</w:t>
            </w:r>
          </w:p>
        </w:tc>
        <w:tc>
          <w:tcPr>
            <w:tcW w:w="1508" w:type="dxa"/>
            <w:tcBorders>
              <w:top w:val="nil"/>
              <w:left w:val="nil"/>
              <w:bottom w:val="nil"/>
              <w:right w:val="nil"/>
            </w:tcBorders>
            <w:noWrap/>
            <w:vAlign w:val="center"/>
            <w:hideMark/>
          </w:tcPr>
          <w:p w14:paraId="1E75FA34"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10,499,429</w:t>
            </w:r>
          </w:p>
        </w:tc>
        <w:tc>
          <w:tcPr>
            <w:tcW w:w="1534" w:type="dxa"/>
            <w:tcBorders>
              <w:top w:val="nil"/>
              <w:left w:val="nil"/>
              <w:bottom w:val="nil"/>
              <w:right w:val="nil"/>
            </w:tcBorders>
            <w:noWrap/>
            <w:vAlign w:val="center"/>
            <w:hideMark/>
          </w:tcPr>
          <w:p w14:paraId="2F0C64E6"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11,660,782</w:t>
            </w:r>
          </w:p>
        </w:tc>
      </w:tr>
      <w:tr w:rsidR="00790463" w14:paraId="2A5EEBC0" w14:textId="77777777" w:rsidTr="00790463">
        <w:trPr>
          <w:trHeight w:val="202"/>
          <w:jc w:val="center"/>
        </w:trPr>
        <w:tc>
          <w:tcPr>
            <w:tcW w:w="4810" w:type="dxa"/>
            <w:tcBorders>
              <w:top w:val="nil"/>
              <w:left w:val="nil"/>
              <w:bottom w:val="single" w:sz="4" w:space="0" w:color="auto"/>
              <w:right w:val="nil"/>
            </w:tcBorders>
            <w:noWrap/>
            <w:vAlign w:val="center"/>
            <w:hideMark/>
          </w:tcPr>
          <w:p w14:paraId="315462B9" w14:textId="77777777" w:rsidR="00790463" w:rsidRDefault="00790463">
            <w:pPr>
              <w:rPr>
                <w:rFonts w:ascii="Arial" w:hAnsi="Arial" w:cs="Arial"/>
                <w:b/>
                <w:bCs/>
                <w:color w:val="000000" w:themeColor="text1"/>
                <w:sz w:val="18"/>
                <w:szCs w:val="18"/>
              </w:rPr>
            </w:pPr>
            <w:r>
              <w:rPr>
                <w:rFonts w:ascii="Arial" w:hAnsi="Arial" w:cs="Arial"/>
                <w:b/>
                <w:bCs/>
                <w:color w:val="000000" w:themeColor="text1"/>
                <w:sz w:val="18"/>
                <w:szCs w:val="18"/>
              </w:rPr>
              <w:t>Total Current Assets</w:t>
            </w:r>
          </w:p>
        </w:tc>
        <w:tc>
          <w:tcPr>
            <w:tcW w:w="1508" w:type="dxa"/>
            <w:tcBorders>
              <w:top w:val="nil"/>
              <w:left w:val="nil"/>
              <w:bottom w:val="single" w:sz="4" w:space="0" w:color="auto"/>
              <w:right w:val="nil"/>
            </w:tcBorders>
            <w:noWrap/>
            <w:vAlign w:val="center"/>
            <w:hideMark/>
          </w:tcPr>
          <w:p w14:paraId="0D5C14FF"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1,143,754,367</w:t>
            </w:r>
          </w:p>
        </w:tc>
        <w:tc>
          <w:tcPr>
            <w:tcW w:w="1508" w:type="dxa"/>
            <w:tcBorders>
              <w:top w:val="nil"/>
              <w:left w:val="nil"/>
              <w:bottom w:val="single" w:sz="4" w:space="0" w:color="auto"/>
              <w:right w:val="nil"/>
            </w:tcBorders>
            <w:noWrap/>
            <w:vAlign w:val="center"/>
            <w:hideMark/>
          </w:tcPr>
          <w:p w14:paraId="209E408C"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1,240,919,158</w:t>
            </w:r>
          </w:p>
        </w:tc>
        <w:tc>
          <w:tcPr>
            <w:tcW w:w="1534" w:type="dxa"/>
            <w:tcBorders>
              <w:top w:val="nil"/>
              <w:left w:val="nil"/>
              <w:bottom w:val="single" w:sz="4" w:space="0" w:color="auto"/>
              <w:right w:val="nil"/>
            </w:tcBorders>
            <w:noWrap/>
            <w:vAlign w:val="center"/>
            <w:hideMark/>
          </w:tcPr>
          <w:p w14:paraId="721F0064"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2,551,369,146</w:t>
            </w:r>
          </w:p>
        </w:tc>
      </w:tr>
      <w:tr w:rsidR="00790463" w14:paraId="3255EB3D" w14:textId="77777777" w:rsidTr="00790463">
        <w:trPr>
          <w:trHeight w:val="202"/>
          <w:jc w:val="center"/>
        </w:trPr>
        <w:tc>
          <w:tcPr>
            <w:tcW w:w="4810" w:type="dxa"/>
            <w:tcBorders>
              <w:top w:val="nil"/>
              <w:left w:val="nil"/>
              <w:bottom w:val="nil"/>
              <w:right w:val="nil"/>
            </w:tcBorders>
            <w:noWrap/>
            <w:vAlign w:val="center"/>
            <w:hideMark/>
          </w:tcPr>
          <w:p w14:paraId="1686DC20" w14:textId="77777777" w:rsidR="00790463" w:rsidRDefault="00790463">
            <w:pPr>
              <w:rPr>
                <w:rFonts w:ascii="Arial" w:hAnsi="Arial" w:cs="Arial"/>
                <w:b/>
                <w:bCs/>
                <w:color w:val="000000" w:themeColor="text1"/>
                <w:sz w:val="18"/>
                <w:szCs w:val="18"/>
              </w:rPr>
            </w:pPr>
            <w:r>
              <w:rPr>
                <w:rFonts w:ascii="Arial" w:hAnsi="Arial" w:cs="Arial"/>
                <w:b/>
                <w:bCs/>
                <w:color w:val="000000" w:themeColor="text1"/>
                <w:sz w:val="18"/>
                <w:szCs w:val="18"/>
              </w:rPr>
              <w:t>Non-current Assets</w:t>
            </w:r>
          </w:p>
        </w:tc>
        <w:tc>
          <w:tcPr>
            <w:tcW w:w="1508" w:type="dxa"/>
            <w:tcBorders>
              <w:top w:val="nil"/>
              <w:left w:val="nil"/>
              <w:bottom w:val="nil"/>
              <w:right w:val="nil"/>
            </w:tcBorders>
            <w:noWrap/>
            <w:vAlign w:val="center"/>
            <w:hideMark/>
          </w:tcPr>
          <w:p w14:paraId="4EB77404" w14:textId="77777777" w:rsidR="00790463" w:rsidRDefault="00790463">
            <w:pPr>
              <w:rPr>
                <w:rFonts w:ascii="Arial" w:hAnsi="Arial" w:cs="Arial"/>
                <w:b/>
                <w:bCs/>
                <w:color w:val="000000" w:themeColor="text1"/>
                <w:sz w:val="18"/>
                <w:szCs w:val="18"/>
              </w:rPr>
            </w:pPr>
          </w:p>
        </w:tc>
        <w:tc>
          <w:tcPr>
            <w:tcW w:w="1508" w:type="dxa"/>
            <w:tcBorders>
              <w:top w:val="nil"/>
              <w:left w:val="nil"/>
              <w:bottom w:val="nil"/>
              <w:right w:val="nil"/>
            </w:tcBorders>
            <w:noWrap/>
            <w:vAlign w:val="center"/>
            <w:hideMark/>
          </w:tcPr>
          <w:p w14:paraId="6EEAA6BA" w14:textId="77777777" w:rsidR="00790463" w:rsidRDefault="00790463">
            <w:pPr>
              <w:rPr>
                <w:rFonts w:asciiTheme="minorHAnsi" w:eastAsiaTheme="minorHAnsi" w:hAnsiTheme="minorHAnsi" w:cstheme="minorBidi"/>
                <w:lang w:val="en-CA" w:eastAsia="en-CA"/>
              </w:rPr>
            </w:pPr>
          </w:p>
        </w:tc>
        <w:tc>
          <w:tcPr>
            <w:tcW w:w="1534" w:type="dxa"/>
            <w:tcBorders>
              <w:top w:val="nil"/>
              <w:left w:val="nil"/>
              <w:bottom w:val="nil"/>
              <w:right w:val="nil"/>
            </w:tcBorders>
            <w:noWrap/>
            <w:vAlign w:val="center"/>
            <w:hideMark/>
          </w:tcPr>
          <w:p w14:paraId="3B0B0F47" w14:textId="77777777" w:rsidR="00790463" w:rsidRDefault="00790463">
            <w:pPr>
              <w:rPr>
                <w:rFonts w:asciiTheme="minorHAnsi" w:eastAsiaTheme="minorHAnsi" w:hAnsiTheme="minorHAnsi" w:cstheme="minorBidi"/>
                <w:lang w:val="en-CA" w:eastAsia="en-CA"/>
              </w:rPr>
            </w:pPr>
          </w:p>
        </w:tc>
      </w:tr>
      <w:tr w:rsidR="00790463" w14:paraId="66FBE1CA" w14:textId="77777777" w:rsidTr="00790463">
        <w:trPr>
          <w:trHeight w:val="202"/>
          <w:jc w:val="center"/>
        </w:trPr>
        <w:tc>
          <w:tcPr>
            <w:tcW w:w="4810" w:type="dxa"/>
            <w:tcBorders>
              <w:top w:val="nil"/>
              <w:left w:val="nil"/>
              <w:bottom w:val="nil"/>
              <w:right w:val="nil"/>
            </w:tcBorders>
            <w:noWrap/>
            <w:vAlign w:val="center"/>
            <w:hideMark/>
          </w:tcPr>
          <w:p w14:paraId="252E51D6" w14:textId="77777777" w:rsidR="00790463" w:rsidRDefault="00790463">
            <w:pPr>
              <w:rPr>
                <w:rFonts w:ascii="Arial" w:hAnsi="Arial" w:cs="Arial"/>
                <w:color w:val="000000" w:themeColor="text1"/>
                <w:sz w:val="18"/>
                <w:szCs w:val="18"/>
                <w:lang w:val="en-GB"/>
              </w:rPr>
            </w:pPr>
            <w:r>
              <w:rPr>
                <w:rFonts w:ascii="Arial" w:hAnsi="Arial" w:cs="Arial"/>
                <w:color w:val="000000" w:themeColor="text1"/>
                <w:sz w:val="18"/>
                <w:szCs w:val="18"/>
              </w:rPr>
              <w:t>Property and equipment</w:t>
            </w:r>
          </w:p>
        </w:tc>
        <w:tc>
          <w:tcPr>
            <w:tcW w:w="1508" w:type="dxa"/>
            <w:tcBorders>
              <w:top w:val="nil"/>
              <w:left w:val="nil"/>
              <w:bottom w:val="nil"/>
              <w:right w:val="nil"/>
            </w:tcBorders>
            <w:noWrap/>
            <w:vAlign w:val="center"/>
            <w:hideMark/>
          </w:tcPr>
          <w:p w14:paraId="7D064DF0"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440,371,575</w:t>
            </w:r>
          </w:p>
        </w:tc>
        <w:tc>
          <w:tcPr>
            <w:tcW w:w="1508" w:type="dxa"/>
            <w:tcBorders>
              <w:top w:val="nil"/>
              <w:left w:val="nil"/>
              <w:bottom w:val="nil"/>
              <w:right w:val="nil"/>
            </w:tcBorders>
            <w:noWrap/>
            <w:vAlign w:val="center"/>
            <w:hideMark/>
          </w:tcPr>
          <w:p w14:paraId="75E8F029"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577,144,599</w:t>
            </w:r>
          </w:p>
        </w:tc>
        <w:tc>
          <w:tcPr>
            <w:tcW w:w="1534" w:type="dxa"/>
            <w:tcBorders>
              <w:top w:val="nil"/>
              <w:left w:val="nil"/>
              <w:bottom w:val="nil"/>
              <w:right w:val="nil"/>
            </w:tcBorders>
            <w:noWrap/>
            <w:vAlign w:val="center"/>
            <w:hideMark/>
          </w:tcPr>
          <w:p w14:paraId="04525E64"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697,964,694</w:t>
            </w:r>
          </w:p>
        </w:tc>
      </w:tr>
      <w:tr w:rsidR="00790463" w14:paraId="0571FDC0" w14:textId="77777777" w:rsidTr="00790463">
        <w:trPr>
          <w:trHeight w:val="202"/>
          <w:jc w:val="center"/>
        </w:trPr>
        <w:tc>
          <w:tcPr>
            <w:tcW w:w="4810" w:type="dxa"/>
            <w:tcBorders>
              <w:top w:val="nil"/>
              <w:left w:val="nil"/>
              <w:bottom w:val="nil"/>
              <w:right w:val="nil"/>
            </w:tcBorders>
            <w:noWrap/>
            <w:vAlign w:val="center"/>
            <w:hideMark/>
          </w:tcPr>
          <w:p w14:paraId="6811FCD0"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Available-for-sale investments</w:t>
            </w:r>
          </w:p>
        </w:tc>
        <w:tc>
          <w:tcPr>
            <w:tcW w:w="1508" w:type="dxa"/>
            <w:tcBorders>
              <w:top w:val="nil"/>
              <w:left w:val="nil"/>
              <w:bottom w:val="nil"/>
              <w:right w:val="nil"/>
            </w:tcBorders>
            <w:noWrap/>
            <w:vAlign w:val="center"/>
            <w:hideMark/>
          </w:tcPr>
          <w:p w14:paraId="151CB020"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687,311,474</w:t>
            </w:r>
          </w:p>
        </w:tc>
        <w:tc>
          <w:tcPr>
            <w:tcW w:w="1508" w:type="dxa"/>
            <w:tcBorders>
              <w:top w:val="nil"/>
              <w:left w:val="nil"/>
              <w:bottom w:val="nil"/>
              <w:right w:val="nil"/>
            </w:tcBorders>
            <w:noWrap/>
            <w:vAlign w:val="center"/>
            <w:hideMark/>
          </w:tcPr>
          <w:p w14:paraId="089D7912"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682,534,072</w:t>
            </w:r>
          </w:p>
        </w:tc>
        <w:tc>
          <w:tcPr>
            <w:tcW w:w="1534" w:type="dxa"/>
            <w:tcBorders>
              <w:top w:val="nil"/>
              <w:left w:val="nil"/>
              <w:bottom w:val="nil"/>
              <w:right w:val="nil"/>
            </w:tcBorders>
            <w:noWrap/>
            <w:vAlign w:val="center"/>
            <w:hideMark/>
          </w:tcPr>
          <w:p w14:paraId="1C3A58EB"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323,088</w:t>
            </w:r>
          </w:p>
        </w:tc>
      </w:tr>
      <w:tr w:rsidR="00790463" w14:paraId="5BFFF386" w14:textId="77777777" w:rsidTr="00790463">
        <w:trPr>
          <w:trHeight w:val="202"/>
          <w:jc w:val="center"/>
        </w:trPr>
        <w:tc>
          <w:tcPr>
            <w:tcW w:w="4810" w:type="dxa"/>
            <w:tcBorders>
              <w:top w:val="nil"/>
              <w:left w:val="nil"/>
              <w:bottom w:val="nil"/>
              <w:right w:val="nil"/>
            </w:tcBorders>
            <w:noWrap/>
            <w:vAlign w:val="center"/>
            <w:hideMark/>
          </w:tcPr>
          <w:p w14:paraId="01206214"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Goodwill and trademarks</w:t>
            </w:r>
          </w:p>
        </w:tc>
        <w:tc>
          <w:tcPr>
            <w:tcW w:w="1508" w:type="dxa"/>
            <w:tcBorders>
              <w:top w:val="nil"/>
              <w:left w:val="nil"/>
              <w:bottom w:val="nil"/>
              <w:right w:val="nil"/>
            </w:tcBorders>
            <w:noWrap/>
            <w:vAlign w:val="center"/>
            <w:hideMark/>
          </w:tcPr>
          <w:p w14:paraId="525F5D00"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w:t>
            </w:r>
          </w:p>
        </w:tc>
        <w:tc>
          <w:tcPr>
            <w:tcW w:w="1508" w:type="dxa"/>
            <w:tcBorders>
              <w:top w:val="nil"/>
              <w:left w:val="nil"/>
              <w:bottom w:val="nil"/>
              <w:right w:val="nil"/>
            </w:tcBorders>
            <w:noWrap/>
            <w:vAlign w:val="center"/>
            <w:hideMark/>
          </w:tcPr>
          <w:p w14:paraId="2F7FAAA2"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w:t>
            </w:r>
          </w:p>
        </w:tc>
        <w:tc>
          <w:tcPr>
            <w:tcW w:w="1534" w:type="dxa"/>
            <w:tcBorders>
              <w:top w:val="nil"/>
              <w:left w:val="nil"/>
              <w:bottom w:val="nil"/>
              <w:right w:val="nil"/>
            </w:tcBorders>
            <w:noWrap/>
            <w:vAlign w:val="center"/>
            <w:hideMark/>
          </w:tcPr>
          <w:p w14:paraId="4FC1E1CA"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5,000,000,000</w:t>
            </w:r>
          </w:p>
        </w:tc>
      </w:tr>
      <w:tr w:rsidR="00790463" w14:paraId="0AEDF9AE" w14:textId="77777777" w:rsidTr="00790463">
        <w:trPr>
          <w:trHeight w:val="202"/>
          <w:jc w:val="center"/>
        </w:trPr>
        <w:tc>
          <w:tcPr>
            <w:tcW w:w="4810" w:type="dxa"/>
            <w:tcBorders>
              <w:top w:val="nil"/>
              <w:left w:val="nil"/>
              <w:bottom w:val="nil"/>
              <w:right w:val="nil"/>
            </w:tcBorders>
            <w:noWrap/>
            <w:vAlign w:val="center"/>
            <w:hideMark/>
          </w:tcPr>
          <w:p w14:paraId="052E402A"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Loans to related parties—Net of current portion</w:t>
            </w:r>
          </w:p>
        </w:tc>
        <w:tc>
          <w:tcPr>
            <w:tcW w:w="1508" w:type="dxa"/>
            <w:tcBorders>
              <w:top w:val="nil"/>
              <w:left w:val="nil"/>
              <w:bottom w:val="nil"/>
              <w:right w:val="nil"/>
            </w:tcBorders>
            <w:noWrap/>
            <w:vAlign w:val="center"/>
            <w:hideMark/>
          </w:tcPr>
          <w:p w14:paraId="5A602E9F"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23,666,667</w:t>
            </w:r>
          </w:p>
        </w:tc>
        <w:tc>
          <w:tcPr>
            <w:tcW w:w="1508" w:type="dxa"/>
            <w:tcBorders>
              <w:top w:val="nil"/>
              <w:left w:val="nil"/>
              <w:bottom w:val="nil"/>
              <w:right w:val="nil"/>
            </w:tcBorders>
            <w:noWrap/>
            <w:vAlign w:val="center"/>
            <w:hideMark/>
          </w:tcPr>
          <w:p w14:paraId="36E97FC6"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8,333,333</w:t>
            </w:r>
          </w:p>
        </w:tc>
        <w:tc>
          <w:tcPr>
            <w:tcW w:w="1534" w:type="dxa"/>
            <w:tcBorders>
              <w:top w:val="nil"/>
              <w:left w:val="nil"/>
              <w:bottom w:val="nil"/>
              <w:right w:val="nil"/>
            </w:tcBorders>
            <w:noWrap/>
            <w:vAlign w:val="center"/>
            <w:hideMark/>
          </w:tcPr>
          <w:p w14:paraId="36D7ABFE"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w:t>
            </w:r>
          </w:p>
        </w:tc>
      </w:tr>
      <w:tr w:rsidR="00790463" w14:paraId="16D7DA21" w14:textId="77777777" w:rsidTr="00790463">
        <w:trPr>
          <w:trHeight w:val="202"/>
          <w:jc w:val="center"/>
        </w:trPr>
        <w:tc>
          <w:tcPr>
            <w:tcW w:w="4810" w:type="dxa"/>
            <w:tcBorders>
              <w:top w:val="nil"/>
              <w:left w:val="nil"/>
              <w:bottom w:val="nil"/>
              <w:right w:val="nil"/>
            </w:tcBorders>
            <w:noWrap/>
            <w:vAlign w:val="center"/>
            <w:hideMark/>
          </w:tcPr>
          <w:p w14:paraId="669049D9"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Deferred input value-added tax</w:t>
            </w:r>
          </w:p>
        </w:tc>
        <w:tc>
          <w:tcPr>
            <w:tcW w:w="1508" w:type="dxa"/>
            <w:tcBorders>
              <w:top w:val="nil"/>
              <w:left w:val="nil"/>
              <w:bottom w:val="nil"/>
              <w:right w:val="nil"/>
            </w:tcBorders>
            <w:noWrap/>
            <w:vAlign w:val="center"/>
            <w:hideMark/>
          </w:tcPr>
          <w:p w14:paraId="486DE82B"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26,033,050</w:t>
            </w:r>
          </w:p>
        </w:tc>
        <w:tc>
          <w:tcPr>
            <w:tcW w:w="1508" w:type="dxa"/>
            <w:tcBorders>
              <w:top w:val="nil"/>
              <w:left w:val="nil"/>
              <w:bottom w:val="nil"/>
              <w:right w:val="nil"/>
            </w:tcBorders>
            <w:noWrap/>
            <w:vAlign w:val="center"/>
            <w:hideMark/>
          </w:tcPr>
          <w:p w14:paraId="3B708766"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32,175,398</w:t>
            </w:r>
          </w:p>
        </w:tc>
        <w:tc>
          <w:tcPr>
            <w:tcW w:w="1534" w:type="dxa"/>
            <w:tcBorders>
              <w:top w:val="nil"/>
              <w:left w:val="nil"/>
              <w:bottom w:val="nil"/>
              <w:right w:val="nil"/>
            </w:tcBorders>
            <w:noWrap/>
            <w:vAlign w:val="center"/>
            <w:hideMark/>
          </w:tcPr>
          <w:p w14:paraId="67071C5C"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32,218,220</w:t>
            </w:r>
          </w:p>
        </w:tc>
      </w:tr>
      <w:tr w:rsidR="00790463" w14:paraId="405ECEB6" w14:textId="77777777" w:rsidTr="00790463">
        <w:trPr>
          <w:trHeight w:val="202"/>
          <w:jc w:val="center"/>
        </w:trPr>
        <w:tc>
          <w:tcPr>
            <w:tcW w:w="4810" w:type="dxa"/>
            <w:tcBorders>
              <w:top w:val="nil"/>
              <w:left w:val="nil"/>
              <w:bottom w:val="nil"/>
              <w:right w:val="nil"/>
            </w:tcBorders>
            <w:noWrap/>
            <w:vAlign w:val="center"/>
            <w:hideMark/>
          </w:tcPr>
          <w:p w14:paraId="71D7DC42"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Deferred tax assets—Net</w:t>
            </w:r>
          </w:p>
        </w:tc>
        <w:tc>
          <w:tcPr>
            <w:tcW w:w="1508" w:type="dxa"/>
            <w:tcBorders>
              <w:top w:val="nil"/>
              <w:left w:val="nil"/>
              <w:bottom w:val="nil"/>
              <w:right w:val="nil"/>
            </w:tcBorders>
            <w:noWrap/>
            <w:vAlign w:val="center"/>
            <w:hideMark/>
          </w:tcPr>
          <w:p w14:paraId="0129B9A1"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26,519,078</w:t>
            </w:r>
          </w:p>
        </w:tc>
        <w:tc>
          <w:tcPr>
            <w:tcW w:w="1508" w:type="dxa"/>
            <w:tcBorders>
              <w:top w:val="nil"/>
              <w:left w:val="nil"/>
              <w:bottom w:val="nil"/>
              <w:right w:val="nil"/>
            </w:tcBorders>
            <w:noWrap/>
            <w:vAlign w:val="center"/>
            <w:hideMark/>
          </w:tcPr>
          <w:p w14:paraId="38C30D76"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33,629,789</w:t>
            </w:r>
          </w:p>
        </w:tc>
        <w:tc>
          <w:tcPr>
            <w:tcW w:w="1534" w:type="dxa"/>
            <w:tcBorders>
              <w:top w:val="nil"/>
              <w:left w:val="nil"/>
              <w:bottom w:val="nil"/>
              <w:right w:val="nil"/>
            </w:tcBorders>
            <w:noWrap/>
            <w:vAlign w:val="center"/>
            <w:hideMark/>
          </w:tcPr>
          <w:p w14:paraId="2DE835A5"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38,105,914</w:t>
            </w:r>
          </w:p>
        </w:tc>
      </w:tr>
      <w:tr w:rsidR="00790463" w14:paraId="18FEA6BE" w14:textId="77777777" w:rsidTr="00790463">
        <w:trPr>
          <w:trHeight w:val="202"/>
          <w:jc w:val="center"/>
        </w:trPr>
        <w:tc>
          <w:tcPr>
            <w:tcW w:w="4810" w:type="dxa"/>
            <w:tcBorders>
              <w:top w:val="nil"/>
              <w:left w:val="nil"/>
              <w:bottom w:val="nil"/>
              <w:right w:val="nil"/>
            </w:tcBorders>
            <w:noWrap/>
            <w:vAlign w:val="center"/>
            <w:hideMark/>
          </w:tcPr>
          <w:p w14:paraId="102CF8CF"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Rental and other non-current assets</w:t>
            </w:r>
          </w:p>
        </w:tc>
        <w:tc>
          <w:tcPr>
            <w:tcW w:w="1508" w:type="dxa"/>
            <w:tcBorders>
              <w:top w:val="nil"/>
              <w:left w:val="nil"/>
              <w:bottom w:val="nil"/>
              <w:right w:val="nil"/>
            </w:tcBorders>
            <w:noWrap/>
            <w:vAlign w:val="center"/>
            <w:hideMark/>
          </w:tcPr>
          <w:p w14:paraId="2851C4C3"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75,014,993</w:t>
            </w:r>
          </w:p>
        </w:tc>
        <w:tc>
          <w:tcPr>
            <w:tcW w:w="1508" w:type="dxa"/>
            <w:tcBorders>
              <w:top w:val="nil"/>
              <w:left w:val="nil"/>
              <w:bottom w:val="nil"/>
              <w:right w:val="nil"/>
            </w:tcBorders>
            <w:noWrap/>
            <w:vAlign w:val="center"/>
            <w:hideMark/>
          </w:tcPr>
          <w:p w14:paraId="63F64315"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89,514,430</w:t>
            </w:r>
          </w:p>
        </w:tc>
        <w:tc>
          <w:tcPr>
            <w:tcW w:w="1534" w:type="dxa"/>
            <w:tcBorders>
              <w:top w:val="nil"/>
              <w:left w:val="nil"/>
              <w:bottom w:val="nil"/>
              <w:right w:val="nil"/>
            </w:tcBorders>
            <w:noWrap/>
            <w:vAlign w:val="center"/>
            <w:hideMark/>
          </w:tcPr>
          <w:p w14:paraId="79785916"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101,428,801</w:t>
            </w:r>
          </w:p>
        </w:tc>
      </w:tr>
      <w:tr w:rsidR="00790463" w14:paraId="35A416BE" w14:textId="77777777" w:rsidTr="00790463">
        <w:trPr>
          <w:trHeight w:val="202"/>
          <w:jc w:val="center"/>
        </w:trPr>
        <w:tc>
          <w:tcPr>
            <w:tcW w:w="4810" w:type="dxa"/>
            <w:tcBorders>
              <w:top w:val="nil"/>
              <w:left w:val="nil"/>
              <w:bottom w:val="nil"/>
              <w:right w:val="nil"/>
            </w:tcBorders>
            <w:noWrap/>
            <w:vAlign w:val="center"/>
            <w:hideMark/>
          </w:tcPr>
          <w:p w14:paraId="7C4F8356" w14:textId="77777777" w:rsidR="00790463" w:rsidRDefault="00790463">
            <w:pPr>
              <w:rPr>
                <w:rFonts w:ascii="Arial" w:hAnsi="Arial" w:cs="Arial"/>
                <w:b/>
                <w:bCs/>
                <w:color w:val="000000" w:themeColor="text1"/>
                <w:sz w:val="18"/>
                <w:szCs w:val="18"/>
              </w:rPr>
            </w:pPr>
            <w:r>
              <w:rPr>
                <w:rFonts w:ascii="Arial" w:hAnsi="Arial" w:cs="Arial"/>
                <w:b/>
                <w:bCs/>
                <w:color w:val="000000" w:themeColor="text1"/>
                <w:sz w:val="18"/>
                <w:szCs w:val="18"/>
              </w:rPr>
              <w:t>Total Non-current Assets</w:t>
            </w:r>
          </w:p>
        </w:tc>
        <w:tc>
          <w:tcPr>
            <w:tcW w:w="1508" w:type="dxa"/>
            <w:tcBorders>
              <w:top w:val="nil"/>
              <w:left w:val="nil"/>
              <w:bottom w:val="nil"/>
              <w:right w:val="nil"/>
            </w:tcBorders>
            <w:noWrap/>
            <w:vAlign w:val="center"/>
            <w:hideMark/>
          </w:tcPr>
          <w:p w14:paraId="116E82EA"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1,278,916,837</w:t>
            </w:r>
          </w:p>
        </w:tc>
        <w:tc>
          <w:tcPr>
            <w:tcW w:w="1508" w:type="dxa"/>
            <w:tcBorders>
              <w:top w:val="nil"/>
              <w:left w:val="nil"/>
              <w:bottom w:val="nil"/>
              <w:right w:val="nil"/>
            </w:tcBorders>
            <w:noWrap/>
            <w:vAlign w:val="center"/>
            <w:hideMark/>
          </w:tcPr>
          <w:p w14:paraId="57A10A79"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1,423,331,621</w:t>
            </w:r>
          </w:p>
        </w:tc>
        <w:tc>
          <w:tcPr>
            <w:tcW w:w="1534" w:type="dxa"/>
            <w:tcBorders>
              <w:top w:val="nil"/>
              <w:left w:val="nil"/>
              <w:bottom w:val="nil"/>
              <w:right w:val="nil"/>
            </w:tcBorders>
            <w:noWrap/>
            <w:vAlign w:val="center"/>
            <w:hideMark/>
          </w:tcPr>
          <w:p w14:paraId="581B9807"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5,870,040,717</w:t>
            </w:r>
          </w:p>
        </w:tc>
      </w:tr>
      <w:tr w:rsidR="00790463" w14:paraId="2ABFCF51" w14:textId="77777777" w:rsidTr="00790463">
        <w:trPr>
          <w:trHeight w:val="202"/>
          <w:jc w:val="center"/>
        </w:trPr>
        <w:tc>
          <w:tcPr>
            <w:tcW w:w="4810" w:type="dxa"/>
            <w:tcBorders>
              <w:top w:val="nil"/>
              <w:left w:val="nil"/>
              <w:bottom w:val="double" w:sz="4" w:space="0" w:color="auto"/>
              <w:right w:val="nil"/>
            </w:tcBorders>
            <w:noWrap/>
            <w:vAlign w:val="center"/>
            <w:hideMark/>
          </w:tcPr>
          <w:p w14:paraId="73093476" w14:textId="77777777" w:rsidR="00790463" w:rsidRDefault="00790463">
            <w:pPr>
              <w:rPr>
                <w:rFonts w:ascii="Arial" w:hAnsi="Arial" w:cs="Arial"/>
                <w:b/>
                <w:bCs/>
                <w:color w:val="000000" w:themeColor="text1"/>
                <w:sz w:val="18"/>
                <w:szCs w:val="18"/>
              </w:rPr>
            </w:pPr>
            <w:r>
              <w:rPr>
                <w:rFonts w:ascii="Arial" w:hAnsi="Arial" w:cs="Arial"/>
                <w:b/>
                <w:bCs/>
                <w:color w:val="000000" w:themeColor="text1"/>
                <w:sz w:val="18"/>
                <w:szCs w:val="18"/>
              </w:rPr>
              <w:t>TOTAL ASSETS</w:t>
            </w:r>
          </w:p>
        </w:tc>
        <w:tc>
          <w:tcPr>
            <w:tcW w:w="1508" w:type="dxa"/>
            <w:tcBorders>
              <w:top w:val="nil"/>
              <w:left w:val="nil"/>
              <w:bottom w:val="double" w:sz="4" w:space="0" w:color="auto"/>
              <w:right w:val="nil"/>
            </w:tcBorders>
            <w:noWrap/>
            <w:vAlign w:val="center"/>
            <w:hideMark/>
          </w:tcPr>
          <w:p w14:paraId="432E90F9"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2,422,671,204</w:t>
            </w:r>
          </w:p>
        </w:tc>
        <w:tc>
          <w:tcPr>
            <w:tcW w:w="1508" w:type="dxa"/>
            <w:tcBorders>
              <w:top w:val="nil"/>
              <w:left w:val="nil"/>
              <w:bottom w:val="double" w:sz="4" w:space="0" w:color="auto"/>
              <w:right w:val="nil"/>
            </w:tcBorders>
            <w:noWrap/>
            <w:vAlign w:val="center"/>
            <w:hideMark/>
          </w:tcPr>
          <w:p w14:paraId="6C7C6EE8"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2,664,250,779</w:t>
            </w:r>
          </w:p>
        </w:tc>
        <w:tc>
          <w:tcPr>
            <w:tcW w:w="1534" w:type="dxa"/>
            <w:tcBorders>
              <w:top w:val="nil"/>
              <w:left w:val="nil"/>
              <w:bottom w:val="double" w:sz="4" w:space="0" w:color="auto"/>
              <w:right w:val="nil"/>
            </w:tcBorders>
            <w:noWrap/>
            <w:vAlign w:val="center"/>
            <w:hideMark/>
          </w:tcPr>
          <w:p w14:paraId="7CB79AEF"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8,421,409,863</w:t>
            </w:r>
          </w:p>
        </w:tc>
      </w:tr>
      <w:tr w:rsidR="00790463" w14:paraId="02025A84" w14:textId="77777777" w:rsidTr="00790463">
        <w:trPr>
          <w:trHeight w:val="202"/>
          <w:jc w:val="center"/>
        </w:trPr>
        <w:tc>
          <w:tcPr>
            <w:tcW w:w="4810" w:type="dxa"/>
            <w:tcBorders>
              <w:top w:val="nil"/>
              <w:left w:val="nil"/>
              <w:bottom w:val="nil"/>
              <w:right w:val="nil"/>
            </w:tcBorders>
            <w:noWrap/>
            <w:vAlign w:val="center"/>
            <w:hideMark/>
          </w:tcPr>
          <w:p w14:paraId="1B812015" w14:textId="77777777" w:rsidR="00790463" w:rsidRDefault="00790463">
            <w:pPr>
              <w:rPr>
                <w:rFonts w:ascii="Arial" w:hAnsi="Arial" w:cs="Arial"/>
                <w:b/>
                <w:bCs/>
                <w:color w:val="000000" w:themeColor="text1"/>
                <w:sz w:val="18"/>
                <w:szCs w:val="18"/>
              </w:rPr>
            </w:pPr>
            <w:r>
              <w:rPr>
                <w:rFonts w:ascii="Arial" w:hAnsi="Arial" w:cs="Arial"/>
                <w:b/>
                <w:bCs/>
                <w:color w:val="000000" w:themeColor="text1"/>
                <w:sz w:val="18"/>
                <w:szCs w:val="18"/>
              </w:rPr>
              <w:t>LIABILITIES AND EQUITY</w:t>
            </w:r>
          </w:p>
        </w:tc>
        <w:tc>
          <w:tcPr>
            <w:tcW w:w="1508" w:type="dxa"/>
            <w:tcBorders>
              <w:top w:val="nil"/>
              <w:left w:val="nil"/>
              <w:bottom w:val="nil"/>
              <w:right w:val="nil"/>
            </w:tcBorders>
            <w:noWrap/>
            <w:vAlign w:val="center"/>
            <w:hideMark/>
          </w:tcPr>
          <w:p w14:paraId="43B88E4F" w14:textId="77777777" w:rsidR="00790463" w:rsidRDefault="00790463">
            <w:pPr>
              <w:rPr>
                <w:rFonts w:ascii="Arial" w:hAnsi="Arial" w:cs="Arial"/>
                <w:b/>
                <w:bCs/>
                <w:color w:val="000000" w:themeColor="text1"/>
                <w:sz w:val="18"/>
                <w:szCs w:val="18"/>
              </w:rPr>
            </w:pPr>
          </w:p>
        </w:tc>
        <w:tc>
          <w:tcPr>
            <w:tcW w:w="1508" w:type="dxa"/>
            <w:tcBorders>
              <w:top w:val="nil"/>
              <w:left w:val="nil"/>
              <w:bottom w:val="nil"/>
              <w:right w:val="nil"/>
            </w:tcBorders>
            <w:noWrap/>
            <w:vAlign w:val="center"/>
            <w:hideMark/>
          </w:tcPr>
          <w:p w14:paraId="1A384DE2" w14:textId="77777777" w:rsidR="00790463" w:rsidRDefault="00790463">
            <w:pPr>
              <w:rPr>
                <w:rFonts w:asciiTheme="minorHAnsi" w:eastAsiaTheme="minorHAnsi" w:hAnsiTheme="minorHAnsi" w:cstheme="minorBidi"/>
                <w:lang w:val="en-CA" w:eastAsia="en-CA"/>
              </w:rPr>
            </w:pPr>
          </w:p>
        </w:tc>
        <w:tc>
          <w:tcPr>
            <w:tcW w:w="1534" w:type="dxa"/>
            <w:tcBorders>
              <w:top w:val="nil"/>
              <w:left w:val="nil"/>
              <w:bottom w:val="nil"/>
              <w:right w:val="nil"/>
            </w:tcBorders>
            <w:noWrap/>
            <w:vAlign w:val="center"/>
            <w:hideMark/>
          </w:tcPr>
          <w:p w14:paraId="7D10A121" w14:textId="77777777" w:rsidR="00790463" w:rsidRDefault="00790463">
            <w:pPr>
              <w:rPr>
                <w:rFonts w:asciiTheme="minorHAnsi" w:eastAsiaTheme="minorHAnsi" w:hAnsiTheme="minorHAnsi" w:cstheme="minorBidi"/>
                <w:lang w:val="en-CA" w:eastAsia="en-CA"/>
              </w:rPr>
            </w:pPr>
          </w:p>
        </w:tc>
      </w:tr>
      <w:tr w:rsidR="00790463" w14:paraId="3E6492FE" w14:textId="77777777" w:rsidTr="00790463">
        <w:trPr>
          <w:trHeight w:val="202"/>
          <w:jc w:val="center"/>
        </w:trPr>
        <w:tc>
          <w:tcPr>
            <w:tcW w:w="4810" w:type="dxa"/>
            <w:tcBorders>
              <w:top w:val="nil"/>
              <w:left w:val="nil"/>
              <w:bottom w:val="nil"/>
              <w:right w:val="nil"/>
            </w:tcBorders>
            <w:noWrap/>
            <w:vAlign w:val="center"/>
            <w:hideMark/>
          </w:tcPr>
          <w:p w14:paraId="2F57203E" w14:textId="77777777" w:rsidR="00790463" w:rsidRDefault="00790463">
            <w:pPr>
              <w:rPr>
                <w:rFonts w:ascii="Arial" w:hAnsi="Arial" w:cs="Arial"/>
                <w:b/>
                <w:bCs/>
                <w:color w:val="000000" w:themeColor="text1"/>
                <w:sz w:val="18"/>
                <w:szCs w:val="18"/>
                <w:lang w:val="en-GB"/>
              </w:rPr>
            </w:pPr>
            <w:r>
              <w:rPr>
                <w:rFonts w:ascii="Arial" w:hAnsi="Arial" w:cs="Arial"/>
                <w:b/>
                <w:bCs/>
                <w:color w:val="000000" w:themeColor="text1"/>
                <w:sz w:val="18"/>
                <w:szCs w:val="18"/>
              </w:rPr>
              <w:t>Current Liabilities</w:t>
            </w:r>
          </w:p>
        </w:tc>
        <w:tc>
          <w:tcPr>
            <w:tcW w:w="1508" w:type="dxa"/>
            <w:tcBorders>
              <w:top w:val="nil"/>
              <w:left w:val="nil"/>
              <w:bottom w:val="nil"/>
              <w:right w:val="nil"/>
            </w:tcBorders>
            <w:noWrap/>
            <w:vAlign w:val="center"/>
            <w:hideMark/>
          </w:tcPr>
          <w:p w14:paraId="3C7CBD66" w14:textId="77777777" w:rsidR="00790463" w:rsidRDefault="00790463">
            <w:pPr>
              <w:rPr>
                <w:rFonts w:ascii="Arial" w:hAnsi="Arial" w:cs="Arial"/>
                <w:b/>
                <w:bCs/>
                <w:color w:val="000000" w:themeColor="text1"/>
                <w:sz w:val="18"/>
                <w:szCs w:val="18"/>
              </w:rPr>
            </w:pPr>
          </w:p>
        </w:tc>
        <w:tc>
          <w:tcPr>
            <w:tcW w:w="1508" w:type="dxa"/>
            <w:tcBorders>
              <w:top w:val="nil"/>
              <w:left w:val="nil"/>
              <w:bottom w:val="nil"/>
              <w:right w:val="nil"/>
            </w:tcBorders>
            <w:noWrap/>
            <w:vAlign w:val="center"/>
            <w:hideMark/>
          </w:tcPr>
          <w:p w14:paraId="187AB87D" w14:textId="77777777" w:rsidR="00790463" w:rsidRDefault="00790463">
            <w:pPr>
              <w:rPr>
                <w:rFonts w:asciiTheme="minorHAnsi" w:eastAsiaTheme="minorHAnsi" w:hAnsiTheme="minorHAnsi" w:cstheme="minorBidi"/>
                <w:lang w:val="en-CA" w:eastAsia="en-CA"/>
              </w:rPr>
            </w:pPr>
          </w:p>
        </w:tc>
        <w:tc>
          <w:tcPr>
            <w:tcW w:w="1534" w:type="dxa"/>
            <w:tcBorders>
              <w:top w:val="nil"/>
              <w:left w:val="nil"/>
              <w:bottom w:val="nil"/>
              <w:right w:val="nil"/>
            </w:tcBorders>
            <w:noWrap/>
            <w:vAlign w:val="center"/>
            <w:hideMark/>
          </w:tcPr>
          <w:p w14:paraId="3704635C" w14:textId="77777777" w:rsidR="00790463" w:rsidRDefault="00790463">
            <w:pPr>
              <w:rPr>
                <w:rFonts w:asciiTheme="minorHAnsi" w:eastAsiaTheme="minorHAnsi" w:hAnsiTheme="minorHAnsi" w:cstheme="minorBidi"/>
                <w:lang w:val="en-CA" w:eastAsia="en-CA"/>
              </w:rPr>
            </w:pPr>
          </w:p>
        </w:tc>
      </w:tr>
      <w:tr w:rsidR="00790463" w14:paraId="6F929F1B" w14:textId="77777777" w:rsidTr="00790463">
        <w:trPr>
          <w:trHeight w:val="202"/>
          <w:jc w:val="center"/>
        </w:trPr>
        <w:tc>
          <w:tcPr>
            <w:tcW w:w="4810" w:type="dxa"/>
            <w:tcBorders>
              <w:top w:val="nil"/>
              <w:left w:val="nil"/>
              <w:bottom w:val="nil"/>
              <w:right w:val="nil"/>
            </w:tcBorders>
            <w:noWrap/>
            <w:vAlign w:val="center"/>
            <w:hideMark/>
          </w:tcPr>
          <w:p w14:paraId="3367FA8F" w14:textId="77777777" w:rsidR="00790463" w:rsidRDefault="00790463">
            <w:pPr>
              <w:rPr>
                <w:rFonts w:ascii="Arial" w:hAnsi="Arial" w:cs="Arial"/>
                <w:color w:val="000000" w:themeColor="text1"/>
                <w:sz w:val="18"/>
                <w:szCs w:val="18"/>
                <w:lang w:val="en-GB"/>
              </w:rPr>
            </w:pPr>
            <w:r>
              <w:rPr>
                <w:rFonts w:ascii="Arial" w:hAnsi="Arial" w:cs="Arial"/>
                <w:color w:val="000000" w:themeColor="text1"/>
                <w:sz w:val="18"/>
                <w:szCs w:val="18"/>
              </w:rPr>
              <w:t>Accounts payable and other current liabilities</w:t>
            </w:r>
          </w:p>
        </w:tc>
        <w:tc>
          <w:tcPr>
            <w:tcW w:w="1508" w:type="dxa"/>
            <w:tcBorders>
              <w:top w:val="nil"/>
              <w:left w:val="nil"/>
              <w:bottom w:val="nil"/>
              <w:right w:val="nil"/>
            </w:tcBorders>
            <w:noWrap/>
            <w:vAlign w:val="center"/>
            <w:hideMark/>
          </w:tcPr>
          <w:p w14:paraId="37040316"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1,037,803,131</w:t>
            </w:r>
          </w:p>
        </w:tc>
        <w:tc>
          <w:tcPr>
            <w:tcW w:w="1508" w:type="dxa"/>
            <w:tcBorders>
              <w:top w:val="nil"/>
              <w:left w:val="nil"/>
              <w:bottom w:val="nil"/>
              <w:right w:val="nil"/>
            </w:tcBorders>
            <w:noWrap/>
            <w:vAlign w:val="center"/>
            <w:hideMark/>
          </w:tcPr>
          <w:p w14:paraId="2FF7333E"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907,709,548</w:t>
            </w:r>
          </w:p>
        </w:tc>
        <w:tc>
          <w:tcPr>
            <w:tcW w:w="1534" w:type="dxa"/>
            <w:tcBorders>
              <w:top w:val="nil"/>
              <w:left w:val="nil"/>
              <w:bottom w:val="nil"/>
              <w:right w:val="nil"/>
            </w:tcBorders>
            <w:noWrap/>
            <w:vAlign w:val="center"/>
            <w:hideMark/>
          </w:tcPr>
          <w:p w14:paraId="3975999B"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978,424,233</w:t>
            </w:r>
          </w:p>
        </w:tc>
      </w:tr>
      <w:tr w:rsidR="00790463" w14:paraId="14AD2F77" w14:textId="77777777" w:rsidTr="00790463">
        <w:trPr>
          <w:trHeight w:val="202"/>
          <w:jc w:val="center"/>
        </w:trPr>
        <w:tc>
          <w:tcPr>
            <w:tcW w:w="4810" w:type="dxa"/>
            <w:tcBorders>
              <w:top w:val="nil"/>
              <w:left w:val="nil"/>
              <w:bottom w:val="nil"/>
              <w:right w:val="nil"/>
            </w:tcBorders>
            <w:noWrap/>
            <w:vAlign w:val="center"/>
            <w:hideMark/>
          </w:tcPr>
          <w:p w14:paraId="66EEB9CE"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Current portion of loan payable</w:t>
            </w:r>
          </w:p>
        </w:tc>
        <w:tc>
          <w:tcPr>
            <w:tcW w:w="1508" w:type="dxa"/>
            <w:tcBorders>
              <w:top w:val="nil"/>
              <w:left w:val="nil"/>
              <w:bottom w:val="nil"/>
              <w:right w:val="nil"/>
            </w:tcBorders>
            <w:noWrap/>
            <w:vAlign w:val="center"/>
            <w:hideMark/>
          </w:tcPr>
          <w:p w14:paraId="6F5AFC5C"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w:t>
            </w:r>
          </w:p>
        </w:tc>
        <w:tc>
          <w:tcPr>
            <w:tcW w:w="1508" w:type="dxa"/>
            <w:tcBorders>
              <w:top w:val="nil"/>
              <w:left w:val="nil"/>
              <w:bottom w:val="nil"/>
              <w:right w:val="nil"/>
            </w:tcBorders>
            <w:noWrap/>
            <w:vAlign w:val="center"/>
            <w:hideMark/>
          </w:tcPr>
          <w:p w14:paraId="10903E2D"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w:t>
            </w:r>
          </w:p>
        </w:tc>
        <w:tc>
          <w:tcPr>
            <w:tcW w:w="1534" w:type="dxa"/>
            <w:tcBorders>
              <w:top w:val="nil"/>
              <w:left w:val="nil"/>
              <w:bottom w:val="nil"/>
              <w:right w:val="nil"/>
            </w:tcBorders>
            <w:noWrap/>
            <w:vAlign w:val="center"/>
            <w:hideMark/>
          </w:tcPr>
          <w:p w14:paraId="08ADF56E"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965,000,000</w:t>
            </w:r>
          </w:p>
        </w:tc>
      </w:tr>
      <w:tr w:rsidR="00790463" w14:paraId="6032A6E8" w14:textId="77777777" w:rsidTr="00790463">
        <w:trPr>
          <w:trHeight w:val="202"/>
          <w:jc w:val="center"/>
        </w:trPr>
        <w:tc>
          <w:tcPr>
            <w:tcW w:w="4810" w:type="dxa"/>
            <w:tcBorders>
              <w:top w:val="nil"/>
              <w:left w:val="nil"/>
              <w:bottom w:val="nil"/>
              <w:right w:val="nil"/>
            </w:tcBorders>
            <w:noWrap/>
            <w:vAlign w:val="center"/>
            <w:hideMark/>
          </w:tcPr>
          <w:p w14:paraId="5302AC0A"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Income tax payable</w:t>
            </w:r>
          </w:p>
        </w:tc>
        <w:tc>
          <w:tcPr>
            <w:tcW w:w="1508" w:type="dxa"/>
            <w:tcBorders>
              <w:top w:val="nil"/>
              <w:left w:val="nil"/>
              <w:bottom w:val="nil"/>
              <w:right w:val="nil"/>
            </w:tcBorders>
            <w:noWrap/>
            <w:vAlign w:val="center"/>
            <w:hideMark/>
          </w:tcPr>
          <w:p w14:paraId="288EE43C"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49,728,207</w:t>
            </w:r>
          </w:p>
        </w:tc>
        <w:tc>
          <w:tcPr>
            <w:tcW w:w="1508" w:type="dxa"/>
            <w:tcBorders>
              <w:top w:val="nil"/>
              <w:left w:val="nil"/>
              <w:bottom w:val="nil"/>
              <w:right w:val="nil"/>
            </w:tcBorders>
            <w:noWrap/>
            <w:vAlign w:val="center"/>
            <w:hideMark/>
          </w:tcPr>
          <w:p w14:paraId="0CD69B28"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57,997,039</w:t>
            </w:r>
          </w:p>
        </w:tc>
        <w:tc>
          <w:tcPr>
            <w:tcW w:w="1534" w:type="dxa"/>
            <w:tcBorders>
              <w:top w:val="nil"/>
              <w:left w:val="nil"/>
              <w:bottom w:val="nil"/>
              <w:right w:val="nil"/>
            </w:tcBorders>
            <w:noWrap/>
            <w:vAlign w:val="center"/>
            <w:hideMark/>
          </w:tcPr>
          <w:p w14:paraId="200AFA57"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65,716,445</w:t>
            </w:r>
          </w:p>
        </w:tc>
      </w:tr>
      <w:tr w:rsidR="00790463" w14:paraId="118AF3B3" w14:textId="77777777" w:rsidTr="00790463">
        <w:trPr>
          <w:trHeight w:val="202"/>
          <w:jc w:val="center"/>
        </w:trPr>
        <w:tc>
          <w:tcPr>
            <w:tcW w:w="4810" w:type="dxa"/>
            <w:tcBorders>
              <w:top w:val="nil"/>
              <w:left w:val="nil"/>
              <w:bottom w:val="single" w:sz="4" w:space="0" w:color="auto"/>
              <w:right w:val="nil"/>
            </w:tcBorders>
            <w:noWrap/>
            <w:vAlign w:val="center"/>
            <w:hideMark/>
          </w:tcPr>
          <w:p w14:paraId="123A012E" w14:textId="77777777" w:rsidR="00790463" w:rsidRDefault="00790463">
            <w:pPr>
              <w:rPr>
                <w:rFonts w:ascii="Arial" w:hAnsi="Arial" w:cs="Arial"/>
                <w:b/>
                <w:bCs/>
                <w:color w:val="000000" w:themeColor="text1"/>
                <w:sz w:val="18"/>
                <w:szCs w:val="18"/>
              </w:rPr>
            </w:pPr>
            <w:r>
              <w:rPr>
                <w:rFonts w:ascii="Arial" w:hAnsi="Arial" w:cs="Arial"/>
                <w:b/>
                <w:bCs/>
                <w:color w:val="000000" w:themeColor="text1"/>
                <w:sz w:val="18"/>
                <w:szCs w:val="18"/>
              </w:rPr>
              <w:t>Total Current Liabilities</w:t>
            </w:r>
          </w:p>
        </w:tc>
        <w:tc>
          <w:tcPr>
            <w:tcW w:w="1508" w:type="dxa"/>
            <w:tcBorders>
              <w:top w:val="nil"/>
              <w:left w:val="nil"/>
              <w:bottom w:val="single" w:sz="4" w:space="0" w:color="auto"/>
              <w:right w:val="nil"/>
            </w:tcBorders>
            <w:noWrap/>
            <w:vAlign w:val="center"/>
            <w:hideMark/>
          </w:tcPr>
          <w:p w14:paraId="564BEE98"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1,087,531,338</w:t>
            </w:r>
          </w:p>
        </w:tc>
        <w:tc>
          <w:tcPr>
            <w:tcW w:w="1508" w:type="dxa"/>
            <w:tcBorders>
              <w:top w:val="nil"/>
              <w:left w:val="nil"/>
              <w:bottom w:val="single" w:sz="4" w:space="0" w:color="auto"/>
              <w:right w:val="nil"/>
            </w:tcBorders>
            <w:noWrap/>
            <w:vAlign w:val="center"/>
            <w:hideMark/>
          </w:tcPr>
          <w:p w14:paraId="3A0D0F7E"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965,706,587</w:t>
            </w:r>
          </w:p>
        </w:tc>
        <w:tc>
          <w:tcPr>
            <w:tcW w:w="1534" w:type="dxa"/>
            <w:tcBorders>
              <w:top w:val="nil"/>
              <w:left w:val="nil"/>
              <w:bottom w:val="single" w:sz="4" w:space="0" w:color="auto"/>
              <w:right w:val="nil"/>
            </w:tcBorders>
            <w:noWrap/>
            <w:vAlign w:val="center"/>
            <w:hideMark/>
          </w:tcPr>
          <w:p w14:paraId="2218192F"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2,009,140,678</w:t>
            </w:r>
          </w:p>
        </w:tc>
      </w:tr>
      <w:tr w:rsidR="00790463" w14:paraId="78745945" w14:textId="77777777" w:rsidTr="00790463">
        <w:trPr>
          <w:trHeight w:val="202"/>
          <w:jc w:val="center"/>
        </w:trPr>
        <w:tc>
          <w:tcPr>
            <w:tcW w:w="4810" w:type="dxa"/>
            <w:tcBorders>
              <w:top w:val="nil"/>
              <w:left w:val="nil"/>
              <w:bottom w:val="nil"/>
              <w:right w:val="nil"/>
            </w:tcBorders>
            <w:noWrap/>
            <w:vAlign w:val="center"/>
            <w:hideMark/>
          </w:tcPr>
          <w:p w14:paraId="1AB3C26B" w14:textId="77777777" w:rsidR="00790463" w:rsidRDefault="00790463">
            <w:pPr>
              <w:rPr>
                <w:rFonts w:ascii="Arial" w:hAnsi="Arial" w:cs="Arial"/>
                <w:b/>
                <w:bCs/>
                <w:color w:val="000000" w:themeColor="text1"/>
                <w:sz w:val="18"/>
                <w:szCs w:val="18"/>
              </w:rPr>
            </w:pPr>
            <w:r>
              <w:rPr>
                <w:rFonts w:ascii="Arial" w:hAnsi="Arial" w:cs="Arial"/>
                <w:b/>
                <w:bCs/>
                <w:color w:val="000000" w:themeColor="text1"/>
                <w:sz w:val="18"/>
                <w:szCs w:val="18"/>
              </w:rPr>
              <w:t>Non-current Liabilities</w:t>
            </w:r>
          </w:p>
        </w:tc>
        <w:tc>
          <w:tcPr>
            <w:tcW w:w="1508" w:type="dxa"/>
            <w:tcBorders>
              <w:top w:val="nil"/>
              <w:left w:val="nil"/>
              <w:bottom w:val="nil"/>
              <w:right w:val="nil"/>
            </w:tcBorders>
            <w:noWrap/>
            <w:vAlign w:val="center"/>
            <w:hideMark/>
          </w:tcPr>
          <w:p w14:paraId="7D3632AC" w14:textId="77777777" w:rsidR="00790463" w:rsidRDefault="00790463">
            <w:pPr>
              <w:rPr>
                <w:rFonts w:ascii="Arial" w:hAnsi="Arial" w:cs="Arial"/>
                <w:b/>
                <w:bCs/>
                <w:color w:val="000000" w:themeColor="text1"/>
                <w:sz w:val="18"/>
                <w:szCs w:val="18"/>
              </w:rPr>
            </w:pPr>
          </w:p>
        </w:tc>
        <w:tc>
          <w:tcPr>
            <w:tcW w:w="1508" w:type="dxa"/>
            <w:tcBorders>
              <w:top w:val="nil"/>
              <w:left w:val="nil"/>
              <w:bottom w:val="nil"/>
              <w:right w:val="nil"/>
            </w:tcBorders>
            <w:noWrap/>
            <w:vAlign w:val="center"/>
            <w:hideMark/>
          </w:tcPr>
          <w:p w14:paraId="2342EC58" w14:textId="77777777" w:rsidR="00790463" w:rsidRDefault="00790463">
            <w:pPr>
              <w:rPr>
                <w:rFonts w:asciiTheme="minorHAnsi" w:eastAsiaTheme="minorHAnsi" w:hAnsiTheme="minorHAnsi" w:cstheme="minorBidi"/>
                <w:lang w:val="en-CA" w:eastAsia="en-CA"/>
              </w:rPr>
            </w:pPr>
          </w:p>
        </w:tc>
        <w:tc>
          <w:tcPr>
            <w:tcW w:w="1534" w:type="dxa"/>
            <w:tcBorders>
              <w:top w:val="nil"/>
              <w:left w:val="nil"/>
              <w:bottom w:val="nil"/>
              <w:right w:val="nil"/>
            </w:tcBorders>
            <w:noWrap/>
            <w:vAlign w:val="center"/>
            <w:hideMark/>
          </w:tcPr>
          <w:p w14:paraId="5971A92F" w14:textId="77777777" w:rsidR="00790463" w:rsidRDefault="00790463">
            <w:pPr>
              <w:rPr>
                <w:rFonts w:asciiTheme="minorHAnsi" w:eastAsiaTheme="minorHAnsi" w:hAnsiTheme="minorHAnsi" w:cstheme="minorBidi"/>
                <w:lang w:val="en-CA" w:eastAsia="en-CA"/>
              </w:rPr>
            </w:pPr>
          </w:p>
        </w:tc>
      </w:tr>
      <w:tr w:rsidR="00790463" w14:paraId="6B881EA9" w14:textId="77777777" w:rsidTr="00790463">
        <w:trPr>
          <w:trHeight w:val="202"/>
          <w:jc w:val="center"/>
        </w:trPr>
        <w:tc>
          <w:tcPr>
            <w:tcW w:w="4810" w:type="dxa"/>
            <w:tcBorders>
              <w:top w:val="nil"/>
              <w:left w:val="nil"/>
              <w:bottom w:val="nil"/>
              <w:right w:val="nil"/>
            </w:tcBorders>
            <w:noWrap/>
            <w:vAlign w:val="center"/>
            <w:hideMark/>
          </w:tcPr>
          <w:p w14:paraId="2291AD2C" w14:textId="77777777" w:rsidR="00790463" w:rsidRDefault="00790463">
            <w:pPr>
              <w:rPr>
                <w:rFonts w:ascii="Arial" w:hAnsi="Arial" w:cs="Arial"/>
                <w:color w:val="000000" w:themeColor="text1"/>
                <w:sz w:val="18"/>
                <w:szCs w:val="18"/>
                <w:lang w:val="en-GB"/>
              </w:rPr>
            </w:pPr>
            <w:r>
              <w:rPr>
                <w:rFonts w:ascii="Arial" w:hAnsi="Arial" w:cs="Arial"/>
                <w:color w:val="000000" w:themeColor="text1"/>
                <w:sz w:val="18"/>
                <w:szCs w:val="18"/>
              </w:rPr>
              <w:t>Loan payable—Net of current portion</w:t>
            </w:r>
          </w:p>
        </w:tc>
        <w:tc>
          <w:tcPr>
            <w:tcW w:w="1508" w:type="dxa"/>
            <w:tcBorders>
              <w:top w:val="nil"/>
              <w:left w:val="nil"/>
              <w:bottom w:val="nil"/>
              <w:right w:val="nil"/>
            </w:tcBorders>
            <w:noWrap/>
            <w:vAlign w:val="center"/>
            <w:hideMark/>
          </w:tcPr>
          <w:p w14:paraId="49AD2343"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w:t>
            </w:r>
          </w:p>
        </w:tc>
        <w:tc>
          <w:tcPr>
            <w:tcW w:w="1508" w:type="dxa"/>
            <w:tcBorders>
              <w:top w:val="nil"/>
              <w:left w:val="nil"/>
              <w:bottom w:val="nil"/>
              <w:right w:val="nil"/>
            </w:tcBorders>
            <w:noWrap/>
            <w:vAlign w:val="center"/>
            <w:hideMark/>
          </w:tcPr>
          <w:p w14:paraId="122E969D"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w:t>
            </w:r>
          </w:p>
        </w:tc>
        <w:tc>
          <w:tcPr>
            <w:tcW w:w="1534" w:type="dxa"/>
            <w:tcBorders>
              <w:top w:val="nil"/>
              <w:left w:val="nil"/>
              <w:bottom w:val="nil"/>
              <w:right w:val="nil"/>
            </w:tcBorders>
            <w:noWrap/>
            <w:vAlign w:val="center"/>
            <w:hideMark/>
          </w:tcPr>
          <w:p w14:paraId="2054AD46"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4,035,000,000</w:t>
            </w:r>
          </w:p>
        </w:tc>
      </w:tr>
      <w:tr w:rsidR="00790463" w14:paraId="4F3BF5D0" w14:textId="77777777" w:rsidTr="00790463">
        <w:trPr>
          <w:trHeight w:val="202"/>
          <w:jc w:val="center"/>
        </w:trPr>
        <w:tc>
          <w:tcPr>
            <w:tcW w:w="4810" w:type="dxa"/>
            <w:tcBorders>
              <w:top w:val="nil"/>
              <w:left w:val="nil"/>
              <w:bottom w:val="nil"/>
              <w:right w:val="nil"/>
            </w:tcBorders>
            <w:noWrap/>
            <w:vAlign w:val="center"/>
            <w:hideMark/>
          </w:tcPr>
          <w:p w14:paraId="600D1721"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Accrued pension costs</w:t>
            </w:r>
          </w:p>
        </w:tc>
        <w:tc>
          <w:tcPr>
            <w:tcW w:w="1508" w:type="dxa"/>
            <w:tcBorders>
              <w:top w:val="nil"/>
              <w:left w:val="nil"/>
              <w:bottom w:val="nil"/>
              <w:right w:val="nil"/>
            </w:tcBorders>
            <w:noWrap/>
            <w:vAlign w:val="center"/>
            <w:hideMark/>
          </w:tcPr>
          <w:p w14:paraId="713D2FD1"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29,777,338</w:t>
            </w:r>
          </w:p>
        </w:tc>
        <w:tc>
          <w:tcPr>
            <w:tcW w:w="1508" w:type="dxa"/>
            <w:tcBorders>
              <w:top w:val="nil"/>
              <w:left w:val="nil"/>
              <w:bottom w:val="nil"/>
              <w:right w:val="nil"/>
            </w:tcBorders>
            <w:noWrap/>
            <w:vAlign w:val="center"/>
            <w:hideMark/>
          </w:tcPr>
          <w:p w14:paraId="5360552B"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36,712,202</w:t>
            </w:r>
          </w:p>
        </w:tc>
        <w:tc>
          <w:tcPr>
            <w:tcW w:w="1534" w:type="dxa"/>
            <w:tcBorders>
              <w:top w:val="nil"/>
              <w:left w:val="nil"/>
              <w:bottom w:val="nil"/>
              <w:right w:val="nil"/>
            </w:tcBorders>
            <w:noWrap/>
            <w:vAlign w:val="center"/>
            <w:hideMark/>
          </w:tcPr>
          <w:p w14:paraId="31B0305C"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58,270,450</w:t>
            </w:r>
          </w:p>
        </w:tc>
      </w:tr>
      <w:tr w:rsidR="00790463" w14:paraId="4BAC47CD" w14:textId="77777777" w:rsidTr="00790463">
        <w:trPr>
          <w:trHeight w:val="202"/>
          <w:jc w:val="center"/>
        </w:trPr>
        <w:tc>
          <w:tcPr>
            <w:tcW w:w="4810" w:type="dxa"/>
            <w:tcBorders>
              <w:top w:val="nil"/>
              <w:left w:val="nil"/>
              <w:bottom w:val="nil"/>
              <w:right w:val="nil"/>
            </w:tcBorders>
            <w:noWrap/>
            <w:vAlign w:val="center"/>
            <w:hideMark/>
          </w:tcPr>
          <w:p w14:paraId="4A5215D6"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Accrued rent</w:t>
            </w:r>
          </w:p>
        </w:tc>
        <w:tc>
          <w:tcPr>
            <w:tcW w:w="1508" w:type="dxa"/>
            <w:tcBorders>
              <w:top w:val="nil"/>
              <w:left w:val="nil"/>
              <w:bottom w:val="nil"/>
              <w:right w:val="nil"/>
            </w:tcBorders>
            <w:noWrap/>
            <w:vAlign w:val="center"/>
            <w:hideMark/>
          </w:tcPr>
          <w:p w14:paraId="4A1C9473"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40,498,895</w:t>
            </w:r>
          </w:p>
        </w:tc>
        <w:tc>
          <w:tcPr>
            <w:tcW w:w="1508" w:type="dxa"/>
            <w:tcBorders>
              <w:top w:val="nil"/>
              <w:left w:val="nil"/>
              <w:bottom w:val="nil"/>
              <w:right w:val="nil"/>
            </w:tcBorders>
            <w:noWrap/>
            <w:vAlign w:val="center"/>
            <w:hideMark/>
          </w:tcPr>
          <w:p w14:paraId="4577D439"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42,718,930</w:t>
            </w:r>
          </w:p>
        </w:tc>
        <w:tc>
          <w:tcPr>
            <w:tcW w:w="1534" w:type="dxa"/>
            <w:tcBorders>
              <w:top w:val="nil"/>
              <w:left w:val="nil"/>
              <w:bottom w:val="nil"/>
              <w:right w:val="nil"/>
            </w:tcBorders>
            <w:noWrap/>
            <w:vAlign w:val="center"/>
            <w:hideMark/>
          </w:tcPr>
          <w:p w14:paraId="21155D62"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48,701,438</w:t>
            </w:r>
          </w:p>
        </w:tc>
      </w:tr>
      <w:tr w:rsidR="00790463" w14:paraId="098426E8" w14:textId="77777777" w:rsidTr="00790463">
        <w:trPr>
          <w:trHeight w:val="202"/>
          <w:jc w:val="center"/>
        </w:trPr>
        <w:tc>
          <w:tcPr>
            <w:tcW w:w="4810" w:type="dxa"/>
            <w:tcBorders>
              <w:top w:val="nil"/>
              <w:left w:val="nil"/>
              <w:bottom w:val="nil"/>
              <w:right w:val="nil"/>
            </w:tcBorders>
            <w:noWrap/>
            <w:vAlign w:val="center"/>
            <w:hideMark/>
          </w:tcPr>
          <w:p w14:paraId="2B4B5D17"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Dealers' deposits and other non-current liabilities</w:t>
            </w:r>
          </w:p>
        </w:tc>
        <w:tc>
          <w:tcPr>
            <w:tcW w:w="1508" w:type="dxa"/>
            <w:tcBorders>
              <w:top w:val="nil"/>
              <w:left w:val="nil"/>
              <w:bottom w:val="nil"/>
              <w:right w:val="nil"/>
            </w:tcBorders>
            <w:noWrap/>
            <w:vAlign w:val="center"/>
            <w:hideMark/>
          </w:tcPr>
          <w:p w14:paraId="053EF820"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w:t>
            </w:r>
          </w:p>
        </w:tc>
        <w:tc>
          <w:tcPr>
            <w:tcW w:w="1508" w:type="dxa"/>
            <w:tcBorders>
              <w:top w:val="nil"/>
              <w:left w:val="nil"/>
              <w:bottom w:val="nil"/>
              <w:right w:val="nil"/>
            </w:tcBorders>
            <w:noWrap/>
            <w:vAlign w:val="center"/>
            <w:hideMark/>
          </w:tcPr>
          <w:p w14:paraId="5BC1A303"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40,870,197</w:t>
            </w:r>
          </w:p>
        </w:tc>
        <w:tc>
          <w:tcPr>
            <w:tcW w:w="1534" w:type="dxa"/>
            <w:tcBorders>
              <w:top w:val="nil"/>
              <w:left w:val="nil"/>
              <w:bottom w:val="nil"/>
              <w:right w:val="nil"/>
            </w:tcBorders>
            <w:noWrap/>
            <w:vAlign w:val="center"/>
            <w:hideMark/>
          </w:tcPr>
          <w:p w14:paraId="2E979D8E"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w:t>
            </w:r>
          </w:p>
        </w:tc>
      </w:tr>
      <w:tr w:rsidR="00790463" w14:paraId="7431DF2E" w14:textId="77777777" w:rsidTr="00790463">
        <w:trPr>
          <w:trHeight w:val="202"/>
          <w:jc w:val="center"/>
        </w:trPr>
        <w:tc>
          <w:tcPr>
            <w:tcW w:w="4810" w:type="dxa"/>
            <w:tcBorders>
              <w:top w:val="nil"/>
              <w:left w:val="nil"/>
              <w:bottom w:val="nil"/>
              <w:right w:val="nil"/>
            </w:tcBorders>
            <w:noWrap/>
            <w:vAlign w:val="center"/>
            <w:hideMark/>
          </w:tcPr>
          <w:p w14:paraId="2DD54F59" w14:textId="77777777" w:rsidR="00790463" w:rsidRDefault="00790463">
            <w:pPr>
              <w:rPr>
                <w:rFonts w:ascii="Arial" w:hAnsi="Arial" w:cs="Arial"/>
                <w:b/>
                <w:bCs/>
                <w:color w:val="000000" w:themeColor="text1"/>
                <w:sz w:val="18"/>
                <w:szCs w:val="18"/>
              </w:rPr>
            </w:pPr>
            <w:r>
              <w:rPr>
                <w:rFonts w:ascii="Arial" w:hAnsi="Arial" w:cs="Arial"/>
                <w:b/>
                <w:bCs/>
                <w:color w:val="000000" w:themeColor="text1"/>
                <w:sz w:val="18"/>
                <w:szCs w:val="18"/>
              </w:rPr>
              <w:t>Total Non-current Liabilities</w:t>
            </w:r>
          </w:p>
        </w:tc>
        <w:tc>
          <w:tcPr>
            <w:tcW w:w="1508" w:type="dxa"/>
            <w:tcBorders>
              <w:top w:val="nil"/>
              <w:left w:val="nil"/>
              <w:bottom w:val="nil"/>
              <w:right w:val="nil"/>
            </w:tcBorders>
            <w:noWrap/>
            <w:vAlign w:val="center"/>
            <w:hideMark/>
          </w:tcPr>
          <w:p w14:paraId="6B51E498"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70,276,233</w:t>
            </w:r>
          </w:p>
        </w:tc>
        <w:tc>
          <w:tcPr>
            <w:tcW w:w="1508" w:type="dxa"/>
            <w:tcBorders>
              <w:top w:val="nil"/>
              <w:left w:val="nil"/>
              <w:bottom w:val="nil"/>
              <w:right w:val="nil"/>
            </w:tcBorders>
            <w:noWrap/>
            <w:vAlign w:val="center"/>
            <w:hideMark/>
          </w:tcPr>
          <w:p w14:paraId="3FBB7E33"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120,301,329</w:t>
            </w:r>
          </w:p>
        </w:tc>
        <w:tc>
          <w:tcPr>
            <w:tcW w:w="1534" w:type="dxa"/>
            <w:tcBorders>
              <w:top w:val="nil"/>
              <w:left w:val="nil"/>
              <w:bottom w:val="nil"/>
              <w:right w:val="nil"/>
            </w:tcBorders>
            <w:noWrap/>
            <w:vAlign w:val="center"/>
            <w:hideMark/>
          </w:tcPr>
          <w:p w14:paraId="16E5426C"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4,141,971,888</w:t>
            </w:r>
          </w:p>
        </w:tc>
      </w:tr>
      <w:tr w:rsidR="00790463" w14:paraId="1FC9E1B0" w14:textId="77777777" w:rsidTr="00790463">
        <w:trPr>
          <w:trHeight w:val="202"/>
          <w:jc w:val="center"/>
        </w:trPr>
        <w:tc>
          <w:tcPr>
            <w:tcW w:w="4810" w:type="dxa"/>
            <w:tcBorders>
              <w:top w:val="nil"/>
              <w:left w:val="nil"/>
              <w:bottom w:val="double" w:sz="4" w:space="0" w:color="auto"/>
              <w:right w:val="nil"/>
            </w:tcBorders>
            <w:noWrap/>
            <w:vAlign w:val="center"/>
            <w:hideMark/>
          </w:tcPr>
          <w:p w14:paraId="384BDF86" w14:textId="77777777" w:rsidR="00790463" w:rsidRDefault="00790463">
            <w:pPr>
              <w:pStyle w:val="Casehead1"/>
              <w:rPr>
                <w:sz w:val="18"/>
                <w:szCs w:val="18"/>
              </w:rPr>
            </w:pPr>
            <w:r>
              <w:rPr>
                <w:sz w:val="18"/>
                <w:szCs w:val="18"/>
              </w:rPr>
              <w:t>Total Liabilities</w:t>
            </w:r>
          </w:p>
        </w:tc>
        <w:tc>
          <w:tcPr>
            <w:tcW w:w="1508" w:type="dxa"/>
            <w:tcBorders>
              <w:top w:val="nil"/>
              <w:left w:val="nil"/>
              <w:bottom w:val="double" w:sz="4" w:space="0" w:color="auto"/>
              <w:right w:val="nil"/>
            </w:tcBorders>
            <w:noWrap/>
            <w:vAlign w:val="center"/>
            <w:hideMark/>
          </w:tcPr>
          <w:p w14:paraId="51CADC3D"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1,157,807,571</w:t>
            </w:r>
          </w:p>
        </w:tc>
        <w:tc>
          <w:tcPr>
            <w:tcW w:w="1508" w:type="dxa"/>
            <w:tcBorders>
              <w:top w:val="nil"/>
              <w:left w:val="nil"/>
              <w:bottom w:val="double" w:sz="4" w:space="0" w:color="auto"/>
              <w:right w:val="nil"/>
            </w:tcBorders>
            <w:noWrap/>
            <w:vAlign w:val="center"/>
            <w:hideMark/>
          </w:tcPr>
          <w:p w14:paraId="6E6FF1B7"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1,086,007,916</w:t>
            </w:r>
          </w:p>
        </w:tc>
        <w:tc>
          <w:tcPr>
            <w:tcW w:w="1534" w:type="dxa"/>
            <w:tcBorders>
              <w:top w:val="nil"/>
              <w:left w:val="nil"/>
              <w:bottom w:val="double" w:sz="4" w:space="0" w:color="auto"/>
              <w:right w:val="nil"/>
            </w:tcBorders>
            <w:noWrap/>
            <w:vAlign w:val="center"/>
            <w:hideMark/>
          </w:tcPr>
          <w:p w14:paraId="5798E65A"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6,151,112,566</w:t>
            </w:r>
          </w:p>
        </w:tc>
      </w:tr>
      <w:tr w:rsidR="00790463" w14:paraId="6E093577" w14:textId="77777777" w:rsidTr="00790463">
        <w:trPr>
          <w:trHeight w:val="202"/>
          <w:jc w:val="center"/>
        </w:trPr>
        <w:tc>
          <w:tcPr>
            <w:tcW w:w="4810" w:type="dxa"/>
            <w:tcBorders>
              <w:top w:val="nil"/>
              <w:left w:val="nil"/>
              <w:bottom w:val="nil"/>
              <w:right w:val="nil"/>
            </w:tcBorders>
            <w:noWrap/>
            <w:vAlign w:val="center"/>
            <w:hideMark/>
          </w:tcPr>
          <w:p w14:paraId="1EE3F25C" w14:textId="77777777" w:rsidR="00790463" w:rsidRDefault="00790463">
            <w:pPr>
              <w:rPr>
                <w:rFonts w:ascii="Arial" w:hAnsi="Arial" w:cs="Arial"/>
                <w:b/>
                <w:bCs/>
                <w:color w:val="000000" w:themeColor="text1"/>
                <w:sz w:val="18"/>
                <w:szCs w:val="18"/>
              </w:rPr>
            </w:pPr>
            <w:r>
              <w:rPr>
                <w:rFonts w:ascii="Arial" w:hAnsi="Arial" w:cs="Arial"/>
                <w:b/>
                <w:bCs/>
                <w:color w:val="000000" w:themeColor="text1"/>
                <w:sz w:val="18"/>
                <w:szCs w:val="18"/>
              </w:rPr>
              <w:t>Equity</w:t>
            </w:r>
          </w:p>
        </w:tc>
        <w:tc>
          <w:tcPr>
            <w:tcW w:w="1508" w:type="dxa"/>
            <w:tcBorders>
              <w:top w:val="nil"/>
              <w:left w:val="nil"/>
              <w:bottom w:val="nil"/>
              <w:right w:val="nil"/>
            </w:tcBorders>
            <w:noWrap/>
            <w:vAlign w:val="center"/>
            <w:hideMark/>
          </w:tcPr>
          <w:p w14:paraId="29D56999" w14:textId="77777777" w:rsidR="00790463" w:rsidRDefault="00790463">
            <w:pPr>
              <w:rPr>
                <w:rFonts w:ascii="Arial" w:hAnsi="Arial" w:cs="Arial"/>
                <w:b/>
                <w:bCs/>
                <w:color w:val="000000" w:themeColor="text1"/>
                <w:sz w:val="18"/>
                <w:szCs w:val="18"/>
              </w:rPr>
            </w:pPr>
          </w:p>
        </w:tc>
        <w:tc>
          <w:tcPr>
            <w:tcW w:w="1508" w:type="dxa"/>
            <w:tcBorders>
              <w:top w:val="nil"/>
              <w:left w:val="nil"/>
              <w:bottom w:val="nil"/>
              <w:right w:val="nil"/>
            </w:tcBorders>
            <w:noWrap/>
            <w:vAlign w:val="center"/>
            <w:hideMark/>
          </w:tcPr>
          <w:p w14:paraId="7B40D291" w14:textId="77777777" w:rsidR="00790463" w:rsidRDefault="00790463">
            <w:pPr>
              <w:rPr>
                <w:rFonts w:asciiTheme="minorHAnsi" w:eastAsiaTheme="minorHAnsi" w:hAnsiTheme="minorHAnsi" w:cstheme="minorBidi"/>
                <w:lang w:val="en-CA" w:eastAsia="en-CA"/>
              </w:rPr>
            </w:pPr>
          </w:p>
        </w:tc>
        <w:tc>
          <w:tcPr>
            <w:tcW w:w="1534" w:type="dxa"/>
            <w:tcBorders>
              <w:top w:val="nil"/>
              <w:left w:val="nil"/>
              <w:bottom w:val="nil"/>
              <w:right w:val="nil"/>
            </w:tcBorders>
            <w:noWrap/>
            <w:vAlign w:val="center"/>
            <w:hideMark/>
          </w:tcPr>
          <w:p w14:paraId="00DB0987" w14:textId="77777777" w:rsidR="00790463" w:rsidRDefault="00790463">
            <w:pPr>
              <w:rPr>
                <w:rFonts w:asciiTheme="minorHAnsi" w:eastAsiaTheme="minorHAnsi" w:hAnsiTheme="minorHAnsi" w:cstheme="minorBidi"/>
                <w:lang w:val="en-CA" w:eastAsia="en-CA"/>
              </w:rPr>
            </w:pPr>
          </w:p>
        </w:tc>
      </w:tr>
      <w:tr w:rsidR="00790463" w14:paraId="0BADC7D2" w14:textId="77777777" w:rsidTr="00790463">
        <w:trPr>
          <w:trHeight w:val="202"/>
          <w:jc w:val="center"/>
        </w:trPr>
        <w:tc>
          <w:tcPr>
            <w:tcW w:w="4810" w:type="dxa"/>
            <w:tcBorders>
              <w:top w:val="nil"/>
              <w:left w:val="nil"/>
              <w:bottom w:val="nil"/>
              <w:right w:val="nil"/>
            </w:tcBorders>
            <w:noWrap/>
            <w:vAlign w:val="center"/>
            <w:hideMark/>
          </w:tcPr>
          <w:p w14:paraId="725503A0" w14:textId="77777777" w:rsidR="00790463" w:rsidRDefault="00790463">
            <w:pPr>
              <w:rPr>
                <w:rFonts w:ascii="Arial" w:hAnsi="Arial" w:cs="Arial"/>
                <w:color w:val="000000" w:themeColor="text1"/>
                <w:sz w:val="18"/>
                <w:szCs w:val="18"/>
                <w:lang w:val="en-GB"/>
              </w:rPr>
            </w:pPr>
            <w:r>
              <w:rPr>
                <w:rFonts w:ascii="Arial" w:hAnsi="Arial" w:cs="Arial"/>
                <w:color w:val="000000" w:themeColor="text1"/>
                <w:sz w:val="18"/>
                <w:szCs w:val="18"/>
              </w:rPr>
              <w:t>Capital stock</w:t>
            </w:r>
          </w:p>
        </w:tc>
        <w:tc>
          <w:tcPr>
            <w:tcW w:w="1508" w:type="dxa"/>
            <w:tcBorders>
              <w:top w:val="nil"/>
              <w:left w:val="nil"/>
              <w:bottom w:val="nil"/>
              <w:right w:val="nil"/>
            </w:tcBorders>
            <w:noWrap/>
            <w:vAlign w:val="center"/>
            <w:hideMark/>
          </w:tcPr>
          <w:p w14:paraId="4278FDFF"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368,614,050</w:t>
            </w:r>
          </w:p>
        </w:tc>
        <w:tc>
          <w:tcPr>
            <w:tcW w:w="1508" w:type="dxa"/>
            <w:tcBorders>
              <w:top w:val="nil"/>
              <w:left w:val="nil"/>
              <w:bottom w:val="nil"/>
              <w:right w:val="nil"/>
            </w:tcBorders>
            <w:noWrap/>
            <w:vAlign w:val="center"/>
            <w:hideMark/>
          </w:tcPr>
          <w:p w14:paraId="36B4F6A1"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768,614,050</w:t>
            </w:r>
          </w:p>
        </w:tc>
        <w:tc>
          <w:tcPr>
            <w:tcW w:w="1534" w:type="dxa"/>
            <w:tcBorders>
              <w:top w:val="nil"/>
              <w:left w:val="nil"/>
              <w:bottom w:val="nil"/>
              <w:right w:val="nil"/>
            </w:tcBorders>
            <w:noWrap/>
            <w:vAlign w:val="center"/>
            <w:hideMark/>
          </w:tcPr>
          <w:p w14:paraId="576653E8"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872,614,050</w:t>
            </w:r>
          </w:p>
        </w:tc>
      </w:tr>
      <w:tr w:rsidR="00790463" w14:paraId="52719F56" w14:textId="77777777" w:rsidTr="00790463">
        <w:trPr>
          <w:trHeight w:val="202"/>
          <w:jc w:val="center"/>
        </w:trPr>
        <w:tc>
          <w:tcPr>
            <w:tcW w:w="4810" w:type="dxa"/>
            <w:tcBorders>
              <w:top w:val="nil"/>
              <w:left w:val="nil"/>
              <w:bottom w:val="nil"/>
              <w:right w:val="nil"/>
            </w:tcBorders>
            <w:noWrap/>
            <w:vAlign w:val="center"/>
            <w:hideMark/>
          </w:tcPr>
          <w:p w14:paraId="24D78348"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Additional paid-in capital</w:t>
            </w:r>
          </w:p>
        </w:tc>
        <w:tc>
          <w:tcPr>
            <w:tcW w:w="1508" w:type="dxa"/>
            <w:tcBorders>
              <w:top w:val="nil"/>
              <w:left w:val="nil"/>
              <w:bottom w:val="nil"/>
              <w:right w:val="nil"/>
            </w:tcBorders>
            <w:noWrap/>
            <w:vAlign w:val="center"/>
            <w:hideMark/>
          </w:tcPr>
          <w:p w14:paraId="7AD41946"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w:t>
            </w:r>
          </w:p>
        </w:tc>
        <w:tc>
          <w:tcPr>
            <w:tcW w:w="1508" w:type="dxa"/>
            <w:tcBorders>
              <w:top w:val="nil"/>
              <w:left w:val="nil"/>
              <w:bottom w:val="nil"/>
              <w:right w:val="nil"/>
            </w:tcBorders>
            <w:noWrap/>
            <w:vAlign w:val="center"/>
            <w:hideMark/>
          </w:tcPr>
          <w:p w14:paraId="35DA9482"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w:t>
            </w:r>
          </w:p>
        </w:tc>
        <w:tc>
          <w:tcPr>
            <w:tcW w:w="1534" w:type="dxa"/>
            <w:tcBorders>
              <w:top w:val="nil"/>
              <w:left w:val="nil"/>
              <w:bottom w:val="nil"/>
              <w:right w:val="nil"/>
            </w:tcBorders>
            <w:noWrap/>
            <w:vAlign w:val="center"/>
            <w:hideMark/>
          </w:tcPr>
          <w:p w14:paraId="1D7FFF4B"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1,067,000,000</w:t>
            </w:r>
          </w:p>
        </w:tc>
      </w:tr>
      <w:tr w:rsidR="00790463" w14:paraId="4FA615C6" w14:textId="77777777" w:rsidTr="00790463">
        <w:trPr>
          <w:trHeight w:val="202"/>
          <w:jc w:val="center"/>
        </w:trPr>
        <w:tc>
          <w:tcPr>
            <w:tcW w:w="4810" w:type="dxa"/>
            <w:tcBorders>
              <w:top w:val="nil"/>
              <w:left w:val="nil"/>
              <w:bottom w:val="nil"/>
              <w:right w:val="nil"/>
            </w:tcBorders>
            <w:noWrap/>
            <w:vAlign w:val="center"/>
            <w:hideMark/>
          </w:tcPr>
          <w:p w14:paraId="6BFA7DD5"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Retained earnings</w:t>
            </w:r>
          </w:p>
        </w:tc>
        <w:tc>
          <w:tcPr>
            <w:tcW w:w="1508" w:type="dxa"/>
            <w:tcBorders>
              <w:top w:val="nil"/>
              <w:left w:val="nil"/>
              <w:bottom w:val="nil"/>
              <w:right w:val="nil"/>
            </w:tcBorders>
            <w:noWrap/>
            <w:vAlign w:val="center"/>
            <w:hideMark/>
          </w:tcPr>
          <w:p w14:paraId="03BA3B2F"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900,047,563</w:t>
            </w:r>
          </w:p>
        </w:tc>
        <w:tc>
          <w:tcPr>
            <w:tcW w:w="1508" w:type="dxa"/>
            <w:tcBorders>
              <w:top w:val="nil"/>
              <w:left w:val="nil"/>
              <w:bottom w:val="nil"/>
              <w:right w:val="nil"/>
            </w:tcBorders>
            <w:noWrap/>
            <w:vAlign w:val="center"/>
            <w:hideMark/>
          </w:tcPr>
          <w:p w14:paraId="1A7D35A5"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829,245,434</w:t>
            </w:r>
          </w:p>
        </w:tc>
        <w:tc>
          <w:tcPr>
            <w:tcW w:w="1534" w:type="dxa"/>
            <w:tcBorders>
              <w:top w:val="nil"/>
              <w:left w:val="nil"/>
              <w:bottom w:val="nil"/>
              <w:right w:val="nil"/>
            </w:tcBorders>
            <w:noWrap/>
            <w:vAlign w:val="center"/>
            <w:hideMark/>
          </w:tcPr>
          <w:p w14:paraId="507FBDED"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360,911,058</w:t>
            </w:r>
          </w:p>
        </w:tc>
      </w:tr>
      <w:tr w:rsidR="00790463" w14:paraId="2D6060AB" w14:textId="77777777" w:rsidTr="00790463">
        <w:trPr>
          <w:trHeight w:val="202"/>
          <w:jc w:val="center"/>
        </w:trPr>
        <w:tc>
          <w:tcPr>
            <w:tcW w:w="4810" w:type="dxa"/>
            <w:tcBorders>
              <w:top w:val="nil"/>
              <w:left w:val="nil"/>
              <w:bottom w:val="nil"/>
              <w:right w:val="nil"/>
            </w:tcBorders>
            <w:noWrap/>
            <w:vAlign w:val="center"/>
            <w:hideMark/>
          </w:tcPr>
          <w:p w14:paraId="319E1D41" w14:textId="77777777" w:rsidR="00790463" w:rsidRDefault="00790463">
            <w:pPr>
              <w:rPr>
                <w:rFonts w:ascii="Arial" w:hAnsi="Arial" w:cs="Arial"/>
                <w:color w:val="000000" w:themeColor="text1"/>
                <w:sz w:val="18"/>
                <w:szCs w:val="18"/>
              </w:rPr>
            </w:pPr>
            <w:r>
              <w:rPr>
                <w:rFonts w:ascii="Arial" w:hAnsi="Arial" w:cs="Arial"/>
                <w:color w:val="000000" w:themeColor="text1"/>
                <w:sz w:val="18"/>
                <w:szCs w:val="18"/>
              </w:rPr>
              <w:t>Other components of equity</w:t>
            </w:r>
          </w:p>
        </w:tc>
        <w:tc>
          <w:tcPr>
            <w:tcW w:w="1508" w:type="dxa"/>
            <w:tcBorders>
              <w:top w:val="nil"/>
              <w:left w:val="nil"/>
              <w:bottom w:val="nil"/>
              <w:right w:val="nil"/>
            </w:tcBorders>
            <w:noWrap/>
            <w:vAlign w:val="center"/>
            <w:hideMark/>
          </w:tcPr>
          <w:p w14:paraId="19D515AA"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(3,797,980)</w:t>
            </w:r>
          </w:p>
        </w:tc>
        <w:tc>
          <w:tcPr>
            <w:tcW w:w="1508" w:type="dxa"/>
            <w:tcBorders>
              <w:top w:val="nil"/>
              <w:left w:val="nil"/>
              <w:bottom w:val="nil"/>
              <w:right w:val="nil"/>
            </w:tcBorders>
            <w:noWrap/>
            <w:vAlign w:val="center"/>
            <w:hideMark/>
          </w:tcPr>
          <w:p w14:paraId="1EACE670"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(19,616,621)</w:t>
            </w:r>
          </w:p>
        </w:tc>
        <w:tc>
          <w:tcPr>
            <w:tcW w:w="1534" w:type="dxa"/>
            <w:tcBorders>
              <w:top w:val="nil"/>
              <w:left w:val="nil"/>
              <w:bottom w:val="nil"/>
              <w:right w:val="nil"/>
            </w:tcBorders>
            <w:noWrap/>
            <w:vAlign w:val="center"/>
            <w:hideMark/>
          </w:tcPr>
          <w:p w14:paraId="6A111BB2" w14:textId="77777777" w:rsidR="00790463" w:rsidRDefault="00790463">
            <w:pPr>
              <w:jc w:val="right"/>
              <w:rPr>
                <w:rFonts w:ascii="Arial" w:hAnsi="Arial" w:cs="Arial"/>
                <w:color w:val="000000" w:themeColor="text1"/>
                <w:sz w:val="18"/>
                <w:szCs w:val="18"/>
              </w:rPr>
            </w:pPr>
            <w:r>
              <w:rPr>
                <w:rFonts w:ascii="Arial" w:hAnsi="Arial" w:cs="Arial"/>
                <w:color w:val="000000" w:themeColor="text1"/>
                <w:sz w:val="18"/>
                <w:szCs w:val="18"/>
              </w:rPr>
              <w:t>(30,227,811)</w:t>
            </w:r>
          </w:p>
        </w:tc>
      </w:tr>
      <w:tr w:rsidR="00790463" w14:paraId="2088CA7E" w14:textId="77777777" w:rsidTr="00790463">
        <w:trPr>
          <w:trHeight w:val="202"/>
          <w:jc w:val="center"/>
        </w:trPr>
        <w:tc>
          <w:tcPr>
            <w:tcW w:w="4810" w:type="dxa"/>
            <w:tcBorders>
              <w:top w:val="nil"/>
              <w:left w:val="nil"/>
              <w:bottom w:val="nil"/>
              <w:right w:val="nil"/>
            </w:tcBorders>
            <w:noWrap/>
            <w:vAlign w:val="center"/>
            <w:hideMark/>
          </w:tcPr>
          <w:p w14:paraId="65695443" w14:textId="77777777" w:rsidR="00790463" w:rsidRDefault="00790463">
            <w:pPr>
              <w:rPr>
                <w:rFonts w:ascii="Arial" w:hAnsi="Arial" w:cs="Arial"/>
                <w:b/>
                <w:bCs/>
                <w:color w:val="000000" w:themeColor="text1"/>
                <w:sz w:val="18"/>
                <w:szCs w:val="18"/>
              </w:rPr>
            </w:pPr>
            <w:r>
              <w:rPr>
                <w:rFonts w:ascii="Arial" w:hAnsi="Arial" w:cs="Arial"/>
                <w:b/>
                <w:bCs/>
                <w:color w:val="000000" w:themeColor="text1"/>
                <w:sz w:val="18"/>
                <w:szCs w:val="18"/>
              </w:rPr>
              <w:t>Total Equity</w:t>
            </w:r>
          </w:p>
        </w:tc>
        <w:tc>
          <w:tcPr>
            <w:tcW w:w="1508" w:type="dxa"/>
            <w:tcBorders>
              <w:top w:val="nil"/>
              <w:left w:val="nil"/>
              <w:bottom w:val="nil"/>
              <w:right w:val="nil"/>
            </w:tcBorders>
            <w:noWrap/>
            <w:vAlign w:val="center"/>
            <w:hideMark/>
          </w:tcPr>
          <w:p w14:paraId="14D28DDF"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1,264,863,633</w:t>
            </w:r>
          </w:p>
        </w:tc>
        <w:tc>
          <w:tcPr>
            <w:tcW w:w="1508" w:type="dxa"/>
            <w:tcBorders>
              <w:top w:val="nil"/>
              <w:left w:val="nil"/>
              <w:bottom w:val="nil"/>
              <w:right w:val="nil"/>
            </w:tcBorders>
            <w:noWrap/>
            <w:vAlign w:val="center"/>
            <w:hideMark/>
          </w:tcPr>
          <w:p w14:paraId="6C995D54"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1,578,242,863</w:t>
            </w:r>
          </w:p>
        </w:tc>
        <w:tc>
          <w:tcPr>
            <w:tcW w:w="1534" w:type="dxa"/>
            <w:tcBorders>
              <w:top w:val="nil"/>
              <w:left w:val="nil"/>
              <w:bottom w:val="nil"/>
              <w:right w:val="nil"/>
            </w:tcBorders>
            <w:noWrap/>
            <w:vAlign w:val="center"/>
            <w:hideMark/>
          </w:tcPr>
          <w:p w14:paraId="529E5DFE"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2,270,297,297</w:t>
            </w:r>
          </w:p>
        </w:tc>
      </w:tr>
      <w:tr w:rsidR="00790463" w14:paraId="36CA9DAA" w14:textId="77777777" w:rsidTr="00790463">
        <w:trPr>
          <w:trHeight w:val="202"/>
          <w:jc w:val="center"/>
        </w:trPr>
        <w:tc>
          <w:tcPr>
            <w:tcW w:w="4810" w:type="dxa"/>
            <w:tcBorders>
              <w:top w:val="nil"/>
              <w:left w:val="nil"/>
              <w:bottom w:val="single" w:sz="4" w:space="0" w:color="auto"/>
              <w:right w:val="nil"/>
            </w:tcBorders>
            <w:noWrap/>
            <w:vAlign w:val="center"/>
            <w:hideMark/>
          </w:tcPr>
          <w:p w14:paraId="3ACD08DC" w14:textId="77777777" w:rsidR="00790463" w:rsidRDefault="00790463">
            <w:pPr>
              <w:rPr>
                <w:rFonts w:ascii="Arial" w:hAnsi="Arial" w:cs="Arial"/>
                <w:b/>
                <w:bCs/>
                <w:color w:val="000000" w:themeColor="text1"/>
                <w:sz w:val="18"/>
                <w:szCs w:val="18"/>
              </w:rPr>
            </w:pPr>
            <w:r>
              <w:rPr>
                <w:rFonts w:ascii="Arial" w:hAnsi="Arial" w:cs="Arial"/>
                <w:b/>
                <w:bCs/>
                <w:color w:val="000000" w:themeColor="text1"/>
                <w:sz w:val="18"/>
                <w:szCs w:val="18"/>
              </w:rPr>
              <w:t>TOTAL LIABILITIES AND EQUITY</w:t>
            </w:r>
          </w:p>
        </w:tc>
        <w:tc>
          <w:tcPr>
            <w:tcW w:w="1508" w:type="dxa"/>
            <w:tcBorders>
              <w:top w:val="nil"/>
              <w:left w:val="nil"/>
              <w:bottom w:val="single" w:sz="4" w:space="0" w:color="auto"/>
              <w:right w:val="nil"/>
            </w:tcBorders>
            <w:noWrap/>
            <w:vAlign w:val="center"/>
            <w:hideMark/>
          </w:tcPr>
          <w:p w14:paraId="66D9A587"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2,422,671,204</w:t>
            </w:r>
          </w:p>
        </w:tc>
        <w:tc>
          <w:tcPr>
            <w:tcW w:w="1508" w:type="dxa"/>
            <w:tcBorders>
              <w:top w:val="nil"/>
              <w:left w:val="nil"/>
              <w:bottom w:val="single" w:sz="4" w:space="0" w:color="auto"/>
              <w:right w:val="nil"/>
            </w:tcBorders>
            <w:noWrap/>
            <w:vAlign w:val="center"/>
            <w:hideMark/>
          </w:tcPr>
          <w:p w14:paraId="46B0226E"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2,664,250,779</w:t>
            </w:r>
          </w:p>
        </w:tc>
        <w:tc>
          <w:tcPr>
            <w:tcW w:w="1534" w:type="dxa"/>
            <w:tcBorders>
              <w:top w:val="nil"/>
              <w:left w:val="nil"/>
              <w:bottom w:val="single" w:sz="4" w:space="0" w:color="auto"/>
              <w:right w:val="nil"/>
            </w:tcBorders>
            <w:noWrap/>
            <w:vAlign w:val="center"/>
            <w:hideMark/>
          </w:tcPr>
          <w:p w14:paraId="6E25AF7F" w14:textId="77777777" w:rsidR="00790463" w:rsidRDefault="00790463">
            <w:pPr>
              <w:jc w:val="right"/>
              <w:rPr>
                <w:rFonts w:ascii="Arial" w:hAnsi="Arial" w:cs="Arial"/>
                <w:b/>
                <w:bCs/>
                <w:color w:val="000000" w:themeColor="text1"/>
                <w:sz w:val="18"/>
                <w:szCs w:val="18"/>
              </w:rPr>
            </w:pPr>
            <w:r>
              <w:rPr>
                <w:rFonts w:ascii="Arial" w:hAnsi="Arial" w:cs="Arial"/>
                <w:b/>
                <w:bCs/>
                <w:color w:val="000000" w:themeColor="text1"/>
                <w:sz w:val="18"/>
                <w:szCs w:val="18"/>
              </w:rPr>
              <w:t>8,421,409,863</w:t>
            </w:r>
          </w:p>
        </w:tc>
      </w:tr>
    </w:tbl>
    <w:p w14:paraId="160F466C" w14:textId="77777777" w:rsidR="00790463" w:rsidRDefault="00790463" w:rsidP="00790463">
      <w:pPr>
        <w:pStyle w:val="ExhibitText"/>
        <w:rPr>
          <w:lang w:val="en-GB"/>
        </w:rPr>
      </w:pPr>
    </w:p>
    <w:p w14:paraId="630D5188" w14:textId="77777777" w:rsidR="00790463" w:rsidRDefault="00790463" w:rsidP="00790463">
      <w:pPr>
        <w:pStyle w:val="Footnote"/>
      </w:pPr>
      <w:r>
        <w:t>Note: 2016E is based on case writer’s estimate.</w:t>
      </w:r>
    </w:p>
    <w:p w14:paraId="10FDC65F" w14:textId="0ED4F4D5" w:rsidR="00790463" w:rsidRDefault="00790463" w:rsidP="00790463">
      <w:pPr>
        <w:pStyle w:val="Footnote"/>
      </w:pPr>
      <w:r>
        <w:t>Source: S&amp;P Capital IQ, accessed November 16, 2017</w:t>
      </w:r>
      <w:r w:rsidR="006E1BFD">
        <w:t>.</w:t>
      </w:r>
    </w:p>
    <w:p w14:paraId="72AFD691" w14:textId="77777777" w:rsidR="00790463" w:rsidRPr="00790463" w:rsidRDefault="00790463" w:rsidP="00790463">
      <w:pPr>
        <w:pStyle w:val="ExhibitText"/>
        <w:rPr>
          <w:sz w:val="16"/>
        </w:rPr>
      </w:pPr>
    </w:p>
    <w:p w14:paraId="5EC77162" w14:textId="77777777" w:rsidR="00790463" w:rsidRPr="00790463" w:rsidRDefault="00790463" w:rsidP="00790463">
      <w:pPr>
        <w:pStyle w:val="ExhibitText"/>
        <w:rPr>
          <w:sz w:val="16"/>
        </w:rPr>
      </w:pPr>
    </w:p>
    <w:p w14:paraId="2455AE6B" w14:textId="77777777" w:rsidR="00790463" w:rsidRDefault="00790463" w:rsidP="00790463">
      <w:pPr>
        <w:pStyle w:val="ExhibitHeading"/>
      </w:pPr>
      <w:r>
        <w:t>EXHIBIT 10: PHILIPPINE GOVERNMENT BOND YIELD</w:t>
      </w:r>
    </w:p>
    <w:p w14:paraId="06111558" w14:textId="77777777" w:rsidR="00790463" w:rsidRDefault="00790463" w:rsidP="00790463">
      <w:pPr>
        <w:pStyle w:val="ExhibitText"/>
      </w:pPr>
    </w:p>
    <w:tbl>
      <w:tblPr>
        <w:tblStyle w:val="TableGrid"/>
        <w:tblW w:w="25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170"/>
        <w:gridCol w:w="1170"/>
        <w:gridCol w:w="1170"/>
      </w:tblGrid>
      <w:tr w:rsidR="00790463" w14:paraId="510FBAB5" w14:textId="77777777" w:rsidTr="00790463">
        <w:trPr>
          <w:trHeight w:val="230"/>
          <w:jc w:val="center"/>
        </w:trPr>
        <w:tc>
          <w:tcPr>
            <w:tcW w:w="1168" w:type="dxa"/>
            <w:tcBorders>
              <w:top w:val="single" w:sz="4" w:space="0" w:color="auto"/>
              <w:left w:val="nil"/>
              <w:bottom w:val="single" w:sz="12" w:space="0" w:color="auto"/>
              <w:right w:val="nil"/>
            </w:tcBorders>
            <w:noWrap/>
            <w:vAlign w:val="center"/>
            <w:hideMark/>
          </w:tcPr>
          <w:p w14:paraId="586C759C" w14:textId="77777777" w:rsidR="00790463" w:rsidRDefault="00790463">
            <w:pPr>
              <w:ind w:left="144"/>
              <w:rPr>
                <w:rFonts w:ascii="Arial" w:hAnsi="Arial" w:cs="Arial"/>
                <w:b/>
                <w:color w:val="000000" w:themeColor="text1"/>
                <w:sz w:val="18"/>
                <w:szCs w:val="18"/>
              </w:rPr>
            </w:pPr>
            <w:r>
              <w:rPr>
                <w:rFonts w:ascii="Arial" w:hAnsi="Arial" w:cs="Arial"/>
                <w:b/>
                <w:color w:val="000000" w:themeColor="text1"/>
                <w:sz w:val="18"/>
                <w:szCs w:val="18"/>
              </w:rPr>
              <w:t>Maturity</w:t>
            </w:r>
          </w:p>
        </w:tc>
        <w:tc>
          <w:tcPr>
            <w:tcW w:w="1169" w:type="dxa"/>
            <w:tcBorders>
              <w:top w:val="single" w:sz="4" w:space="0" w:color="auto"/>
              <w:left w:val="nil"/>
              <w:bottom w:val="single" w:sz="12" w:space="0" w:color="auto"/>
              <w:right w:val="single" w:sz="4" w:space="0" w:color="auto"/>
            </w:tcBorders>
            <w:noWrap/>
            <w:vAlign w:val="center"/>
            <w:hideMark/>
          </w:tcPr>
          <w:p w14:paraId="53E8B4B1" w14:textId="77777777" w:rsidR="00790463" w:rsidRDefault="00790463">
            <w:pPr>
              <w:jc w:val="center"/>
              <w:rPr>
                <w:rFonts w:ascii="Arial" w:hAnsi="Arial" w:cs="Arial"/>
                <w:b/>
                <w:color w:val="000000" w:themeColor="text1"/>
                <w:sz w:val="18"/>
                <w:szCs w:val="18"/>
              </w:rPr>
            </w:pPr>
            <w:r>
              <w:rPr>
                <w:rFonts w:ascii="Arial" w:hAnsi="Arial" w:cs="Arial"/>
                <w:b/>
                <w:color w:val="000000" w:themeColor="text1"/>
                <w:sz w:val="18"/>
                <w:szCs w:val="18"/>
              </w:rPr>
              <w:t>Yield (%)</w:t>
            </w:r>
          </w:p>
        </w:tc>
        <w:tc>
          <w:tcPr>
            <w:tcW w:w="1169" w:type="dxa"/>
            <w:tcBorders>
              <w:top w:val="single" w:sz="4" w:space="0" w:color="auto"/>
              <w:left w:val="single" w:sz="4" w:space="0" w:color="auto"/>
              <w:bottom w:val="single" w:sz="12" w:space="0" w:color="auto"/>
              <w:right w:val="nil"/>
            </w:tcBorders>
            <w:vAlign w:val="center"/>
            <w:hideMark/>
          </w:tcPr>
          <w:p w14:paraId="2168CE08" w14:textId="77777777" w:rsidR="00790463" w:rsidRDefault="00790463">
            <w:pPr>
              <w:ind w:left="144"/>
              <w:rPr>
                <w:rFonts w:ascii="Arial" w:hAnsi="Arial" w:cs="Arial"/>
                <w:b/>
                <w:color w:val="000000" w:themeColor="text1"/>
                <w:sz w:val="18"/>
                <w:szCs w:val="18"/>
              </w:rPr>
            </w:pPr>
            <w:r>
              <w:rPr>
                <w:rFonts w:ascii="Arial" w:hAnsi="Arial" w:cs="Arial"/>
                <w:b/>
                <w:color w:val="000000" w:themeColor="text1"/>
                <w:sz w:val="18"/>
                <w:szCs w:val="18"/>
              </w:rPr>
              <w:t>Maturity</w:t>
            </w:r>
          </w:p>
        </w:tc>
        <w:tc>
          <w:tcPr>
            <w:tcW w:w="1169" w:type="dxa"/>
            <w:tcBorders>
              <w:top w:val="single" w:sz="4" w:space="0" w:color="auto"/>
              <w:left w:val="nil"/>
              <w:bottom w:val="single" w:sz="12" w:space="0" w:color="auto"/>
              <w:right w:val="nil"/>
            </w:tcBorders>
            <w:vAlign w:val="center"/>
            <w:hideMark/>
          </w:tcPr>
          <w:p w14:paraId="4CB4D9AE" w14:textId="77777777" w:rsidR="00790463" w:rsidRDefault="00790463">
            <w:pPr>
              <w:jc w:val="center"/>
              <w:rPr>
                <w:rFonts w:ascii="Arial" w:hAnsi="Arial" w:cs="Arial"/>
                <w:b/>
                <w:color w:val="000000" w:themeColor="text1"/>
                <w:sz w:val="18"/>
                <w:szCs w:val="18"/>
              </w:rPr>
            </w:pPr>
            <w:r>
              <w:rPr>
                <w:rFonts w:ascii="Arial" w:hAnsi="Arial" w:cs="Arial"/>
                <w:b/>
                <w:color w:val="000000" w:themeColor="text1"/>
                <w:sz w:val="18"/>
                <w:szCs w:val="18"/>
              </w:rPr>
              <w:t>Yield (%)</w:t>
            </w:r>
          </w:p>
        </w:tc>
      </w:tr>
      <w:tr w:rsidR="00790463" w14:paraId="762A49F2" w14:textId="77777777" w:rsidTr="00790463">
        <w:trPr>
          <w:trHeight w:val="230"/>
          <w:jc w:val="center"/>
        </w:trPr>
        <w:tc>
          <w:tcPr>
            <w:tcW w:w="1168" w:type="dxa"/>
            <w:tcBorders>
              <w:top w:val="single" w:sz="12" w:space="0" w:color="auto"/>
              <w:left w:val="nil"/>
              <w:bottom w:val="nil"/>
              <w:right w:val="nil"/>
            </w:tcBorders>
            <w:noWrap/>
            <w:vAlign w:val="center"/>
            <w:hideMark/>
          </w:tcPr>
          <w:p w14:paraId="637A8B11" w14:textId="77777777" w:rsidR="00790463" w:rsidRDefault="00790463">
            <w:pPr>
              <w:ind w:left="144"/>
              <w:rPr>
                <w:rFonts w:ascii="Arial" w:hAnsi="Arial" w:cs="Arial"/>
                <w:color w:val="000000" w:themeColor="text1"/>
                <w:sz w:val="18"/>
                <w:szCs w:val="18"/>
              </w:rPr>
            </w:pPr>
            <w:r>
              <w:rPr>
                <w:rFonts w:ascii="Arial" w:hAnsi="Arial" w:cs="Arial"/>
                <w:color w:val="000000" w:themeColor="text1"/>
                <w:sz w:val="18"/>
                <w:szCs w:val="18"/>
              </w:rPr>
              <w:t>1 month</w:t>
            </w:r>
          </w:p>
        </w:tc>
        <w:tc>
          <w:tcPr>
            <w:tcW w:w="1169" w:type="dxa"/>
            <w:tcBorders>
              <w:top w:val="single" w:sz="12" w:space="0" w:color="auto"/>
              <w:left w:val="nil"/>
              <w:bottom w:val="nil"/>
              <w:right w:val="single" w:sz="4" w:space="0" w:color="auto"/>
            </w:tcBorders>
            <w:noWrap/>
            <w:vAlign w:val="center"/>
            <w:hideMark/>
          </w:tcPr>
          <w:p w14:paraId="6F35F8CB" w14:textId="77777777" w:rsidR="00790463" w:rsidRDefault="00790463">
            <w:pPr>
              <w:ind w:right="144"/>
              <w:jc w:val="right"/>
              <w:rPr>
                <w:rFonts w:ascii="Arial" w:hAnsi="Arial" w:cs="Arial"/>
                <w:color w:val="000000" w:themeColor="text1"/>
                <w:sz w:val="18"/>
                <w:szCs w:val="18"/>
              </w:rPr>
            </w:pPr>
            <w:r>
              <w:rPr>
                <w:rFonts w:ascii="Arial" w:hAnsi="Arial" w:cs="Arial"/>
                <w:color w:val="000000" w:themeColor="text1"/>
                <w:sz w:val="18"/>
                <w:szCs w:val="18"/>
              </w:rPr>
              <w:t>1.894</w:t>
            </w:r>
          </w:p>
        </w:tc>
        <w:tc>
          <w:tcPr>
            <w:tcW w:w="1169" w:type="dxa"/>
            <w:tcBorders>
              <w:top w:val="single" w:sz="12" w:space="0" w:color="auto"/>
              <w:left w:val="single" w:sz="4" w:space="0" w:color="auto"/>
              <w:bottom w:val="nil"/>
              <w:right w:val="nil"/>
            </w:tcBorders>
            <w:vAlign w:val="center"/>
            <w:hideMark/>
          </w:tcPr>
          <w:p w14:paraId="049679FD" w14:textId="77777777" w:rsidR="00790463" w:rsidRDefault="00790463">
            <w:pPr>
              <w:ind w:left="144"/>
              <w:rPr>
                <w:rFonts w:ascii="Arial" w:hAnsi="Arial" w:cs="Arial"/>
                <w:color w:val="000000" w:themeColor="text1"/>
                <w:sz w:val="18"/>
                <w:szCs w:val="18"/>
              </w:rPr>
            </w:pPr>
            <w:r>
              <w:rPr>
                <w:rFonts w:ascii="Arial" w:hAnsi="Arial" w:cs="Arial"/>
                <w:color w:val="000000" w:themeColor="text1"/>
                <w:sz w:val="18"/>
                <w:szCs w:val="18"/>
              </w:rPr>
              <w:t>7 years</w:t>
            </w:r>
          </w:p>
        </w:tc>
        <w:tc>
          <w:tcPr>
            <w:tcW w:w="1169" w:type="dxa"/>
            <w:tcBorders>
              <w:top w:val="single" w:sz="12" w:space="0" w:color="auto"/>
              <w:left w:val="nil"/>
              <w:bottom w:val="nil"/>
              <w:right w:val="nil"/>
            </w:tcBorders>
            <w:vAlign w:val="center"/>
            <w:hideMark/>
          </w:tcPr>
          <w:p w14:paraId="1BD2844D" w14:textId="77777777" w:rsidR="00790463" w:rsidRDefault="00790463">
            <w:pPr>
              <w:ind w:right="144"/>
              <w:jc w:val="right"/>
              <w:rPr>
                <w:rFonts w:ascii="Arial" w:hAnsi="Arial" w:cs="Arial"/>
                <w:color w:val="000000" w:themeColor="text1"/>
                <w:sz w:val="18"/>
                <w:szCs w:val="18"/>
              </w:rPr>
            </w:pPr>
            <w:r>
              <w:rPr>
                <w:rFonts w:ascii="Arial" w:hAnsi="Arial" w:cs="Arial"/>
                <w:color w:val="000000" w:themeColor="text1"/>
                <w:sz w:val="18"/>
                <w:szCs w:val="18"/>
              </w:rPr>
              <w:t>4.885</w:t>
            </w:r>
          </w:p>
        </w:tc>
      </w:tr>
      <w:tr w:rsidR="00790463" w14:paraId="0BD1F728" w14:textId="77777777" w:rsidTr="00790463">
        <w:trPr>
          <w:trHeight w:val="230"/>
          <w:jc w:val="center"/>
        </w:trPr>
        <w:tc>
          <w:tcPr>
            <w:tcW w:w="1168" w:type="dxa"/>
            <w:tcBorders>
              <w:top w:val="nil"/>
              <w:left w:val="nil"/>
              <w:bottom w:val="nil"/>
              <w:right w:val="nil"/>
            </w:tcBorders>
            <w:noWrap/>
            <w:vAlign w:val="center"/>
            <w:hideMark/>
          </w:tcPr>
          <w:p w14:paraId="4F63D029" w14:textId="77777777" w:rsidR="00790463" w:rsidRDefault="00790463">
            <w:pPr>
              <w:ind w:left="144"/>
              <w:rPr>
                <w:rFonts w:ascii="Arial" w:hAnsi="Arial" w:cs="Arial"/>
                <w:color w:val="000000" w:themeColor="text1"/>
                <w:sz w:val="18"/>
                <w:szCs w:val="18"/>
              </w:rPr>
            </w:pPr>
            <w:r>
              <w:rPr>
                <w:rFonts w:ascii="Arial" w:hAnsi="Arial" w:cs="Arial"/>
                <w:color w:val="000000" w:themeColor="text1"/>
                <w:sz w:val="18"/>
                <w:szCs w:val="18"/>
              </w:rPr>
              <w:t>6 months</w:t>
            </w:r>
          </w:p>
        </w:tc>
        <w:tc>
          <w:tcPr>
            <w:tcW w:w="1169" w:type="dxa"/>
            <w:tcBorders>
              <w:top w:val="nil"/>
              <w:left w:val="nil"/>
              <w:bottom w:val="nil"/>
              <w:right w:val="single" w:sz="4" w:space="0" w:color="auto"/>
            </w:tcBorders>
            <w:noWrap/>
            <w:vAlign w:val="center"/>
            <w:hideMark/>
          </w:tcPr>
          <w:p w14:paraId="4335897D" w14:textId="77777777" w:rsidR="00790463" w:rsidRDefault="00790463">
            <w:pPr>
              <w:ind w:right="144"/>
              <w:jc w:val="right"/>
              <w:rPr>
                <w:rFonts w:ascii="Arial" w:hAnsi="Arial" w:cs="Arial"/>
                <w:color w:val="000000" w:themeColor="text1"/>
                <w:sz w:val="18"/>
                <w:szCs w:val="18"/>
              </w:rPr>
            </w:pPr>
            <w:r>
              <w:rPr>
                <w:rFonts w:ascii="Arial" w:hAnsi="Arial" w:cs="Arial"/>
                <w:color w:val="000000" w:themeColor="text1"/>
                <w:sz w:val="18"/>
                <w:szCs w:val="18"/>
              </w:rPr>
              <w:t>2.946</w:t>
            </w:r>
          </w:p>
        </w:tc>
        <w:tc>
          <w:tcPr>
            <w:tcW w:w="1169" w:type="dxa"/>
            <w:tcBorders>
              <w:top w:val="nil"/>
              <w:left w:val="single" w:sz="4" w:space="0" w:color="auto"/>
              <w:bottom w:val="nil"/>
              <w:right w:val="nil"/>
            </w:tcBorders>
            <w:vAlign w:val="center"/>
            <w:hideMark/>
          </w:tcPr>
          <w:p w14:paraId="77E85D05" w14:textId="77777777" w:rsidR="00790463" w:rsidRDefault="00790463">
            <w:pPr>
              <w:ind w:left="144"/>
              <w:rPr>
                <w:rFonts w:ascii="Arial" w:hAnsi="Arial" w:cs="Arial"/>
                <w:color w:val="000000" w:themeColor="text1"/>
                <w:sz w:val="18"/>
                <w:szCs w:val="18"/>
              </w:rPr>
            </w:pPr>
            <w:r>
              <w:rPr>
                <w:rFonts w:ascii="Arial" w:hAnsi="Arial" w:cs="Arial"/>
                <w:color w:val="000000" w:themeColor="text1"/>
                <w:sz w:val="18"/>
                <w:szCs w:val="18"/>
              </w:rPr>
              <w:t>10 years</w:t>
            </w:r>
          </w:p>
        </w:tc>
        <w:tc>
          <w:tcPr>
            <w:tcW w:w="1169" w:type="dxa"/>
            <w:tcBorders>
              <w:top w:val="nil"/>
              <w:left w:val="nil"/>
              <w:bottom w:val="nil"/>
              <w:right w:val="nil"/>
            </w:tcBorders>
            <w:vAlign w:val="center"/>
            <w:hideMark/>
          </w:tcPr>
          <w:p w14:paraId="28457623" w14:textId="77777777" w:rsidR="00790463" w:rsidRDefault="00790463">
            <w:pPr>
              <w:ind w:right="144"/>
              <w:jc w:val="right"/>
              <w:rPr>
                <w:rFonts w:ascii="Arial" w:hAnsi="Arial" w:cs="Arial"/>
                <w:color w:val="000000" w:themeColor="text1"/>
                <w:sz w:val="18"/>
                <w:szCs w:val="18"/>
              </w:rPr>
            </w:pPr>
            <w:r>
              <w:rPr>
                <w:rFonts w:ascii="Arial" w:hAnsi="Arial" w:cs="Arial"/>
                <w:color w:val="000000" w:themeColor="text1"/>
                <w:sz w:val="18"/>
                <w:szCs w:val="18"/>
              </w:rPr>
              <w:t>4.628</w:t>
            </w:r>
          </w:p>
        </w:tc>
      </w:tr>
      <w:tr w:rsidR="00790463" w14:paraId="658395B7" w14:textId="77777777" w:rsidTr="00790463">
        <w:trPr>
          <w:trHeight w:val="230"/>
          <w:jc w:val="center"/>
        </w:trPr>
        <w:tc>
          <w:tcPr>
            <w:tcW w:w="1168" w:type="dxa"/>
            <w:tcBorders>
              <w:top w:val="nil"/>
              <w:left w:val="nil"/>
              <w:bottom w:val="nil"/>
              <w:right w:val="nil"/>
            </w:tcBorders>
            <w:noWrap/>
            <w:vAlign w:val="center"/>
            <w:hideMark/>
          </w:tcPr>
          <w:p w14:paraId="1103763A" w14:textId="77777777" w:rsidR="00790463" w:rsidRDefault="00790463">
            <w:pPr>
              <w:ind w:left="144"/>
              <w:rPr>
                <w:rFonts w:ascii="Arial" w:hAnsi="Arial" w:cs="Arial"/>
                <w:color w:val="000000" w:themeColor="text1"/>
                <w:sz w:val="18"/>
                <w:szCs w:val="18"/>
              </w:rPr>
            </w:pPr>
            <w:r>
              <w:rPr>
                <w:rFonts w:ascii="Arial" w:hAnsi="Arial" w:cs="Arial"/>
                <w:color w:val="000000" w:themeColor="text1"/>
                <w:sz w:val="18"/>
                <w:szCs w:val="18"/>
              </w:rPr>
              <w:t>1 year</w:t>
            </w:r>
          </w:p>
        </w:tc>
        <w:tc>
          <w:tcPr>
            <w:tcW w:w="1169" w:type="dxa"/>
            <w:tcBorders>
              <w:top w:val="nil"/>
              <w:left w:val="nil"/>
              <w:bottom w:val="nil"/>
              <w:right w:val="single" w:sz="4" w:space="0" w:color="auto"/>
            </w:tcBorders>
            <w:noWrap/>
            <w:vAlign w:val="center"/>
            <w:hideMark/>
          </w:tcPr>
          <w:p w14:paraId="4CDB477E" w14:textId="77777777" w:rsidR="00790463" w:rsidRDefault="00790463">
            <w:pPr>
              <w:ind w:right="144"/>
              <w:jc w:val="right"/>
              <w:rPr>
                <w:rFonts w:ascii="Arial" w:hAnsi="Arial" w:cs="Arial"/>
                <w:color w:val="000000" w:themeColor="text1"/>
                <w:sz w:val="18"/>
                <w:szCs w:val="18"/>
              </w:rPr>
            </w:pPr>
            <w:r>
              <w:rPr>
                <w:rFonts w:ascii="Arial" w:hAnsi="Arial" w:cs="Arial"/>
                <w:color w:val="000000" w:themeColor="text1"/>
                <w:sz w:val="18"/>
                <w:szCs w:val="18"/>
              </w:rPr>
              <w:t>2.452</w:t>
            </w:r>
          </w:p>
        </w:tc>
        <w:tc>
          <w:tcPr>
            <w:tcW w:w="1169" w:type="dxa"/>
            <w:tcBorders>
              <w:top w:val="nil"/>
              <w:left w:val="single" w:sz="4" w:space="0" w:color="auto"/>
              <w:bottom w:val="nil"/>
              <w:right w:val="nil"/>
            </w:tcBorders>
            <w:vAlign w:val="center"/>
            <w:hideMark/>
          </w:tcPr>
          <w:p w14:paraId="13527E00" w14:textId="77777777" w:rsidR="00790463" w:rsidRDefault="00790463">
            <w:pPr>
              <w:ind w:left="144"/>
              <w:rPr>
                <w:rFonts w:ascii="Arial" w:hAnsi="Arial" w:cs="Arial"/>
                <w:color w:val="000000" w:themeColor="text1"/>
                <w:sz w:val="18"/>
                <w:szCs w:val="18"/>
              </w:rPr>
            </w:pPr>
            <w:r>
              <w:rPr>
                <w:rFonts w:ascii="Arial" w:hAnsi="Arial" w:cs="Arial"/>
                <w:color w:val="000000" w:themeColor="text1"/>
                <w:sz w:val="18"/>
                <w:szCs w:val="18"/>
              </w:rPr>
              <w:t>20 years</w:t>
            </w:r>
          </w:p>
        </w:tc>
        <w:tc>
          <w:tcPr>
            <w:tcW w:w="1169" w:type="dxa"/>
            <w:tcBorders>
              <w:top w:val="nil"/>
              <w:left w:val="nil"/>
              <w:bottom w:val="nil"/>
              <w:right w:val="nil"/>
            </w:tcBorders>
            <w:vAlign w:val="center"/>
            <w:hideMark/>
          </w:tcPr>
          <w:p w14:paraId="5EB87594" w14:textId="77777777" w:rsidR="00790463" w:rsidRDefault="00790463">
            <w:pPr>
              <w:ind w:right="144"/>
              <w:jc w:val="right"/>
              <w:rPr>
                <w:rFonts w:ascii="Arial" w:hAnsi="Arial" w:cs="Arial"/>
                <w:color w:val="000000" w:themeColor="text1"/>
                <w:sz w:val="18"/>
                <w:szCs w:val="18"/>
              </w:rPr>
            </w:pPr>
            <w:r>
              <w:rPr>
                <w:rFonts w:ascii="Arial" w:hAnsi="Arial" w:cs="Arial"/>
                <w:color w:val="000000" w:themeColor="text1"/>
                <w:sz w:val="18"/>
                <w:szCs w:val="18"/>
              </w:rPr>
              <w:t>5.377</w:t>
            </w:r>
          </w:p>
        </w:tc>
      </w:tr>
      <w:tr w:rsidR="00790463" w14:paraId="22B7DD00" w14:textId="77777777" w:rsidTr="00790463">
        <w:trPr>
          <w:trHeight w:val="230"/>
          <w:jc w:val="center"/>
        </w:trPr>
        <w:tc>
          <w:tcPr>
            <w:tcW w:w="1168" w:type="dxa"/>
            <w:tcBorders>
              <w:top w:val="nil"/>
              <w:left w:val="nil"/>
              <w:bottom w:val="single" w:sz="4" w:space="0" w:color="auto"/>
              <w:right w:val="nil"/>
            </w:tcBorders>
            <w:noWrap/>
            <w:vAlign w:val="center"/>
            <w:hideMark/>
          </w:tcPr>
          <w:p w14:paraId="04137D5A" w14:textId="77777777" w:rsidR="00790463" w:rsidRDefault="00790463">
            <w:pPr>
              <w:ind w:left="144"/>
              <w:rPr>
                <w:rFonts w:ascii="Arial" w:hAnsi="Arial" w:cs="Arial"/>
                <w:color w:val="000000" w:themeColor="text1"/>
                <w:sz w:val="18"/>
                <w:szCs w:val="18"/>
              </w:rPr>
            </w:pPr>
            <w:r>
              <w:rPr>
                <w:rFonts w:ascii="Arial" w:hAnsi="Arial" w:cs="Arial"/>
                <w:color w:val="000000" w:themeColor="text1"/>
                <w:sz w:val="18"/>
                <w:szCs w:val="18"/>
              </w:rPr>
              <w:t>5 years</w:t>
            </w:r>
          </w:p>
        </w:tc>
        <w:tc>
          <w:tcPr>
            <w:tcW w:w="1169" w:type="dxa"/>
            <w:tcBorders>
              <w:top w:val="nil"/>
              <w:left w:val="nil"/>
              <w:bottom w:val="single" w:sz="4" w:space="0" w:color="auto"/>
              <w:right w:val="single" w:sz="4" w:space="0" w:color="auto"/>
            </w:tcBorders>
            <w:noWrap/>
            <w:vAlign w:val="center"/>
            <w:hideMark/>
          </w:tcPr>
          <w:p w14:paraId="7ABCA070" w14:textId="77777777" w:rsidR="00790463" w:rsidRDefault="00790463">
            <w:pPr>
              <w:ind w:right="144"/>
              <w:jc w:val="right"/>
              <w:rPr>
                <w:rFonts w:ascii="Arial" w:hAnsi="Arial" w:cs="Arial"/>
                <w:color w:val="000000" w:themeColor="text1"/>
                <w:sz w:val="18"/>
                <w:szCs w:val="18"/>
              </w:rPr>
            </w:pPr>
            <w:r>
              <w:rPr>
                <w:rFonts w:ascii="Arial" w:hAnsi="Arial" w:cs="Arial"/>
                <w:color w:val="000000" w:themeColor="text1"/>
                <w:sz w:val="18"/>
                <w:szCs w:val="18"/>
              </w:rPr>
              <w:t>4.742</w:t>
            </w:r>
          </w:p>
        </w:tc>
        <w:tc>
          <w:tcPr>
            <w:tcW w:w="1169" w:type="dxa"/>
            <w:tcBorders>
              <w:top w:val="nil"/>
              <w:left w:val="single" w:sz="4" w:space="0" w:color="auto"/>
              <w:bottom w:val="single" w:sz="4" w:space="0" w:color="auto"/>
              <w:right w:val="nil"/>
            </w:tcBorders>
            <w:vAlign w:val="center"/>
          </w:tcPr>
          <w:p w14:paraId="3163D21D" w14:textId="77777777" w:rsidR="00790463" w:rsidRDefault="00790463">
            <w:pPr>
              <w:ind w:left="144"/>
              <w:jc w:val="center"/>
              <w:rPr>
                <w:rFonts w:ascii="Arial" w:hAnsi="Arial" w:cs="Arial"/>
                <w:color w:val="000000" w:themeColor="text1"/>
                <w:sz w:val="18"/>
                <w:szCs w:val="18"/>
              </w:rPr>
            </w:pPr>
          </w:p>
        </w:tc>
        <w:tc>
          <w:tcPr>
            <w:tcW w:w="1169" w:type="dxa"/>
            <w:tcBorders>
              <w:top w:val="nil"/>
              <w:left w:val="nil"/>
              <w:bottom w:val="single" w:sz="4" w:space="0" w:color="auto"/>
              <w:right w:val="nil"/>
            </w:tcBorders>
            <w:vAlign w:val="center"/>
          </w:tcPr>
          <w:p w14:paraId="5D806BE3" w14:textId="77777777" w:rsidR="00790463" w:rsidRDefault="00790463">
            <w:pPr>
              <w:ind w:right="144"/>
              <w:jc w:val="right"/>
              <w:rPr>
                <w:rFonts w:ascii="Arial" w:hAnsi="Arial" w:cs="Arial"/>
                <w:color w:val="000000" w:themeColor="text1"/>
                <w:sz w:val="18"/>
                <w:szCs w:val="18"/>
              </w:rPr>
            </w:pPr>
          </w:p>
        </w:tc>
      </w:tr>
    </w:tbl>
    <w:p w14:paraId="02A6144F" w14:textId="77777777" w:rsidR="00790463" w:rsidRDefault="00790463" w:rsidP="00790463">
      <w:pPr>
        <w:pStyle w:val="ExhibitText"/>
        <w:rPr>
          <w:lang w:val="en-GB"/>
        </w:rPr>
      </w:pPr>
    </w:p>
    <w:p w14:paraId="29D3FB2B" w14:textId="3865BCDE" w:rsidR="00790463" w:rsidRDefault="00790463" w:rsidP="00790463">
      <w:pPr>
        <w:pStyle w:val="Footnote"/>
      </w:pPr>
      <w:r>
        <w:t>Source: “Currencies, Year-to-Date Chance,” AsiaBondsOnline, accessed November 13, 2017, https://asianbondsonline.adb.org/philippines/data/marketwatch.php?code=government_bond_yields.</w:t>
      </w:r>
    </w:p>
    <w:p w14:paraId="37043C2D" w14:textId="77777777" w:rsidR="00790463" w:rsidRDefault="00790463" w:rsidP="00790463">
      <w:pPr>
        <w:pStyle w:val="BodyTextMain"/>
        <w:sectPr w:rsidR="00790463" w:rsidSect="00751E0B">
          <w:headerReference w:type="default" r:id="rId9"/>
          <w:endnotePr>
            <w:numFmt w:val="decimal"/>
          </w:endnotePr>
          <w:pgSz w:w="12240" w:h="15840" w:code="1"/>
          <w:pgMar w:top="1080" w:right="1440" w:bottom="1440" w:left="1440" w:header="1080" w:footer="720" w:gutter="0"/>
          <w:cols w:space="720"/>
          <w:titlePg/>
          <w:docGrid w:linePitch="360"/>
        </w:sectPr>
      </w:pPr>
    </w:p>
    <w:p w14:paraId="6B4B3041" w14:textId="77777777" w:rsidR="00790463" w:rsidRDefault="00790463" w:rsidP="00790463">
      <w:pPr>
        <w:pStyle w:val="ExhibitHeading"/>
      </w:pPr>
      <w:r>
        <w:lastRenderedPageBreak/>
        <w:t>EXHIBIT 11: INFORMATION ON COMPARABLE COMPANIES</w:t>
      </w:r>
    </w:p>
    <w:p w14:paraId="3E87140A" w14:textId="77777777" w:rsidR="00790463" w:rsidRDefault="00790463" w:rsidP="00790463">
      <w:pPr>
        <w:pStyle w:val="ExhibitText"/>
      </w:pPr>
    </w:p>
    <w:tbl>
      <w:tblPr>
        <w:tblW w:w="12960" w:type="dxa"/>
        <w:tblInd w:w="-5" w:type="dxa"/>
        <w:tblLayout w:type="fixed"/>
        <w:tblLook w:val="04A0" w:firstRow="1" w:lastRow="0" w:firstColumn="1" w:lastColumn="0" w:noHBand="0" w:noVBand="1"/>
      </w:tblPr>
      <w:tblGrid>
        <w:gridCol w:w="1440"/>
        <w:gridCol w:w="5585"/>
        <w:gridCol w:w="990"/>
        <w:gridCol w:w="810"/>
        <w:gridCol w:w="900"/>
        <w:gridCol w:w="720"/>
        <w:gridCol w:w="720"/>
        <w:gridCol w:w="1080"/>
        <w:gridCol w:w="715"/>
      </w:tblGrid>
      <w:tr w:rsidR="00790463" w14:paraId="2A99A82A" w14:textId="77777777" w:rsidTr="009D4767">
        <w:trPr>
          <w:trHeight w:val="478"/>
        </w:trPr>
        <w:tc>
          <w:tcPr>
            <w:tcW w:w="1440" w:type="dxa"/>
            <w:tcBorders>
              <w:top w:val="single" w:sz="4" w:space="0" w:color="auto"/>
              <w:left w:val="nil"/>
              <w:bottom w:val="single" w:sz="12" w:space="0" w:color="auto"/>
              <w:right w:val="nil"/>
            </w:tcBorders>
            <w:vAlign w:val="center"/>
            <w:hideMark/>
          </w:tcPr>
          <w:p w14:paraId="5F18A929" w14:textId="77777777" w:rsidR="00790463" w:rsidRDefault="00790463">
            <w:pPr>
              <w:spacing w:line="276" w:lineRule="auto"/>
              <w:rPr>
                <w:rFonts w:ascii="Arial" w:hAnsi="Arial" w:cs="Arial"/>
                <w:b/>
                <w:bCs/>
                <w:color w:val="000000" w:themeColor="text1"/>
                <w:sz w:val="18"/>
                <w:szCs w:val="18"/>
              </w:rPr>
            </w:pPr>
            <w:r>
              <w:rPr>
                <w:rFonts w:ascii="Arial" w:hAnsi="Arial" w:cs="Arial"/>
                <w:b/>
                <w:bCs/>
                <w:color w:val="000000" w:themeColor="text1"/>
                <w:sz w:val="18"/>
                <w:szCs w:val="18"/>
              </w:rPr>
              <w:t>Company Name and Headquarters</w:t>
            </w:r>
          </w:p>
        </w:tc>
        <w:tc>
          <w:tcPr>
            <w:tcW w:w="5585" w:type="dxa"/>
            <w:tcBorders>
              <w:top w:val="single" w:sz="4" w:space="0" w:color="auto"/>
              <w:left w:val="nil"/>
              <w:bottom w:val="single" w:sz="12" w:space="0" w:color="auto"/>
              <w:right w:val="nil"/>
            </w:tcBorders>
            <w:vAlign w:val="center"/>
            <w:hideMark/>
          </w:tcPr>
          <w:p w14:paraId="501E6874" w14:textId="77777777" w:rsidR="00790463" w:rsidRDefault="00790463">
            <w:pPr>
              <w:spacing w:line="276" w:lineRule="auto"/>
              <w:jc w:val="center"/>
              <w:rPr>
                <w:rFonts w:ascii="Arial" w:hAnsi="Arial" w:cs="Arial"/>
                <w:b/>
                <w:bCs/>
                <w:color w:val="000000" w:themeColor="text1"/>
                <w:sz w:val="18"/>
                <w:szCs w:val="18"/>
              </w:rPr>
            </w:pPr>
            <w:r>
              <w:rPr>
                <w:rFonts w:ascii="Arial" w:hAnsi="Arial" w:cs="Arial"/>
                <w:b/>
                <w:bCs/>
                <w:color w:val="000000" w:themeColor="text1"/>
                <w:sz w:val="18"/>
                <w:szCs w:val="18"/>
              </w:rPr>
              <w:t>Business Description</w:t>
            </w:r>
          </w:p>
        </w:tc>
        <w:tc>
          <w:tcPr>
            <w:tcW w:w="990" w:type="dxa"/>
            <w:tcBorders>
              <w:top w:val="single" w:sz="4" w:space="0" w:color="auto"/>
              <w:left w:val="nil"/>
              <w:bottom w:val="single" w:sz="12" w:space="0" w:color="auto"/>
              <w:right w:val="nil"/>
            </w:tcBorders>
            <w:vAlign w:val="center"/>
            <w:hideMark/>
          </w:tcPr>
          <w:p w14:paraId="399A0CD2" w14:textId="77777777" w:rsidR="00790463" w:rsidRDefault="00790463">
            <w:pPr>
              <w:spacing w:line="276" w:lineRule="auto"/>
              <w:jc w:val="center"/>
              <w:rPr>
                <w:rFonts w:ascii="Arial" w:hAnsi="Arial" w:cs="Arial"/>
                <w:b/>
                <w:bCs/>
                <w:color w:val="000000" w:themeColor="text1"/>
                <w:sz w:val="18"/>
                <w:szCs w:val="18"/>
              </w:rPr>
            </w:pPr>
            <w:r>
              <w:rPr>
                <w:rFonts w:ascii="Arial" w:hAnsi="Arial" w:cs="Arial"/>
                <w:b/>
                <w:bCs/>
                <w:color w:val="000000" w:themeColor="text1"/>
                <w:sz w:val="18"/>
                <w:szCs w:val="18"/>
              </w:rPr>
              <w:t>EBITDA Margin</w:t>
            </w:r>
          </w:p>
        </w:tc>
        <w:tc>
          <w:tcPr>
            <w:tcW w:w="810" w:type="dxa"/>
            <w:tcBorders>
              <w:top w:val="single" w:sz="4" w:space="0" w:color="auto"/>
              <w:left w:val="nil"/>
              <w:bottom w:val="single" w:sz="12" w:space="0" w:color="auto"/>
              <w:right w:val="nil"/>
            </w:tcBorders>
            <w:vAlign w:val="center"/>
            <w:hideMark/>
          </w:tcPr>
          <w:p w14:paraId="65EAB698" w14:textId="77777777" w:rsidR="00790463" w:rsidRDefault="00790463">
            <w:pPr>
              <w:spacing w:line="276" w:lineRule="auto"/>
              <w:jc w:val="center"/>
              <w:rPr>
                <w:rFonts w:ascii="Arial" w:hAnsi="Arial" w:cs="Arial"/>
                <w:b/>
                <w:bCs/>
                <w:color w:val="000000" w:themeColor="text1"/>
                <w:sz w:val="18"/>
                <w:szCs w:val="18"/>
              </w:rPr>
            </w:pPr>
            <w:r>
              <w:rPr>
                <w:rFonts w:ascii="Arial" w:hAnsi="Arial" w:cs="Arial"/>
                <w:b/>
                <w:bCs/>
                <w:color w:val="000000" w:themeColor="text1"/>
                <w:sz w:val="18"/>
                <w:szCs w:val="18"/>
              </w:rPr>
              <w:t>Profit Margin</w:t>
            </w:r>
          </w:p>
        </w:tc>
        <w:tc>
          <w:tcPr>
            <w:tcW w:w="900" w:type="dxa"/>
            <w:tcBorders>
              <w:top w:val="single" w:sz="4" w:space="0" w:color="auto"/>
              <w:left w:val="nil"/>
              <w:bottom w:val="single" w:sz="12" w:space="0" w:color="auto"/>
              <w:right w:val="nil"/>
            </w:tcBorders>
            <w:vAlign w:val="center"/>
            <w:hideMark/>
          </w:tcPr>
          <w:p w14:paraId="786BCB0B" w14:textId="77777777" w:rsidR="00790463" w:rsidRDefault="00790463">
            <w:pPr>
              <w:spacing w:line="276" w:lineRule="auto"/>
              <w:jc w:val="center"/>
              <w:rPr>
                <w:rFonts w:ascii="Arial" w:hAnsi="Arial" w:cs="Arial"/>
                <w:b/>
                <w:bCs/>
                <w:color w:val="000000" w:themeColor="text1"/>
                <w:sz w:val="18"/>
                <w:szCs w:val="18"/>
              </w:rPr>
            </w:pPr>
            <w:r>
              <w:rPr>
                <w:rFonts w:ascii="Arial" w:hAnsi="Arial" w:cs="Arial"/>
                <w:b/>
                <w:bCs/>
                <w:color w:val="000000" w:themeColor="text1"/>
                <w:sz w:val="18"/>
                <w:szCs w:val="18"/>
              </w:rPr>
              <w:t>TEV/</w:t>
            </w:r>
          </w:p>
          <w:p w14:paraId="5A595F6D" w14:textId="77777777" w:rsidR="00790463" w:rsidRDefault="00790463">
            <w:pPr>
              <w:spacing w:line="276" w:lineRule="auto"/>
              <w:jc w:val="center"/>
              <w:rPr>
                <w:rFonts w:ascii="Arial" w:hAnsi="Arial" w:cs="Arial"/>
                <w:b/>
                <w:bCs/>
                <w:color w:val="000000" w:themeColor="text1"/>
                <w:sz w:val="18"/>
                <w:szCs w:val="18"/>
              </w:rPr>
            </w:pPr>
            <w:r>
              <w:rPr>
                <w:rFonts w:ascii="Arial" w:hAnsi="Arial" w:cs="Arial"/>
                <w:b/>
                <w:bCs/>
                <w:color w:val="000000" w:themeColor="text1"/>
                <w:sz w:val="18"/>
                <w:szCs w:val="18"/>
              </w:rPr>
              <w:t>EBITDA</w:t>
            </w:r>
          </w:p>
        </w:tc>
        <w:tc>
          <w:tcPr>
            <w:tcW w:w="720" w:type="dxa"/>
            <w:tcBorders>
              <w:top w:val="single" w:sz="4" w:space="0" w:color="auto"/>
              <w:left w:val="nil"/>
              <w:bottom w:val="single" w:sz="12" w:space="0" w:color="auto"/>
              <w:right w:val="nil"/>
            </w:tcBorders>
            <w:vAlign w:val="center"/>
            <w:hideMark/>
          </w:tcPr>
          <w:p w14:paraId="31AED14F" w14:textId="77777777" w:rsidR="00790463" w:rsidRDefault="00790463">
            <w:pPr>
              <w:spacing w:line="276" w:lineRule="auto"/>
              <w:jc w:val="center"/>
              <w:rPr>
                <w:rFonts w:ascii="Arial" w:hAnsi="Arial" w:cs="Arial"/>
                <w:b/>
                <w:bCs/>
                <w:color w:val="000000" w:themeColor="text1"/>
                <w:sz w:val="18"/>
                <w:szCs w:val="18"/>
              </w:rPr>
            </w:pPr>
            <w:r>
              <w:rPr>
                <w:rFonts w:ascii="Arial" w:hAnsi="Arial" w:cs="Arial"/>
                <w:b/>
                <w:bCs/>
                <w:color w:val="000000" w:themeColor="text1"/>
                <w:sz w:val="18"/>
                <w:szCs w:val="18"/>
              </w:rPr>
              <w:t>TEV/ EBIT</w:t>
            </w:r>
          </w:p>
        </w:tc>
        <w:tc>
          <w:tcPr>
            <w:tcW w:w="720" w:type="dxa"/>
            <w:tcBorders>
              <w:top w:val="single" w:sz="4" w:space="0" w:color="auto"/>
              <w:left w:val="nil"/>
              <w:bottom w:val="single" w:sz="12" w:space="0" w:color="auto"/>
              <w:right w:val="nil"/>
            </w:tcBorders>
            <w:vAlign w:val="center"/>
            <w:hideMark/>
          </w:tcPr>
          <w:p w14:paraId="1AA08F14" w14:textId="77777777" w:rsidR="00790463" w:rsidRDefault="00790463">
            <w:pPr>
              <w:spacing w:line="276" w:lineRule="auto"/>
              <w:jc w:val="center"/>
              <w:rPr>
                <w:rFonts w:ascii="Arial" w:hAnsi="Arial" w:cs="Arial"/>
                <w:b/>
                <w:bCs/>
                <w:color w:val="000000" w:themeColor="text1"/>
                <w:sz w:val="18"/>
                <w:szCs w:val="18"/>
              </w:rPr>
            </w:pPr>
            <w:r>
              <w:rPr>
                <w:rFonts w:ascii="Arial" w:hAnsi="Arial" w:cs="Arial"/>
                <w:b/>
                <w:bCs/>
                <w:color w:val="000000" w:themeColor="text1"/>
                <w:sz w:val="18"/>
                <w:szCs w:val="18"/>
              </w:rPr>
              <w:t>P/E</w:t>
            </w:r>
          </w:p>
        </w:tc>
        <w:tc>
          <w:tcPr>
            <w:tcW w:w="1080" w:type="dxa"/>
            <w:tcBorders>
              <w:top w:val="single" w:sz="4" w:space="0" w:color="auto"/>
              <w:left w:val="nil"/>
              <w:bottom w:val="single" w:sz="12" w:space="0" w:color="auto"/>
              <w:right w:val="nil"/>
            </w:tcBorders>
            <w:vAlign w:val="center"/>
            <w:hideMark/>
          </w:tcPr>
          <w:p w14:paraId="1C9DC1C4" w14:textId="77777777" w:rsidR="00790463" w:rsidRDefault="00790463">
            <w:pPr>
              <w:spacing w:line="276" w:lineRule="auto"/>
              <w:jc w:val="center"/>
              <w:rPr>
                <w:rFonts w:ascii="Arial" w:hAnsi="Arial" w:cs="Arial"/>
                <w:b/>
                <w:bCs/>
                <w:color w:val="000000" w:themeColor="text1"/>
                <w:sz w:val="18"/>
                <w:szCs w:val="18"/>
              </w:rPr>
            </w:pPr>
            <w:r>
              <w:rPr>
                <w:rFonts w:ascii="Arial" w:hAnsi="Arial" w:cs="Arial"/>
                <w:b/>
                <w:bCs/>
                <w:color w:val="000000" w:themeColor="text1"/>
                <w:sz w:val="18"/>
                <w:szCs w:val="18"/>
              </w:rPr>
              <w:t>Net Debt/TEV</w:t>
            </w:r>
          </w:p>
        </w:tc>
        <w:tc>
          <w:tcPr>
            <w:tcW w:w="715" w:type="dxa"/>
            <w:tcBorders>
              <w:top w:val="single" w:sz="4" w:space="0" w:color="auto"/>
              <w:left w:val="nil"/>
              <w:bottom w:val="single" w:sz="12" w:space="0" w:color="auto"/>
              <w:right w:val="nil"/>
            </w:tcBorders>
            <w:vAlign w:val="center"/>
            <w:hideMark/>
          </w:tcPr>
          <w:p w14:paraId="6B1F4B53" w14:textId="77777777" w:rsidR="00790463" w:rsidRDefault="00790463">
            <w:pPr>
              <w:spacing w:line="276" w:lineRule="auto"/>
              <w:jc w:val="center"/>
              <w:rPr>
                <w:rFonts w:ascii="Arial" w:hAnsi="Arial" w:cs="Arial"/>
                <w:b/>
                <w:bCs/>
                <w:color w:val="000000" w:themeColor="text1"/>
                <w:sz w:val="18"/>
                <w:szCs w:val="18"/>
              </w:rPr>
            </w:pPr>
            <w:r>
              <w:rPr>
                <w:rFonts w:ascii="Arial" w:hAnsi="Arial" w:cs="Arial"/>
                <w:b/>
                <w:bCs/>
                <w:color w:val="000000" w:themeColor="text1"/>
                <w:sz w:val="18"/>
                <w:szCs w:val="18"/>
              </w:rPr>
              <w:t>Five-Year Beta</w:t>
            </w:r>
          </w:p>
        </w:tc>
      </w:tr>
      <w:tr w:rsidR="00790463" w14:paraId="0DDD136F" w14:textId="77777777" w:rsidTr="009D4767">
        <w:trPr>
          <w:trHeight w:val="1469"/>
        </w:trPr>
        <w:tc>
          <w:tcPr>
            <w:tcW w:w="1440" w:type="dxa"/>
            <w:tcBorders>
              <w:top w:val="single" w:sz="12" w:space="0" w:color="auto"/>
              <w:left w:val="nil"/>
              <w:bottom w:val="single" w:sz="4" w:space="0" w:color="auto"/>
              <w:right w:val="nil"/>
            </w:tcBorders>
            <w:hideMark/>
          </w:tcPr>
          <w:p w14:paraId="63D51438" w14:textId="77777777" w:rsidR="00790463" w:rsidRDefault="00790463">
            <w:pPr>
              <w:spacing w:line="276" w:lineRule="auto"/>
              <w:rPr>
                <w:rFonts w:ascii="Arial" w:hAnsi="Arial" w:cs="Arial"/>
                <w:bCs/>
                <w:color w:val="000000" w:themeColor="text1"/>
                <w:sz w:val="18"/>
                <w:szCs w:val="18"/>
              </w:rPr>
            </w:pPr>
            <w:r>
              <w:rPr>
                <w:rFonts w:ascii="Arial" w:hAnsi="Arial" w:cs="Arial"/>
                <w:bCs/>
                <w:color w:val="000000" w:themeColor="text1"/>
                <w:sz w:val="18"/>
                <w:szCs w:val="18"/>
              </w:rPr>
              <w:t>Jollibee Foods Corporation, Philippines</w:t>
            </w:r>
          </w:p>
        </w:tc>
        <w:tc>
          <w:tcPr>
            <w:tcW w:w="5585" w:type="dxa"/>
            <w:tcBorders>
              <w:top w:val="single" w:sz="12" w:space="0" w:color="auto"/>
              <w:left w:val="nil"/>
              <w:bottom w:val="single" w:sz="4" w:space="0" w:color="auto"/>
              <w:right w:val="nil"/>
            </w:tcBorders>
            <w:hideMark/>
          </w:tcPr>
          <w:p w14:paraId="007594B2" w14:textId="77777777" w:rsidR="00790463" w:rsidRDefault="00790463" w:rsidP="009D4767">
            <w:pPr>
              <w:spacing w:line="276" w:lineRule="auto"/>
              <w:jc w:val="both"/>
              <w:rPr>
                <w:rFonts w:ascii="Arial" w:hAnsi="Arial" w:cs="Arial"/>
                <w:color w:val="000000" w:themeColor="text1"/>
                <w:sz w:val="18"/>
                <w:szCs w:val="18"/>
              </w:rPr>
            </w:pPr>
            <w:r>
              <w:rPr>
                <w:rFonts w:ascii="Arial" w:hAnsi="Arial" w:cs="Arial"/>
                <w:color w:val="000000" w:themeColor="text1"/>
                <w:sz w:val="18"/>
                <w:szCs w:val="18"/>
              </w:rPr>
              <w:t>Jollibee Foods Corporation, together with its subsidiaries, develops, operates, and franchises quick-service restaurants. The company operates quick-service restaurants under the Jollibee, Chowking, Greenwich Pizza, Red Ribbon, Mang Inasal, Burger King Philippines, Yonghe King, Hong Zhuang Yuan, SuperFoods, Smashburger, and Dunkin’ Donuts names. The company generated US$2,056 million in revenues for the last twelve months ended October 2016. It operates approximately 4,279 outlets worldwide. The company also engages in leasing, digital printing advertising, and business management businesses. Jollibee Foods Corporation was founded in 1975 and is headquartered in Pasig City, Philippines.</w:t>
            </w:r>
          </w:p>
        </w:tc>
        <w:tc>
          <w:tcPr>
            <w:tcW w:w="990" w:type="dxa"/>
            <w:tcBorders>
              <w:top w:val="single" w:sz="12" w:space="0" w:color="auto"/>
              <w:left w:val="nil"/>
              <w:bottom w:val="single" w:sz="4" w:space="0" w:color="auto"/>
              <w:right w:val="nil"/>
            </w:tcBorders>
          </w:tcPr>
          <w:p w14:paraId="39D616CE" w14:textId="77777777" w:rsidR="00790463" w:rsidRDefault="00790463">
            <w:pPr>
              <w:spacing w:line="276" w:lineRule="auto"/>
              <w:jc w:val="center"/>
              <w:rPr>
                <w:rFonts w:ascii="Arial" w:hAnsi="Arial" w:cs="Arial"/>
                <w:color w:val="000000" w:themeColor="text1"/>
                <w:sz w:val="18"/>
                <w:szCs w:val="18"/>
              </w:rPr>
            </w:pPr>
          </w:p>
          <w:p w14:paraId="6535A1C5"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8.9%</w:t>
            </w:r>
          </w:p>
        </w:tc>
        <w:tc>
          <w:tcPr>
            <w:tcW w:w="810" w:type="dxa"/>
            <w:tcBorders>
              <w:top w:val="single" w:sz="12" w:space="0" w:color="auto"/>
              <w:left w:val="nil"/>
              <w:bottom w:val="single" w:sz="4" w:space="0" w:color="auto"/>
              <w:right w:val="nil"/>
            </w:tcBorders>
          </w:tcPr>
          <w:p w14:paraId="558BEC10" w14:textId="77777777" w:rsidR="00790463" w:rsidRDefault="00790463">
            <w:pPr>
              <w:spacing w:line="276" w:lineRule="auto"/>
              <w:jc w:val="center"/>
              <w:rPr>
                <w:rFonts w:ascii="Arial" w:hAnsi="Arial" w:cs="Arial"/>
                <w:color w:val="000000" w:themeColor="text1"/>
                <w:sz w:val="18"/>
                <w:szCs w:val="18"/>
              </w:rPr>
            </w:pPr>
          </w:p>
          <w:p w14:paraId="73EC186C"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4.96%</w:t>
            </w:r>
          </w:p>
        </w:tc>
        <w:tc>
          <w:tcPr>
            <w:tcW w:w="900" w:type="dxa"/>
            <w:tcBorders>
              <w:top w:val="single" w:sz="12" w:space="0" w:color="auto"/>
              <w:left w:val="nil"/>
              <w:bottom w:val="single" w:sz="4" w:space="0" w:color="auto"/>
              <w:right w:val="nil"/>
            </w:tcBorders>
          </w:tcPr>
          <w:p w14:paraId="4371D5AE" w14:textId="77777777" w:rsidR="00790463" w:rsidRDefault="00790463">
            <w:pPr>
              <w:spacing w:line="276" w:lineRule="auto"/>
              <w:jc w:val="center"/>
              <w:rPr>
                <w:rFonts w:ascii="Arial" w:hAnsi="Arial" w:cs="Arial"/>
                <w:color w:val="000000" w:themeColor="text1"/>
                <w:sz w:val="18"/>
                <w:szCs w:val="18"/>
              </w:rPr>
            </w:pPr>
          </w:p>
          <w:p w14:paraId="011F442A"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25.0×</w:t>
            </w:r>
          </w:p>
        </w:tc>
        <w:tc>
          <w:tcPr>
            <w:tcW w:w="720" w:type="dxa"/>
            <w:tcBorders>
              <w:top w:val="single" w:sz="12" w:space="0" w:color="auto"/>
              <w:left w:val="nil"/>
              <w:bottom w:val="single" w:sz="4" w:space="0" w:color="auto"/>
              <w:right w:val="nil"/>
            </w:tcBorders>
          </w:tcPr>
          <w:p w14:paraId="2786AB78" w14:textId="77777777" w:rsidR="00790463" w:rsidRDefault="00790463">
            <w:pPr>
              <w:spacing w:line="276" w:lineRule="auto"/>
              <w:jc w:val="center"/>
              <w:rPr>
                <w:rFonts w:ascii="Arial" w:hAnsi="Arial" w:cs="Arial"/>
                <w:color w:val="000000" w:themeColor="text1"/>
                <w:sz w:val="18"/>
                <w:szCs w:val="18"/>
              </w:rPr>
            </w:pPr>
          </w:p>
          <w:p w14:paraId="746CD483"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41.6×</w:t>
            </w:r>
          </w:p>
        </w:tc>
        <w:tc>
          <w:tcPr>
            <w:tcW w:w="720" w:type="dxa"/>
            <w:tcBorders>
              <w:top w:val="single" w:sz="12" w:space="0" w:color="auto"/>
              <w:left w:val="nil"/>
              <w:bottom w:val="single" w:sz="4" w:space="0" w:color="auto"/>
              <w:right w:val="nil"/>
            </w:tcBorders>
          </w:tcPr>
          <w:p w14:paraId="0E219A98" w14:textId="77777777" w:rsidR="00790463" w:rsidRDefault="00790463">
            <w:pPr>
              <w:spacing w:line="276" w:lineRule="auto"/>
              <w:jc w:val="center"/>
              <w:rPr>
                <w:rFonts w:ascii="Arial" w:hAnsi="Arial" w:cs="Arial"/>
                <w:color w:val="000000" w:themeColor="text1"/>
                <w:sz w:val="18"/>
                <w:szCs w:val="18"/>
              </w:rPr>
            </w:pPr>
          </w:p>
          <w:p w14:paraId="3A3471CA"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43.8×</w:t>
            </w:r>
          </w:p>
        </w:tc>
        <w:tc>
          <w:tcPr>
            <w:tcW w:w="1080" w:type="dxa"/>
            <w:tcBorders>
              <w:top w:val="single" w:sz="12" w:space="0" w:color="auto"/>
              <w:left w:val="nil"/>
              <w:bottom w:val="single" w:sz="4" w:space="0" w:color="auto"/>
              <w:right w:val="nil"/>
            </w:tcBorders>
          </w:tcPr>
          <w:p w14:paraId="08FE318C" w14:textId="77777777" w:rsidR="00790463" w:rsidRDefault="00790463">
            <w:pPr>
              <w:spacing w:line="276" w:lineRule="auto"/>
              <w:jc w:val="center"/>
              <w:rPr>
                <w:rFonts w:ascii="Arial" w:hAnsi="Arial" w:cs="Arial"/>
                <w:color w:val="000000" w:themeColor="text1"/>
                <w:sz w:val="18"/>
                <w:szCs w:val="18"/>
              </w:rPr>
            </w:pPr>
          </w:p>
          <w:p w14:paraId="1ABF6F33"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0.00%</w:t>
            </w:r>
          </w:p>
        </w:tc>
        <w:tc>
          <w:tcPr>
            <w:tcW w:w="715" w:type="dxa"/>
            <w:tcBorders>
              <w:top w:val="single" w:sz="12" w:space="0" w:color="auto"/>
              <w:left w:val="nil"/>
              <w:bottom w:val="single" w:sz="4" w:space="0" w:color="auto"/>
              <w:right w:val="nil"/>
            </w:tcBorders>
          </w:tcPr>
          <w:p w14:paraId="3D19B8DE" w14:textId="77777777" w:rsidR="00790463" w:rsidRDefault="00790463">
            <w:pPr>
              <w:spacing w:line="276" w:lineRule="auto"/>
              <w:jc w:val="center"/>
              <w:rPr>
                <w:rFonts w:ascii="Arial" w:hAnsi="Arial" w:cs="Arial"/>
                <w:color w:val="000000" w:themeColor="text1"/>
                <w:sz w:val="18"/>
                <w:szCs w:val="18"/>
              </w:rPr>
            </w:pPr>
          </w:p>
          <w:p w14:paraId="1ED5DF1D"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0.16</w:t>
            </w:r>
          </w:p>
        </w:tc>
      </w:tr>
      <w:tr w:rsidR="00790463" w14:paraId="6493B335" w14:textId="77777777" w:rsidTr="009D4767">
        <w:trPr>
          <w:trHeight w:val="1358"/>
        </w:trPr>
        <w:tc>
          <w:tcPr>
            <w:tcW w:w="1440" w:type="dxa"/>
            <w:tcBorders>
              <w:top w:val="nil"/>
              <w:left w:val="nil"/>
              <w:bottom w:val="single" w:sz="4" w:space="0" w:color="auto"/>
              <w:right w:val="nil"/>
            </w:tcBorders>
            <w:hideMark/>
          </w:tcPr>
          <w:p w14:paraId="753F5021" w14:textId="77777777" w:rsidR="00790463" w:rsidRDefault="00790463">
            <w:pPr>
              <w:spacing w:line="276" w:lineRule="auto"/>
              <w:rPr>
                <w:rFonts w:ascii="Arial" w:hAnsi="Arial" w:cs="Arial"/>
                <w:bCs/>
                <w:color w:val="000000" w:themeColor="text1"/>
                <w:sz w:val="18"/>
                <w:szCs w:val="18"/>
              </w:rPr>
            </w:pPr>
            <w:r>
              <w:rPr>
                <w:rFonts w:ascii="Arial" w:hAnsi="Arial" w:cs="Arial"/>
                <w:bCs/>
                <w:color w:val="000000" w:themeColor="text1"/>
                <w:sz w:val="18"/>
                <w:szCs w:val="18"/>
              </w:rPr>
              <w:t>Max's Group Inc., Philippines</w:t>
            </w:r>
          </w:p>
        </w:tc>
        <w:tc>
          <w:tcPr>
            <w:tcW w:w="5585" w:type="dxa"/>
            <w:tcBorders>
              <w:top w:val="nil"/>
              <w:left w:val="nil"/>
              <w:bottom w:val="single" w:sz="4" w:space="0" w:color="auto"/>
              <w:right w:val="nil"/>
            </w:tcBorders>
            <w:hideMark/>
          </w:tcPr>
          <w:p w14:paraId="18F1F4C8" w14:textId="77777777" w:rsidR="00790463" w:rsidRDefault="00790463" w:rsidP="009D4767">
            <w:pPr>
              <w:spacing w:line="276" w:lineRule="auto"/>
              <w:jc w:val="both"/>
              <w:rPr>
                <w:rFonts w:ascii="Arial" w:hAnsi="Arial" w:cs="Arial"/>
                <w:color w:val="000000" w:themeColor="text1"/>
                <w:sz w:val="18"/>
                <w:szCs w:val="18"/>
              </w:rPr>
            </w:pPr>
            <w:r>
              <w:rPr>
                <w:rFonts w:ascii="Arial" w:hAnsi="Arial" w:cs="Arial"/>
                <w:color w:val="000000" w:themeColor="text1"/>
                <w:sz w:val="18"/>
                <w:szCs w:val="18"/>
              </w:rPr>
              <w:t>Max's Group Inc., together with its subsidiaries, establishes, operates, and maintains restaurants, coffee shops, refreshments parlours, and cocktail lounges in the Philippines and internationally. The company generated US$207 million in revenues for the last twelve months ended October 2016. The company also offers advertising support, real estate, commissary, franchising, and management consultancy. The company’s brands, including Max’s Restaurant, Pancake House, Yellow Cab Pizza, Krispy Kreme, Teriyaki Boy, Dencio’s, Sizzlin’ Steak, Jamba Juice, Le Coeur de France, Kabisera, Maple, and Max’s Corner Bakery, encompass a network of 673 outlets in 55 cities in North America, the Middle East, and Asia. The company was formerly known as Pancake House, Inc. and changed its name to Max’s Group Inc. in August 2014. Max's Group Inc. was founded in 1945 and is based in Makati, Philippines.</w:t>
            </w:r>
          </w:p>
        </w:tc>
        <w:tc>
          <w:tcPr>
            <w:tcW w:w="990" w:type="dxa"/>
            <w:tcBorders>
              <w:top w:val="nil"/>
              <w:left w:val="nil"/>
              <w:bottom w:val="single" w:sz="4" w:space="0" w:color="auto"/>
              <w:right w:val="nil"/>
            </w:tcBorders>
          </w:tcPr>
          <w:p w14:paraId="15485AA0" w14:textId="77777777" w:rsidR="00790463" w:rsidRDefault="00790463">
            <w:pPr>
              <w:spacing w:line="276" w:lineRule="auto"/>
              <w:jc w:val="center"/>
              <w:rPr>
                <w:rFonts w:ascii="Arial" w:hAnsi="Arial" w:cs="Arial"/>
                <w:color w:val="000000" w:themeColor="text1"/>
                <w:sz w:val="18"/>
                <w:szCs w:val="18"/>
              </w:rPr>
            </w:pPr>
          </w:p>
          <w:p w14:paraId="13C967EC"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9.7%</w:t>
            </w:r>
          </w:p>
        </w:tc>
        <w:tc>
          <w:tcPr>
            <w:tcW w:w="810" w:type="dxa"/>
            <w:tcBorders>
              <w:top w:val="nil"/>
              <w:left w:val="nil"/>
              <w:bottom w:val="single" w:sz="4" w:space="0" w:color="auto"/>
              <w:right w:val="nil"/>
            </w:tcBorders>
          </w:tcPr>
          <w:p w14:paraId="30A47A43" w14:textId="77777777" w:rsidR="00790463" w:rsidRDefault="00790463">
            <w:pPr>
              <w:spacing w:line="276" w:lineRule="auto"/>
              <w:jc w:val="center"/>
              <w:rPr>
                <w:rFonts w:ascii="Arial" w:hAnsi="Arial" w:cs="Arial"/>
                <w:color w:val="000000" w:themeColor="text1"/>
                <w:sz w:val="18"/>
                <w:szCs w:val="18"/>
              </w:rPr>
            </w:pPr>
          </w:p>
          <w:p w14:paraId="30F338A7"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4.63%</w:t>
            </w:r>
          </w:p>
        </w:tc>
        <w:tc>
          <w:tcPr>
            <w:tcW w:w="900" w:type="dxa"/>
            <w:tcBorders>
              <w:top w:val="nil"/>
              <w:left w:val="nil"/>
              <w:bottom w:val="single" w:sz="4" w:space="0" w:color="auto"/>
              <w:right w:val="nil"/>
            </w:tcBorders>
          </w:tcPr>
          <w:p w14:paraId="7DD1301D" w14:textId="77777777" w:rsidR="00790463" w:rsidRDefault="00790463">
            <w:pPr>
              <w:spacing w:line="276" w:lineRule="auto"/>
              <w:jc w:val="center"/>
              <w:rPr>
                <w:rFonts w:ascii="Arial" w:hAnsi="Arial" w:cs="Arial"/>
                <w:color w:val="000000" w:themeColor="text1"/>
                <w:sz w:val="18"/>
                <w:szCs w:val="18"/>
              </w:rPr>
            </w:pPr>
          </w:p>
          <w:p w14:paraId="5D2FB362"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21.2×</w:t>
            </w:r>
          </w:p>
        </w:tc>
        <w:tc>
          <w:tcPr>
            <w:tcW w:w="720" w:type="dxa"/>
            <w:tcBorders>
              <w:top w:val="nil"/>
              <w:left w:val="nil"/>
              <w:bottom w:val="single" w:sz="4" w:space="0" w:color="auto"/>
              <w:right w:val="nil"/>
            </w:tcBorders>
          </w:tcPr>
          <w:p w14:paraId="0A019158" w14:textId="77777777" w:rsidR="00790463" w:rsidRDefault="00790463">
            <w:pPr>
              <w:spacing w:line="276" w:lineRule="auto"/>
              <w:jc w:val="center"/>
              <w:rPr>
                <w:rFonts w:ascii="Arial" w:hAnsi="Arial" w:cs="Arial"/>
                <w:color w:val="000000" w:themeColor="text1"/>
                <w:sz w:val="18"/>
                <w:szCs w:val="18"/>
              </w:rPr>
            </w:pPr>
          </w:p>
          <w:p w14:paraId="79318F2B"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29.6×</w:t>
            </w:r>
          </w:p>
        </w:tc>
        <w:tc>
          <w:tcPr>
            <w:tcW w:w="720" w:type="dxa"/>
            <w:tcBorders>
              <w:top w:val="nil"/>
              <w:left w:val="nil"/>
              <w:bottom w:val="single" w:sz="4" w:space="0" w:color="auto"/>
              <w:right w:val="nil"/>
            </w:tcBorders>
          </w:tcPr>
          <w:p w14:paraId="7D4E5948" w14:textId="77777777" w:rsidR="00790463" w:rsidRDefault="00790463">
            <w:pPr>
              <w:spacing w:line="276" w:lineRule="auto"/>
              <w:jc w:val="center"/>
              <w:rPr>
                <w:rFonts w:ascii="Arial" w:hAnsi="Arial" w:cs="Arial"/>
                <w:color w:val="000000" w:themeColor="text1"/>
                <w:sz w:val="18"/>
                <w:szCs w:val="18"/>
              </w:rPr>
            </w:pPr>
          </w:p>
          <w:p w14:paraId="41C41851"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40.3×</w:t>
            </w:r>
          </w:p>
        </w:tc>
        <w:tc>
          <w:tcPr>
            <w:tcW w:w="1080" w:type="dxa"/>
            <w:tcBorders>
              <w:top w:val="nil"/>
              <w:left w:val="nil"/>
              <w:bottom w:val="single" w:sz="4" w:space="0" w:color="auto"/>
              <w:right w:val="nil"/>
            </w:tcBorders>
          </w:tcPr>
          <w:p w14:paraId="1AE5AA54" w14:textId="77777777" w:rsidR="00790463" w:rsidRDefault="00790463">
            <w:pPr>
              <w:spacing w:line="276" w:lineRule="auto"/>
              <w:jc w:val="center"/>
              <w:rPr>
                <w:rFonts w:ascii="Arial" w:hAnsi="Arial" w:cs="Arial"/>
                <w:color w:val="000000" w:themeColor="text1"/>
                <w:sz w:val="18"/>
                <w:szCs w:val="18"/>
              </w:rPr>
            </w:pPr>
          </w:p>
          <w:p w14:paraId="77C41641"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14.34%</w:t>
            </w:r>
          </w:p>
        </w:tc>
        <w:tc>
          <w:tcPr>
            <w:tcW w:w="715" w:type="dxa"/>
            <w:tcBorders>
              <w:top w:val="nil"/>
              <w:left w:val="nil"/>
              <w:bottom w:val="single" w:sz="4" w:space="0" w:color="auto"/>
              <w:right w:val="nil"/>
            </w:tcBorders>
          </w:tcPr>
          <w:p w14:paraId="3896AF3A" w14:textId="77777777" w:rsidR="00790463" w:rsidRDefault="00790463">
            <w:pPr>
              <w:spacing w:line="276" w:lineRule="auto"/>
              <w:jc w:val="center"/>
              <w:rPr>
                <w:rFonts w:ascii="Arial" w:hAnsi="Arial" w:cs="Arial"/>
                <w:color w:val="000000" w:themeColor="text1"/>
                <w:sz w:val="18"/>
                <w:szCs w:val="18"/>
              </w:rPr>
            </w:pPr>
          </w:p>
          <w:p w14:paraId="07CD2867"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1.56</w:t>
            </w:r>
          </w:p>
        </w:tc>
      </w:tr>
      <w:tr w:rsidR="00790463" w14:paraId="3CD55F54" w14:textId="77777777" w:rsidTr="009D4767">
        <w:trPr>
          <w:trHeight w:val="1358"/>
        </w:trPr>
        <w:tc>
          <w:tcPr>
            <w:tcW w:w="1440" w:type="dxa"/>
            <w:tcBorders>
              <w:top w:val="nil"/>
              <w:left w:val="nil"/>
              <w:bottom w:val="single" w:sz="4" w:space="0" w:color="auto"/>
              <w:right w:val="nil"/>
            </w:tcBorders>
            <w:hideMark/>
          </w:tcPr>
          <w:p w14:paraId="114EF683" w14:textId="77777777" w:rsidR="00790463" w:rsidRDefault="00790463">
            <w:pPr>
              <w:spacing w:line="276" w:lineRule="auto"/>
              <w:rPr>
                <w:rFonts w:ascii="Arial" w:hAnsi="Arial" w:cs="Arial"/>
                <w:bCs/>
                <w:color w:val="000000" w:themeColor="text1"/>
                <w:sz w:val="18"/>
                <w:szCs w:val="18"/>
              </w:rPr>
            </w:pPr>
            <w:r>
              <w:rPr>
                <w:rFonts w:ascii="Arial" w:hAnsi="Arial" w:cs="Arial"/>
                <w:bCs/>
                <w:color w:val="000000" w:themeColor="text1"/>
                <w:sz w:val="18"/>
                <w:szCs w:val="18"/>
              </w:rPr>
              <w:t>An-Shin Food Services Co. Ltd., Taiwan</w:t>
            </w:r>
          </w:p>
        </w:tc>
        <w:tc>
          <w:tcPr>
            <w:tcW w:w="5585" w:type="dxa"/>
            <w:tcBorders>
              <w:top w:val="nil"/>
              <w:left w:val="nil"/>
              <w:bottom w:val="single" w:sz="4" w:space="0" w:color="auto"/>
              <w:right w:val="nil"/>
            </w:tcBorders>
            <w:hideMark/>
          </w:tcPr>
          <w:p w14:paraId="1D53B58A" w14:textId="77777777" w:rsidR="00790463" w:rsidRDefault="00790463" w:rsidP="009D4767">
            <w:pPr>
              <w:spacing w:line="276" w:lineRule="auto"/>
              <w:jc w:val="both"/>
              <w:rPr>
                <w:rFonts w:ascii="Arial" w:hAnsi="Arial" w:cs="Arial"/>
                <w:color w:val="000000" w:themeColor="text1"/>
                <w:sz w:val="18"/>
                <w:szCs w:val="18"/>
              </w:rPr>
            </w:pPr>
            <w:r>
              <w:rPr>
                <w:rFonts w:ascii="Arial" w:hAnsi="Arial" w:cs="Arial"/>
                <w:color w:val="000000" w:themeColor="text1"/>
                <w:sz w:val="18"/>
                <w:szCs w:val="18"/>
              </w:rPr>
              <w:t>An-Shin Food Services Co. Ltd. operates a chain of fast food restaurants under the MOS Burger name in Taiwan and mainland China. It offers hamburgers, hotdogs, sandwiches, salads, desserts, soups, and drinks. The company generated revenues of US$148.9 million in the last twelve months ended October 2016. The company was founded in 1990 and is headquartered in Taipei, Taiwan.</w:t>
            </w:r>
          </w:p>
        </w:tc>
        <w:tc>
          <w:tcPr>
            <w:tcW w:w="990" w:type="dxa"/>
            <w:tcBorders>
              <w:top w:val="nil"/>
              <w:left w:val="nil"/>
              <w:bottom w:val="single" w:sz="4" w:space="0" w:color="auto"/>
              <w:right w:val="nil"/>
            </w:tcBorders>
            <w:hideMark/>
          </w:tcPr>
          <w:p w14:paraId="2F684095"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 xml:space="preserve"> </w:t>
            </w:r>
          </w:p>
          <w:p w14:paraId="4D82589D"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 xml:space="preserve">7.8% </w:t>
            </w:r>
          </w:p>
        </w:tc>
        <w:tc>
          <w:tcPr>
            <w:tcW w:w="810" w:type="dxa"/>
            <w:tcBorders>
              <w:top w:val="nil"/>
              <w:left w:val="nil"/>
              <w:bottom w:val="single" w:sz="4" w:space="0" w:color="auto"/>
              <w:right w:val="nil"/>
            </w:tcBorders>
            <w:hideMark/>
          </w:tcPr>
          <w:p w14:paraId="1C8E59A0"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 xml:space="preserve"> </w:t>
            </w:r>
          </w:p>
          <w:p w14:paraId="1C1119C2"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 xml:space="preserve">3.72% </w:t>
            </w:r>
          </w:p>
        </w:tc>
        <w:tc>
          <w:tcPr>
            <w:tcW w:w="900" w:type="dxa"/>
            <w:tcBorders>
              <w:top w:val="nil"/>
              <w:left w:val="nil"/>
              <w:bottom w:val="single" w:sz="4" w:space="0" w:color="auto"/>
              <w:right w:val="nil"/>
            </w:tcBorders>
          </w:tcPr>
          <w:p w14:paraId="5715D7A8" w14:textId="77777777" w:rsidR="00790463" w:rsidRDefault="00790463">
            <w:pPr>
              <w:spacing w:line="276" w:lineRule="auto"/>
              <w:jc w:val="center"/>
              <w:rPr>
                <w:rFonts w:ascii="Arial" w:hAnsi="Arial" w:cs="Arial"/>
                <w:color w:val="000000" w:themeColor="text1"/>
                <w:sz w:val="18"/>
                <w:szCs w:val="18"/>
              </w:rPr>
            </w:pPr>
          </w:p>
          <w:p w14:paraId="7BFF1A00"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2.5×</w:t>
            </w:r>
          </w:p>
        </w:tc>
        <w:tc>
          <w:tcPr>
            <w:tcW w:w="720" w:type="dxa"/>
            <w:tcBorders>
              <w:top w:val="nil"/>
              <w:left w:val="nil"/>
              <w:bottom w:val="single" w:sz="4" w:space="0" w:color="auto"/>
              <w:right w:val="nil"/>
            </w:tcBorders>
          </w:tcPr>
          <w:p w14:paraId="04956744" w14:textId="77777777" w:rsidR="00790463" w:rsidRDefault="00790463">
            <w:pPr>
              <w:spacing w:line="276" w:lineRule="auto"/>
              <w:jc w:val="center"/>
              <w:rPr>
                <w:rFonts w:ascii="Arial" w:hAnsi="Arial" w:cs="Arial"/>
                <w:color w:val="000000" w:themeColor="text1"/>
                <w:sz w:val="18"/>
                <w:szCs w:val="18"/>
              </w:rPr>
            </w:pPr>
          </w:p>
          <w:p w14:paraId="72A75984"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5.4×</w:t>
            </w:r>
          </w:p>
        </w:tc>
        <w:tc>
          <w:tcPr>
            <w:tcW w:w="720" w:type="dxa"/>
            <w:tcBorders>
              <w:top w:val="nil"/>
              <w:left w:val="nil"/>
              <w:bottom w:val="single" w:sz="4" w:space="0" w:color="auto"/>
              <w:right w:val="nil"/>
            </w:tcBorders>
          </w:tcPr>
          <w:p w14:paraId="1922178A" w14:textId="77777777" w:rsidR="00790463" w:rsidRDefault="00790463">
            <w:pPr>
              <w:spacing w:line="276" w:lineRule="auto"/>
              <w:jc w:val="center"/>
              <w:rPr>
                <w:rFonts w:ascii="Arial" w:hAnsi="Arial" w:cs="Arial"/>
                <w:color w:val="000000" w:themeColor="text1"/>
                <w:sz w:val="18"/>
                <w:szCs w:val="18"/>
              </w:rPr>
            </w:pPr>
          </w:p>
          <w:p w14:paraId="4BEDC2E7"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15.2×</w:t>
            </w:r>
          </w:p>
        </w:tc>
        <w:tc>
          <w:tcPr>
            <w:tcW w:w="1080" w:type="dxa"/>
            <w:tcBorders>
              <w:top w:val="nil"/>
              <w:left w:val="nil"/>
              <w:bottom w:val="single" w:sz="4" w:space="0" w:color="auto"/>
              <w:right w:val="nil"/>
            </w:tcBorders>
            <w:hideMark/>
          </w:tcPr>
          <w:p w14:paraId="7B5AF37A"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 xml:space="preserve"> </w:t>
            </w:r>
          </w:p>
          <w:p w14:paraId="6B3B8E2C"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 xml:space="preserve">0.00% </w:t>
            </w:r>
          </w:p>
        </w:tc>
        <w:tc>
          <w:tcPr>
            <w:tcW w:w="715" w:type="dxa"/>
            <w:tcBorders>
              <w:top w:val="nil"/>
              <w:left w:val="nil"/>
              <w:bottom w:val="single" w:sz="4" w:space="0" w:color="auto"/>
              <w:right w:val="nil"/>
            </w:tcBorders>
            <w:hideMark/>
          </w:tcPr>
          <w:p w14:paraId="66CA1BC1"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 xml:space="preserve"> </w:t>
            </w:r>
          </w:p>
          <w:p w14:paraId="729798FF" w14:textId="77777777" w:rsidR="00790463" w:rsidRDefault="00790463">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 xml:space="preserve">0.41 </w:t>
            </w:r>
          </w:p>
        </w:tc>
      </w:tr>
    </w:tbl>
    <w:p w14:paraId="1567CD81" w14:textId="0F9DE26D" w:rsidR="00790463" w:rsidRDefault="00790463" w:rsidP="00790463">
      <w:pPr>
        <w:pStyle w:val="BodyTextMain"/>
      </w:pPr>
    </w:p>
    <w:p w14:paraId="276BD1E6" w14:textId="77777777" w:rsidR="009D4767" w:rsidRDefault="009D4767" w:rsidP="009D4767">
      <w:pPr>
        <w:pStyle w:val="ExhibitHeading"/>
      </w:pPr>
      <w:r>
        <w:lastRenderedPageBreak/>
        <w:t>Exhibit 11 (Continued)</w:t>
      </w:r>
    </w:p>
    <w:p w14:paraId="6E603A32" w14:textId="77777777" w:rsidR="009D4767" w:rsidRDefault="009D4767" w:rsidP="009D4767">
      <w:pPr>
        <w:pStyle w:val="ExhibitText"/>
      </w:pPr>
    </w:p>
    <w:tbl>
      <w:tblPr>
        <w:tblW w:w="12960" w:type="dxa"/>
        <w:tblInd w:w="-5" w:type="dxa"/>
        <w:tblLayout w:type="fixed"/>
        <w:tblLook w:val="04A0" w:firstRow="1" w:lastRow="0" w:firstColumn="1" w:lastColumn="0" w:noHBand="0" w:noVBand="1"/>
      </w:tblPr>
      <w:tblGrid>
        <w:gridCol w:w="1440"/>
        <w:gridCol w:w="5585"/>
        <w:gridCol w:w="990"/>
        <w:gridCol w:w="900"/>
        <w:gridCol w:w="900"/>
        <w:gridCol w:w="720"/>
        <w:gridCol w:w="720"/>
        <w:gridCol w:w="990"/>
        <w:gridCol w:w="715"/>
      </w:tblGrid>
      <w:tr w:rsidR="009D4767" w14:paraId="0F0568DB" w14:textId="77777777" w:rsidTr="00AA6693">
        <w:trPr>
          <w:trHeight w:val="548"/>
        </w:trPr>
        <w:tc>
          <w:tcPr>
            <w:tcW w:w="1440" w:type="dxa"/>
            <w:tcBorders>
              <w:top w:val="single" w:sz="4" w:space="0" w:color="auto"/>
              <w:left w:val="nil"/>
              <w:bottom w:val="single" w:sz="12" w:space="0" w:color="auto"/>
              <w:right w:val="nil"/>
            </w:tcBorders>
            <w:vAlign w:val="center"/>
            <w:hideMark/>
          </w:tcPr>
          <w:p w14:paraId="7CA5819A" w14:textId="77777777" w:rsidR="009D4767" w:rsidRDefault="009D4767">
            <w:pPr>
              <w:spacing w:line="276" w:lineRule="auto"/>
              <w:rPr>
                <w:rFonts w:ascii="Arial" w:hAnsi="Arial" w:cs="Arial"/>
                <w:b/>
                <w:bCs/>
                <w:color w:val="000000" w:themeColor="text1"/>
                <w:sz w:val="18"/>
                <w:szCs w:val="18"/>
              </w:rPr>
            </w:pPr>
            <w:r>
              <w:rPr>
                <w:rFonts w:ascii="Arial" w:hAnsi="Arial" w:cs="Arial"/>
                <w:b/>
                <w:bCs/>
                <w:color w:val="000000" w:themeColor="text1"/>
                <w:sz w:val="18"/>
                <w:szCs w:val="18"/>
              </w:rPr>
              <w:t>Company Name and Headquarters</w:t>
            </w:r>
          </w:p>
        </w:tc>
        <w:tc>
          <w:tcPr>
            <w:tcW w:w="5585" w:type="dxa"/>
            <w:tcBorders>
              <w:top w:val="single" w:sz="4" w:space="0" w:color="auto"/>
              <w:left w:val="nil"/>
              <w:bottom w:val="single" w:sz="12" w:space="0" w:color="auto"/>
              <w:right w:val="nil"/>
            </w:tcBorders>
            <w:vAlign w:val="center"/>
            <w:hideMark/>
          </w:tcPr>
          <w:p w14:paraId="7469F172" w14:textId="77777777" w:rsidR="009D4767" w:rsidRDefault="009D4767">
            <w:pPr>
              <w:spacing w:line="276" w:lineRule="auto"/>
              <w:jc w:val="center"/>
              <w:rPr>
                <w:rFonts w:ascii="Arial" w:hAnsi="Arial" w:cs="Arial"/>
                <w:color w:val="000000" w:themeColor="text1"/>
                <w:sz w:val="18"/>
                <w:szCs w:val="18"/>
              </w:rPr>
            </w:pPr>
            <w:r>
              <w:rPr>
                <w:rFonts w:ascii="Arial" w:hAnsi="Arial" w:cs="Arial"/>
                <w:b/>
                <w:bCs/>
                <w:color w:val="000000" w:themeColor="text1"/>
                <w:sz w:val="18"/>
                <w:szCs w:val="18"/>
              </w:rPr>
              <w:t>Business Description</w:t>
            </w:r>
          </w:p>
        </w:tc>
        <w:tc>
          <w:tcPr>
            <w:tcW w:w="990" w:type="dxa"/>
            <w:tcBorders>
              <w:top w:val="single" w:sz="4" w:space="0" w:color="auto"/>
              <w:left w:val="nil"/>
              <w:bottom w:val="single" w:sz="12" w:space="0" w:color="auto"/>
              <w:right w:val="nil"/>
            </w:tcBorders>
            <w:vAlign w:val="center"/>
            <w:hideMark/>
          </w:tcPr>
          <w:p w14:paraId="1F609009" w14:textId="77777777" w:rsidR="009D4767" w:rsidRDefault="009D4767">
            <w:pPr>
              <w:spacing w:line="276" w:lineRule="auto"/>
              <w:jc w:val="center"/>
              <w:rPr>
                <w:rFonts w:ascii="Arial" w:hAnsi="Arial" w:cs="Arial"/>
                <w:color w:val="000000" w:themeColor="text1"/>
                <w:sz w:val="18"/>
                <w:szCs w:val="18"/>
              </w:rPr>
            </w:pPr>
            <w:r>
              <w:rPr>
                <w:rFonts w:ascii="Arial" w:hAnsi="Arial" w:cs="Arial"/>
                <w:b/>
                <w:bCs/>
                <w:color w:val="000000" w:themeColor="text1"/>
                <w:sz w:val="18"/>
                <w:szCs w:val="18"/>
              </w:rPr>
              <w:t>EBITDA Margin</w:t>
            </w:r>
          </w:p>
        </w:tc>
        <w:tc>
          <w:tcPr>
            <w:tcW w:w="900" w:type="dxa"/>
            <w:tcBorders>
              <w:top w:val="single" w:sz="4" w:space="0" w:color="auto"/>
              <w:left w:val="nil"/>
              <w:bottom w:val="single" w:sz="12" w:space="0" w:color="auto"/>
              <w:right w:val="nil"/>
            </w:tcBorders>
            <w:vAlign w:val="center"/>
            <w:hideMark/>
          </w:tcPr>
          <w:p w14:paraId="56827938" w14:textId="77777777" w:rsidR="009D4767" w:rsidRDefault="009D4767">
            <w:pPr>
              <w:spacing w:line="276" w:lineRule="auto"/>
              <w:jc w:val="center"/>
              <w:rPr>
                <w:rFonts w:ascii="Arial" w:hAnsi="Arial" w:cs="Arial"/>
                <w:color w:val="000000" w:themeColor="text1"/>
                <w:sz w:val="18"/>
                <w:szCs w:val="18"/>
              </w:rPr>
            </w:pPr>
            <w:r>
              <w:rPr>
                <w:rFonts w:ascii="Arial" w:hAnsi="Arial" w:cs="Arial"/>
                <w:b/>
                <w:bCs/>
                <w:color w:val="000000" w:themeColor="text1"/>
                <w:sz w:val="18"/>
                <w:szCs w:val="18"/>
              </w:rPr>
              <w:t>Profit Margin</w:t>
            </w:r>
          </w:p>
        </w:tc>
        <w:tc>
          <w:tcPr>
            <w:tcW w:w="900" w:type="dxa"/>
            <w:tcBorders>
              <w:top w:val="single" w:sz="4" w:space="0" w:color="auto"/>
              <w:left w:val="nil"/>
              <w:bottom w:val="single" w:sz="12" w:space="0" w:color="auto"/>
              <w:right w:val="nil"/>
            </w:tcBorders>
            <w:vAlign w:val="center"/>
            <w:hideMark/>
          </w:tcPr>
          <w:p w14:paraId="66712BEA" w14:textId="77777777" w:rsidR="009D4767" w:rsidRDefault="009D4767">
            <w:pPr>
              <w:spacing w:line="276" w:lineRule="auto"/>
              <w:jc w:val="center"/>
              <w:rPr>
                <w:rFonts w:ascii="Arial" w:hAnsi="Arial" w:cs="Arial"/>
                <w:b/>
                <w:bCs/>
                <w:color w:val="000000" w:themeColor="text1"/>
                <w:sz w:val="18"/>
                <w:szCs w:val="18"/>
              </w:rPr>
            </w:pPr>
            <w:r>
              <w:rPr>
                <w:rFonts w:ascii="Arial" w:hAnsi="Arial" w:cs="Arial"/>
                <w:b/>
                <w:bCs/>
                <w:color w:val="000000" w:themeColor="text1"/>
                <w:sz w:val="18"/>
                <w:szCs w:val="18"/>
              </w:rPr>
              <w:t>TEV/</w:t>
            </w:r>
          </w:p>
          <w:p w14:paraId="1EAE904B" w14:textId="77777777" w:rsidR="009D4767" w:rsidRDefault="009D4767">
            <w:pPr>
              <w:spacing w:line="276" w:lineRule="auto"/>
              <w:jc w:val="center"/>
              <w:rPr>
                <w:rFonts w:ascii="Arial" w:hAnsi="Arial" w:cs="Arial"/>
                <w:color w:val="000000" w:themeColor="text1"/>
                <w:sz w:val="18"/>
                <w:szCs w:val="18"/>
              </w:rPr>
            </w:pPr>
            <w:r>
              <w:rPr>
                <w:rFonts w:ascii="Arial" w:hAnsi="Arial" w:cs="Arial"/>
                <w:b/>
                <w:bCs/>
                <w:color w:val="000000" w:themeColor="text1"/>
                <w:sz w:val="18"/>
                <w:szCs w:val="18"/>
              </w:rPr>
              <w:t>EBITDA</w:t>
            </w:r>
          </w:p>
        </w:tc>
        <w:tc>
          <w:tcPr>
            <w:tcW w:w="720" w:type="dxa"/>
            <w:tcBorders>
              <w:top w:val="single" w:sz="4" w:space="0" w:color="auto"/>
              <w:left w:val="nil"/>
              <w:bottom w:val="single" w:sz="12" w:space="0" w:color="auto"/>
              <w:right w:val="nil"/>
            </w:tcBorders>
            <w:vAlign w:val="center"/>
            <w:hideMark/>
          </w:tcPr>
          <w:p w14:paraId="29E25062" w14:textId="77777777" w:rsidR="009D4767" w:rsidRDefault="009D4767">
            <w:pPr>
              <w:spacing w:line="276" w:lineRule="auto"/>
              <w:jc w:val="center"/>
              <w:rPr>
                <w:rFonts w:ascii="Arial" w:hAnsi="Arial" w:cs="Arial"/>
                <w:color w:val="000000" w:themeColor="text1"/>
                <w:sz w:val="18"/>
                <w:szCs w:val="18"/>
              </w:rPr>
            </w:pPr>
            <w:r>
              <w:rPr>
                <w:rFonts w:ascii="Arial" w:hAnsi="Arial" w:cs="Arial"/>
                <w:b/>
                <w:bCs/>
                <w:color w:val="000000" w:themeColor="text1"/>
                <w:sz w:val="18"/>
                <w:szCs w:val="18"/>
              </w:rPr>
              <w:t>TEV/ EBIT</w:t>
            </w:r>
          </w:p>
        </w:tc>
        <w:tc>
          <w:tcPr>
            <w:tcW w:w="720" w:type="dxa"/>
            <w:tcBorders>
              <w:top w:val="single" w:sz="4" w:space="0" w:color="auto"/>
              <w:left w:val="nil"/>
              <w:bottom w:val="single" w:sz="12" w:space="0" w:color="auto"/>
              <w:right w:val="nil"/>
            </w:tcBorders>
            <w:vAlign w:val="center"/>
            <w:hideMark/>
          </w:tcPr>
          <w:p w14:paraId="6A328FD9" w14:textId="77777777" w:rsidR="009D4767" w:rsidRDefault="009D4767">
            <w:pPr>
              <w:spacing w:line="276" w:lineRule="auto"/>
              <w:jc w:val="center"/>
              <w:rPr>
                <w:rFonts w:ascii="Arial" w:hAnsi="Arial" w:cs="Arial"/>
                <w:color w:val="000000" w:themeColor="text1"/>
                <w:sz w:val="18"/>
                <w:szCs w:val="18"/>
              </w:rPr>
            </w:pPr>
            <w:r>
              <w:rPr>
                <w:rFonts w:ascii="Arial" w:hAnsi="Arial" w:cs="Arial"/>
                <w:b/>
                <w:bCs/>
                <w:color w:val="000000" w:themeColor="text1"/>
                <w:sz w:val="18"/>
                <w:szCs w:val="18"/>
              </w:rPr>
              <w:t>P/E</w:t>
            </w:r>
          </w:p>
        </w:tc>
        <w:tc>
          <w:tcPr>
            <w:tcW w:w="990" w:type="dxa"/>
            <w:tcBorders>
              <w:top w:val="single" w:sz="4" w:space="0" w:color="auto"/>
              <w:left w:val="nil"/>
              <w:bottom w:val="single" w:sz="12" w:space="0" w:color="auto"/>
              <w:right w:val="nil"/>
            </w:tcBorders>
            <w:vAlign w:val="center"/>
            <w:hideMark/>
          </w:tcPr>
          <w:p w14:paraId="30C56647" w14:textId="77777777" w:rsidR="009D4767" w:rsidRDefault="009D4767">
            <w:pPr>
              <w:spacing w:line="276" w:lineRule="auto"/>
              <w:jc w:val="center"/>
              <w:rPr>
                <w:rFonts w:ascii="Arial" w:hAnsi="Arial" w:cs="Arial"/>
                <w:color w:val="000000" w:themeColor="text1"/>
                <w:sz w:val="18"/>
                <w:szCs w:val="18"/>
              </w:rPr>
            </w:pPr>
            <w:r>
              <w:rPr>
                <w:rFonts w:ascii="Arial" w:hAnsi="Arial" w:cs="Arial"/>
                <w:b/>
                <w:bCs/>
                <w:color w:val="000000" w:themeColor="text1"/>
                <w:sz w:val="18"/>
                <w:szCs w:val="18"/>
              </w:rPr>
              <w:t>Net Debt/TEV</w:t>
            </w:r>
          </w:p>
        </w:tc>
        <w:tc>
          <w:tcPr>
            <w:tcW w:w="715" w:type="dxa"/>
            <w:tcBorders>
              <w:top w:val="single" w:sz="4" w:space="0" w:color="auto"/>
              <w:left w:val="nil"/>
              <w:bottom w:val="single" w:sz="12" w:space="0" w:color="auto"/>
              <w:right w:val="nil"/>
            </w:tcBorders>
            <w:vAlign w:val="center"/>
            <w:hideMark/>
          </w:tcPr>
          <w:p w14:paraId="1FF18198" w14:textId="77777777" w:rsidR="009D4767" w:rsidRDefault="009D4767">
            <w:pPr>
              <w:spacing w:line="276" w:lineRule="auto"/>
              <w:jc w:val="center"/>
              <w:rPr>
                <w:rFonts w:ascii="Arial" w:hAnsi="Arial" w:cs="Arial"/>
                <w:color w:val="000000" w:themeColor="text1"/>
                <w:sz w:val="18"/>
                <w:szCs w:val="18"/>
              </w:rPr>
            </w:pPr>
            <w:r>
              <w:rPr>
                <w:rFonts w:ascii="Arial" w:hAnsi="Arial" w:cs="Arial"/>
                <w:b/>
                <w:bCs/>
                <w:color w:val="000000" w:themeColor="text1"/>
                <w:sz w:val="18"/>
                <w:szCs w:val="18"/>
              </w:rPr>
              <w:t>Five-Year Beta</w:t>
            </w:r>
          </w:p>
        </w:tc>
      </w:tr>
      <w:tr w:rsidR="009D4767" w14:paraId="2DA98713" w14:textId="77777777" w:rsidTr="009D4767">
        <w:trPr>
          <w:trHeight w:val="548"/>
        </w:trPr>
        <w:tc>
          <w:tcPr>
            <w:tcW w:w="1440" w:type="dxa"/>
            <w:tcBorders>
              <w:top w:val="single" w:sz="12" w:space="0" w:color="auto"/>
              <w:left w:val="nil"/>
              <w:bottom w:val="single" w:sz="4" w:space="0" w:color="auto"/>
              <w:right w:val="nil"/>
            </w:tcBorders>
            <w:hideMark/>
          </w:tcPr>
          <w:p w14:paraId="5D945BB8" w14:textId="77777777" w:rsidR="009D4767" w:rsidRDefault="009D4767">
            <w:pPr>
              <w:spacing w:line="276" w:lineRule="auto"/>
              <w:rPr>
                <w:rFonts w:ascii="Arial" w:hAnsi="Arial" w:cs="Arial"/>
                <w:bCs/>
                <w:color w:val="000000" w:themeColor="text1"/>
                <w:sz w:val="18"/>
                <w:szCs w:val="18"/>
              </w:rPr>
            </w:pPr>
            <w:r>
              <w:rPr>
                <w:rFonts w:ascii="Arial" w:hAnsi="Arial" w:cs="Arial"/>
                <w:bCs/>
                <w:color w:val="000000" w:themeColor="text1"/>
                <w:sz w:val="18"/>
                <w:szCs w:val="18"/>
              </w:rPr>
              <w:t>Berjaya Food Berhad, Malaysia</w:t>
            </w:r>
          </w:p>
        </w:tc>
        <w:tc>
          <w:tcPr>
            <w:tcW w:w="5585" w:type="dxa"/>
            <w:tcBorders>
              <w:top w:val="single" w:sz="12" w:space="0" w:color="auto"/>
              <w:left w:val="nil"/>
              <w:bottom w:val="single" w:sz="4" w:space="0" w:color="auto"/>
              <w:right w:val="nil"/>
            </w:tcBorders>
            <w:hideMark/>
          </w:tcPr>
          <w:p w14:paraId="1F8F8A99" w14:textId="77777777" w:rsidR="009D4767" w:rsidRDefault="009D4767" w:rsidP="009D4767">
            <w:pPr>
              <w:spacing w:line="276" w:lineRule="auto"/>
              <w:jc w:val="both"/>
              <w:rPr>
                <w:rFonts w:ascii="Arial" w:hAnsi="Arial" w:cs="Arial"/>
                <w:color w:val="000000" w:themeColor="text1"/>
                <w:sz w:val="18"/>
                <w:szCs w:val="18"/>
              </w:rPr>
            </w:pPr>
            <w:r>
              <w:rPr>
                <w:rFonts w:ascii="Arial" w:hAnsi="Arial" w:cs="Arial"/>
                <w:color w:val="000000" w:themeColor="text1"/>
                <w:sz w:val="18"/>
                <w:szCs w:val="18"/>
              </w:rPr>
              <w:t xml:space="preserve">Berjaya Food Berhad, an investment holding company, develops and operates restaurant and cafe chains and retail outlets in Malaysia and other Southeast Asian countries. The company generated US$138 million in revenues for the twelve months ended October 2016. As of April 30, 2018, the company operated a chain of 81 Kenny Rogers Roasters restaurants in Malaysia; 260 Starbucks stores, including 39 drive-through stores in Malaysia; four Starbucks stores, including one drive-through concept store in Brunei; and 21 Jollibean outlets, nine Sushi Deli outlets, and one Kopi Alley outlet in Singapore. Berjaya Food Berhad is a subsidiary of Berjaya Corporation Berhad. The company was incorporated in 2009 and is based in Kuala Lumpur, Malaysia. </w:t>
            </w:r>
          </w:p>
        </w:tc>
        <w:tc>
          <w:tcPr>
            <w:tcW w:w="990" w:type="dxa"/>
            <w:tcBorders>
              <w:top w:val="single" w:sz="12" w:space="0" w:color="auto"/>
              <w:left w:val="nil"/>
              <w:bottom w:val="single" w:sz="4" w:space="0" w:color="auto"/>
              <w:right w:val="nil"/>
            </w:tcBorders>
          </w:tcPr>
          <w:p w14:paraId="60C4C082" w14:textId="77777777" w:rsidR="009D4767" w:rsidRDefault="009D4767">
            <w:pPr>
              <w:spacing w:line="276" w:lineRule="auto"/>
              <w:jc w:val="center"/>
              <w:rPr>
                <w:rFonts w:ascii="Arial" w:hAnsi="Arial" w:cs="Arial"/>
                <w:color w:val="000000" w:themeColor="text1"/>
                <w:sz w:val="18"/>
                <w:szCs w:val="18"/>
              </w:rPr>
            </w:pPr>
          </w:p>
          <w:p w14:paraId="771A2C84" w14:textId="77777777" w:rsidR="009D4767" w:rsidRDefault="009D4767">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12.5%</w:t>
            </w:r>
          </w:p>
        </w:tc>
        <w:tc>
          <w:tcPr>
            <w:tcW w:w="900" w:type="dxa"/>
            <w:tcBorders>
              <w:top w:val="single" w:sz="12" w:space="0" w:color="auto"/>
              <w:left w:val="nil"/>
              <w:bottom w:val="single" w:sz="4" w:space="0" w:color="auto"/>
              <w:right w:val="nil"/>
            </w:tcBorders>
          </w:tcPr>
          <w:p w14:paraId="422AB65E" w14:textId="77777777" w:rsidR="009D4767" w:rsidRDefault="009D4767">
            <w:pPr>
              <w:spacing w:line="276" w:lineRule="auto"/>
              <w:jc w:val="center"/>
              <w:rPr>
                <w:rFonts w:ascii="Arial" w:hAnsi="Arial" w:cs="Arial"/>
                <w:color w:val="000000" w:themeColor="text1"/>
                <w:sz w:val="18"/>
                <w:szCs w:val="18"/>
              </w:rPr>
            </w:pPr>
          </w:p>
          <w:p w14:paraId="7BA31C12" w14:textId="77777777" w:rsidR="009D4767" w:rsidRDefault="009D4767">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3.30%</w:t>
            </w:r>
          </w:p>
        </w:tc>
        <w:tc>
          <w:tcPr>
            <w:tcW w:w="900" w:type="dxa"/>
            <w:tcBorders>
              <w:top w:val="single" w:sz="12" w:space="0" w:color="auto"/>
              <w:left w:val="nil"/>
              <w:bottom w:val="single" w:sz="4" w:space="0" w:color="auto"/>
              <w:right w:val="nil"/>
            </w:tcBorders>
          </w:tcPr>
          <w:p w14:paraId="3B78DC45" w14:textId="77777777" w:rsidR="009D4767" w:rsidRDefault="009D4767">
            <w:pPr>
              <w:spacing w:line="276" w:lineRule="auto"/>
              <w:jc w:val="center"/>
              <w:rPr>
                <w:rFonts w:ascii="Arial" w:hAnsi="Arial" w:cs="Arial"/>
                <w:color w:val="000000" w:themeColor="text1"/>
                <w:sz w:val="18"/>
                <w:szCs w:val="18"/>
              </w:rPr>
            </w:pPr>
          </w:p>
          <w:p w14:paraId="26A7151D" w14:textId="77777777" w:rsidR="009D4767" w:rsidRDefault="009D4767">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11.0×</w:t>
            </w:r>
          </w:p>
        </w:tc>
        <w:tc>
          <w:tcPr>
            <w:tcW w:w="720" w:type="dxa"/>
            <w:tcBorders>
              <w:top w:val="single" w:sz="12" w:space="0" w:color="auto"/>
              <w:left w:val="nil"/>
              <w:bottom w:val="single" w:sz="4" w:space="0" w:color="auto"/>
              <w:right w:val="nil"/>
            </w:tcBorders>
          </w:tcPr>
          <w:p w14:paraId="72E1CF66" w14:textId="77777777" w:rsidR="009D4767" w:rsidRDefault="009D4767">
            <w:pPr>
              <w:spacing w:line="276" w:lineRule="auto"/>
              <w:jc w:val="center"/>
              <w:rPr>
                <w:rFonts w:ascii="Arial" w:hAnsi="Arial" w:cs="Arial"/>
                <w:color w:val="000000" w:themeColor="text1"/>
                <w:sz w:val="18"/>
                <w:szCs w:val="18"/>
              </w:rPr>
            </w:pPr>
          </w:p>
          <w:p w14:paraId="5BDE8266" w14:textId="77777777" w:rsidR="009D4767" w:rsidRDefault="009D4767">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20.6×</w:t>
            </w:r>
          </w:p>
        </w:tc>
        <w:tc>
          <w:tcPr>
            <w:tcW w:w="720" w:type="dxa"/>
            <w:tcBorders>
              <w:top w:val="single" w:sz="12" w:space="0" w:color="auto"/>
              <w:left w:val="nil"/>
              <w:bottom w:val="single" w:sz="4" w:space="0" w:color="auto"/>
              <w:right w:val="nil"/>
            </w:tcBorders>
          </w:tcPr>
          <w:p w14:paraId="023D771F" w14:textId="77777777" w:rsidR="009D4767" w:rsidRDefault="009D4767">
            <w:pPr>
              <w:spacing w:line="276" w:lineRule="auto"/>
              <w:jc w:val="center"/>
              <w:rPr>
                <w:rFonts w:ascii="Arial" w:hAnsi="Arial" w:cs="Arial"/>
                <w:color w:val="000000" w:themeColor="text1"/>
                <w:sz w:val="18"/>
                <w:szCs w:val="18"/>
              </w:rPr>
            </w:pPr>
          </w:p>
          <w:p w14:paraId="0B0FA19A" w14:textId="77777777" w:rsidR="009D4767" w:rsidRDefault="009D4767">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29.4×</w:t>
            </w:r>
          </w:p>
        </w:tc>
        <w:tc>
          <w:tcPr>
            <w:tcW w:w="990" w:type="dxa"/>
            <w:tcBorders>
              <w:top w:val="single" w:sz="12" w:space="0" w:color="auto"/>
              <w:left w:val="nil"/>
              <w:bottom w:val="single" w:sz="4" w:space="0" w:color="auto"/>
              <w:right w:val="nil"/>
            </w:tcBorders>
          </w:tcPr>
          <w:p w14:paraId="71B75368" w14:textId="77777777" w:rsidR="009D4767" w:rsidRDefault="009D4767">
            <w:pPr>
              <w:spacing w:line="276" w:lineRule="auto"/>
              <w:jc w:val="center"/>
              <w:rPr>
                <w:rFonts w:ascii="Arial" w:hAnsi="Arial" w:cs="Arial"/>
                <w:color w:val="000000" w:themeColor="text1"/>
                <w:sz w:val="18"/>
                <w:szCs w:val="18"/>
              </w:rPr>
            </w:pPr>
          </w:p>
          <w:p w14:paraId="2107B209" w14:textId="77777777" w:rsidR="009D4767" w:rsidRDefault="009D4767">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27.27%</w:t>
            </w:r>
          </w:p>
        </w:tc>
        <w:tc>
          <w:tcPr>
            <w:tcW w:w="715" w:type="dxa"/>
            <w:tcBorders>
              <w:top w:val="single" w:sz="12" w:space="0" w:color="auto"/>
              <w:left w:val="nil"/>
              <w:bottom w:val="single" w:sz="4" w:space="0" w:color="auto"/>
              <w:right w:val="nil"/>
            </w:tcBorders>
          </w:tcPr>
          <w:p w14:paraId="3F45D82A" w14:textId="77777777" w:rsidR="009D4767" w:rsidRDefault="009D4767">
            <w:pPr>
              <w:spacing w:line="276" w:lineRule="auto"/>
              <w:jc w:val="center"/>
              <w:rPr>
                <w:rFonts w:ascii="Arial" w:hAnsi="Arial" w:cs="Arial"/>
                <w:color w:val="000000" w:themeColor="text1"/>
                <w:sz w:val="18"/>
                <w:szCs w:val="18"/>
              </w:rPr>
            </w:pPr>
          </w:p>
          <w:p w14:paraId="75829560" w14:textId="77777777" w:rsidR="009D4767" w:rsidRDefault="009D4767">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0.43</w:t>
            </w:r>
          </w:p>
        </w:tc>
      </w:tr>
      <w:tr w:rsidR="009D4767" w14:paraId="5A4B6262" w14:textId="77777777" w:rsidTr="00AA6693">
        <w:trPr>
          <w:trHeight w:val="1106"/>
        </w:trPr>
        <w:tc>
          <w:tcPr>
            <w:tcW w:w="1440" w:type="dxa"/>
            <w:tcBorders>
              <w:top w:val="nil"/>
              <w:left w:val="nil"/>
              <w:bottom w:val="single" w:sz="4" w:space="0" w:color="auto"/>
              <w:right w:val="nil"/>
            </w:tcBorders>
            <w:hideMark/>
          </w:tcPr>
          <w:p w14:paraId="5BAFBFD7" w14:textId="77777777" w:rsidR="009D4767" w:rsidRDefault="009D4767">
            <w:pPr>
              <w:spacing w:line="276" w:lineRule="auto"/>
              <w:rPr>
                <w:rFonts w:ascii="Arial" w:hAnsi="Arial" w:cs="Arial"/>
                <w:bCs/>
                <w:color w:val="000000" w:themeColor="text1"/>
                <w:sz w:val="18"/>
                <w:szCs w:val="18"/>
              </w:rPr>
            </w:pPr>
            <w:r>
              <w:rPr>
                <w:rFonts w:ascii="Arial" w:hAnsi="Arial" w:cs="Arial"/>
                <w:bCs/>
                <w:color w:val="000000" w:themeColor="text1"/>
                <w:sz w:val="18"/>
                <w:szCs w:val="18"/>
              </w:rPr>
              <w:t>BJ's Restaurants Inc., United States</w:t>
            </w:r>
          </w:p>
        </w:tc>
        <w:tc>
          <w:tcPr>
            <w:tcW w:w="5585" w:type="dxa"/>
            <w:tcBorders>
              <w:top w:val="nil"/>
              <w:left w:val="nil"/>
              <w:bottom w:val="single" w:sz="4" w:space="0" w:color="auto"/>
              <w:right w:val="nil"/>
            </w:tcBorders>
            <w:hideMark/>
          </w:tcPr>
          <w:p w14:paraId="005F7014" w14:textId="77777777" w:rsidR="009D4767" w:rsidRDefault="009D4767" w:rsidP="009D4767">
            <w:pPr>
              <w:spacing w:line="276" w:lineRule="auto"/>
              <w:jc w:val="both"/>
              <w:rPr>
                <w:rFonts w:ascii="Arial" w:hAnsi="Arial" w:cs="Arial"/>
                <w:color w:val="000000" w:themeColor="text1"/>
                <w:sz w:val="18"/>
                <w:szCs w:val="18"/>
              </w:rPr>
            </w:pPr>
            <w:r>
              <w:rPr>
                <w:rFonts w:ascii="Arial" w:hAnsi="Arial" w:cs="Arial"/>
                <w:color w:val="000000" w:themeColor="text1"/>
                <w:sz w:val="18"/>
                <w:szCs w:val="18"/>
              </w:rPr>
              <w:t>BJ’s Restaurants Inc. owns and operates 201 casual dining restaurants in 27 states across the United States. The company generated US$960 million in revenues for the last twelve months ended October 2016. Its restaurants offer pizzas, craft and other beers, appetizers, entrees, pastas, sandwiches, specialty salads, and desserts. The company operates its restaurants under the BJ’s Restaurant &amp; Brewhouse, BJ’s Restaurant &amp; Brewery, BJ’s Pizza &amp; Grill, and BJ’s Grill brand names. BJ’s Restaurants Inc. was founded in 1978 and is based in Huntington Beach, California.</w:t>
            </w:r>
          </w:p>
        </w:tc>
        <w:tc>
          <w:tcPr>
            <w:tcW w:w="990" w:type="dxa"/>
            <w:tcBorders>
              <w:top w:val="nil"/>
              <w:left w:val="nil"/>
              <w:bottom w:val="single" w:sz="4" w:space="0" w:color="auto"/>
              <w:right w:val="nil"/>
            </w:tcBorders>
          </w:tcPr>
          <w:p w14:paraId="685B61FD" w14:textId="77777777" w:rsidR="009D4767" w:rsidRDefault="009D4767">
            <w:pPr>
              <w:spacing w:line="276" w:lineRule="auto"/>
              <w:jc w:val="center"/>
              <w:rPr>
                <w:rFonts w:ascii="Arial" w:hAnsi="Arial" w:cs="Arial"/>
                <w:color w:val="000000" w:themeColor="text1"/>
                <w:sz w:val="18"/>
                <w:szCs w:val="18"/>
              </w:rPr>
            </w:pPr>
          </w:p>
          <w:p w14:paraId="14CB25FE" w14:textId="77777777" w:rsidR="009D4767" w:rsidRDefault="009D4767">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13.3%</w:t>
            </w:r>
          </w:p>
        </w:tc>
        <w:tc>
          <w:tcPr>
            <w:tcW w:w="900" w:type="dxa"/>
            <w:tcBorders>
              <w:top w:val="nil"/>
              <w:left w:val="nil"/>
              <w:bottom w:val="single" w:sz="4" w:space="0" w:color="auto"/>
              <w:right w:val="nil"/>
            </w:tcBorders>
          </w:tcPr>
          <w:p w14:paraId="507D4588" w14:textId="77777777" w:rsidR="009D4767" w:rsidRDefault="009D4767">
            <w:pPr>
              <w:spacing w:line="276" w:lineRule="auto"/>
              <w:jc w:val="center"/>
              <w:rPr>
                <w:rFonts w:ascii="Arial" w:hAnsi="Arial" w:cs="Arial"/>
                <w:color w:val="000000" w:themeColor="text1"/>
                <w:sz w:val="18"/>
                <w:szCs w:val="18"/>
              </w:rPr>
            </w:pPr>
          </w:p>
          <w:p w14:paraId="70E15E73" w14:textId="77777777" w:rsidR="009D4767" w:rsidRDefault="009D4767">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4.54%</w:t>
            </w:r>
          </w:p>
        </w:tc>
        <w:tc>
          <w:tcPr>
            <w:tcW w:w="900" w:type="dxa"/>
            <w:tcBorders>
              <w:top w:val="nil"/>
              <w:left w:val="nil"/>
              <w:bottom w:val="single" w:sz="4" w:space="0" w:color="auto"/>
              <w:right w:val="nil"/>
            </w:tcBorders>
          </w:tcPr>
          <w:p w14:paraId="10F15F23" w14:textId="77777777" w:rsidR="009D4767" w:rsidRDefault="009D4767">
            <w:pPr>
              <w:spacing w:line="276" w:lineRule="auto"/>
              <w:jc w:val="center"/>
              <w:rPr>
                <w:rFonts w:ascii="Arial" w:hAnsi="Arial" w:cs="Arial"/>
                <w:color w:val="000000" w:themeColor="text1"/>
                <w:sz w:val="18"/>
                <w:szCs w:val="18"/>
              </w:rPr>
            </w:pPr>
          </w:p>
          <w:p w14:paraId="16DB70D9" w14:textId="77777777" w:rsidR="009D4767" w:rsidRDefault="009D4767">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7.5×</w:t>
            </w:r>
          </w:p>
        </w:tc>
        <w:tc>
          <w:tcPr>
            <w:tcW w:w="720" w:type="dxa"/>
            <w:tcBorders>
              <w:top w:val="nil"/>
              <w:left w:val="nil"/>
              <w:bottom w:val="single" w:sz="4" w:space="0" w:color="auto"/>
              <w:right w:val="nil"/>
            </w:tcBorders>
          </w:tcPr>
          <w:p w14:paraId="7B84F1F8" w14:textId="77777777" w:rsidR="009D4767" w:rsidRDefault="009D4767">
            <w:pPr>
              <w:spacing w:line="276" w:lineRule="auto"/>
              <w:jc w:val="center"/>
              <w:rPr>
                <w:rFonts w:ascii="Arial" w:hAnsi="Arial" w:cs="Arial"/>
                <w:color w:val="000000" w:themeColor="text1"/>
                <w:sz w:val="18"/>
                <w:szCs w:val="18"/>
              </w:rPr>
            </w:pPr>
          </w:p>
          <w:p w14:paraId="3643BFB0" w14:textId="77777777" w:rsidR="009D4767" w:rsidRDefault="009D4767">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14.7×</w:t>
            </w:r>
          </w:p>
        </w:tc>
        <w:tc>
          <w:tcPr>
            <w:tcW w:w="720" w:type="dxa"/>
            <w:tcBorders>
              <w:top w:val="nil"/>
              <w:left w:val="nil"/>
              <w:bottom w:val="single" w:sz="4" w:space="0" w:color="auto"/>
              <w:right w:val="nil"/>
            </w:tcBorders>
          </w:tcPr>
          <w:p w14:paraId="601DA1DF" w14:textId="77777777" w:rsidR="009D4767" w:rsidRDefault="009D4767">
            <w:pPr>
              <w:spacing w:line="276" w:lineRule="auto"/>
              <w:jc w:val="center"/>
              <w:rPr>
                <w:rFonts w:ascii="Arial" w:hAnsi="Arial" w:cs="Arial"/>
                <w:color w:val="000000" w:themeColor="text1"/>
                <w:sz w:val="18"/>
                <w:szCs w:val="18"/>
              </w:rPr>
            </w:pPr>
          </w:p>
          <w:p w14:paraId="6BD7C72B" w14:textId="77777777" w:rsidR="009D4767" w:rsidRDefault="009D4767">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21.3×</w:t>
            </w:r>
          </w:p>
        </w:tc>
        <w:tc>
          <w:tcPr>
            <w:tcW w:w="990" w:type="dxa"/>
            <w:tcBorders>
              <w:top w:val="nil"/>
              <w:left w:val="nil"/>
              <w:bottom w:val="single" w:sz="4" w:space="0" w:color="auto"/>
              <w:right w:val="nil"/>
            </w:tcBorders>
          </w:tcPr>
          <w:p w14:paraId="5000B0AF" w14:textId="77777777" w:rsidR="009D4767" w:rsidRDefault="009D4767">
            <w:pPr>
              <w:spacing w:line="276" w:lineRule="auto"/>
              <w:jc w:val="center"/>
              <w:rPr>
                <w:rFonts w:ascii="Arial" w:hAnsi="Arial" w:cs="Arial"/>
                <w:color w:val="000000" w:themeColor="text1"/>
                <w:sz w:val="18"/>
                <w:szCs w:val="18"/>
              </w:rPr>
            </w:pPr>
          </w:p>
          <w:p w14:paraId="4587115A" w14:textId="77777777" w:rsidR="009D4767" w:rsidRDefault="009D4767">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8.74%</w:t>
            </w:r>
          </w:p>
        </w:tc>
        <w:tc>
          <w:tcPr>
            <w:tcW w:w="715" w:type="dxa"/>
            <w:tcBorders>
              <w:top w:val="nil"/>
              <w:left w:val="nil"/>
              <w:bottom w:val="single" w:sz="4" w:space="0" w:color="auto"/>
              <w:right w:val="nil"/>
            </w:tcBorders>
          </w:tcPr>
          <w:p w14:paraId="69B1731F" w14:textId="77777777" w:rsidR="009D4767" w:rsidRDefault="009D4767">
            <w:pPr>
              <w:spacing w:line="276" w:lineRule="auto"/>
              <w:jc w:val="center"/>
              <w:rPr>
                <w:rFonts w:ascii="Arial" w:hAnsi="Arial" w:cs="Arial"/>
                <w:color w:val="000000" w:themeColor="text1"/>
                <w:sz w:val="18"/>
                <w:szCs w:val="18"/>
              </w:rPr>
            </w:pPr>
          </w:p>
          <w:p w14:paraId="579A6CC3" w14:textId="77777777" w:rsidR="009D4767" w:rsidRDefault="009D4767">
            <w:pPr>
              <w:spacing w:line="276" w:lineRule="auto"/>
              <w:jc w:val="center"/>
              <w:rPr>
                <w:rFonts w:ascii="Arial" w:hAnsi="Arial" w:cs="Arial"/>
                <w:color w:val="000000" w:themeColor="text1"/>
                <w:sz w:val="18"/>
                <w:szCs w:val="18"/>
              </w:rPr>
            </w:pPr>
            <w:r>
              <w:rPr>
                <w:rFonts w:ascii="Arial" w:hAnsi="Arial" w:cs="Arial"/>
                <w:color w:val="000000" w:themeColor="text1"/>
                <w:sz w:val="18"/>
                <w:szCs w:val="18"/>
              </w:rPr>
              <w:t>0.95</w:t>
            </w:r>
          </w:p>
        </w:tc>
      </w:tr>
    </w:tbl>
    <w:p w14:paraId="190A38DF" w14:textId="77777777" w:rsidR="009D4767" w:rsidRDefault="009D4767" w:rsidP="009D4767">
      <w:pPr>
        <w:pStyle w:val="ExhibitText"/>
        <w:rPr>
          <w:lang w:val="en-GB"/>
        </w:rPr>
      </w:pPr>
    </w:p>
    <w:p w14:paraId="383492BC" w14:textId="77777777" w:rsidR="009D4767" w:rsidRDefault="009D4767" w:rsidP="009D4767">
      <w:pPr>
        <w:pStyle w:val="Footnote"/>
      </w:pPr>
      <w:r>
        <w:t>Note: EBITDA = earnings before interest, taxes, depreciation, and amortization; TEV/EBITDA = total enterprise value to earnings before interest, taxes, depreciation, and amortization; TEV/EBIT = total enterprise value to earnings before interest and taxes; P/E = price to earnings; Net Debt/TEV = net debt to total enterprise value.</w:t>
      </w:r>
    </w:p>
    <w:p w14:paraId="212B9186" w14:textId="066DA5F0" w:rsidR="00790463" w:rsidRDefault="009D4767" w:rsidP="009D4767">
      <w:pPr>
        <w:pStyle w:val="Footnote"/>
      </w:pPr>
      <w:r>
        <w:t xml:space="preserve">Source: Capital IQ Quick Comps Table, December 2, 2016, </w:t>
      </w:r>
      <w:r w:rsidR="006E1BFD" w:rsidRPr="00E427FE">
        <w:t>S&amp;P Capital IQ</w:t>
      </w:r>
      <w:r w:rsidR="006E1BFD">
        <w:t>, accessed</w:t>
      </w:r>
      <w:r>
        <w:t xml:space="preserve"> October 31, 2018. Beta was derived by running a five-year regression of Philippine, Malaysian, and Taiwan stock returns against the MSCI Emerging Markets Index returns. Beta of the U.S. stock was estimated using the U.S. S&amp;P 500 Index.</w:t>
      </w:r>
    </w:p>
    <w:p w14:paraId="3A1DAD44" w14:textId="0B2EC037" w:rsidR="009D4767" w:rsidRDefault="009D4767" w:rsidP="00790463">
      <w:pPr>
        <w:pStyle w:val="BodyTextMain"/>
      </w:pPr>
    </w:p>
    <w:p w14:paraId="1B90C132" w14:textId="7986B0C0" w:rsidR="009D4767" w:rsidRDefault="009D4767" w:rsidP="00790463">
      <w:pPr>
        <w:pStyle w:val="BodyTextMain"/>
      </w:pPr>
    </w:p>
    <w:p w14:paraId="3F379ECD" w14:textId="77777777" w:rsidR="009D4767" w:rsidRDefault="009D4767" w:rsidP="00790463">
      <w:pPr>
        <w:pStyle w:val="BodyTextMain"/>
      </w:pPr>
    </w:p>
    <w:p w14:paraId="47944018" w14:textId="121DED76" w:rsidR="00790463" w:rsidRDefault="00790463">
      <w:pPr>
        <w:spacing w:after="200" w:line="276" w:lineRule="auto"/>
        <w:rPr>
          <w:rFonts w:ascii="Arial" w:hAnsi="Arial" w:cs="Arial"/>
          <w:b/>
          <w:caps/>
        </w:rPr>
      </w:pPr>
      <w:r>
        <w:br w:type="page"/>
      </w:r>
    </w:p>
    <w:p w14:paraId="636AF687" w14:textId="77777777" w:rsidR="009D4767" w:rsidRDefault="009D4767" w:rsidP="002B40FF">
      <w:pPr>
        <w:pStyle w:val="Casehead1"/>
        <w:sectPr w:rsidR="009D4767" w:rsidSect="00790463">
          <w:headerReference w:type="default" r:id="rId10"/>
          <w:endnotePr>
            <w:numFmt w:val="decimal"/>
          </w:endnotePr>
          <w:pgSz w:w="15840" w:h="12240" w:orient="landscape" w:code="1"/>
          <w:pgMar w:top="1440" w:right="1440" w:bottom="1440" w:left="1440" w:header="1080" w:footer="720" w:gutter="0"/>
          <w:cols w:space="720"/>
          <w:docGrid w:linePitch="360"/>
        </w:sectPr>
      </w:pPr>
    </w:p>
    <w:p w14:paraId="4BA9A8C6" w14:textId="2348055A" w:rsidR="00790463" w:rsidRDefault="00790463" w:rsidP="009D4767">
      <w:pPr>
        <w:pStyle w:val="Casehead1"/>
      </w:pPr>
      <w:r>
        <w:lastRenderedPageBreak/>
        <w:t>endnotes</w:t>
      </w:r>
    </w:p>
    <w:sectPr w:rsidR="00790463" w:rsidSect="009D4767">
      <w:headerReference w:type="default" r:id="rId11"/>
      <w:endnotePr>
        <w:numFmt w:val="decimal"/>
      </w:endnotePr>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DDF168" w16cid:durableId="217B82F5"/>
  <w16cid:commentId w16cid:paraId="2E8212FD" w16cid:durableId="217B86BA"/>
  <w16cid:commentId w16cid:paraId="426D08C1" w16cid:durableId="217B82F6"/>
  <w16cid:commentId w16cid:paraId="76046BEF" w16cid:durableId="217B8783"/>
  <w16cid:commentId w16cid:paraId="6BF5B13F" w16cid:durableId="217B82F7"/>
  <w16cid:commentId w16cid:paraId="60206CA1" w16cid:durableId="217B87F7"/>
  <w16cid:commentId w16cid:paraId="4B9DB59F" w16cid:durableId="217B82F8"/>
  <w16cid:commentId w16cid:paraId="2D9B359A" w16cid:durableId="217B8968"/>
  <w16cid:commentId w16cid:paraId="7C4D78CA" w16cid:durableId="217B82F9"/>
  <w16cid:commentId w16cid:paraId="74FE77A7" w16cid:durableId="217B8A4F"/>
  <w16cid:commentId w16cid:paraId="431FCA07" w16cid:durableId="217B82FA"/>
  <w16cid:commentId w16cid:paraId="5471A66F" w16cid:durableId="217B8A8C"/>
  <w16cid:commentId w16cid:paraId="67B81A90" w16cid:durableId="217B82FB"/>
  <w16cid:commentId w16cid:paraId="20132B5C" w16cid:durableId="217B8AA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051AB" w14:textId="77777777" w:rsidR="006E1BFD" w:rsidRDefault="006E1BFD" w:rsidP="00D75295">
      <w:r>
        <w:separator/>
      </w:r>
    </w:p>
  </w:endnote>
  <w:endnote w:type="continuationSeparator" w:id="0">
    <w:p w14:paraId="386BCD3F" w14:textId="77777777" w:rsidR="006E1BFD" w:rsidRDefault="006E1BFD" w:rsidP="00D75295">
      <w:r>
        <w:continuationSeparator/>
      </w:r>
    </w:p>
  </w:endnote>
  <w:endnote w:id="1">
    <w:p w14:paraId="7DC05976" w14:textId="759D167C" w:rsidR="006E1BFD" w:rsidRPr="005E7D6B" w:rsidRDefault="006E1BFD" w:rsidP="005E7D6B">
      <w:pPr>
        <w:pStyle w:val="Footnote"/>
      </w:pPr>
      <w:r>
        <w:rPr>
          <w:rStyle w:val="EndnoteReference"/>
        </w:rPr>
        <w:endnoteRef/>
      </w:r>
      <w:r>
        <w:t xml:space="preserve"> </w:t>
      </w:r>
      <w:r w:rsidRPr="00AE602A">
        <w:t xml:space="preserve">This case has been written on the basis of published sources only. Consequently, the interpretation and perspectives presented in this case are not necessarily those of </w:t>
      </w:r>
      <w:r>
        <w:t>Shakey’s Pizza Asia Ventures Inc.</w:t>
      </w:r>
      <w:r w:rsidRPr="00AE602A">
        <w:t xml:space="preserve"> or any of its employees.</w:t>
      </w:r>
    </w:p>
  </w:endnote>
  <w:endnote w:id="2">
    <w:p w14:paraId="63970FEC" w14:textId="77777777" w:rsidR="006E1BFD" w:rsidRDefault="006E1BFD" w:rsidP="00790463">
      <w:pPr>
        <w:pStyle w:val="Footnote"/>
      </w:pPr>
      <w:r>
        <w:rPr>
          <w:rStyle w:val="EndnoteReference"/>
        </w:rPr>
        <w:endnoteRef/>
      </w:r>
      <w:r>
        <w:t xml:space="preserve"> ₱ = PHP = Philippine peso; US$1 = ₱49.6269 on December 2, 2016.</w:t>
      </w:r>
    </w:p>
  </w:endnote>
  <w:endnote w:id="3">
    <w:p w14:paraId="354ACE64" w14:textId="77777777" w:rsidR="006E1BFD" w:rsidRDefault="006E1BFD" w:rsidP="00790463">
      <w:pPr>
        <w:pStyle w:val="Footnote"/>
      </w:pPr>
      <w:r>
        <w:rPr>
          <w:rStyle w:val="EndnoteReference"/>
        </w:rPr>
        <w:endnoteRef/>
      </w:r>
      <w:r>
        <w:t xml:space="preserve"> Shakey’s Pizza Asia Ventures Inc., </w:t>
      </w:r>
      <w:r>
        <w:rPr>
          <w:i/>
        </w:rPr>
        <w:t>Prospectus</w:t>
      </w:r>
      <w:r>
        <w:t>, November 26, 2016, accessed April 24, 2017, https://spavi-noo-prod.s3.ap-southeast-1.amazonaws.com/s3fs-public/prospectus/2018-07/PIZZA%20Prospectus.PDF.</w:t>
      </w:r>
    </w:p>
  </w:endnote>
  <w:endnote w:id="4">
    <w:p w14:paraId="11DC9D42" w14:textId="77777777" w:rsidR="006E1BFD" w:rsidRDefault="006E1BFD" w:rsidP="00790463">
      <w:pPr>
        <w:pStyle w:val="Footnote"/>
      </w:pPr>
      <w:r>
        <w:rPr>
          <w:rStyle w:val="EndnoteReference"/>
        </w:rPr>
        <w:endnoteRef/>
      </w:r>
      <w:r>
        <w:t xml:space="preserve"> Ibid. </w:t>
      </w:r>
    </w:p>
  </w:endnote>
  <w:endnote w:id="5">
    <w:p w14:paraId="5789B907" w14:textId="77777777" w:rsidR="006E1BFD" w:rsidRDefault="006E1BFD" w:rsidP="00790463">
      <w:pPr>
        <w:pStyle w:val="Footnote"/>
      </w:pPr>
      <w:r>
        <w:rPr>
          <w:rStyle w:val="EndnoteReference"/>
        </w:rPr>
        <w:endnoteRef/>
      </w:r>
      <w:r>
        <w:t xml:space="preserve"> Ibid. </w:t>
      </w:r>
    </w:p>
  </w:endnote>
  <w:endnote w:id="6">
    <w:p w14:paraId="598C2964" w14:textId="77777777" w:rsidR="006E1BFD" w:rsidRDefault="006E1BFD" w:rsidP="00790463">
      <w:pPr>
        <w:pStyle w:val="Footnote"/>
      </w:pPr>
      <w:r>
        <w:rPr>
          <w:rStyle w:val="EndnoteReference"/>
        </w:rPr>
        <w:endnoteRef/>
      </w:r>
      <w:r>
        <w:t xml:space="preserve"> Ibid. </w:t>
      </w:r>
    </w:p>
  </w:endnote>
  <w:endnote w:id="7">
    <w:p w14:paraId="711CD816" w14:textId="77777777" w:rsidR="006E1BFD" w:rsidRDefault="006E1BFD" w:rsidP="00790463">
      <w:pPr>
        <w:pStyle w:val="Footnote"/>
      </w:pPr>
      <w:r>
        <w:rPr>
          <w:rStyle w:val="EndnoteReference"/>
        </w:rPr>
        <w:endnoteRef/>
      </w:r>
      <w:r>
        <w:t xml:space="preserve"> Ibid. </w:t>
      </w:r>
    </w:p>
  </w:endnote>
  <w:endnote w:id="8">
    <w:p w14:paraId="7A9AC05F" w14:textId="77777777" w:rsidR="006E1BFD" w:rsidRDefault="006E1BFD" w:rsidP="00790463">
      <w:pPr>
        <w:pStyle w:val="Footnote"/>
      </w:pPr>
      <w:r>
        <w:rPr>
          <w:rStyle w:val="EndnoteReference"/>
        </w:rPr>
        <w:endnoteRef/>
      </w:r>
      <w:r>
        <w:t xml:space="preserve"> Ibid. </w:t>
      </w:r>
    </w:p>
  </w:endnote>
  <w:endnote w:id="9">
    <w:p w14:paraId="1DD2EA6F" w14:textId="77777777" w:rsidR="006E1BFD" w:rsidRDefault="006E1BFD" w:rsidP="00790463">
      <w:pPr>
        <w:pStyle w:val="Footnote"/>
      </w:pPr>
      <w:r>
        <w:rPr>
          <w:rStyle w:val="EndnoteReference"/>
        </w:rPr>
        <w:endnoteRef/>
      </w:r>
      <w:r>
        <w:t xml:space="preserve"> Doris Dumlao-Abadilla, “Shakey’s IPO Gets SEC Nod; Target Listing Date on Dec. 15,” </w:t>
      </w:r>
      <w:r>
        <w:rPr>
          <w:i/>
        </w:rPr>
        <w:t>Philippine Daily Inquirer</w:t>
      </w:r>
      <w:r>
        <w:t>, November 21, 2016, accessed November 3, 2017, http://business.inquirer.net/219930/shakeys-ipo-gets-sec-nod-target-listing-date-dec-15.</w:t>
      </w:r>
    </w:p>
  </w:endnote>
  <w:endnote w:id="10">
    <w:p w14:paraId="3F7869C8" w14:textId="77777777" w:rsidR="006E1BFD" w:rsidRDefault="006E1BFD" w:rsidP="00790463">
      <w:pPr>
        <w:pStyle w:val="Footnote"/>
      </w:pPr>
      <w:r>
        <w:rPr>
          <w:rStyle w:val="EndnoteReference"/>
        </w:rPr>
        <w:endnoteRef/>
      </w:r>
      <w:r>
        <w:t xml:space="preserve"> The Philippine middle-income class had an average annual income greater than ₱600,000.</w:t>
      </w:r>
    </w:p>
  </w:endnote>
  <w:endnote w:id="11">
    <w:p w14:paraId="097F061C" w14:textId="77777777" w:rsidR="006E1BFD" w:rsidRDefault="006E1BFD" w:rsidP="00790463">
      <w:pPr>
        <w:pStyle w:val="Footnote"/>
      </w:pPr>
      <w:r>
        <w:rPr>
          <w:rStyle w:val="EndnoteReference"/>
        </w:rPr>
        <w:endnoteRef/>
      </w:r>
      <w:r>
        <w:t xml:space="preserve"> Shakey’s Pizza Asia Ventures Inc., op. cit.</w:t>
      </w:r>
    </w:p>
  </w:endnote>
  <w:endnote w:id="12">
    <w:p w14:paraId="691A1B96" w14:textId="77777777" w:rsidR="006E1BFD" w:rsidRDefault="006E1BFD" w:rsidP="00790463">
      <w:pPr>
        <w:pStyle w:val="Footnote"/>
      </w:pPr>
      <w:r>
        <w:rPr>
          <w:rStyle w:val="EndnoteReference"/>
        </w:rPr>
        <w:endnoteRef/>
      </w:r>
      <w:r>
        <w:t xml:space="preserve"> Krista Angela M. Montealegre, “Century Pacific, GIC Gobble Up Shakey’s Philippines,” </w:t>
      </w:r>
      <w:r>
        <w:rPr>
          <w:i/>
        </w:rPr>
        <w:t>BusinessWorld Online</w:t>
      </w:r>
      <w:r>
        <w:t>, March 24, 2016, accessed November 3, 2017, www.bworldonline.com/content.php?section=Corporate&amp;title=century-pacific-gic-gobble-up-shakeys-philippines&amp;id=124953.</w:t>
      </w:r>
    </w:p>
  </w:endnote>
  <w:endnote w:id="13">
    <w:p w14:paraId="29A14B45" w14:textId="77777777" w:rsidR="006E1BFD" w:rsidRDefault="006E1BFD" w:rsidP="00790463">
      <w:pPr>
        <w:pStyle w:val="Footnote"/>
      </w:pPr>
      <w:r>
        <w:rPr>
          <w:rStyle w:val="EndnoteReference"/>
        </w:rPr>
        <w:endnoteRef/>
      </w:r>
      <w:r>
        <w:t xml:space="preserve"> GIC (website), accessed November 3, 2017, www.gic.com.sg/about-gic/overview.</w:t>
      </w:r>
    </w:p>
  </w:endnote>
  <w:endnote w:id="14">
    <w:p w14:paraId="2BD1609F" w14:textId="77777777" w:rsidR="006E1BFD" w:rsidRDefault="006E1BFD" w:rsidP="00790463">
      <w:pPr>
        <w:pStyle w:val="Footnote"/>
      </w:pPr>
      <w:r>
        <w:rPr>
          <w:rStyle w:val="EndnoteReference"/>
        </w:rPr>
        <w:endnoteRef/>
      </w:r>
      <w:r>
        <w:t xml:space="preserve"> Doris Dumlao-Abadilla, “Po Family, GIC Buy Shakey’s Pizza Chain,” </w:t>
      </w:r>
      <w:r>
        <w:rPr>
          <w:i/>
        </w:rPr>
        <w:t>Philippine Daily Inquirer</w:t>
      </w:r>
      <w:r>
        <w:t>, March 23, 2016, accessed November 3, 2017, http://business.inquirer.net/208862/po-family-gic.</w:t>
      </w:r>
    </w:p>
  </w:endnote>
  <w:endnote w:id="15">
    <w:p w14:paraId="5FF1E03C" w14:textId="2B3EB2AD" w:rsidR="006E1BFD" w:rsidRPr="00B97AC2" w:rsidRDefault="006E1BFD" w:rsidP="00A224DC">
      <w:pPr>
        <w:pStyle w:val="Footnote"/>
      </w:pPr>
      <w:r>
        <w:rPr>
          <w:rStyle w:val="EndnoteReference"/>
        </w:rPr>
        <w:endnoteRef/>
      </w:r>
      <w:r>
        <w:t xml:space="preserve"> COL Financial, “Shakey’s Pizza Ventures, Inc: Dominant Leader of the Local Pizza Market,” </w:t>
      </w:r>
      <w:r>
        <w:rPr>
          <w:i/>
        </w:rPr>
        <w:t>Field Notes</w:t>
      </w:r>
      <w:r>
        <w:t>, December 7, 2016, accessed April 25, 2018, https://ph5.colfinancial.com/ape/FINAL2_STARTER/ResearchCompUpdates/Downloads/2016-12-07-PH-S-PIZZA.pdf.</w:t>
      </w:r>
    </w:p>
  </w:endnote>
  <w:endnote w:id="16">
    <w:p w14:paraId="1A748357" w14:textId="55B64249" w:rsidR="006E1BFD" w:rsidRDefault="006E1BFD" w:rsidP="00790463">
      <w:pPr>
        <w:pStyle w:val="Footnote"/>
      </w:pPr>
      <w:r>
        <w:rPr>
          <w:rStyle w:val="EndnoteReference"/>
        </w:rPr>
        <w:endnoteRef/>
      </w:r>
      <w:r>
        <w:t xml:space="preserve"> Doris Dumlao-Abadilla, “Po Family, GIC Buy Shakey’s Pizza Chain,” </w:t>
      </w:r>
      <w:r>
        <w:rPr>
          <w:i/>
        </w:rPr>
        <w:t>Philippine Daily Inquirer</w:t>
      </w:r>
      <w:r>
        <w:t>, March 23, 2016, accessed November 3, 2017, http://business.inquirer.net/208862/po-family-gic.</w:t>
      </w:r>
    </w:p>
  </w:endnote>
  <w:endnote w:id="17">
    <w:p w14:paraId="02DF5057" w14:textId="1274D2B1" w:rsidR="006E1BFD" w:rsidRDefault="006E1BFD" w:rsidP="00790463">
      <w:pPr>
        <w:pStyle w:val="Footnote"/>
      </w:pPr>
      <w:r>
        <w:rPr>
          <w:rStyle w:val="EndnoteReference"/>
        </w:rPr>
        <w:endnoteRef/>
      </w:r>
      <w:r>
        <w:t xml:space="preserve"> </w:t>
      </w:r>
      <w:bookmarkStart w:id="6" w:name="_Hlk528773364"/>
      <w:bookmarkStart w:id="7" w:name="_Hlk8045324"/>
      <w:r>
        <w:t xml:space="preserve">COL Financial, </w:t>
      </w:r>
      <w:bookmarkEnd w:id="6"/>
      <w:r>
        <w:t>op. cit.</w:t>
      </w:r>
      <w:bookmarkEnd w:id="7"/>
    </w:p>
  </w:endnote>
  <w:endnote w:id="18">
    <w:p w14:paraId="4C19C1C4" w14:textId="77777777" w:rsidR="006E1BFD" w:rsidRDefault="006E1BFD" w:rsidP="00790463">
      <w:pPr>
        <w:pStyle w:val="Footnote"/>
      </w:pPr>
      <w:r>
        <w:rPr>
          <w:rStyle w:val="EndnoteReference"/>
        </w:rPr>
        <w:endnoteRef/>
      </w:r>
      <w:r>
        <w:t xml:space="preserve"> </w:t>
      </w:r>
      <w:bookmarkStart w:id="8" w:name="_Hlk8041842"/>
      <w:r>
        <w:t xml:space="preserve">The five-year Philippine Dealing System Treasury Reference Rate </w:t>
      </w:r>
      <w:bookmarkEnd w:id="8"/>
      <w:r>
        <w:t>(PDST-R2) was the benchmark interest rate of similar Philippine Treasury instruments that were used as reference rates for other interest-rate-sensitive instruments such as bank debt and bonds.</w:t>
      </w:r>
    </w:p>
  </w:endnote>
  <w:endnote w:id="19">
    <w:p w14:paraId="132B63D6" w14:textId="77777777" w:rsidR="006E1BFD" w:rsidRDefault="006E1BFD" w:rsidP="00790463">
      <w:pPr>
        <w:pStyle w:val="Footnote"/>
      </w:pPr>
      <w:r>
        <w:rPr>
          <w:rStyle w:val="EndnoteReference"/>
        </w:rPr>
        <w:endnoteRef/>
      </w:r>
      <w:r>
        <w:t xml:space="preserve"> COL Financial, op. cit. </w:t>
      </w:r>
    </w:p>
  </w:endnote>
  <w:endnote w:id="20">
    <w:p w14:paraId="02A1B4E1" w14:textId="77777777" w:rsidR="006E1BFD" w:rsidRDefault="006E1BFD" w:rsidP="00790463">
      <w:pPr>
        <w:pStyle w:val="Footnote"/>
      </w:pPr>
      <w:r>
        <w:rPr>
          <w:rStyle w:val="EndnoteReference"/>
        </w:rPr>
        <w:endnoteRef/>
      </w:r>
      <w:r>
        <w:t xml:space="preserve"> Ibid. </w:t>
      </w:r>
    </w:p>
  </w:endnote>
  <w:endnote w:id="21">
    <w:p w14:paraId="4CA59DF9" w14:textId="77777777" w:rsidR="006E1BFD" w:rsidRDefault="006E1BFD" w:rsidP="00B97AC2">
      <w:pPr>
        <w:pStyle w:val="Footnote"/>
      </w:pPr>
      <w:r>
        <w:rPr>
          <w:rStyle w:val="EndnoteReference"/>
        </w:rPr>
        <w:endnoteRef/>
      </w:r>
      <w:r>
        <w:t xml:space="preserve"> Shakey’s Pizza Asia Ventures Inc., op. cit.</w:t>
      </w:r>
    </w:p>
  </w:endnote>
  <w:endnote w:id="22">
    <w:p w14:paraId="1D9A2390" w14:textId="77777777" w:rsidR="006E1BFD" w:rsidRDefault="006E1BFD" w:rsidP="00790463">
      <w:pPr>
        <w:pStyle w:val="Footnote"/>
      </w:pPr>
      <w:r>
        <w:rPr>
          <w:rStyle w:val="EndnoteReference"/>
        </w:rPr>
        <w:endnoteRef/>
      </w:r>
      <w:r>
        <w:t xml:space="preserve"> Chris Schnabel, “PH GDP Grows by 7.1% in Q3 2016,” Rappler, November 17, 2016, accessed March 24, 2019, www.rappler.com/business/152642-gross-domestic-product-growth-q3-2016.</w:t>
      </w:r>
    </w:p>
  </w:endnote>
  <w:endnote w:id="23">
    <w:p w14:paraId="3D530BD4" w14:textId="77777777" w:rsidR="006E1BFD" w:rsidRDefault="006E1BFD" w:rsidP="00790463">
      <w:pPr>
        <w:pStyle w:val="Footnote"/>
      </w:pPr>
      <w:r>
        <w:rPr>
          <w:rStyle w:val="EndnoteReference"/>
        </w:rPr>
        <w:endnoteRef/>
      </w:r>
      <w:r>
        <w:t xml:space="preserve"> </w:t>
      </w:r>
      <w:r>
        <w:rPr>
          <w:color w:val="000000" w:themeColor="text1"/>
        </w:rPr>
        <w:t>Shakey’s Pizza Asia Ventures Inc., op. cit.</w:t>
      </w:r>
    </w:p>
  </w:endnote>
  <w:endnote w:id="24">
    <w:p w14:paraId="35F9868E" w14:textId="77777777" w:rsidR="006E1BFD" w:rsidRDefault="006E1BFD" w:rsidP="00790463">
      <w:pPr>
        <w:pStyle w:val="Footnote"/>
      </w:pPr>
      <w:r>
        <w:rPr>
          <w:rStyle w:val="EndnoteReference"/>
        </w:rPr>
        <w:endnoteRef/>
      </w:r>
      <w:r>
        <w:t xml:space="preserve"> Chain operators were owners of independent restaurants with one or more branches. The operator usually had full control over the operations of each branch in one holding company.</w:t>
      </w:r>
    </w:p>
  </w:endnote>
  <w:endnote w:id="25">
    <w:p w14:paraId="40ABB473" w14:textId="77777777" w:rsidR="006E1BFD" w:rsidRDefault="006E1BFD" w:rsidP="00790463">
      <w:pPr>
        <w:pStyle w:val="Footnote"/>
      </w:pPr>
      <w:r>
        <w:rPr>
          <w:rStyle w:val="EndnoteReference"/>
        </w:rPr>
        <w:endnoteRef/>
      </w:r>
      <w:r>
        <w:t xml:space="preserve"> “Consumer Foodservice in the Philippines,” Euromonitor International, May 2017, accessed November 10, 2017.</w:t>
      </w:r>
    </w:p>
  </w:endnote>
  <w:endnote w:id="26">
    <w:p w14:paraId="163688D4" w14:textId="77777777" w:rsidR="006E1BFD" w:rsidRDefault="006E1BFD" w:rsidP="00790463">
      <w:pPr>
        <w:pStyle w:val="Footnote"/>
      </w:pPr>
      <w:r>
        <w:rPr>
          <w:rStyle w:val="EndnoteReference"/>
        </w:rPr>
        <w:endnoteRef/>
      </w:r>
      <w:r>
        <w:t xml:space="preserve"> Shakey’s Pizza Asia Ventures Inc., op. cit.</w:t>
      </w:r>
    </w:p>
  </w:endnote>
  <w:endnote w:id="27">
    <w:p w14:paraId="452BF9D1" w14:textId="77777777" w:rsidR="006E1BFD" w:rsidRDefault="006E1BFD" w:rsidP="00790463">
      <w:pPr>
        <w:pStyle w:val="Footnote"/>
      </w:pPr>
      <w:r>
        <w:rPr>
          <w:rStyle w:val="EndnoteReference"/>
        </w:rPr>
        <w:endnoteRef/>
      </w:r>
      <w:r>
        <w:t xml:space="preserve"> Full-service restaurants were establishments with a broad range of menu items along with a table, counter, or booth service and a wait staff.</w:t>
      </w:r>
    </w:p>
  </w:endnote>
  <w:endnote w:id="28">
    <w:p w14:paraId="431BA7BC" w14:textId="77777777" w:rsidR="006E1BFD" w:rsidRDefault="006E1BFD" w:rsidP="00790463">
      <w:pPr>
        <w:pStyle w:val="Footnote"/>
      </w:pPr>
      <w:r>
        <w:rPr>
          <w:rStyle w:val="EndnoteReference"/>
        </w:rPr>
        <w:endnoteRef/>
      </w:r>
      <w:r>
        <w:t xml:space="preserve"> Shakey’s Pizza Asia Ventures Inc., op. cit.</w:t>
      </w:r>
    </w:p>
  </w:endnote>
  <w:endnote w:id="29">
    <w:p w14:paraId="16FEA4DA" w14:textId="77777777" w:rsidR="006E1BFD" w:rsidRDefault="006E1BFD" w:rsidP="00790463">
      <w:pPr>
        <w:pStyle w:val="Footnote"/>
      </w:pPr>
      <w:r>
        <w:rPr>
          <w:rStyle w:val="EndnoteReference"/>
        </w:rPr>
        <w:endnoteRef/>
      </w:r>
      <w:r>
        <w:t xml:space="preserve"> Ibid.</w:t>
      </w:r>
    </w:p>
  </w:endnote>
  <w:endnote w:id="30">
    <w:p w14:paraId="4206F299" w14:textId="77777777" w:rsidR="006E1BFD" w:rsidRDefault="006E1BFD" w:rsidP="00790463">
      <w:pPr>
        <w:pStyle w:val="Footnote"/>
        <w:rPr>
          <w:color w:val="000000" w:themeColor="text1"/>
        </w:rPr>
      </w:pPr>
      <w:r>
        <w:rPr>
          <w:rStyle w:val="EndnoteReference"/>
        </w:rPr>
        <w:endnoteRef/>
      </w:r>
      <w:r>
        <w:t xml:space="preserve"> Ibid.</w:t>
      </w:r>
    </w:p>
  </w:endnote>
  <w:endnote w:id="31">
    <w:p w14:paraId="1F95A24A" w14:textId="77777777" w:rsidR="006E1BFD" w:rsidRDefault="006E1BFD" w:rsidP="00790463">
      <w:pPr>
        <w:pStyle w:val="Footnote"/>
        <w:rPr>
          <w:color w:val="000000" w:themeColor="text1"/>
        </w:rPr>
      </w:pPr>
      <w:r>
        <w:rPr>
          <w:rStyle w:val="EndnoteReference"/>
        </w:rPr>
        <w:endnoteRef/>
      </w:r>
      <w:r>
        <w:t xml:space="preserve"> Ibid.</w:t>
      </w:r>
    </w:p>
  </w:endnote>
  <w:endnote w:id="32">
    <w:p w14:paraId="4A7FA808" w14:textId="77777777" w:rsidR="006E1BFD" w:rsidRDefault="006E1BFD" w:rsidP="00790463">
      <w:pPr>
        <w:pStyle w:val="Footnote"/>
        <w:rPr>
          <w:color w:val="000000" w:themeColor="text1"/>
        </w:rPr>
      </w:pPr>
      <w:r>
        <w:rPr>
          <w:rStyle w:val="EndnoteReference"/>
        </w:rPr>
        <w:endnoteRef/>
      </w:r>
      <w:r>
        <w:t xml:space="preserve"> Ibid.</w:t>
      </w:r>
    </w:p>
  </w:endnote>
  <w:endnote w:id="33">
    <w:p w14:paraId="1E5E08C2" w14:textId="77777777" w:rsidR="006E1BFD" w:rsidRDefault="006E1BFD" w:rsidP="00790463">
      <w:pPr>
        <w:pStyle w:val="Footnote"/>
        <w:rPr>
          <w:color w:val="000000" w:themeColor="text1"/>
        </w:rPr>
      </w:pPr>
      <w:r>
        <w:rPr>
          <w:rStyle w:val="EndnoteReference"/>
        </w:rPr>
        <w:endnoteRef/>
      </w:r>
      <w:r>
        <w:t xml:space="preserve"> Ibid.</w:t>
      </w:r>
    </w:p>
  </w:endnote>
  <w:endnote w:id="34">
    <w:p w14:paraId="1882C9C1" w14:textId="77777777" w:rsidR="006E1BFD" w:rsidRDefault="006E1BFD" w:rsidP="00790463">
      <w:pPr>
        <w:pStyle w:val="Footnote"/>
        <w:rPr>
          <w:color w:val="000000" w:themeColor="text1"/>
        </w:rPr>
      </w:pPr>
      <w:r>
        <w:rPr>
          <w:rStyle w:val="EndnoteReference"/>
        </w:rPr>
        <w:endnoteRef/>
      </w:r>
      <w:r>
        <w:t xml:space="preserve"> Ibid.</w:t>
      </w:r>
    </w:p>
  </w:endnote>
  <w:endnote w:id="35">
    <w:p w14:paraId="6C82AB55" w14:textId="77777777" w:rsidR="006E1BFD" w:rsidRDefault="006E1BFD" w:rsidP="00790463">
      <w:pPr>
        <w:pStyle w:val="Footnote"/>
        <w:rPr>
          <w:color w:val="000000" w:themeColor="text1"/>
        </w:rPr>
      </w:pPr>
      <w:r>
        <w:rPr>
          <w:rStyle w:val="EndnoteReference"/>
        </w:rPr>
        <w:endnoteRef/>
      </w:r>
      <w:r>
        <w:t xml:space="preserve"> Ibid.</w:t>
      </w:r>
    </w:p>
  </w:endnote>
  <w:endnote w:id="36">
    <w:p w14:paraId="6BF3BAE3" w14:textId="77777777" w:rsidR="006E1BFD" w:rsidRDefault="006E1BFD" w:rsidP="00790463">
      <w:pPr>
        <w:pStyle w:val="Footnote"/>
        <w:rPr>
          <w:color w:val="000000" w:themeColor="text1"/>
        </w:rPr>
      </w:pPr>
      <w:r>
        <w:rPr>
          <w:rStyle w:val="EndnoteReference"/>
        </w:rPr>
        <w:endnoteRef/>
      </w:r>
      <w:r>
        <w:t xml:space="preserve"> Ibid.</w:t>
      </w:r>
    </w:p>
  </w:endnote>
  <w:endnote w:id="37">
    <w:p w14:paraId="00557C99" w14:textId="77777777" w:rsidR="006E1BFD" w:rsidRDefault="006E1BFD" w:rsidP="00790463">
      <w:pPr>
        <w:pStyle w:val="Footnote"/>
        <w:rPr>
          <w:color w:val="000000" w:themeColor="text1"/>
        </w:rPr>
      </w:pPr>
      <w:r>
        <w:rPr>
          <w:rStyle w:val="EndnoteReference"/>
        </w:rPr>
        <w:endnoteRef/>
      </w:r>
      <w:r>
        <w:t xml:space="preserve"> Ibid.</w:t>
      </w:r>
    </w:p>
  </w:endnote>
  <w:endnote w:id="38">
    <w:p w14:paraId="6A999CDF" w14:textId="77777777" w:rsidR="006E1BFD" w:rsidRDefault="006E1BFD" w:rsidP="00790463">
      <w:pPr>
        <w:pStyle w:val="Footnote"/>
        <w:rPr>
          <w:color w:val="000000" w:themeColor="text1"/>
        </w:rPr>
      </w:pPr>
      <w:r>
        <w:rPr>
          <w:rStyle w:val="EndnoteReference"/>
        </w:rPr>
        <w:endnoteRef/>
      </w:r>
      <w:r>
        <w:t xml:space="preserve"> Ibid.</w:t>
      </w:r>
    </w:p>
  </w:endnote>
  <w:endnote w:id="39">
    <w:p w14:paraId="2224060F" w14:textId="77777777" w:rsidR="006E1BFD" w:rsidRDefault="006E1BFD" w:rsidP="00790463">
      <w:pPr>
        <w:pStyle w:val="Footnote"/>
      </w:pPr>
      <w:r>
        <w:rPr>
          <w:rStyle w:val="EndnoteReference"/>
        </w:rPr>
        <w:endnoteRef/>
      </w:r>
      <w:r>
        <w:t xml:space="preserve"> Shakey’s, through SIL, held the Shakey’s trademarks in the Middle East, China, other Asian countries (excluding Japan and Malaysia), and Australia and New Zealand.</w:t>
      </w:r>
    </w:p>
  </w:endnote>
  <w:endnote w:id="40">
    <w:p w14:paraId="5B0936A7" w14:textId="77777777" w:rsidR="006E1BFD" w:rsidRDefault="006E1BFD" w:rsidP="00790463">
      <w:pPr>
        <w:pStyle w:val="Footnote"/>
      </w:pPr>
      <w:r>
        <w:rPr>
          <w:rStyle w:val="EndnoteReference"/>
        </w:rPr>
        <w:endnoteRef/>
      </w:r>
      <w:r>
        <w:t xml:space="preserve"> Kristyn Nika M. Lazo, “Shakey’s to Bring Pizza Chain to Kuwait,” </w:t>
      </w:r>
      <w:r>
        <w:rPr>
          <w:i/>
        </w:rPr>
        <w:t>Manila Times</w:t>
      </w:r>
      <w:r>
        <w:t>, December 1, 2016, www.manilatimes.net/shakeys-bring-pizza-chain-kuwait/299493.</w:t>
      </w:r>
    </w:p>
  </w:endnote>
  <w:endnote w:id="41">
    <w:p w14:paraId="0B829045" w14:textId="77777777" w:rsidR="006E1BFD" w:rsidRDefault="006E1BFD" w:rsidP="00790463">
      <w:pPr>
        <w:pStyle w:val="Footnote"/>
      </w:pPr>
      <w:r>
        <w:rPr>
          <w:rStyle w:val="EndnoteReference"/>
        </w:rPr>
        <w:endnoteRef/>
      </w:r>
      <w:r>
        <w:t xml:space="preserve"> Shakey’s Pizza Asia Ventures Inc., op. cit. </w:t>
      </w:r>
    </w:p>
  </w:endnote>
  <w:endnote w:id="42">
    <w:p w14:paraId="2AE55440" w14:textId="77777777" w:rsidR="006E1BFD" w:rsidRDefault="006E1BFD" w:rsidP="00790463">
      <w:pPr>
        <w:pStyle w:val="Footnote"/>
      </w:pPr>
      <w:r>
        <w:rPr>
          <w:rStyle w:val="EndnoteReference"/>
        </w:rPr>
        <w:endnoteRef/>
      </w:r>
      <w:r>
        <w:t xml:space="preserve"> Ibid. </w:t>
      </w:r>
    </w:p>
  </w:endnote>
  <w:endnote w:id="43">
    <w:p w14:paraId="3ADDE308" w14:textId="77777777" w:rsidR="006E1BFD" w:rsidRDefault="006E1BFD" w:rsidP="00790463">
      <w:pPr>
        <w:pStyle w:val="Footnote"/>
      </w:pPr>
      <w:r>
        <w:rPr>
          <w:rStyle w:val="EndnoteReference"/>
        </w:rPr>
        <w:endnoteRef/>
      </w:r>
      <w:r>
        <w:t xml:space="preserve"> Ibid. </w:t>
      </w:r>
    </w:p>
  </w:endnote>
  <w:endnote w:id="44">
    <w:p w14:paraId="6D5B8431" w14:textId="77777777" w:rsidR="006E1BFD" w:rsidRDefault="006E1BFD" w:rsidP="00790463">
      <w:pPr>
        <w:pStyle w:val="Footnote"/>
      </w:pPr>
      <w:r>
        <w:rPr>
          <w:rStyle w:val="EndnoteReference"/>
        </w:rPr>
        <w:endnoteRef/>
      </w:r>
      <w:r>
        <w:t xml:space="preserve"> Ibid. </w:t>
      </w:r>
    </w:p>
  </w:endnote>
  <w:endnote w:id="45">
    <w:p w14:paraId="6AEB4748" w14:textId="77777777" w:rsidR="006E1BFD" w:rsidRDefault="006E1BFD" w:rsidP="00790463">
      <w:pPr>
        <w:pStyle w:val="Footnote"/>
      </w:pPr>
      <w:r>
        <w:rPr>
          <w:rStyle w:val="EndnoteReference"/>
        </w:rPr>
        <w:endnoteRef/>
      </w:r>
      <w:r>
        <w:t xml:space="preserve"> Ibid. </w:t>
      </w:r>
    </w:p>
  </w:endnote>
  <w:endnote w:id="46">
    <w:p w14:paraId="514433B9" w14:textId="77777777" w:rsidR="006E1BFD" w:rsidRPr="00A224DC" w:rsidRDefault="006E1BFD" w:rsidP="003819CF">
      <w:pPr>
        <w:pStyle w:val="EndnoteText"/>
        <w:rPr>
          <w:rFonts w:ascii="Arial" w:hAnsi="Arial" w:cs="Arial"/>
          <w:sz w:val="17"/>
          <w:szCs w:val="17"/>
          <w:lang w:val="en-US"/>
        </w:rPr>
      </w:pPr>
      <w:r w:rsidRPr="00A224DC">
        <w:rPr>
          <w:rStyle w:val="EndnoteReference"/>
          <w:rFonts w:ascii="Arial" w:hAnsi="Arial" w:cs="Arial"/>
          <w:sz w:val="16"/>
          <w:szCs w:val="16"/>
        </w:rPr>
        <w:endnoteRef/>
      </w:r>
      <w:r w:rsidRPr="00A224DC">
        <w:rPr>
          <w:rFonts w:ascii="Arial" w:hAnsi="Arial" w:cs="Arial"/>
          <w:sz w:val="16"/>
          <w:szCs w:val="16"/>
        </w:rPr>
        <w:t xml:space="preserve"> </w:t>
      </w:r>
      <w:r w:rsidRPr="00A224DC">
        <w:rPr>
          <w:rFonts w:ascii="Arial" w:hAnsi="Arial" w:cs="Arial"/>
          <w:sz w:val="17"/>
          <w:szCs w:val="17"/>
        </w:rPr>
        <w:t>Shakey’s Pizza Asia Ventures Inc., op. cit.</w:t>
      </w:r>
    </w:p>
  </w:endnote>
  <w:endnote w:id="47">
    <w:p w14:paraId="3540FF7A" w14:textId="5AAC68AA" w:rsidR="006E1BFD" w:rsidRPr="00A224DC" w:rsidRDefault="006E1BFD" w:rsidP="00A224DC">
      <w:pPr>
        <w:jc w:val="both"/>
        <w:rPr>
          <w:rFonts w:ascii="Arial" w:hAnsi="Arial" w:cs="Arial"/>
          <w:color w:val="000000"/>
          <w:sz w:val="17"/>
          <w:szCs w:val="17"/>
        </w:rPr>
      </w:pPr>
      <w:r w:rsidRPr="00A224DC">
        <w:rPr>
          <w:rStyle w:val="EndnoteReference"/>
          <w:rFonts w:ascii="Arial" w:hAnsi="Arial" w:cs="Arial"/>
          <w:sz w:val="17"/>
          <w:szCs w:val="17"/>
        </w:rPr>
        <w:endnoteRef/>
      </w:r>
      <w:r w:rsidRPr="00A224DC">
        <w:rPr>
          <w:rFonts w:ascii="Arial" w:hAnsi="Arial" w:cs="Arial"/>
          <w:sz w:val="17"/>
          <w:szCs w:val="17"/>
        </w:rPr>
        <w:t xml:space="preserve"> </w:t>
      </w:r>
      <w:r w:rsidRPr="00A224DC">
        <w:rPr>
          <w:rFonts w:ascii="Arial" w:eastAsia="Calibri" w:hAnsi="Arial" w:cs="Arial"/>
          <w:color w:val="000000"/>
          <w:sz w:val="17"/>
          <w:szCs w:val="17"/>
        </w:rPr>
        <w:t>Shakey’s Pizza Asia Ventures Inc.,</w:t>
      </w:r>
      <w:r>
        <w:rPr>
          <w:rFonts w:ascii="Arial" w:eastAsia="Calibri" w:hAnsi="Arial" w:cs="Arial"/>
          <w:color w:val="000000"/>
          <w:sz w:val="17"/>
          <w:szCs w:val="17"/>
        </w:rPr>
        <w:t xml:space="preserve"> </w:t>
      </w:r>
      <w:r w:rsidRPr="00A224DC">
        <w:rPr>
          <w:rFonts w:ascii="Arial" w:eastAsia="Calibri" w:hAnsi="Arial" w:cs="Arial"/>
          <w:i/>
          <w:iCs/>
          <w:color w:val="000000"/>
          <w:sz w:val="17"/>
          <w:szCs w:val="17"/>
        </w:rPr>
        <w:t>2016 Annual Report</w:t>
      </w:r>
      <w:r w:rsidRPr="00A224DC">
        <w:rPr>
          <w:rFonts w:ascii="Arial" w:eastAsia="Calibri" w:hAnsi="Arial" w:cs="Arial"/>
          <w:color w:val="000000"/>
          <w:sz w:val="17"/>
          <w:szCs w:val="17"/>
        </w:rPr>
        <w:t xml:space="preserve">, accessed March 21, 2019, </w:t>
      </w:r>
      <w:r w:rsidRPr="00A224DC">
        <w:rPr>
          <w:rFonts w:ascii="Arial" w:eastAsia="Calibri" w:hAnsi="Arial" w:cs="Arial"/>
          <w:sz w:val="17"/>
          <w:szCs w:val="17"/>
        </w:rPr>
        <w:t>https://spavi-noo-prod.s3.ap-southeast-1.amazonaws.com/s3fs-public/documents/investor_presentations/Shakey_s%202016%20Annual%20Report.pdf.</w:t>
      </w:r>
    </w:p>
  </w:endnote>
  <w:endnote w:id="48">
    <w:p w14:paraId="5F1A7C2E" w14:textId="77777777" w:rsidR="006E1BFD" w:rsidRDefault="006E1BFD" w:rsidP="00790463">
      <w:pPr>
        <w:pStyle w:val="Footnote"/>
      </w:pPr>
      <w:r>
        <w:rPr>
          <w:rStyle w:val="EndnoteReference"/>
        </w:rPr>
        <w:endnoteRef/>
      </w:r>
      <w:r>
        <w:t xml:space="preserve"> Iris Gonzales, “Po Family Eyes Acquisition of Other Food Chains,” </w:t>
      </w:r>
      <w:r>
        <w:rPr>
          <w:i/>
        </w:rPr>
        <w:t>Philippine Star</w:t>
      </w:r>
      <w:r>
        <w:t xml:space="preserve">, October 24, 2016, accessed November 3, 2017, www.philstar.com.business/2016/10/24/1636603/po-family-eyes-acquistion-other-food-chains. </w:t>
      </w:r>
    </w:p>
  </w:endnote>
  <w:endnote w:id="49">
    <w:p w14:paraId="161AE7A0" w14:textId="77777777" w:rsidR="006E1BFD" w:rsidRDefault="006E1BFD" w:rsidP="00790463">
      <w:pPr>
        <w:pStyle w:val="Footnote"/>
      </w:pPr>
      <w:r>
        <w:rPr>
          <w:rStyle w:val="EndnoteReference"/>
        </w:rPr>
        <w:endnoteRef/>
      </w:r>
      <w:r>
        <w:t xml:space="preserve"> Ibid. </w:t>
      </w:r>
    </w:p>
  </w:endnote>
  <w:endnote w:id="50">
    <w:p w14:paraId="2134A2B8" w14:textId="77777777" w:rsidR="006E1BFD" w:rsidRDefault="006E1BFD" w:rsidP="00790463">
      <w:pPr>
        <w:pStyle w:val="Footnote"/>
      </w:pPr>
      <w:r>
        <w:rPr>
          <w:rStyle w:val="EndnoteReference"/>
        </w:rPr>
        <w:endnoteRef/>
      </w:r>
      <w:r>
        <w:t xml:space="preserve"> Ibid. </w:t>
      </w:r>
    </w:p>
  </w:endnote>
  <w:endnote w:id="51">
    <w:p w14:paraId="7B532C28" w14:textId="77777777" w:rsidR="006E1BFD" w:rsidRDefault="006E1BFD" w:rsidP="00790463">
      <w:pPr>
        <w:pStyle w:val="Footnote"/>
      </w:pPr>
      <w:r>
        <w:rPr>
          <w:rStyle w:val="EndnoteReference"/>
        </w:rPr>
        <w:endnoteRef/>
      </w:r>
      <w:r>
        <w:t xml:space="preserve"> Arran, a subsidiary of GIC, had a 37.2 per cent share stake (285,924,427 shares) in Shakey’s.</w:t>
      </w:r>
    </w:p>
  </w:endnote>
  <w:endnote w:id="52">
    <w:p w14:paraId="40D1E707" w14:textId="77777777" w:rsidR="006E1BFD" w:rsidRDefault="006E1BFD" w:rsidP="00790463">
      <w:pPr>
        <w:pStyle w:val="Footnote"/>
      </w:pPr>
      <w:r>
        <w:rPr>
          <w:rStyle w:val="EndnoteReference"/>
        </w:rPr>
        <w:endnoteRef/>
      </w:r>
      <w:r>
        <w:t xml:space="preserve"> Current total number of shares outstanding was 1,427,321,053.</w:t>
      </w:r>
    </w:p>
  </w:endnote>
  <w:endnote w:id="53">
    <w:p w14:paraId="4F98D1FB" w14:textId="77777777" w:rsidR="006E1BFD" w:rsidRDefault="006E1BFD" w:rsidP="00790463">
      <w:pPr>
        <w:pStyle w:val="Footnote"/>
      </w:pPr>
      <w:r>
        <w:rPr>
          <w:rStyle w:val="EndnoteReference"/>
        </w:rPr>
        <w:endnoteRef/>
      </w:r>
      <w:r>
        <w:t xml:space="preserve"> Shakey’s Pizza Asia Ventures Inc., op. cit. </w:t>
      </w:r>
    </w:p>
  </w:endnote>
  <w:endnote w:id="54">
    <w:p w14:paraId="34BC6D3D" w14:textId="77777777" w:rsidR="006E1BFD" w:rsidRDefault="006E1BFD" w:rsidP="00790463">
      <w:pPr>
        <w:pStyle w:val="Footnote"/>
      </w:pPr>
      <w:r>
        <w:rPr>
          <w:rStyle w:val="EndnoteReference"/>
        </w:rPr>
        <w:endnoteRef/>
      </w:r>
      <w:r>
        <w:t xml:space="preserve"> “The PSE Composite Index (PSEi),” PSE Academy, accessed April 5, 2019, www.pseacademy.com.ph/LM/investors~details/id-1317988210702/The_PSE_Composite_Index_PSEi.html.</w:t>
      </w:r>
    </w:p>
  </w:endnote>
  <w:endnote w:id="55">
    <w:p w14:paraId="3BB79BF2" w14:textId="77777777" w:rsidR="006E1BFD" w:rsidRDefault="006E1BFD" w:rsidP="00790463">
      <w:pPr>
        <w:pStyle w:val="Footnote"/>
      </w:pPr>
      <w:r>
        <w:rPr>
          <w:rStyle w:val="EndnoteReference"/>
        </w:rPr>
        <w:endnoteRef/>
      </w:r>
      <w:r>
        <w:t xml:space="preserve"> </w:t>
      </w:r>
      <w:bookmarkStart w:id="12" w:name="_Hlk8046892"/>
      <w:r>
        <w:t>Capital IQ, “Market Capitalization of PSEi Constituents,” November 30, 2016, extracted April 6, 2019.</w:t>
      </w:r>
      <w:bookmarkEnd w:id="12"/>
    </w:p>
  </w:endnote>
  <w:endnote w:id="56">
    <w:p w14:paraId="0DE66424" w14:textId="77777777" w:rsidR="006E1BFD" w:rsidRDefault="006E1BFD" w:rsidP="00790463">
      <w:pPr>
        <w:pStyle w:val="Footnote"/>
      </w:pPr>
      <w:r>
        <w:rPr>
          <w:rStyle w:val="EndnoteReference"/>
        </w:rPr>
        <w:endnoteRef/>
      </w:r>
      <w:r>
        <w:t xml:space="preserve"> To be classified under the industrial sector, a company’s business had to fall into one of the following categories: (a) electricity, energy, power, and water; (b) food, beverage, and tobacco; (c) construction, infrastructure, and allied services; (d) chemicals; or (e) diversified industrials. “Types of Stocks,” PSE Academy, accessed October 29, 2019, www.pseacademy.com.ph/LM/investors~details/id-1316266249549/Types_of_STOCKS.html.</w:t>
      </w:r>
    </w:p>
  </w:endnote>
  <w:endnote w:id="57">
    <w:p w14:paraId="5A9C68A8" w14:textId="77777777" w:rsidR="006E1BFD" w:rsidRDefault="006E1BFD" w:rsidP="00790463">
      <w:pPr>
        <w:pStyle w:val="Footnote"/>
      </w:pPr>
      <w:r>
        <w:rPr>
          <w:rStyle w:val="EndnoteReference"/>
        </w:rPr>
        <w:endnoteRef/>
      </w:r>
      <w:r>
        <w:t xml:space="preserve"> Case writer’s estimate for 2016.</w:t>
      </w:r>
    </w:p>
  </w:endnote>
  <w:endnote w:id="58">
    <w:p w14:paraId="3D67DBFC" w14:textId="77777777" w:rsidR="006E1BFD" w:rsidRDefault="006E1BFD" w:rsidP="00790463">
      <w:pPr>
        <w:pStyle w:val="Footnote"/>
      </w:pPr>
      <w:r>
        <w:rPr>
          <w:rStyle w:val="EndnoteReference"/>
        </w:rPr>
        <w:endnoteRef/>
      </w:r>
      <w:r>
        <w:t xml:space="preserve"> Aswath Damodaran, “Country Default Spreads and Risk Premiums,” last updated January 2019, accessed November 16, 2017, http://pages.stern.nyu.edu/~adamodar/New_Home_Page/datafile/ctryprem.html.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B3BA6" w14:textId="77777777" w:rsidR="006E1BFD" w:rsidRDefault="006E1BFD" w:rsidP="00D75295">
      <w:r>
        <w:separator/>
      </w:r>
    </w:p>
  </w:footnote>
  <w:footnote w:type="continuationSeparator" w:id="0">
    <w:p w14:paraId="553FC081" w14:textId="77777777" w:rsidR="006E1BFD" w:rsidRDefault="006E1BFD"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7629C8B6" w:rsidR="006E1BFD" w:rsidRPr="00C92CC4" w:rsidRDefault="006E1BF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31F1A">
      <w:rPr>
        <w:rFonts w:ascii="Arial" w:hAnsi="Arial"/>
        <w:b/>
        <w:noProof/>
      </w:rPr>
      <w:t>13</w:t>
    </w:r>
    <w:r>
      <w:rPr>
        <w:rFonts w:ascii="Arial" w:hAnsi="Arial"/>
        <w:b/>
      </w:rPr>
      <w:fldChar w:fldCharType="end"/>
    </w:r>
    <w:r>
      <w:rPr>
        <w:rFonts w:ascii="Arial" w:hAnsi="Arial"/>
        <w:b/>
      </w:rPr>
      <w:tab/>
      <w:t>9B19N021</w:t>
    </w:r>
  </w:p>
  <w:p w14:paraId="2B53C0A0" w14:textId="77777777" w:rsidR="006E1BFD" w:rsidRDefault="006E1BFD" w:rsidP="00D13667">
    <w:pPr>
      <w:pStyle w:val="Header"/>
      <w:tabs>
        <w:tab w:val="clear" w:pos="4680"/>
      </w:tabs>
      <w:rPr>
        <w:sz w:val="18"/>
        <w:szCs w:val="18"/>
      </w:rPr>
    </w:pPr>
  </w:p>
  <w:p w14:paraId="47119730" w14:textId="77777777" w:rsidR="006E1BFD" w:rsidRPr="00C92CC4" w:rsidRDefault="006E1BFD"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B052" w14:textId="4B7A8730" w:rsidR="006E1BFD" w:rsidRPr="00C92CC4" w:rsidRDefault="006E1BFD" w:rsidP="00790463">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31F1A">
      <w:rPr>
        <w:rFonts w:ascii="Arial" w:hAnsi="Arial"/>
        <w:b/>
        <w:noProof/>
      </w:rPr>
      <w:t>15</w:t>
    </w:r>
    <w:r>
      <w:rPr>
        <w:rFonts w:ascii="Arial" w:hAnsi="Arial"/>
        <w:b/>
      </w:rPr>
      <w:fldChar w:fldCharType="end"/>
    </w:r>
    <w:r>
      <w:rPr>
        <w:rFonts w:ascii="Arial" w:hAnsi="Arial"/>
        <w:b/>
      </w:rPr>
      <w:tab/>
      <w:t>9B19N021</w:t>
    </w:r>
  </w:p>
  <w:p w14:paraId="14E61F2C" w14:textId="77777777" w:rsidR="006E1BFD" w:rsidRDefault="006E1BFD" w:rsidP="00790463">
    <w:pPr>
      <w:pStyle w:val="Header"/>
      <w:tabs>
        <w:tab w:val="clear" w:pos="4680"/>
        <w:tab w:val="clear" w:pos="9360"/>
        <w:tab w:val="right" w:pos="12960"/>
      </w:tabs>
      <w:rPr>
        <w:sz w:val="18"/>
        <w:szCs w:val="18"/>
      </w:rPr>
    </w:pPr>
  </w:p>
  <w:p w14:paraId="5B468551" w14:textId="77777777" w:rsidR="006E1BFD" w:rsidRPr="00C92CC4" w:rsidRDefault="006E1BFD" w:rsidP="00790463">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31F5E" w14:textId="60306D50" w:rsidR="006E1BFD" w:rsidRPr="00C92CC4" w:rsidRDefault="006E1BFD" w:rsidP="009D4767">
    <w:pPr>
      <w:pBdr>
        <w:bottom w:val="single" w:sz="18" w:space="1" w:color="auto"/>
      </w:pBdr>
      <w:tabs>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31F1A">
      <w:rPr>
        <w:rFonts w:ascii="Arial" w:hAnsi="Arial"/>
        <w:b/>
        <w:noProof/>
      </w:rPr>
      <w:t>17</w:t>
    </w:r>
    <w:r>
      <w:rPr>
        <w:rFonts w:ascii="Arial" w:hAnsi="Arial"/>
        <w:b/>
      </w:rPr>
      <w:fldChar w:fldCharType="end"/>
    </w:r>
    <w:r>
      <w:rPr>
        <w:rFonts w:ascii="Arial" w:hAnsi="Arial"/>
        <w:b/>
      </w:rPr>
      <w:tab/>
      <w:t>9B19N021</w:t>
    </w:r>
  </w:p>
  <w:p w14:paraId="02E72009" w14:textId="77777777" w:rsidR="006E1BFD" w:rsidRDefault="006E1BFD" w:rsidP="009D4767">
    <w:pPr>
      <w:pStyle w:val="Header"/>
      <w:tabs>
        <w:tab w:val="clear" w:pos="4680"/>
      </w:tabs>
      <w:rPr>
        <w:sz w:val="18"/>
        <w:szCs w:val="18"/>
      </w:rPr>
    </w:pPr>
  </w:p>
  <w:p w14:paraId="77C4A64C" w14:textId="77777777" w:rsidR="006E1BFD" w:rsidRPr="00C92CC4" w:rsidRDefault="006E1BFD" w:rsidP="009D47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C18A5"/>
    <w:multiLevelType w:val="hybridMultilevel"/>
    <w:tmpl w:val="5576F22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745657"/>
    <w:multiLevelType w:val="hybridMultilevel"/>
    <w:tmpl w:val="171AB9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FA4D19"/>
    <w:multiLevelType w:val="hybridMultilevel"/>
    <w:tmpl w:val="4D0E69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3"/>
  </w:num>
  <w:num w:numId="4">
    <w:abstractNumId w:val="12"/>
  </w:num>
  <w:num w:numId="5">
    <w:abstractNumId w:val="5"/>
  </w:num>
  <w:num w:numId="6">
    <w:abstractNumId w:val="10"/>
  </w:num>
  <w:num w:numId="7">
    <w:abstractNumId w:val="0"/>
  </w:num>
  <w:num w:numId="8">
    <w:abstractNumId w:val="14"/>
  </w:num>
  <w:num w:numId="9">
    <w:abstractNumId w:val="11"/>
  </w:num>
  <w:num w:numId="10">
    <w:abstractNumId w:val="1"/>
  </w:num>
  <w:num w:numId="11">
    <w:abstractNumId w:val="8"/>
  </w:num>
  <w:num w:numId="12">
    <w:abstractNumId w:val="9"/>
  </w:num>
  <w:num w:numId="13">
    <w:abstractNumId w:val="4"/>
  </w:num>
  <w:num w:numId="14">
    <w:abstractNumId w:val="7"/>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30891"/>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1F1A"/>
    <w:rsid w:val="00336580"/>
    <w:rsid w:val="00354899"/>
    <w:rsid w:val="00355FD6"/>
    <w:rsid w:val="00364A5C"/>
    <w:rsid w:val="00373FB1"/>
    <w:rsid w:val="003819CF"/>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4E6BCA"/>
    <w:rsid w:val="005160F1"/>
    <w:rsid w:val="00524F2F"/>
    <w:rsid w:val="00526310"/>
    <w:rsid w:val="00527E5C"/>
    <w:rsid w:val="00532CF5"/>
    <w:rsid w:val="005528CB"/>
    <w:rsid w:val="00566771"/>
    <w:rsid w:val="00581E2E"/>
    <w:rsid w:val="0058247B"/>
    <w:rsid w:val="00584F15"/>
    <w:rsid w:val="0059514B"/>
    <w:rsid w:val="005A1B0F"/>
    <w:rsid w:val="005B4CE6"/>
    <w:rsid w:val="005B5EFE"/>
    <w:rsid w:val="005E7D6B"/>
    <w:rsid w:val="006163F7"/>
    <w:rsid w:val="00627C63"/>
    <w:rsid w:val="0063350B"/>
    <w:rsid w:val="00652606"/>
    <w:rsid w:val="006946EE"/>
    <w:rsid w:val="006A58A9"/>
    <w:rsid w:val="006A606D"/>
    <w:rsid w:val="006C0371"/>
    <w:rsid w:val="006C08B6"/>
    <w:rsid w:val="006C0B1A"/>
    <w:rsid w:val="006C6065"/>
    <w:rsid w:val="006C7F9F"/>
    <w:rsid w:val="006E1BFD"/>
    <w:rsid w:val="006E2F6D"/>
    <w:rsid w:val="006E58F6"/>
    <w:rsid w:val="006E77E1"/>
    <w:rsid w:val="006F131D"/>
    <w:rsid w:val="00711642"/>
    <w:rsid w:val="007507C6"/>
    <w:rsid w:val="00751E0B"/>
    <w:rsid w:val="00752BCD"/>
    <w:rsid w:val="00766DA1"/>
    <w:rsid w:val="00780D94"/>
    <w:rsid w:val="007866A6"/>
    <w:rsid w:val="00790463"/>
    <w:rsid w:val="007A130D"/>
    <w:rsid w:val="007D1A2D"/>
    <w:rsid w:val="007D32E6"/>
    <w:rsid w:val="007D4102"/>
    <w:rsid w:val="007E54A7"/>
    <w:rsid w:val="007F43B7"/>
    <w:rsid w:val="00821FFC"/>
    <w:rsid w:val="008271CA"/>
    <w:rsid w:val="00845FE5"/>
    <w:rsid w:val="008467D5"/>
    <w:rsid w:val="008A4DC4"/>
    <w:rsid w:val="008B438C"/>
    <w:rsid w:val="008D06CA"/>
    <w:rsid w:val="008D3A46"/>
    <w:rsid w:val="008F2385"/>
    <w:rsid w:val="009067A4"/>
    <w:rsid w:val="00930885"/>
    <w:rsid w:val="00933D68"/>
    <w:rsid w:val="009340DB"/>
    <w:rsid w:val="0094618C"/>
    <w:rsid w:val="0095684B"/>
    <w:rsid w:val="009664A0"/>
    <w:rsid w:val="00972498"/>
    <w:rsid w:val="0097481F"/>
    <w:rsid w:val="00974CC6"/>
    <w:rsid w:val="00976AD4"/>
    <w:rsid w:val="00991E31"/>
    <w:rsid w:val="00995547"/>
    <w:rsid w:val="009A312F"/>
    <w:rsid w:val="009A5348"/>
    <w:rsid w:val="009B0AB7"/>
    <w:rsid w:val="009C76D5"/>
    <w:rsid w:val="009D4767"/>
    <w:rsid w:val="009F7AA4"/>
    <w:rsid w:val="00A10AD7"/>
    <w:rsid w:val="00A224DC"/>
    <w:rsid w:val="00A323B0"/>
    <w:rsid w:val="00A559DB"/>
    <w:rsid w:val="00A569EA"/>
    <w:rsid w:val="00A676A0"/>
    <w:rsid w:val="00AA6693"/>
    <w:rsid w:val="00AF35FC"/>
    <w:rsid w:val="00AF5556"/>
    <w:rsid w:val="00B03639"/>
    <w:rsid w:val="00B0652A"/>
    <w:rsid w:val="00B40937"/>
    <w:rsid w:val="00B423EF"/>
    <w:rsid w:val="00B453DE"/>
    <w:rsid w:val="00B62497"/>
    <w:rsid w:val="00B72597"/>
    <w:rsid w:val="00B87DC0"/>
    <w:rsid w:val="00B901F9"/>
    <w:rsid w:val="00B97AC2"/>
    <w:rsid w:val="00BC4D98"/>
    <w:rsid w:val="00BD6EFB"/>
    <w:rsid w:val="00BE3DF5"/>
    <w:rsid w:val="00BF1989"/>
    <w:rsid w:val="00BF5EAB"/>
    <w:rsid w:val="00C02410"/>
    <w:rsid w:val="00C1584D"/>
    <w:rsid w:val="00C15BE2"/>
    <w:rsid w:val="00C3447F"/>
    <w:rsid w:val="00C44714"/>
    <w:rsid w:val="00C67102"/>
    <w:rsid w:val="00C81491"/>
    <w:rsid w:val="00C81676"/>
    <w:rsid w:val="00C85C5D"/>
    <w:rsid w:val="00C92CC4"/>
    <w:rsid w:val="00C95E9C"/>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436E"/>
    <w:rsid w:val="00D97F12"/>
    <w:rsid w:val="00DA6095"/>
    <w:rsid w:val="00DB42E7"/>
    <w:rsid w:val="00DC09D8"/>
    <w:rsid w:val="00DE01A6"/>
    <w:rsid w:val="00DE7A98"/>
    <w:rsid w:val="00DF32C2"/>
    <w:rsid w:val="00E17A74"/>
    <w:rsid w:val="00E471A7"/>
    <w:rsid w:val="00E635CF"/>
    <w:rsid w:val="00EB1E3B"/>
    <w:rsid w:val="00EC36CD"/>
    <w:rsid w:val="00EC6E0A"/>
    <w:rsid w:val="00ED4E18"/>
    <w:rsid w:val="00ED6F3B"/>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field">
    <w:name w:val="field"/>
    <w:basedOn w:val="DefaultParagraphFont"/>
    <w:rsid w:val="0079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7933">
      <w:bodyDiv w:val="1"/>
      <w:marLeft w:val="0"/>
      <w:marRight w:val="0"/>
      <w:marTop w:val="0"/>
      <w:marBottom w:val="0"/>
      <w:divBdr>
        <w:top w:val="none" w:sz="0" w:space="0" w:color="auto"/>
        <w:left w:val="none" w:sz="0" w:space="0" w:color="auto"/>
        <w:bottom w:val="none" w:sz="0" w:space="0" w:color="auto"/>
        <w:right w:val="none" w:sz="0" w:space="0" w:color="auto"/>
      </w:divBdr>
    </w:div>
    <w:div w:id="23407743">
      <w:bodyDiv w:val="1"/>
      <w:marLeft w:val="0"/>
      <w:marRight w:val="0"/>
      <w:marTop w:val="0"/>
      <w:marBottom w:val="0"/>
      <w:divBdr>
        <w:top w:val="none" w:sz="0" w:space="0" w:color="auto"/>
        <w:left w:val="none" w:sz="0" w:space="0" w:color="auto"/>
        <w:bottom w:val="none" w:sz="0" w:space="0" w:color="auto"/>
        <w:right w:val="none" w:sz="0" w:space="0" w:color="auto"/>
      </w:divBdr>
    </w:div>
    <w:div w:id="415329089">
      <w:bodyDiv w:val="1"/>
      <w:marLeft w:val="0"/>
      <w:marRight w:val="0"/>
      <w:marTop w:val="0"/>
      <w:marBottom w:val="0"/>
      <w:divBdr>
        <w:top w:val="none" w:sz="0" w:space="0" w:color="auto"/>
        <w:left w:val="none" w:sz="0" w:space="0" w:color="auto"/>
        <w:bottom w:val="none" w:sz="0" w:space="0" w:color="auto"/>
        <w:right w:val="none" w:sz="0" w:space="0" w:color="auto"/>
      </w:divBdr>
    </w:div>
    <w:div w:id="471599472">
      <w:bodyDiv w:val="1"/>
      <w:marLeft w:val="0"/>
      <w:marRight w:val="0"/>
      <w:marTop w:val="0"/>
      <w:marBottom w:val="0"/>
      <w:divBdr>
        <w:top w:val="none" w:sz="0" w:space="0" w:color="auto"/>
        <w:left w:val="none" w:sz="0" w:space="0" w:color="auto"/>
        <w:bottom w:val="none" w:sz="0" w:space="0" w:color="auto"/>
        <w:right w:val="none" w:sz="0" w:space="0" w:color="auto"/>
      </w:divBdr>
    </w:div>
    <w:div w:id="1013338683">
      <w:bodyDiv w:val="1"/>
      <w:marLeft w:val="0"/>
      <w:marRight w:val="0"/>
      <w:marTop w:val="0"/>
      <w:marBottom w:val="0"/>
      <w:divBdr>
        <w:top w:val="none" w:sz="0" w:space="0" w:color="auto"/>
        <w:left w:val="none" w:sz="0" w:space="0" w:color="auto"/>
        <w:bottom w:val="none" w:sz="0" w:space="0" w:color="auto"/>
        <w:right w:val="none" w:sz="0" w:space="0" w:color="auto"/>
      </w:divBdr>
    </w:div>
    <w:div w:id="1139029437">
      <w:bodyDiv w:val="1"/>
      <w:marLeft w:val="0"/>
      <w:marRight w:val="0"/>
      <w:marTop w:val="0"/>
      <w:marBottom w:val="0"/>
      <w:divBdr>
        <w:top w:val="none" w:sz="0" w:space="0" w:color="auto"/>
        <w:left w:val="none" w:sz="0" w:space="0" w:color="auto"/>
        <w:bottom w:val="none" w:sz="0" w:space="0" w:color="auto"/>
        <w:right w:val="none" w:sz="0" w:space="0" w:color="auto"/>
      </w:divBdr>
    </w:div>
    <w:div w:id="132913933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28325512">
      <w:bodyDiv w:val="1"/>
      <w:marLeft w:val="0"/>
      <w:marRight w:val="0"/>
      <w:marTop w:val="0"/>
      <w:marBottom w:val="0"/>
      <w:divBdr>
        <w:top w:val="none" w:sz="0" w:space="0" w:color="auto"/>
        <w:left w:val="none" w:sz="0" w:space="0" w:color="auto"/>
        <w:bottom w:val="none" w:sz="0" w:space="0" w:color="auto"/>
        <w:right w:val="none" w:sz="0" w:space="0" w:color="auto"/>
      </w:divBdr>
    </w:div>
    <w:div w:id="1948073400">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67759-7EB0-4EB8-8E1F-B61B55E7F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6040</Words>
  <Characters>34432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2</cp:revision>
  <cp:lastPrinted>2015-03-04T20:34:00Z</cp:lastPrinted>
  <dcterms:created xsi:type="dcterms:W3CDTF">2019-11-20T15:50:00Z</dcterms:created>
  <dcterms:modified xsi:type="dcterms:W3CDTF">2019-11-20T15:50:00Z</dcterms:modified>
</cp:coreProperties>
</file>