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669685A8" w:rsidR="00C02410" w:rsidRDefault="00651AA3" w:rsidP="00C02410">
      <w:pPr>
        <w:pBdr>
          <w:bottom w:val="single" w:sz="18" w:space="1" w:color="auto"/>
        </w:pBdr>
        <w:tabs>
          <w:tab w:val="left" w:pos="-1440"/>
          <w:tab w:val="left" w:pos="-720"/>
          <w:tab w:val="left" w:pos="1"/>
        </w:tabs>
        <w:jc w:val="both"/>
        <w:rPr>
          <w:rFonts w:ascii="Arial" w:hAnsi="Arial"/>
          <w:b/>
          <w:sz w:val="24"/>
        </w:rPr>
      </w:pPr>
      <w:r w:rsidRPr="00D57B37">
        <w:rPr>
          <w:rFonts w:ascii="Arial" w:hAnsi="Arial"/>
          <w:b/>
          <w:noProof/>
          <w:sz w:val="24"/>
        </w:rPr>
        <w:drawing>
          <wp:anchor distT="0" distB="0" distL="114300" distR="114300" simplePos="0" relativeHeight="251659264" behindDoc="0" locked="0" layoutInCell="1" allowOverlap="1" wp14:anchorId="37927C49" wp14:editId="6F1D19B7">
            <wp:simplePos x="0" y="0"/>
            <wp:positionH relativeFrom="margin">
              <wp:align>right</wp:align>
            </wp:positionH>
            <wp:positionV relativeFrom="paragraph">
              <wp:posOffset>-34120</wp:posOffset>
            </wp:positionV>
            <wp:extent cx="2870835" cy="561340"/>
            <wp:effectExtent l="0" t="0" r="5715" b="0"/>
            <wp:wrapNone/>
            <wp:docPr id="2" name="Picture 2" descr="Donghua University, Glorious Sun School of Busin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ners-External\Suppliers\CoBrands\Donghua University (Contract 331)\Logos and Templates\Donghua University Logo.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0835" cy="561340"/>
                    </a:xfrm>
                    <a:prstGeom prst="rect">
                      <a:avLst/>
                    </a:prstGeom>
                    <a:noFill/>
                    <a:ln>
                      <a:noFill/>
                    </a:ln>
                  </pic:spPr>
                </pic:pic>
              </a:graphicData>
            </a:graphic>
          </wp:anchor>
        </w:drawing>
      </w:r>
      <w:r w:rsidR="00C02410" w:rsidRPr="00A569EA">
        <w:rPr>
          <w:rFonts w:ascii="Arial" w:hAnsi="Arial"/>
          <w:b/>
          <w:noProof/>
          <w:sz w:val="24"/>
        </w:rPr>
        <w:drawing>
          <wp:inline distT="0" distB="0" distL="0" distR="0" wp14:anchorId="7E98B181" wp14:editId="773861AF">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6622688" w:rsidR="00C02410" w:rsidRDefault="00DE0067" w:rsidP="00C02410">
      <w:pPr>
        <w:pStyle w:val="ProductNumber"/>
      </w:pPr>
      <w:r>
        <w:t>9B19N022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26DCBA8" w:rsidR="00013360" w:rsidRDefault="00EE487F" w:rsidP="00013360">
      <w:pPr>
        <w:pStyle w:val="CaseTitle"/>
        <w:spacing w:after="0" w:line="240" w:lineRule="auto"/>
        <w:rPr>
          <w:sz w:val="20"/>
          <w:szCs w:val="20"/>
        </w:rPr>
      </w:pPr>
      <w:r>
        <w:rPr>
          <w:rFonts w:eastAsia="YouYuan"/>
          <w:lang w:val="en-GB"/>
        </w:rPr>
        <w:t>The $85.4 billion Merger of AT&amp;T and Time Warner: Valuation Analysis</w:t>
      </w:r>
      <w:r>
        <w:rPr>
          <w:rStyle w:val="FootnoteReference"/>
          <w:rFonts w:eastAsia="YouYuan"/>
          <w:lang w:val="en-GB"/>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EDE1FB6" w:rsidR="00086B26" w:rsidRPr="00287D6F" w:rsidRDefault="00EE487F" w:rsidP="00086B26">
      <w:pPr>
        <w:pStyle w:val="StyleCopyrightStatementAfter0ptBottomSinglesolidline1"/>
        <w:rPr>
          <w:lang w:val="en-GB"/>
        </w:rPr>
      </w:pPr>
      <w:r>
        <w:rPr>
          <w:lang w:val="en-GB"/>
        </w:rPr>
        <w:t>Professors Xiaokang Zhao and Frank Li</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53174A0D"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E0067">
        <w:rPr>
          <w:rFonts w:cs="Arial"/>
          <w:iCs w:val="0"/>
          <w:color w:val="auto"/>
          <w:szCs w:val="16"/>
        </w:rPr>
        <w:t>19</w:t>
      </w:r>
      <w:r w:rsidRPr="00A323B0">
        <w:rPr>
          <w:rFonts w:cs="Arial"/>
          <w:iCs w:val="0"/>
          <w:color w:val="auto"/>
          <w:szCs w:val="16"/>
        </w:rPr>
        <w:t xml:space="preserve">, </w:t>
      </w:r>
      <w:r w:rsidR="00651AA3" w:rsidRPr="00651AA3">
        <w:rPr>
          <w:rFonts w:cs="Arial"/>
          <w:iCs w:val="0"/>
          <w:color w:val="auto"/>
          <w:szCs w:val="16"/>
          <w:lang w:val="en-CA"/>
        </w:rPr>
        <w:t xml:space="preserve">Ivey Business School Foundation and </w:t>
      </w:r>
      <w:proofErr w:type="spellStart"/>
      <w:r w:rsidR="00651AA3" w:rsidRPr="00651AA3">
        <w:rPr>
          <w:rFonts w:cs="Arial"/>
          <w:iCs w:val="0"/>
          <w:color w:val="auto"/>
          <w:szCs w:val="16"/>
          <w:lang w:val="en-CA"/>
        </w:rPr>
        <w:t>Donghua</w:t>
      </w:r>
      <w:proofErr w:type="spellEnd"/>
      <w:r w:rsidR="00651AA3" w:rsidRPr="00651AA3">
        <w:rPr>
          <w:rFonts w:cs="Arial"/>
          <w:iCs w:val="0"/>
          <w:color w:val="auto"/>
          <w:szCs w:val="16"/>
          <w:lang w:val="en-CA"/>
        </w:rPr>
        <w:t xml:space="preserve"> University</w:t>
      </w:r>
      <w:r w:rsidRPr="00A323B0">
        <w:rPr>
          <w:rFonts w:cs="Arial"/>
          <w:iCs w:val="0"/>
          <w:color w:val="auto"/>
          <w:szCs w:val="16"/>
          <w:lang w:val="en-CA"/>
        </w:rPr>
        <w:tab/>
      </w:r>
      <w:r w:rsidRPr="00A323B0">
        <w:rPr>
          <w:rFonts w:cs="Arial"/>
          <w:iCs w:val="0"/>
          <w:color w:val="auto"/>
          <w:szCs w:val="16"/>
        </w:rPr>
        <w:t>Version: 20</w:t>
      </w:r>
      <w:r w:rsidR="00651AA3">
        <w:rPr>
          <w:rFonts w:cs="Arial"/>
          <w:iCs w:val="0"/>
          <w:color w:val="auto"/>
          <w:szCs w:val="16"/>
        </w:rPr>
        <w:t>20</w:t>
      </w:r>
      <w:r w:rsidRPr="00A323B0">
        <w:rPr>
          <w:rFonts w:cs="Arial"/>
          <w:iCs w:val="0"/>
          <w:color w:val="auto"/>
          <w:szCs w:val="16"/>
        </w:rPr>
        <w:t>-</w:t>
      </w:r>
      <w:r w:rsidR="00651AA3">
        <w:rPr>
          <w:rFonts w:cs="Arial"/>
          <w:iCs w:val="0"/>
          <w:color w:val="auto"/>
          <w:szCs w:val="16"/>
        </w:rPr>
        <w:t>02</w:t>
      </w:r>
      <w:r w:rsidRPr="00A323B0">
        <w:rPr>
          <w:rFonts w:cs="Arial"/>
          <w:iCs w:val="0"/>
          <w:color w:val="auto"/>
          <w:szCs w:val="16"/>
        </w:rPr>
        <w:t>-</w:t>
      </w:r>
      <w:r w:rsidR="00413763">
        <w:rPr>
          <w:rFonts w:cs="Arial"/>
          <w:iCs w:val="0"/>
          <w:color w:val="auto"/>
          <w:szCs w:val="16"/>
        </w:rPr>
        <w:t>25</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61AD11A7" w14:textId="465D2F57" w:rsidR="00EE487F" w:rsidRPr="00EE487F" w:rsidRDefault="00EE487F" w:rsidP="00B77C4D">
      <w:pPr>
        <w:pStyle w:val="BodyTextMain"/>
        <w:rPr>
          <w:lang w:val="en-GB"/>
        </w:rPr>
      </w:pPr>
      <w:r w:rsidRPr="00EE487F">
        <w:rPr>
          <w:lang w:val="en-GB"/>
        </w:rPr>
        <w:t xml:space="preserve">On October 22, 2016, Janey Frank, a portfolio manager at </w:t>
      </w:r>
      <w:proofErr w:type="spellStart"/>
      <w:r w:rsidRPr="00EE487F">
        <w:rPr>
          <w:lang w:val="en-GB"/>
        </w:rPr>
        <w:t>Uria</w:t>
      </w:r>
      <w:proofErr w:type="spellEnd"/>
      <w:r w:rsidRPr="00EE487F">
        <w:rPr>
          <w:lang w:val="en-GB"/>
        </w:rPr>
        <w:t xml:space="preserve"> Investment, was shocked by an announcement made in a conference call by Jeff </w:t>
      </w:r>
      <w:proofErr w:type="spellStart"/>
      <w:r w:rsidRPr="00EE487F">
        <w:rPr>
          <w:lang w:val="en-GB"/>
        </w:rPr>
        <w:t>Bewkes</w:t>
      </w:r>
      <w:proofErr w:type="spellEnd"/>
      <w:r w:rsidRPr="00EE487F">
        <w:rPr>
          <w:lang w:val="en-GB"/>
        </w:rPr>
        <w:t xml:space="preserve">, the chairperson and chief executive officer (CEO) of </w:t>
      </w:r>
      <w:r w:rsidR="003A618C">
        <w:rPr>
          <w:lang w:val="en-GB"/>
        </w:rPr>
        <w:t xml:space="preserve">US </w:t>
      </w:r>
      <w:r w:rsidRPr="00EE487F">
        <w:rPr>
          <w:lang w:val="en-GB"/>
        </w:rPr>
        <w:t xml:space="preserve">television media giant Time Warner Group (Time Warner). </w:t>
      </w:r>
      <w:proofErr w:type="spellStart"/>
      <w:r w:rsidRPr="00EE487F">
        <w:rPr>
          <w:lang w:val="en-GB"/>
        </w:rPr>
        <w:t>Bewkes</w:t>
      </w:r>
      <w:proofErr w:type="spellEnd"/>
      <w:r w:rsidRPr="00EE487F">
        <w:rPr>
          <w:lang w:val="en-GB"/>
        </w:rPr>
        <w:t xml:space="preserve"> stated that Time Warner would soon merge with the telecommunications (telecom) operator AT&amp;T Inc. (AT&amp;T), formerly American Telephone and Telegraph Company. AT&amp;T would acquire Time Warner for US$107.50</w:t>
      </w:r>
      <w:r w:rsidRPr="00EE487F">
        <w:rPr>
          <w:vertAlign w:val="superscript"/>
          <w:lang w:val="en-GB"/>
        </w:rPr>
        <w:footnoteReference w:id="2"/>
      </w:r>
      <w:r w:rsidRPr="00EE487F">
        <w:rPr>
          <w:lang w:val="en-GB"/>
        </w:rPr>
        <w:t xml:space="preserve"> per share, half in cash and half in stock.</w:t>
      </w:r>
      <w:r w:rsidRPr="00EE487F">
        <w:rPr>
          <w:vertAlign w:val="superscript"/>
          <w:lang w:val="en-GB"/>
        </w:rPr>
        <w:footnoteReference w:id="3"/>
      </w:r>
      <w:r w:rsidRPr="00EE487F">
        <w:rPr>
          <w:lang w:val="en-GB"/>
        </w:rPr>
        <w:t xml:space="preserve"> In a report Time Warner filed, as required by the </w:t>
      </w:r>
      <w:r w:rsidR="003A618C">
        <w:rPr>
          <w:lang w:val="en-GB"/>
        </w:rPr>
        <w:t xml:space="preserve">US </w:t>
      </w:r>
      <w:r w:rsidRPr="00EE487F">
        <w:rPr>
          <w:lang w:val="en-GB"/>
        </w:rPr>
        <w:t xml:space="preserve">Securities and Exchange Commission (SEC), </w:t>
      </w:r>
      <w:proofErr w:type="spellStart"/>
      <w:r w:rsidRPr="00EE487F">
        <w:rPr>
          <w:lang w:val="en-GB"/>
        </w:rPr>
        <w:t>Bewkes</w:t>
      </w:r>
      <w:proofErr w:type="spellEnd"/>
      <w:r w:rsidRPr="00EE487F">
        <w:rPr>
          <w:lang w:val="en-GB"/>
        </w:rPr>
        <w:t xml:space="preserve"> made the following statement: </w:t>
      </w:r>
    </w:p>
    <w:p w14:paraId="478B312C" w14:textId="77777777" w:rsidR="00EE487F" w:rsidRPr="00EE487F" w:rsidRDefault="00EE487F" w:rsidP="00B77C4D">
      <w:pPr>
        <w:pStyle w:val="BodyTextMain"/>
        <w:rPr>
          <w:lang w:val="en-GB"/>
        </w:rPr>
      </w:pPr>
    </w:p>
    <w:p w14:paraId="41EA4857" w14:textId="456445A7" w:rsidR="00EE487F" w:rsidRPr="00EE487F" w:rsidRDefault="00EE487F" w:rsidP="00B77C4D">
      <w:pPr>
        <w:pStyle w:val="BodyTextMain"/>
        <w:ind w:left="720"/>
        <w:rPr>
          <w:lang w:val="en-GB"/>
        </w:rPr>
      </w:pPr>
      <w:r w:rsidRPr="00EE487F">
        <w:rPr>
          <w:lang w:val="en-GB"/>
        </w:rPr>
        <w:t>This transaction is an excellent outcome for our shareholders and it’s an excellent opportunity to drive long-term value into the future. We believe combining with AT&amp;T is the natural next step in the evolution of our business and it is one that allows us to significantly accelerate our most important strategies. We believe that putting these complementary businesses together will drive innovation and accelerate the transition of the ecosystem to more and better choices for consumers.</w:t>
      </w:r>
      <w:r w:rsidRPr="00EE487F">
        <w:rPr>
          <w:sz w:val="24"/>
          <w:szCs w:val="24"/>
          <w:vertAlign w:val="superscript"/>
          <w:lang w:val="en-GB"/>
        </w:rPr>
        <w:footnoteReference w:id="4"/>
      </w:r>
    </w:p>
    <w:p w14:paraId="53E605E6" w14:textId="77777777" w:rsidR="00EE487F" w:rsidRPr="00EE487F" w:rsidRDefault="00EE487F" w:rsidP="00B77C4D">
      <w:pPr>
        <w:pStyle w:val="BodyTextMain"/>
        <w:rPr>
          <w:lang w:val="en-GB"/>
        </w:rPr>
      </w:pPr>
    </w:p>
    <w:p w14:paraId="3A7D2FA8" w14:textId="77777777" w:rsidR="00EE487F" w:rsidRPr="00EE487F" w:rsidRDefault="00EE487F" w:rsidP="00B77C4D">
      <w:pPr>
        <w:pStyle w:val="BodyTextMain"/>
        <w:rPr>
          <w:lang w:val="en-GB"/>
        </w:rPr>
      </w:pPr>
      <w:r w:rsidRPr="00EE487F">
        <w:rPr>
          <w:lang w:val="en-GB"/>
        </w:rPr>
        <w:t>Time Warner also announced that the two companies had started formal negotiations as early as August 2016 and were expected to complete the deal in 2017. The merger between one of the largest distributors of content and one of the biggest producers of content, if approved in the antitrust trials that followed, would be the largest global acquisition during the year.</w:t>
      </w:r>
      <w:r w:rsidRPr="00EE487F">
        <w:rPr>
          <w:vertAlign w:val="superscript"/>
          <w:lang w:val="en-GB"/>
        </w:rPr>
        <w:footnoteReference w:id="5"/>
      </w:r>
      <w:r w:rsidRPr="00EE487F">
        <w:rPr>
          <w:lang w:val="en-GB"/>
        </w:rPr>
        <w:t xml:space="preserve"> </w:t>
      </w:r>
    </w:p>
    <w:p w14:paraId="6F9A1778" w14:textId="77777777" w:rsidR="00EE487F" w:rsidRPr="00EE487F" w:rsidRDefault="00EE487F" w:rsidP="00B77C4D">
      <w:pPr>
        <w:pStyle w:val="BodyTextMain"/>
        <w:rPr>
          <w:lang w:val="en-GB"/>
        </w:rPr>
      </w:pPr>
    </w:p>
    <w:p w14:paraId="058355D3" w14:textId="0AD79B09" w:rsidR="00EE487F" w:rsidRPr="00EE487F" w:rsidRDefault="00EE487F" w:rsidP="00B77C4D">
      <w:pPr>
        <w:pStyle w:val="BodyTextMain"/>
        <w:rPr>
          <w:lang w:val="en-GB"/>
        </w:rPr>
      </w:pPr>
      <w:r w:rsidRPr="00EE487F">
        <w:rPr>
          <w:lang w:val="en-GB"/>
        </w:rPr>
        <w:t xml:space="preserve">AT&amp;T agreed to buy Time Warner’s total equity of 783.8 million outstanding shares for $85.4 billion. Together with Time Warner’s net debt, this would cost AT&amp;T $108.7 billion, the total enterprise value. Before the merger was announced, Time Warner’s stock price was $79.50 per share; the acquisition price </w:t>
      </w:r>
      <w:r w:rsidRPr="00EE487F">
        <w:rPr>
          <w:lang w:val="en-GB"/>
        </w:rPr>
        <w:lastRenderedPageBreak/>
        <w:t>of $107.50 implied a 35 per cent premium.</w:t>
      </w:r>
      <w:r w:rsidR="00D07BE1">
        <w:rPr>
          <w:rStyle w:val="FootnoteReference"/>
          <w:lang w:val="en-GB"/>
        </w:rPr>
        <w:footnoteReference w:id="6"/>
      </w:r>
      <w:r w:rsidRPr="00EE487F">
        <w:rPr>
          <w:lang w:val="en-GB"/>
        </w:rPr>
        <w:t xml:space="preserve"> If Time Warner were to break the deal and allow other companies to become involved in the bidding, it would have to pay AT&amp;T $1.725 billion. On the other hand, if the antitrust agency were not to approve the deal, causing the termination of the buyout, then AT&amp;T would have to pay Time Warner $500 million.</w:t>
      </w:r>
      <w:r w:rsidRPr="00EE487F">
        <w:rPr>
          <w:sz w:val="24"/>
          <w:szCs w:val="24"/>
          <w:vertAlign w:val="superscript"/>
          <w:lang w:val="en-GB"/>
        </w:rPr>
        <w:footnoteReference w:id="7"/>
      </w:r>
    </w:p>
    <w:p w14:paraId="1A80439D" w14:textId="77777777" w:rsidR="00EE487F" w:rsidRPr="00EE487F" w:rsidRDefault="00EE487F" w:rsidP="00B77C4D">
      <w:pPr>
        <w:pStyle w:val="BodyTextMain"/>
        <w:rPr>
          <w:lang w:val="en-GB"/>
        </w:rPr>
      </w:pPr>
    </w:p>
    <w:p w14:paraId="45AEAE35" w14:textId="41EFD461" w:rsidR="00EE487F" w:rsidRPr="00EE487F" w:rsidRDefault="00EE487F" w:rsidP="00B77C4D">
      <w:pPr>
        <w:pStyle w:val="BodyTextMain"/>
        <w:rPr>
          <w:lang w:val="en-GB"/>
        </w:rPr>
      </w:pPr>
      <w:r w:rsidRPr="00EE487F">
        <w:rPr>
          <w:lang w:val="en-GB"/>
        </w:rPr>
        <w:t xml:space="preserve">Frank was trying to anticipate the future of the merged firm, as AT&amp;T equity represented a significant portion of her investment portfolios. She wondered if the merger would be costly or problematic for the acquirer’s investors. In 2016, so far, numerous acquisitions had greatly benefited shareholders of the acquired firm at the expense of the acquirer’s investors, including the </w:t>
      </w:r>
      <w:hyperlink r:id="rId10" w:tgtFrame="https://www.forbes.com/sites/greatspeculations/2016/11/15/att-time-warner-acquisition-a-rare-deal-that-makes-economic-sense/_blank" w:history="1">
        <w:r w:rsidRPr="00EE487F">
          <w:rPr>
            <w:lang w:val="en-GB"/>
          </w:rPr>
          <w:t>$3.8 billion</w:t>
        </w:r>
      </w:hyperlink>
      <w:r w:rsidRPr="00EE487F">
        <w:rPr>
          <w:lang w:val="en-GB"/>
        </w:rPr>
        <w:t xml:space="preserve"> acquisition of DreamWorks Animation by Comcast Corporation (Comcast) and the </w:t>
      </w:r>
      <w:hyperlink r:id="rId11" w:tgtFrame="https://www.forbes.com/sites/greatspeculations/2016/11/15/att-time-warner-acquisition-a-rare-deal-that-makes-economic-sense/_blank" w:history="1">
        <w:r w:rsidRPr="00EE487F">
          <w:rPr>
            <w:lang w:val="en-GB"/>
          </w:rPr>
          <w:t>$2.8 billion</w:t>
        </w:r>
      </w:hyperlink>
      <w:r w:rsidRPr="00EE487F">
        <w:rPr>
          <w:lang w:val="en-GB"/>
        </w:rPr>
        <w:t xml:space="preserve"> acquisition of Demandware Inc. by Salesforce.com Inc.</w:t>
      </w:r>
      <w:r w:rsidRPr="00EE487F">
        <w:rPr>
          <w:vertAlign w:val="superscript"/>
          <w:lang w:val="en-GB"/>
        </w:rPr>
        <w:footnoteReference w:id="8"/>
      </w:r>
      <w:r w:rsidRPr="00EE487F">
        <w:rPr>
          <w:lang w:val="en-GB"/>
        </w:rPr>
        <w:t xml:space="preserve"> Investors had already started contacting Frank about the future of the company and the state of their investments. She needed to act fast to mitigate any potential loss of value for her investors, so she decided to make a thorough valuation analysis.</w:t>
      </w:r>
    </w:p>
    <w:p w14:paraId="595E0EBB" w14:textId="77777777" w:rsidR="00EE487F" w:rsidRPr="00EE487F" w:rsidRDefault="00EE487F" w:rsidP="00B77C4D">
      <w:pPr>
        <w:pStyle w:val="BodyTextMain"/>
        <w:rPr>
          <w:lang w:val="en-GB"/>
        </w:rPr>
      </w:pPr>
    </w:p>
    <w:p w14:paraId="0867EFDB" w14:textId="77777777" w:rsidR="00EE487F" w:rsidRPr="00EE487F" w:rsidRDefault="00EE487F" w:rsidP="00B77C4D">
      <w:pPr>
        <w:pStyle w:val="BodyTextMain"/>
        <w:rPr>
          <w:lang w:val="en-GB"/>
        </w:rPr>
      </w:pPr>
    </w:p>
    <w:p w14:paraId="166968D2" w14:textId="77777777" w:rsidR="00EE487F" w:rsidRPr="00EE487F" w:rsidRDefault="00EE487F" w:rsidP="00B77C4D">
      <w:pPr>
        <w:pStyle w:val="Casehead1"/>
        <w:rPr>
          <w:lang w:val="en-GB"/>
        </w:rPr>
      </w:pPr>
      <w:r w:rsidRPr="00EE487F">
        <w:rPr>
          <w:lang w:val="en-GB"/>
        </w:rPr>
        <w:t>Deal Structure</w:t>
      </w:r>
    </w:p>
    <w:p w14:paraId="64E705F8" w14:textId="77777777" w:rsidR="00EE487F" w:rsidRPr="00EE487F" w:rsidRDefault="00EE487F" w:rsidP="00B77C4D">
      <w:pPr>
        <w:pStyle w:val="BodyTextMain"/>
        <w:rPr>
          <w:lang w:val="en-GB"/>
        </w:rPr>
      </w:pPr>
    </w:p>
    <w:p w14:paraId="0DDCF874" w14:textId="77777777" w:rsidR="00EE487F" w:rsidRPr="00EE487F" w:rsidRDefault="00EE487F" w:rsidP="00B77C4D">
      <w:pPr>
        <w:pStyle w:val="BodyTextMain"/>
      </w:pPr>
      <w:r w:rsidRPr="00EE487F">
        <w:rPr>
          <w:lang w:val="en-GB"/>
        </w:rPr>
        <w:t xml:space="preserve">In the merger, all of Time Warner’s shareholders would receive $107.5 per share—$53.75 per share in cash and $53.75 per share in AT&amp;T stock. If AT&amp;T’s average share price was less than $37.411 at the close of the transaction, Time Warner’s shareholders would receive a fixed price of 1.437 AT&amp;T shares per share. </w:t>
      </w:r>
      <w:r w:rsidRPr="00EE487F">
        <w:t>If AT&amp;T’s average share price was in the range of $37.411 and $41.349, then the exchange ratio would be an amount equal to the quotient obtained by dividing $53.75 by the average AT&amp;T stock price. If AT&amp;T’s share price was higher than $41.349 per share, Time Warner’s shareholders would receive AT&amp;T shares at a fixed price of 1.300 per share.</w:t>
      </w:r>
      <w:r w:rsidRPr="00EE487F">
        <w:rPr>
          <w:vertAlign w:val="superscript"/>
        </w:rPr>
        <w:footnoteReference w:id="9"/>
      </w:r>
    </w:p>
    <w:p w14:paraId="71342931" w14:textId="77777777" w:rsidR="00EE487F" w:rsidRPr="00EE487F" w:rsidRDefault="00EE487F" w:rsidP="00B77C4D">
      <w:pPr>
        <w:pStyle w:val="BodyTextMain"/>
        <w:rPr>
          <w:lang w:val="en-GB"/>
        </w:rPr>
      </w:pPr>
    </w:p>
    <w:p w14:paraId="791D3FB3" w14:textId="77777777" w:rsidR="00EE487F" w:rsidRPr="0092145F" w:rsidRDefault="00EE487F" w:rsidP="00B77C4D">
      <w:pPr>
        <w:pStyle w:val="BodyTextMain"/>
        <w:rPr>
          <w:spacing w:val="-4"/>
          <w:lang w:val="en-GB"/>
        </w:rPr>
      </w:pPr>
      <w:r w:rsidRPr="0092145F">
        <w:rPr>
          <w:spacing w:val="-4"/>
          <w:lang w:val="en-GB"/>
        </w:rPr>
        <w:t>To raise the cash needed to fund half of the $85.4 billion deal, AT&amp;T planned to apply for bridge loans of $25 billion and $15 billion, respectively, from JPMorgan Chase &amp; Co. and Bank of America Merrill Lynch.</w:t>
      </w:r>
      <w:r w:rsidRPr="0092145F">
        <w:rPr>
          <w:spacing w:val="-4"/>
          <w:vertAlign w:val="superscript"/>
          <w:lang w:val="en-GB"/>
        </w:rPr>
        <w:footnoteReference w:id="10"/>
      </w:r>
      <w:r w:rsidRPr="0092145F">
        <w:rPr>
          <w:spacing w:val="-4"/>
          <w:lang w:val="en-GB"/>
        </w:rPr>
        <w:t xml:space="preserve"> </w:t>
      </w:r>
    </w:p>
    <w:p w14:paraId="72219C74" w14:textId="77777777" w:rsidR="00EE487F" w:rsidRPr="00EE487F" w:rsidRDefault="00EE487F" w:rsidP="00B77C4D">
      <w:pPr>
        <w:pStyle w:val="BodyTextMain"/>
        <w:rPr>
          <w:lang w:val="en-GB"/>
        </w:rPr>
      </w:pPr>
    </w:p>
    <w:p w14:paraId="0E7BF3AC" w14:textId="77777777" w:rsidR="00EE487F" w:rsidRPr="00EE487F" w:rsidRDefault="00EE487F" w:rsidP="00B77C4D">
      <w:pPr>
        <w:pStyle w:val="BodyTextMain"/>
        <w:rPr>
          <w:lang w:val="en-GB"/>
        </w:rPr>
      </w:pPr>
    </w:p>
    <w:p w14:paraId="443FC5C1" w14:textId="77777777" w:rsidR="00EE487F" w:rsidRPr="00EE487F" w:rsidRDefault="00EE487F" w:rsidP="00B77C4D">
      <w:pPr>
        <w:pStyle w:val="Casehead1"/>
        <w:rPr>
          <w:rFonts w:eastAsiaTheme="minorHAnsi"/>
          <w:lang w:val="en-GB"/>
        </w:rPr>
      </w:pPr>
      <w:r w:rsidRPr="00EE487F">
        <w:rPr>
          <w:rFonts w:eastAsiaTheme="minorHAnsi"/>
          <w:lang w:val="en-GB"/>
        </w:rPr>
        <w:t>The Acquirer: AT&amp;T</w:t>
      </w:r>
    </w:p>
    <w:p w14:paraId="5D9266C3" w14:textId="77777777" w:rsidR="00EE487F" w:rsidRPr="00EE487F" w:rsidRDefault="00EE487F" w:rsidP="00B77C4D">
      <w:pPr>
        <w:pStyle w:val="BodyTextMain"/>
        <w:rPr>
          <w:lang w:val="en-GB"/>
        </w:rPr>
      </w:pPr>
    </w:p>
    <w:p w14:paraId="547D2506" w14:textId="78AC5C74" w:rsidR="00EE487F" w:rsidRPr="00EE487F" w:rsidRDefault="00EE487F" w:rsidP="00B77C4D">
      <w:pPr>
        <w:pStyle w:val="BodyTextMain"/>
        <w:rPr>
          <w:lang w:val="en-GB"/>
        </w:rPr>
      </w:pPr>
      <w:r w:rsidRPr="00EE487F">
        <w:rPr>
          <w:lang w:val="en-GB"/>
        </w:rPr>
        <w:t>Headquartered in Dallas, Texas, AT&amp;T had previously been known as the American Bell Telephone Company and included the Bell Telephone Company founded by telephone inventor Alexander Graham Bell in 1880. In 1984, AT&amp;T spun off its local telephone service and kept equipment manufacturing enterprises Western Electric and Bell Laboratories, as well as the most profitable long-distance services; Southwestern Bell Communications (SBC) had its origins in this reorganization.</w:t>
      </w:r>
      <w:r w:rsidR="00D07BE1">
        <w:rPr>
          <w:rStyle w:val="FootnoteReference"/>
          <w:lang w:val="en-GB"/>
        </w:rPr>
        <w:footnoteReference w:id="11"/>
      </w:r>
      <w:r w:rsidRPr="00EE487F">
        <w:rPr>
          <w:lang w:val="en-GB"/>
        </w:rPr>
        <w:t xml:space="preserve"> The </w:t>
      </w:r>
      <w:r w:rsidRPr="00EE487F">
        <w:rPr>
          <w:rFonts w:hint="eastAsia"/>
          <w:lang w:val="en-GB" w:eastAsia="zh-CN"/>
        </w:rPr>
        <w:t xml:space="preserve">United States </w:t>
      </w:r>
      <w:r w:rsidRPr="00EE487F">
        <w:rPr>
          <w:lang w:val="en-GB"/>
        </w:rPr>
        <w:lastRenderedPageBreak/>
        <w:t>telecommunications law of 1996 led to a major change in the competitive landscape.</w:t>
      </w:r>
      <w:r w:rsidRPr="00EE487F">
        <w:rPr>
          <w:vertAlign w:val="superscript"/>
          <w:lang w:val="en-GB"/>
        </w:rPr>
        <w:footnoteReference w:id="12"/>
      </w:r>
      <w:r w:rsidRPr="00EE487F">
        <w:rPr>
          <w:lang w:val="en-GB"/>
        </w:rPr>
        <w:t xml:space="preserve"> SBC expanded its operations in the United States through a series of acquisitions, including the acquisition of Pacific Telesis Group in 1997 and the acquisition of Ameritech Corporation in 1999. In 2005, SBC purchased AT&amp;T and took on its branding, with the merged entity naming itself AT&amp;T Inc. and using its iconic logo and stock-trading symbol.</w:t>
      </w:r>
      <w:r w:rsidRPr="00EE487F">
        <w:rPr>
          <w:vertAlign w:val="superscript"/>
          <w:lang w:val="en-GB"/>
        </w:rPr>
        <w:footnoteReference w:id="13"/>
      </w:r>
    </w:p>
    <w:p w14:paraId="60023D61" w14:textId="77777777" w:rsidR="00EE487F" w:rsidRPr="00EE487F" w:rsidRDefault="00EE487F" w:rsidP="00B77C4D">
      <w:pPr>
        <w:pStyle w:val="BodyTextMain"/>
        <w:rPr>
          <w:lang w:val="en-GB"/>
        </w:rPr>
      </w:pPr>
    </w:p>
    <w:p w14:paraId="50F9A926" w14:textId="128E9A20" w:rsidR="00EE487F" w:rsidRPr="00EE487F" w:rsidRDefault="00EE487F" w:rsidP="00B77C4D">
      <w:pPr>
        <w:pStyle w:val="BodyTextMain"/>
        <w:rPr>
          <w:lang w:val="en-GB"/>
        </w:rPr>
      </w:pPr>
      <w:r w:rsidRPr="00EE487F">
        <w:rPr>
          <w:lang w:val="en-GB"/>
        </w:rPr>
        <w:t>AT&amp;T was the largest telecom company and fixed-line telephone service provider in the United States, as well as the largest mobile phone service provider in the United States and the second-largest mobile service provider in the world. The company’s businesses included wireless communications; local exchange services; remote services; data, broadband, and Internet services; video services; telecommunications equipment; network management; wholesale services; and catalogue advertising and publishing services. AT&amp;T also provided broadband and satellite television (TV) services, and had about 135 million wireless subscribers in the United States</w:t>
      </w:r>
      <w:r w:rsidR="003A618C">
        <w:rPr>
          <w:lang w:val="en-GB"/>
        </w:rPr>
        <w:t xml:space="preserve"> in 2016</w:t>
      </w:r>
      <w:r w:rsidRPr="00EE487F">
        <w:rPr>
          <w:lang w:val="en-GB"/>
        </w:rPr>
        <w:t>, which made it the world’s largest telecom company.</w:t>
      </w:r>
      <w:r w:rsidRPr="00EE487F">
        <w:rPr>
          <w:vertAlign w:val="superscript"/>
          <w:lang w:val="en-GB"/>
        </w:rPr>
        <w:footnoteReference w:id="14"/>
      </w:r>
    </w:p>
    <w:p w14:paraId="14DAFAC3" w14:textId="77777777" w:rsidR="00EE487F" w:rsidRPr="00EE487F" w:rsidRDefault="00EE487F" w:rsidP="00B77C4D">
      <w:pPr>
        <w:pStyle w:val="BodyTextMain"/>
        <w:rPr>
          <w:lang w:val="en-GB"/>
        </w:rPr>
      </w:pPr>
    </w:p>
    <w:p w14:paraId="2FD2CA28" w14:textId="77777777" w:rsidR="00EE487F" w:rsidRPr="00EE487F" w:rsidRDefault="00EE487F" w:rsidP="00B77C4D">
      <w:pPr>
        <w:pStyle w:val="BodyTextMain"/>
        <w:rPr>
          <w:lang w:val="en-GB"/>
        </w:rPr>
      </w:pPr>
      <w:r w:rsidRPr="00EE487F">
        <w:rPr>
          <w:lang w:val="en-GB"/>
        </w:rPr>
        <w:t>AT&amp;T operated in four main business sectors (see Exhibit 1). In enterprise solutions, its main businesses were wireless services, strategic services, traditional voice and data services, and wireless devices. In consumer mobile services, it provided consumer service and equipment. In entertainment and Internet services, it offered video entertainment, high-speed Internet, and traditional data services. Finally, its international business segment provided video and wireless services in Latin American countries such as Brazil and Argentina.</w:t>
      </w:r>
    </w:p>
    <w:p w14:paraId="44A226AA" w14:textId="77777777" w:rsidR="00EE487F" w:rsidRPr="00EE487F" w:rsidRDefault="00EE487F" w:rsidP="00B77C4D">
      <w:pPr>
        <w:pStyle w:val="BodyTextMain"/>
        <w:rPr>
          <w:lang w:val="en-GB"/>
        </w:rPr>
      </w:pPr>
    </w:p>
    <w:p w14:paraId="1BB22233" w14:textId="7FEDF910" w:rsidR="00EE487F" w:rsidRPr="00EE487F" w:rsidRDefault="00EE487F" w:rsidP="00B77C4D">
      <w:pPr>
        <w:pStyle w:val="BodyTextMain"/>
        <w:rPr>
          <w:lang w:val="en-GB"/>
        </w:rPr>
      </w:pPr>
      <w:r w:rsidRPr="00EE487F">
        <w:rPr>
          <w:lang w:val="en-GB"/>
        </w:rPr>
        <w:t xml:space="preserve">AT&amp;T was committed to expanding its mobile Internet business through a series of mergers and acquisitions. It had purchased the number-three Mexican carrier </w:t>
      </w:r>
      <w:proofErr w:type="spellStart"/>
      <w:r w:rsidRPr="00EE487F">
        <w:rPr>
          <w:lang w:val="en-GB"/>
        </w:rPr>
        <w:t>Iusacell</w:t>
      </w:r>
      <w:proofErr w:type="spellEnd"/>
      <w:r w:rsidRPr="00EE487F">
        <w:rPr>
          <w:lang w:val="en-GB"/>
        </w:rPr>
        <w:t xml:space="preserve"> for $2.5 billion in late 2014, and two months later, it purchased the Mexican telecom operator Nextel Mexico for $1.88 billion.</w:t>
      </w:r>
      <w:r w:rsidRPr="00EE487F">
        <w:rPr>
          <w:vertAlign w:val="superscript"/>
          <w:lang w:val="en-GB"/>
        </w:rPr>
        <w:footnoteReference w:id="15"/>
      </w:r>
      <w:r w:rsidRPr="00EE487F">
        <w:rPr>
          <w:lang w:val="en-GB"/>
        </w:rPr>
        <w:t xml:space="preserve"> The two acquired companies formed AT&amp;T Mexico and helped AT&amp;T enter the Latin American market. With the development of mobile Internet and social media, as well as changes in consumers’ video-watching habits, AT&amp;T had also started to enter the video field. In 2014, AT&amp;T and the </w:t>
      </w:r>
      <w:proofErr w:type="spellStart"/>
      <w:r w:rsidRPr="00EE487F">
        <w:rPr>
          <w:lang w:val="en-GB"/>
        </w:rPr>
        <w:t>Chernin</w:t>
      </w:r>
      <w:proofErr w:type="spellEnd"/>
      <w:r w:rsidRPr="00EE487F">
        <w:rPr>
          <w:lang w:val="en-GB"/>
        </w:rPr>
        <w:t xml:space="preserve"> Group jointly purchased Fullscreen, YouTube’s premier content provider.</w:t>
      </w:r>
      <w:r w:rsidRPr="00EE487F">
        <w:rPr>
          <w:vertAlign w:val="superscript"/>
          <w:lang w:val="en-GB"/>
        </w:rPr>
        <w:footnoteReference w:id="16"/>
      </w:r>
      <w:r w:rsidRPr="00EE487F">
        <w:rPr>
          <w:lang w:val="en-GB"/>
        </w:rPr>
        <w:t xml:space="preserve"> In 2015, AT&amp;T acquired DIRECTV, the largest </w:t>
      </w:r>
      <w:r w:rsidR="003A618C">
        <w:rPr>
          <w:lang w:val="en-GB"/>
        </w:rPr>
        <w:t>US</w:t>
      </w:r>
      <w:r w:rsidRPr="00EE487F">
        <w:rPr>
          <w:lang w:val="en-GB"/>
        </w:rPr>
        <w:t xml:space="preserve"> satellite TV provider, for $48.5 billion and became the nation’s largest </w:t>
      </w:r>
      <w:proofErr w:type="spellStart"/>
      <w:r w:rsidRPr="00EE487F">
        <w:rPr>
          <w:lang w:val="en-GB"/>
        </w:rPr>
        <w:t>pay-TV</w:t>
      </w:r>
      <w:proofErr w:type="spellEnd"/>
      <w:r w:rsidRPr="00EE487F">
        <w:rPr>
          <w:lang w:val="en-GB"/>
        </w:rPr>
        <w:t xml:space="preserve"> company, generating significant revenue growth for its entertainment business.</w:t>
      </w:r>
      <w:r w:rsidRPr="00EE487F">
        <w:rPr>
          <w:vertAlign w:val="superscript"/>
          <w:lang w:val="en-GB"/>
        </w:rPr>
        <w:footnoteReference w:id="17"/>
      </w:r>
    </w:p>
    <w:p w14:paraId="1BD6BB39" w14:textId="77777777" w:rsidR="00EE487F" w:rsidRPr="00EE487F" w:rsidRDefault="00EE487F" w:rsidP="00B77C4D">
      <w:pPr>
        <w:pStyle w:val="BodyTextMain"/>
        <w:rPr>
          <w:lang w:val="en-GB"/>
        </w:rPr>
      </w:pPr>
    </w:p>
    <w:p w14:paraId="17D93221" w14:textId="77777777" w:rsidR="00EE487F" w:rsidRPr="00EE487F" w:rsidRDefault="00EE487F" w:rsidP="00B77C4D">
      <w:pPr>
        <w:pStyle w:val="BodyTextMain"/>
        <w:rPr>
          <w:lang w:val="en-GB"/>
        </w:rPr>
      </w:pPr>
    </w:p>
    <w:p w14:paraId="0264ED37" w14:textId="77777777" w:rsidR="00EE487F" w:rsidRPr="00EE487F" w:rsidRDefault="00EE487F" w:rsidP="00B77C4D">
      <w:pPr>
        <w:pStyle w:val="Casehead1"/>
        <w:rPr>
          <w:lang w:val="en-GB"/>
        </w:rPr>
      </w:pPr>
      <w:r w:rsidRPr="00EE487F">
        <w:rPr>
          <w:lang w:val="en-GB"/>
        </w:rPr>
        <w:t>The Target: Time Warner</w:t>
      </w:r>
    </w:p>
    <w:p w14:paraId="74ED068F" w14:textId="77777777" w:rsidR="00EE487F" w:rsidRPr="00EE487F" w:rsidRDefault="00EE487F" w:rsidP="00B77C4D">
      <w:pPr>
        <w:pStyle w:val="BodyTextMain"/>
        <w:rPr>
          <w:lang w:val="en-GB"/>
        </w:rPr>
      </w:pPr>
    </w:p>
    <w:p w14:paraId="442182E7" w14:textId="7336B5A1" w:rsidR="00EE487F" w:rsidRPr="0092145F" w:rsidRDefault="00EE487F" w:rsidP="00B77C4D">
      <w:pPr>
        <w:pStyle w:val="BodyTextMain"/>
        <w:rPr>
          <w:spacing w:val="-2"/>
          <w:lang w:val="en-GB"/>
        </w:rPr>
      </w:pPr>
      <w:r w:rsidRPr="0092145F">
        <w:rPr>
          <w:spacing w:val="-2"/>
          <w:lang w:val="en-GB"/>
        </w:rPr>
        <w:t xml:space="preserve">Founded in 1990, Time Warner was headquartered in New York. Originally a magazine publisher, it had grown to become one of the world’s top entertainment media companies after a number of mergers and acquisitions. The Warner brothers—Harry, Albert, Sam, and Jack Warner—started the first Warner Brothers Studio in 1918 on Sunset Boulevard in Hollywood. In 1923, they formally established Warner Bros. </w:t>
      </w:r>
      <w:r w:rsidRPr="0092145F">
        <w:rPr>
          <w:spacing w:val="-2"/>
          <w:lang w:val="en-GB"/>
        </w:rPr>
        <w:lastRenderedPageBreak/>
        <w:t xml:space="preserve">Entertainment Inc. (Warner Bros.) In the same year, Henry Luce and his Yale schoolmate Briton Hadden founded Time Inc. to publish the first weekly news magazine in the United States, </w:t>
      </w:r>
      <w:r w:rsidRPr="0092145F">
        <w:rPr>
          <w:i/>
          <w:spacing w:val="-2"/>
          <w:lang w:val="en-GB"/>
        </w:rPr>
        <w:t>Time</w:t>
      </w:r>
      <w:r w:rsidRPr="0092145F">
        <w:rPr>
          <w:spacing w:val="-2"/>
          <w:lang w:val="en-GB"/>
        </w:rPr>
        <w:t xml:space="preserve"> magazine. Since the 1950s, Time Inc. had expanded into other fields, investing in the broadcast TV and cable TV networks Home Box Office (HBO) and Cinemax. In 1990, Time Inc. acquired Warner Communications Inc. for $14 billion to eventually form Time Warner.</w:t>
      </w:r>
      <w:r w:rsidRPr="0092145F">
        <w:rPr>
          <w:spacing w:val="-2"/>
          <w:vertAlign w:val="superscript"/>
          <w:lang w:val="en-GB"/>
        </w:rPr>
        <w:footnoteReference w:id="18"/>
      </w:r>
      <w:r w:rsidRPr="0092145F">
        <w:rPr>
          <w:spacing w:val="-2"/>
          <w:lang w:val="en-GB"/>
        </w:rPr>
        <w:t xml:space="preserve"> Time Warner had a history of expanding and adapting through mergers and acquisition. In 1996, Time Warner merged with Turner Broadcasting System Inc., the largest cable television company at that time, and become a leading player in the television distribution industry.</w:t>
      </w:r>
      <w:r w:rsidR="00A31A79" w:rsidRPr="0092145F">
        <w:rPr>
          <w:rStyle w:val="FootnoteReference"/>
          <w:spacing w:val="-2"/>
          <w:lang w:val="en-GB"/>
        </w:rPr>
        <w:footnoteReference w:id="19"/>
      </w:r>
    </w:p>
    <w:p w14:paraId="54A7B880" w14:textId="77777777" w:rsidR="00EE487F" w:rsidRPr="00EE487F" w:rsidRDefault="00EE487F" w:rsidP="00B77C4D">
      <w:pPr>
        <w:pStyle w:val="BodyTextMain"/>
        <w:rPr>
          <w:lang w:val="en-GB"/>
        </w:rPr>
      </w:pPr>
    </w:p>
    <w:p w14:paraId="415DE582" w14:textId="14762E0B" w:rsidR="00EE487F" w:rsidRPr="00EE487F" w:rsidRDefault="00EE487F" w:rsidP="00B77C4D">
      <w:pPr>
        <w:pStyle w:val="BodyTextMain"/>
        <w:rPr>
          <w:lang w:val="en-GB"/>
        </w:rPr>
      </w:pPr>
      <w:r w:rsidRPr="00EE487F">
        <w:rPr>
          <w:lang w:val="en-GB"/>
        </w:rPr>
        <w:t>At the time, Time Warner was the world’s third-largest entertainment company, after The Walt Disney Company and Comcast. Time Warner operated the following companies (see Exhibit 2 for their shares): (1) HBO, an American premium cable and satellite television network with subscription services and content authorization as its main sources of revenue; (2) Turner Broadcasting System, a media network that generated revenue through subscription, advertising, and content authorization services and included brands such as CNN, HLN, TNT, TBS, Cartoon Network, Turner Classic Movies, truTV, and Turner Sports; and (3) Warner Bros., which received revenue mainly from copyrights for the production and distribution of movies, television, video games, sales of peripheral products, and home entertainment on demand.</w:t>
      </w:r>
    </w:p>
    <w:p w14:paraId="4A3A925B" w14:textId="77777777" w:rsidR="00EE487F" w:rsidRPr="00EE487F" w:rsidRDefault="00EE487F" w:rsidP="00B77C4D">
      <w:pPr>
        <w:pStyle w:val="BodyTextMain"/>
        <w:rPr>
          <w:lang w:val="en-GB"/>
        </w:rPr>
      </w:pPr>
    </w:p>
    <w:p w14:paraId="440D76A3" w14:textId="77777777" w:rsidR="00EE487F" w:rsidRPr="00EE487F" w:rsidRDefault="00EE487F" w:rsidP="00B77C4D">
      <w:pPr>
        <w:pStyle w:val="BodyTextMain"/>
        <w:rPr>
          <w:lang w:val="en-GB"/>
        </w:rPr>
      </w:pPr>
      <w:r w:rsidRPr="00EE487F">
        <w:rPr>
          <w:lang w:val="en-GB"/>
        </w:rPr>
        <w:t>Amid the dot-com bubble of 2000, and in search of opportunities for Internet development, Time Warner merged with AOL (formerly, America Online), the world’s largest Internet service provider. However, the merger ended with a huge loss, and AOL withdrew in 2009. In 2014, Time Warner sold its Time Warner Cable segment to Comcast, then the nation’s largest cable television company, for $45 billion.</w:t>
      </w:r>
      <w:r w:rsidRPr="00EE487F">
        <w:rPr>
          <w:vertAlign w:val="superscript"/>
          <w:lang w:val="en-GB"/>
        </w:rPr>
        <w:footnoteReference w:id="20"/>
      </w:r>
      <w:r w:rsidRPr="00EE487F">
        <w:rPr>
          <w:lang w:val="en-GB"/>
        </w:rPr>
        <w:t xml:space="preserve"> Time Warner subsequently focused on its film, television production, and cable TV channels. In July of the same year, 21st Century Fox Inc. offered $80 billion to acquire Time Warner, but Time Warner rejected this bid.</w:t>
      </w:r>
      <w:r w:rsidRPr="00EE487F">
        <w:rPr>
          <w:vertAlign w:val="superscript"/>
          <w:lang w:val="en-GB"/>
        </w:rPr>
        <w:footnoteReference w:id="21"/>
      </w:r>
      <w:r w:rsidRPr="00EE487F">
        <w:rPr>
          <w:lang w:val="en-GB"/>
        </w:rPr>
        <w:t xml:space="preserve"> In recent years, Time Warner’s financial numbers had been relatively stable (see Exhibits 3–5).</w:t>
      </w:r>
    </w:p>
    <w:p w14:paraId="538D334A" w14:textId="77777777" w:rsidR="00EE487F" w:rsidRPr="00EE487F" w:rsidRDefault="00EE487F" w:rsidP="00B77C4D">
      <w:pPr>
        <w:pStyle w:val="BodyTextMain"/>
        <w:rPr>
          <w:lang w:val="en-GB"/>
        </w:rPr>
      </w:pPr>
    </w:p>
    <w:p w14:paraId="6AF5832F" w14:textId="77777777" w:rsidR="00EE487F" w:rsidRPr="00EE487F" w:rsidRDefault="00EE487F" w:rsidP="00B77C4D">
      <w:pPr>
        <w:pStyle w:val="BodyTextMain"/>
        <w:rPr>
          <w:lang w:val="en-GB"/>
        </w:rPr>
      </w:pPr>
    </w:p>
    <w:p w14:paraId="67B69217" w14:textId="77777777" w:rsidR="00EE487F" w:rsidRPr="00EE487F" w:rsidRDefault="00EE487F" w:rsidP="00B77C4D">
      <w:pPr>
        <w:pStyle w:val="Casehead1"/>
        <w:rPr>
          <w:lang w:val="en-GB"/>
        </w:rPr>
      </w:pPr>
      <w:r w:rsidRPr="00EE487F">
        <w:rPr>
          <w:lang w:val="en-GB"/>
        </w:rPr>
        <w:t>Industry Background</w:t>
      </w:r>
    </w:p>
    <w:p w14:paraId="620F6B79" w14:textId="77777777" w:rsidR="00EE487F" w:rsidRPr="00EE487F" w:rsidRDefault="00EE487F" w:rsidP="00B77C4D">
      <w:pPr>
        <w:pStyle w:val="BodyTextMain"/>
        <w:rPr>
          <w:lang w:val="en-GB"/>
        </w:rPr>
      </w:pPr>
    </w:p>
    <w:p w14:paraId="049AE91C" w14:textId="6778E08F" w:rsidR="00EE487F" w:rsidRPr="00EE487F" w:rsidRDefault="00EE487F" w:rsidP="00B77C4D">
      <w:pPr>
        <w:pStyle w:val="BodyTextMain"/>
        <w:rPr>
          <w:lang w:val="en-GB"/>
        </w:rPr>
      </w:pPr>
      <w:r w:rsidRPr="00EE487F">
        <w:rPr>
          <w:lang w:val="en-GB"/>
        </w:rPr>
        <w:t xml:space="preserve">The history of the telecommunications industry in the </w:t>
      </w:r>
      <w:bookmarkStart w:id="3" w:name="_Hlk499629750"/>
      <w:r w:rsidRPr="00EE487F">
        <w:rPr>
          <w:lang w:val="en-GB"/>
        </w:rPr>
        <w:t>United States</w:t>
      </w:r>
      <w:bookmarkEnd w:id="3"/>
      <w:r w:rsidRPr="00EE487F">
        <w:rPr>
          <w:lang w:val="en-GB"/>
        </w:rPr>
        <w:t xml:space="preserve"> dated back to 1876, when Bell applied for the first telephone patent. After more than 120 years of development, it had become an important pillar of the American national economy. The early telecom industry had experienced periods of patent monopoly, regulatory monopoly, and free competition, one after the other. In 2016, the </w:t>
      </w:r>
      <w:r w:rsidR="003A618C">
        <w:rPr>
          <w:lang w:val="en-GB"/>
        </w:rPr>
        <w:t>US</w:t>
      </w:r>
      <w:r w:rsidRPr="00EE487F">
        <w:rPr>
          <w:lang w:val="en-GB"/>
        </w:rPr>
        <w:t xml:space="preserve"> telecom industry became a fully competitive market represented by telecommunications companies such as Verizon Communications Inc. (Verizon), AT&amp;T, DIRECTV, Comcast, and Time Warner Cable. </w:t>
      </w:r>
    </w:p>
    <w:p w14:paraId="45ED9D14" w14:textId="77777777" w:rsidR="00EE487F" w:rsidRPr="00EE487F" w:rsidRDefault="00EE487F" w:rsidP="00B77C4D">
      <w:pPr>
        <w:pStyle w:val="BodyTextMain"/>
        <w:rPr>
          <w:lang w:val="en-GB"/>
        </w:rPr>
      </w:pPr>
    </w:p>
    <w:p w14:paraId="47AFF42A" w14:textId="43B7B335" w:rsidR="00EE487F" w:rsidRDefault="00EE487F" w:rsidP="00B77C4D">
      <w:pPr>
        <w:pStyle w:val="BodyTextMain"/>
        <w:rPr>
          <w:lang w:val="en-GB"/>
        </w:rPr>
      </w:pPr>
      <w:r w:rsidRPr="00EE487F">
        <w:rPr>
          <w:lang w:val="en-GB"/>
        </w:rPr>
        <w:t xml:space="preserve">The telecom industry was also expanding into new business lines: from the early telephone and telegraph services, it had grown to include wireless communications, satellite communication services, radio and TV transmission businesses, cellular communications, and data communication services. However, by the 21st century, the markets for cell phone service, home Internet access, and cable TV services had become increasingly saturated in the United States. </w:t>
      </w:r>
      <w:bookmarkStart w:id="4" w:name="_Hlk25649067"/>
      <w:r w:rsidRPr="00EE487F">
        <w:rPr>
          <w:lang w:val="en-GB"/>
        </w:rPr>
        <w:t xml:space="preserve">More people were choosing to watch online video programs </w:t>
      </w:r>
      <w:r w:rsidRPr="00EE487F">
        <w:rPr>
          <w:lang w:val="en-GB"/>
        </w:rPr>
        <w:lastRenderedPageBreak/>
        <w:t xml:space="preserve">and, consequently, subscriptions to cable TV services were decreasing. Given this scenario, traditional telecom operators were reluctant to act as conduits to allow customers to access the Internet; they hoped to gain more advertising income and subscription revenue through digital content. Therefore, mergers and acquisitions of media companies that included both content and delivery had become a new trend in the industry </w:t>
      </w:r>
      <w:bookmarkEnd w:id="4"/>
      <w:r w:rsidRPr="00EE487F">
        <w:rPr>
          <w:lang w:val="en-GB"/>
        </w:rPr>
        <w:t>(see Exhibit 6).</w:t>
      </w:r>
      <w:r w:rsidR="004B28A1">
        <w:rPr>
          <w:rStyle w:val="FootnoteReference"/>
          <w:lang w:val="en-GB"/>
        </w:rPr>
        <w:footnoteReference w:id="22"/>
      </w:r>
    </w:p>
    <w:p w14:paraId="6A684A78" w14:textId="77777777" w:rsidR="003A618C" w:rsidRPr="00EE487F" w:rsidRDefault="003A618C" w:rsidP="00B77C4D">
      <w:pPr>
        <w:pStyle w:val="BodyTextMain"/>
        <w:rPr>
          <w:lang w:val="en-GB"/>
        </w:rPr>
      </w:pPr>
    </w:p>
    <w:p w14:paraId="0249B2BA" w14:textId="77777777" w:rsidR="00EE487F" w:rsidRPr="00EE487F" w:rsidRDefault="00EE487F" w:rsidP="00B77C4D">
      <w:pPr>
        <w:pStyle w:val="BodyTextMain"/>
        <w:rPr>
          <w:lang w:val="en-GB"/>
        </w:rPr>
      </w:pPr>
      <w:r w:rsidRPr="00EE487F">
        <w:rPr>
          <w:lang w:val="en-GB"/>
        </w:rPr>
        <w:t>For example, AT&amp;T’s main competitor, Verizon, was at the time heavily engaged in the acquisition of Internet companies. In 2015, Verizon spent $4.4 billion to acquire AOL. In February 2017, Verizon signed an agreement with Yahoo! Inc. that saw it acquire Yahoo!’s core portal and search engine businesses for $4.8 billion. Verizon executives had made it clear that, as the telecom market became increasingly saturated and fiercely competitive, Verizon expected more revenue from Internet content and online advertising.</w:t>
      </w:r>
      <w:r w:rsidRPr="00EE487F">
        <w:rPr>
          <w:vertAlign w:val="superscript"/>
          <w:lang w:val="en-GB"/>
        </w:rPr>
        <w:footnoteReference w:id="23"/>
      </w:r>
    </w:p>
    <w:p w14:paraId="605A3EFE" w14:textId="77777777" w:rsidR="00EE487F" w:rsidRPr="00EE487F" w:rsidRDefault="00EE487F" w:rsidP="00B77C4D">
      <w:pPr>
        <w:pStyle w:val="BodyTextMain"/>
        <w:rPr>
          <w:lang w:val="en-GB"/>
        </w:rPr>
      </w:pPr>
    </w:p>
    <w:p w14:paraId="012F83AD" w14:textId="29C3F2CC" w:rsidR="00EE487F" w:rsidRPr="00EE487F" w:rsidRDefault="00EE487F" w:rsidP="00B77C4D">
      <w:pPr>
        <w:pStyle w:val="BodyTextMain"/>
        <w:rPr>
          <w:spacing w:val="-2"/>
          <w:lang w:val="en-GB"/>
        </w:rPr>
      </w:pPr>
      <w:r w:rsidRPr="00EE487F">
        <w:rPr>
          <w:spacing w:val="-2"/>
          <w:lang w:val="en-GB"/>
        </w:rPr>
        <w:t xml:space="preserve">Similarly, the </w:t>
      </w:r>
      <w:r w:rsidR="003A618C">
        <w:rPr>
          <w:spacing w:val="-2"/>
          <w:lang w:val="en-GB"/>
        </w:rPr>
        <w:t>US</w:t>
      </w:r>
      <w:r w:rsidRPr="00EE487F">
        <w:rPr>
          <w:spacing w:val="-2"/>
          <w:lang w:val="en-GB"/>
        </w:rPr>
        <w:t xml:space="preserve"> media industry had undergone major changes in recent years. Its focus had expanded from traditional media such as newspapers, TV and radio broadcasting, book and magazine publishing, and film to include new media such as Internet- and mobile-based social media and online video. In the context of the rapid development of the Internet, the survival of traditional media outlets was increasingly called into question, and the development of new media seemed irresistible. In terms of advertising revenue, new, online media in the </w:t>
      </w:r>
      <w:r w:rsidR="003A618C">
        <w:rPr>
          <w:spacing w:val="-2"/>
          <w:lang w:val="en-GB"/>
        </w:rPr>
        <w:t>US</w:t>
      </w:r>
      <w:r w:rsidRPr="00EE487F">
        <w:rPr>
          <w:spacing w:val="-2"/>
          <w:lang w:val="en-GB"/>
        </w:rPr>
        <w:t xml:space="preserve"> advertising market continued to gain market share in 2016, while that of traditional media such as TV and newspapers was rapidly shrinking (see Exhibit 7).</w:t>
      </w:r>
      <w:r w:rsidRPr="00EE487F">
        <w:rPr>
          <w:spacing w:val="-2"/>
          <w:vertAlign w:val="superscript"/>
          <w:lang w:val="en-GB"/>
        </w:rPr>
        <w:footnoteReference w:id="24"/>
      </w:r>
      <w:r w:rsidRPr="00EE487F">
        <w:rPr>
          <w:spacing w:val="-2"/>
          <w:lang w:val="en-GB"/>
        </w:rPr>
        <w:t xml:space="preserve"> </w:t>
      </w:r>
    </w:p>
    <w:p w14:paraId="16DB2F75" w14:textId="77777777" w:rsidR="00EE487F" w:rsidRPr="00EE487F" w:rsidRDefault="00EE487F" w:rsidP="00B77C4D">
      <w:pPr>
        <w:pStyle w:val="BodyTextMain"/>
        <w:rPr>
          <w:lang w:val="en-GB"/>
        </w:rPr>
      </w:pPr>
    </w:p>
    <w:p w14:paraId="71B86A67" w14:textId="77777777" w:rsidR="00EE487F" w:rsidRPr="00EE487F" w:rsidRDefault="00EE487F" w:rsidP="00B77C4D">
      <w:pPr>
        <w:pStyle w:val="BodyTextMain"/>
        <w:rPr>
          <w:lang w:val="en-GB"/>
        </w:rPr>
      </w:pPr>
    </w:p>
    <w:p w14:paraId="4AD6E106" w14:textId="77777777" w:rsidR="00EE487F" w:rsidRPr="00EE487F" w:rsidRDefault="00EE487F" w:rsidP="00B77C4D">
      <w:pPr>
        <w:pStyle w:val="Casehead1"/>
        <w:rPr>
          <w:lang w:val="en-GB"/>
        </w:rPr>
      </w:pPr>
      <w:r w:rsidRPr="00EE487F">
        <w:rPr>
          <w:lang w:val="en-GB"/>
        </w:rPr>
        <w:t>Controversies about the Merger</w:t>
      </w:r>
    </w:p>
    <w:p w14:paraId="30837F1E" w14:textId="77777777" w:rsidR="00EE487F" w:rsidRPr="00EE487F" w:rsidRDefault="00EE487F" w:rsidP="00B77C4D">
      <w:pPr>
        <w:pStyle w:val="BodyTextMain"/>
        <w:rPr>
          <w:lang w:val="en-GB"/>
        </w:rPr>
      </w:pPr>
    </w:p>
    <w:p w14:paraId="3FB076DE" w14:textId="77777777" w:rsidR="00EE487F" w:rsidRPr="00EE487F" w:rsidRDefault="00EE487F" w:rsidP="00B77C4D">
      <w:pPr>
        <w:pStyle w:val="BodyTextMain"/>
        <w:rPr>
          <w:lang w:val="en-GB"/>
        </w:rPr>
      </w:pPr>
      <w:r w:rsidRPr="00EE487F">
        <w:rPr>
          <w:lang w:val="en-GB"/>
        </w:rPr>
        <w:t xml:space="preserve">As the largest mergers and acquisitions case in 2016, the AT&amp;T–Time Warner deal attracted attention as soon as it was announced. To alleviate the concerns of the public and some investors, </w:t>
      </w:r>
      <w:bookmarkStart w:id="5" w:name="_Hlk6300899"/>
      <w:r w:rsidRPr="00EE487F">
        <w:rPr>
          <w:lang w:val="en-GB"/>
        </w:rPr>
        <w:t xml:space="preserve">AT&amp;T’s CEO, Randall Stephenson, and Time Warner’s </w:t>
      </w:r>
      <w:proofErr w:type="spellStart"/>
      <w:r w:rsidRPr="00EE487F">
        <w:rPr>
          <w:lang w:val="en-GB"/>
        </w:rPr>
        <w:t>Bewkes</w:t>
      </w:r>
      <w:proofErr w:type="spellEnd"/>
      <w:r w:rsidRPr="00EE487F">
        <w:rPr>
          <w:lang w:val="en-GB"/>
        </w:rPr>
        <w:t xml:space="preserve"> </w:t>
      </w:r>
      <w:bookmarkEnd w:id="5"/>
      <w:r w:rsidRPr="00EE487F">
        <w:rPr>
          <w:lang w:val="en-GB"/>
        </w:rPr>
        <w:t>held a press conference to provide more information and further justify the decision.</w:t>
      </w:r>
      <w:r w:rsidRPr="00EE487F">
        <w:rPr>
          <w:vertAlign w:val="superscript"/>
          <w:lang w:val="en-GB"/>
        </w:rPr>
        <w:footnoteReference w:id="25"/>
      </w:r>
    </w:p>
    <w:p w14:paraId="6FCCFBBC" w14:textId="77777777" w:rsidR="00EE487F" w:rsidRPr="00EE487F" w:rsidRDefault="00EE487F" w:rsidP="00B77C4D">
      <w:pPr>
        <w:pStyle w:val="BodyTextMain"/>
        <w:rPr>
          <w:lang w:val="en-GB"/>
        </w:rPr>
      </w:pPr>
    </w:p>
    <w:p w14:paraId="25E25A61" w14:textId="77777777" w:rsidR="00EE487F" w:rsidRPr="00EE487F" w:rsidRDefault="00EE487F" w:rsidP="00B77C4D">
      <w:pPr>
        <w:pStyle w:val="BodyTextMain"/>
        <w:rPr>
          <w:lang w:val="en-GB"/>
        </w:rPr>
      </w:pPr>
      <w:r w:rsidRPr="00EE487F">
        <w:rPr>
          <w:lang w:val="en-GB"/>
        </w:rPr>
        <w:t xml:space="preserve">According to Bloomberg, </w:t>
      </w:r>
      <w:bookmarkStart w:id="6" w:name="_Hlk499680967"/>
      <w:r w:rsidRPr="00EE487F">
        <w:rPr>
          <w:lang w:val="en-GB"/>
        </w:rPr>
        <w:t>AT&amp;T</w:t>
      </w:r>
      <w:bookmarkEnd w:id="6"/>
      <w:r w:rsidRPr="00EE487F">
        <w:rPr>
          <w:lang w:val="en-GB"/>
        </w:rPr>
        <w:t xml:space="preserve"> already had a large number of home TV subscribers and many mobile and broadband subscribers through fixed telecommunications networks and DIRECTV. Through this merger with the top content provider, AT&amp;T hoped to bring more high-quality video content to these subscribers.</w:t>
      </w:r>
      <w:r w:rsidRPr="00EE487F">
        <w:rPr>
          <w:kern w:val="2"/>
          <w:vertAlign w:val="superscript"/>
          <w:lang w:val="en-GB"/>
        </w:rPr>
        <w:footnoteReference w:id="26"/>
      </w:r>
    </w:p>
    <w:p w14:paraId="77B1F11C" w14:textId="77777777" w:rsidR="00EE487F" w:rsidRPr="00EE487F" w:rsidRDefault="00EE487F" w:rsidP="00B77C4D">
      <w:pPr>
        <w:pStyle w:val="BodyTextMain"/>
        <w:rPr>
          <w:lang w:val="en-GB"/>
        </w:rPr>
      </w:pPr>
    </w:p>
    <w:p w14:paraId="007BB005" w14:textId="326ED4FA" w:rsidR="00EE487F" w:rsidRDefault="00EE487F" w:rsidP="00B77C4D">
      <w:pPr>
        <w:pStyle w:val="BodyTextMain"/>
        <w:rPr>
          <w:szCs w:val="24"/>
          <w:lang w:val="en-GB"/>
        </w:rPr>
      </w:pPr>
      <w:r w:rsidRPr="00EE487F">
        <w:rPr>
          <w:szCs w:val="24"/>
          <w:lang w:val="en-GB"/>
        </w:rPr>
        <w:t xml:space="preserve">However, at an estimated price of $85.4 billion, the deal was seen by many in the industry as too expensive and prompted comparisons with the failed transaction between Time Warner and AOL, which had been priced at up to $160 billion. A </w:t>
      </w:r>
      <w:r w:rsidRPr="00EE487F">
        <w:rPr>
          <w:i/>
          <w:szCs w:val="24"/>
          <w:lang w:val="en-GB"/>
        </w:rPr>
        <w:t>Fortune</w:t>
      </w:r>
      <w:r w:rsidRPr="00EE487F">
        <w:rPr>
          <w:szCs w:val="24"/>
          <w:lang w:val="en-GB"/>
        </w:rPr>
        <w:t xml:space="preserve"> magazine article mocked the deal directly: </w:t>
      </w:r>
      <w:bookmarkStart w:id="7" w:name="OLE_LINK2"/>
      <w:r w:rsidRPr="00EE487F">
        <w:rPr>
          <w:szCs w:val="24"/>
          <w:lang w:val="en-GB"/>
        </w:rPr>
        <w:t>“The first rule of mergers is don’t do a deal with Time Warner. The second rule, as they say, is that there is only one rule.</w:t>
      </w:r>
      <w:bookmarkEnd w:id="7"/>
      <w:r w:rsidRPr="00EE487F">
        <w:rPr>
          <w:szCs w:val="24"/>
          <w:lang w:val="en-GB"/>
        </w:rPr>
        <w:t>”</w:t>
      </w:r>
      <w:r w:rsidRPr="00EE487F">
        <w:rPr>
          <w:sz w:val="24"/>
          <w:szCs w:val="24"/>
          <w:vertAlign w:val="superscript"/>
          <w:lang w:val="en-GB"/>
        </w:rPr>
        <w:footnoteReference w:id="27"/>
      </w:r>
      <w:r w:rsidRPr="00EE487F">
        <w:rPr>
          <w:szCs w:val="24"/>
          <w:lang w:val="en-GB"/>
        </w:rPr>
        <w:t xml:space="preserve"> While Bloomberg’s intelligence was more objective, its report said that the deal value was about 13 times Time </w:t>
      </w:r>
      <w:r w:rsidRPr="00EE487F">
        <w:rPr>
          <w:szCs w:val="24"/>
          <w:lang w:val="en-GB"/>
        </w:rPr>
        <w:lastRenderedPageBreak/>
        <w:t>Warner’s</w:t>
      </w:r>
      <w:r w:rsidRPr="00EE487F">
        <w:rPr>
          <w:lang w:val="en-GB"/>
        </w:rPr>
        <w:t xml:space="preserve"> </w:t>
      </w:r>
      <w:r w:rsidRPr="00EE487F">
        <w:rPr>
          <w:szCs w:val="24"/>
          <w:lang w:val="en-GB"/>
        </w:rPr>
        <w:t>earnings before interest, taxes, depreciation, and amortization (EBITDA), setting a new record in the media industry.</w:t>
      </w:r>
      <w:r w:rsidRPr="00EE487F">
        <w:rPr>
          <w:sz w:val="24"/>
          <w:szCs w:val="24"/>
          <w:vertAlign w:val="superscript"/>
          <w:lang w:val="en-GB"/>
        </w:rPr>
        <w:footnoteReference w:id="28"/>
      </w:r>
    </w:p>
    <w:p w14:paraId="60ED45F9" w14:textId="77777777" w:rsidR="007B04CD" w:rsidRPr="00EE487F" w:rsidRDefault="007B04CD" w:rsidP="00B77C4D">
      <w:pPr>
        <w:pStyle w:val="BodyTextMain"/>
        <w:rPr>
          <w:szCs w:val="24"/>
          <w:lang w:val="en-GB"/>
        </w:rPr>
      </w:pPr>
    </w:p>
    <w:p w14:paraId="6D8AA367" w14:textId="34468B64" w:rsidR="00EE487F" w:rsidRPr="00EE487F" w:rsidRDefault="00EE487F" w:rsidP="00B77C4D">
      <w:pPr>
        <w:pStyle w:val="BodyTextMain"/>
        <w:rPr>
          <w:lang w:val="en-GB"/>
        </w:rPr>
      </w:pPr>
      <w:r w:rsidRPr="00EE487F">
        <w:rPr>
          <w:i/>
          <w:lang w:val="en-GB"/>
        </w:rPr>
        <w:t>Forbes</w:t>
      </w:r>
      <w:r w:rsidRPr="00EE487F">
        <w:rPr>
          <w:lang w:val="en-GB"/>
        </w:rPr>
        <w:t xml:space="preserve"> magazine experts said they rarely “liked” acquisitions, in terms of the value they created for acquirers, and were often left “disappointed by how much the </w:t>
      </w:r>
      <w:hyperlink r:id="rId12" w:tgtFrame="https://www.forbes.com/sites/greatspeculations/2016/11/15/att-time-warner-acquisition-a-rare-deal-that-makes-economic-sense/_blank" w:history="1">
        <w:r w:rsidRPr="00EE487F">
          <w:rPr>
            <w:lang w:val="en-GB"/>
          </w:rPr>
          <w:t>acquiring company overpays</w:t>
        </w:r>
      </w:hyperlink>
      <w:r w:rsidRPr="00EE487F">
        <w:rPr>
          <w:lang w:val="en-GB"/>
        </w:rPr>
        <w:t>.”</w:t>
      </w:r>
      <w:r w:rsidRPr="00EE487F">
        <w:rPr>
          <w:vertAlign w:val="superscript"/>
          <w:lang w:val="en-GB"/>
        </w:rPr>
        <w:footnoteReference w:id="29"/>
      </w:r>
      <w:r w:rsidRPr="00EE487F">
        <w:rPr>
          <w:lang w:val="en-GB"/>
        </w:rPr>
        <w:t xml:space="preserve"> AT&amp;T would pay $108.7 billion to acquire $5.1 billion of Time Warner’s net operating profit after tax. According to the </w:t>
      </w:r>
      <w:r w:rsidRPr="00EE487F">
        <w:rPr>
          <w:i/>
          <w:lang w:val="en-GB"/>
        </w:rPr>
        <w:t>Forbes</w:t>
      </w:r>
      <w:r w:rsidRPr="00EE487F">
        <w:rPr>
          <w:lang w:val="en-GB"/>
        </w:rPr>
        <w:t xml:space="preserve"> article, the return on invested capital (ROIC) would be 4.7 per cent, marginally improving AT&amp;T’s current ROIC of 4.6 per cent and equal to its weighted average cost of capital of 4.7 per cent. This deal would modestly improve AT&amp;T’s overall ROIC.</w:t>
      </w:r>
      <w:r w:rsidRPr="00EE487F">
        <w:rPr>
          <w:sz w:val="24"/>
          <w:vertAlign w:val="superscript"/>
          <w:lang w:val="en-GB"/>
        </w:rPr>
        <w:footnoteReference w:id="30"/>
      </w:r>
    </w:p>
    <w:p w14:paraId="7AAB9E30" w14:textId="77777777" w:rsidR="00EE487F" w:rsidRPr="00EE487F" w:rsidRDefault="00EE487F" w:rsidP="00B77C4D">
      <w:pPr>
        <w:pStyle w:val="BodyTextMain"/>
        <w:rPr>
          <w:lang w:val="en-GB"/>
        </w:rPr>
      </w:pPr>
    </w:p>
    <w:p w14:paraId="24E09219" w14:textId="115E4D87" w:rsidR="00EE487F" w:rsidRPr="00EE487F" w:rsidRDefault="00EE487F" w:rsidP="00B77C4D">
      <w:pPr>
        <w:pStyle w:val="BodyTextMain"/>
        <w:rPr>
          <w:lang w:val="en-GB"/>
        </w:rPr>
      </w:pPr>
      <w:r w:rsidRPr="00EE487F">
        <w:rPr>
          <w:lang w:val="en-GB"/>
        </w:rPr>
        <w:t xml:space="preserve">Frank had to evaluate these differing opinions, and she needed to conduct a valuation analysis independently. She first collected data on previous comparable mergers (see Exhibit 6) and on comparable major competitors of Time Warner (see Exhibit 7). She found Time Warner’s EBITDA for the </w:t>
      </w:r>
      <w:r w:rsidRPr="00EE487F">
        <w:rPr>
          <w:rFonts w:eastAsia="SimSun" w:hint="eastAsia"/>
          <w:lang w:eastAsia="zh-CN"/>
        </w:rPr>
        <w:t>t</w:t>
      </w:r>
      <w:proofErr w:type="spellStart"/>
      <w:r w:rsidRPr="00EE487F">
        <w:rPr>
          <w:lang w:val="en-GB"/>
        </w:rPr>
        <w:t>railing</w:t>
      </w:r>
      <w:proofErr w:type="spellEnd"/>
      <w:r w:rsidRPr="00EE487F">
        <w:rPr>
          <w:lang w:val="en-GB"/>
        </w:rPr>
        <w:t xml:space="preserve"> 12 months, which was $8,790 million, and its earnings-per-share ratio as of September 30, 2016, which was 4.62. She also obtained all the firm fundamental information she could find about Time Warner (see Exhibit 8). </w:t>
      </w:r>
      <w:r>
        <w:rPr>
          <w:lang w:val="en-GB"/>
        </w:rPr>
        <w:t xml:space="preserve">Frank believed that the synergies from the merger would potentially help Time Warner maintain 8 per cent growth in free cash flow for the following five years, based on the company’s historic average growth rate. However, she also thought that a more modest 7 per cent growth rate for the next five years would be more realistic. </w:t>
      </w:r>
      <w:r w:rsidRPr="00EE487F">
        <w:rPr>
          <w:lang w:val="en-GB"/>
        </w:rPr>
        <w:t>For the terminal growth rate after the fifth year, Frank decided she would follow the common practice of the majority of the financial analysts who covered the media industry and use 3 per cent.</w:t>
      </w:r>
    </w:p>
    <w:p w14:paraId="565189E5" w14:textId="77777777" w:rsidR="00EE487F" w:rsidRPr="00EE487F" w:rsidRDefault="00EE487F" w:rsidP="00B77C4D">
      <w:pPr>
        <w:pStyle w:val="BodyTextMain"/>
        <w:rPr>
          <w:lang w:val="en-GB"/>
        </w:rPr>
      </w:pPr>
    </w:p>
    <w:p w14:paraId="1123F49B" w14:textId="77777777" w:rsidR="00EE487F" w:rsidRPr="00EE487F" w:rsidRDefault="00EE487F" w:rsidP="00B77C4D">
      <w:pPr>
        <w:pStyle w:val="BodyTextMain"/>
        <w:rPr>
          <w:lang w:val="en-GB"/>
        </w:rPr>
      </w:pPr>
      <w:r w:rsidRPr="00EE487F">
        <w:rPr>
          <w:lang w:val="en-GB"/>
        </w:rPr>
        <w:t>Frank would call the AT&amp;T and Time Warner CEOs without hesitation if she had any questions. But with all the information she had collected so far, she believed that she was ready to work on the valuation of Time Warner. Then, she would need to defend her valuation analysis in front of her investors.</w:t>
      </w:r>
    </w:p>
    <w:p w14:paraId="2B6B8CB1" w14:textId="77777777" w:rsidR="00EE487F" w:rsidRPr="00EE487F" w:rsidRDefault="00EE487F" w:rsidP="00B77C4D">
      <w:pPr>
        <w:pStyle w:val="BodyTextMain"/>
        <w:rPr>
          <w:lang w:val="en-GB"/>
        </w:rPr>
      </w:pPr>
    </w:p>
    <w:p w14:paraId="5801267C" w14:textId="77777777" w:rsidR="00EE487F" w:rsidRPr="00EE487F" w:rsidRDefault="00EE487F" w:rsidP="00B77C4D">
      <w:pPr>
        <w:pStyle w:val="BodyTextMain"/>
        <w:rPr>
          <w:lang w:val="en-GB"/>
        </w:rPr>
      </w:pPr>
    </w:p>
    <w:p w14:paraId="3F2E4820" w14:textId="77777777" w:rsidR="00EE487F" w:rsidRPr="00EE487F" w:rsidRDefault="00EE487F" w:rsidP="00B77C4D">
      <w:pPr>
        <w:pStyle w:val="BodyTextMain"/>
        <w:rPr>
          <w:lang w:val="en-GB"/>
        </w:rPr>
      </w:pPr>
      <w:r w:rsidRPr="00EE487F">
        <w:rPr>
          <w:lang w:val="en-GB"/>
        </w:rPr>
        <w:br w:type="page"/>
      </w:r>
    </w:p>
    <w:p w14:paraId="6D91CEBC" w14:textId="0C635967" w:rsidR="00EE487F" w:rsidRDefault="00EE487F" w:rsidP="00B77C4D">
      <w:pPr>
        <w:pStyle w:val="Casehead1"/>
        <w:jc w:val="center"/>
        <w:rPr>
          <w:lang w:val="en-GB"/>
        </w:rPr>
      </w:pPr>
      <w:r w:rsidRPr="00EE487F">
        <w:rPr>
          <w:lang w:val="en-GB"/>
        </w:rPr>
        <w:lastRenderedPageBreak/>
        <w:t>Exhibit 1: Departmental Operations of AT&amp;T in 2016 (in US$ millions)</w:t>
      </w:r>
    </w:p>
    <w:p w14:paraId="5A697083" w14:textId="77777777" w:rsidR="00D76815" w:rsidRPr="00EE487F" w:rsidRDefault="00D76815" w:rsidP="00B77C4D">
      <w:pPr>
        <w:pStyle w:val="Casehead1"/>
        <w:jc w:val="center"/>
        <w:rPr>
          <w:lang w:val="en-GB"/>
        </w:rPr>
      </w:pPr>
    </w:p>
    <w:p w14:paraId="0DB4FDB5" w14:textId="01B48783" w:rsidR="00EE487F" w:rsidRPr="00EE487F" w:rsidRDefault="00D76815" w:rsidP="00D76815">
      <w:pPr>
        <w:pStyle w:val="BodyTextMain"/>
        <w:jc w:val="center"/>
        <w:rPr>
          <w:lang w:val="en-GB"/>
        </w:rPr>
      </w:pPr>
      <w:r>
        <w:rPr>
          <w:noProof/>
        </w:rPr>
        <w:drawing>
          <wp:inline distT="0" distB="0" distL="0" distR="0" wp14:anchorId="05BF695C" wp14:editId="1B39ADD1">
            <wp:extent cx="522922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2828925"/>
                    </a:xfrm>
                    <a:prstGeom prst="rect">
                      <a:avLst/>
                    </a:prstGeom>
                  </pic:spPr>
                </pic:pic>
              </a:graphicData>
            </a:graphic>
          </wp:inline>
        </w:drawing>
      </w:r>
    </w:p>
    <w:p w14:paraId="2EEB0268" w14:textId="77777777" w:rsidR="00D76815" w:rsidRDefault="00D76815" w:rsidP="0011091B">
      <w:pPr>
        <w:pStyle w:val="FootnoteText1"/>
        <w:rPr>
          <w:lang w:val="en-GB"/>
        </w:rPr>
      </w:pPr>
    </w:p>
    <w:p w14:paraId="1F6C7788" w14:textId="1A0E3A9B" w:rsidR="007B04CD" w:rsidRDefault="007B04CD" w:rsidP="0011091B">
      <w:pPr>
        <w:pStyle w:val="FootnoteText1"/>
        <w:rPr>
          <w:lang w:val="en-GB"/>
        </w:rPr>
      </w:pPr>
      <w:r>
        <w:rPr>
          <w:lang w:val="en-GB"/>
        </w:rPr>
        <w:t xml:space="preserve">Note: EBITDA = </w:t>
      </w:r>
      <w:r w:rsidRPr="00EE487F">
        <w:rPr>
          <w:szCs w:val="24"/>
          <w:lang w:val="en-GB"/>
        </w:rPr>
        <w:t>earnings before interest, taxes, depreciation, and amortization</w:t>
      </w:r>
    </w:p>
    <w:p w14:paraId="07B46A3F" w14:textId="56A8A91C" w:rsidR="00EE487F" w:rsidRPr="00EE487F" w:rsidRDefault="00EE487F" w:rsidP="0011091B">
      <w:pPr>
        <w:pStyle w:val="FootnoteText1"/>
        <w:rPr>
          <w:lang w:val="en-GB"/>
        </w:rPr>
      </w:pPr>
      <w:r w:rsidRPr="00EE487F">
        <w:rPr>
          <w:lang w:val="en-GB"/>
        </w:rPr>
        <w:t xml:space="preserve">Source: </w:t>
      </w:r>
      <w:r w:rsidR="0004254A">
        <w:rPr>
          <w:lang w:val="en-GB"/>
        </w:rPr>
        <w:t xml:space="preserve">Created by the case authors using data from </w:t>
      </w:r>
      <w:r w:rsidRPr="00EE487F">
        <w:rPr>
          <w:lang w:val="en-GB"/>
        </w:rPr>
        <w:t>AT&amp;T</w:t>
      </w:r>
      <w:r w:rsidRPr="00EE487F">
        <w:rPr>
          <w:rFonts w:eastAsia="SimSun" w:hint="eastAsia"/>
          <w:lang w:eastAsia="zh-CN"/>
        </w:rPr>
        <w:t xml:space="preserve"> Inc.</w:t>
      </w:r>
      <w:r w:rsidRPr="00EE487F">
        <w:rPr>
          <w:lang w:val="en-GB"/>
        </w:rPr>
        <w:t xml:space="preserve">, </w:t>
      </w:r>
      <w:r w:rsidRPr="00EE487F">
        <w:t xml:space="preserve">“Form </w:t>
      </w:r>
      <w:r w:rsidRPr="00EE487F">
        <w:rPr>
          <w:rFonts w:eastAsia="SimSun" w:hint="eastAsia"/>
          <w:lang w:eastAsia="zh-CN"/>
        </w:rPr>
        <w:t>10</w:t>
      </w:r>
      <w:r w:rsidRPr="00EE487F">
        <w:t>-</w:t>
      </w:r>
      <w:r w:rsidRPr="00EE487F">
        <w:rPr>
          <w:rFonts w:eastAsia="SimSun" w:hint="eastAsia"/>
          <w:lang w:eastAsia="zh-CN"/>
        </w:rPr>
        <w:t>Q</w:t>
      </w:r>
      <w:r w:rsidRPr="00EE487F">
        <w:t xml:space="preserve">, </w:t>
      </w:r>
      <w:r w:rsidRPr="00EE487F">
        <w:rPr>
          <w:lang w:val="en-GB"/>
        </w:rPr>
        <w:t>Quarterly Report</w:t>
      </w:r>
      <w:r w:rsidRPr="00EE487F">
        <w:rPr>
          <w:rFonts w:eastAsia="SimSun" w:hint="eastAsia"/>
          <w:lang w:eastAsia="zh-CN"/>
        </w:rPr>
        <w:t xml:space="preserve"> </w:t>
      </w:r>
      <w:r w:rsidRPr="00EE487F">
        <w:t>Pursuant to Section 13 or 15(d) of the Securities Exchange Act of 1934,</w:t>
      </w:r>
      <w:r w:rsidRPr="00EE487F">
        <w:rPr>
          <w:rFonts w:eastAsia="SimSun"/>
          <w:lang w:eastAsia="zh-CN"/>
        </w:rPr>
        <w:t>”</w:t>
      </w:r>
      <w:r w:rsidRPr="00EE487F">
        <w:rPr>
          <w:rFonts w:eastAsia="SimSun" w:hint="eastAsia"/>
          <w:lang w:eastAsia="zh-CN"/>
        </w:rPr>
        <w:t xml:space="preserve"> </w:t>
      </w:r>
      <w:r w:rsidR="003A618C">
        <w:t>US</w:t>
      </w:r>
      <w:r w:rsidRPr="00EE487F">
        <w:t xml:space="preserve"> Securities and Exchange Commission, </w:t>
      </w:r>
      <w:r w:rsidRPr="00EE487F">
        <w:rPr>
          <w:rFonts w:eastAsia="SimSun" w:hint="eastAsia"/>
          <w:lang w:eastAsia="zh-CN"/>
        </w:rPr>
        <w:t>November 3</w:t>
      </w:r>
      <w:r w:rsidRPr="00EE487F">
        <w:t xml:space="preserve">, 2016, accessed </w:t>
      </w:r>
      <w:r w:rsidRPr="00EE487F">
        <w:rPr>
          <w:rFonts w:eastAsia="SimSun" w:hint="eastAsia"/>
          <w:lang w:eastAsia="zh-CN"/>
        </w:rPr>
        <w:t>July 12, 2019, www.sec.gov/Archives/edgar/data/732717/000073271716000233/q3_10q.htm</w:t>
      </w:r>
      <w:r w:rsidRPr="00EE487F">
        <w:rPr>
          <w:rFonts w:eastAsia="SimSun"/>
          <w:lang w:eastAsia="zh-CN"/>
        </w:rPr>
        <w:t>.</w:t>
      </w:r>
      <w:r w:rsidRPr="00EE487F">
        <w:t xml:space="preserve"> </w:t>
      </w:r>
    </w:p>
    <w:p w14:paraId="2F5CA52A" w14:textId="77777777" w:rsidR="00EE487F" w:rsidRPr="00D76815" w:rsidRDefault="00EE487F" w:rsidP="00B77C4D">
      <w:pPr>
        <w:pStyle w:val="BodyTextMain"/>
        <w:rPr>
          <w:sz w:val="18"/>
          <w:lang w:val="en-GB"/>
        </w:rPr>
      </w:pPr>
    </w:p>
    <w:p w14:paraId="10391188" w14:textId="77777777" w:rsidR="00EE487F" w:rsidRPr="00D76815" w:rsidRDefault="00EE487F" w:rsidP="00B77C4D">
      <w:pPr>
        <w:pStyle w:val="BodyTextMain"/>
        <w:rPr>
          <w:sz w:val="18"/>
          <w:lang w:val="en-GB"/>
        </w:rPr>
      </w:pPr>
    </w:p>
    <w:p w14:paraId="786236A4" w14:textId="20974966" w:rsidR="00EE487F" w:rsidRDefault="00EE487F" w:rsidP="00B77C4D">
      <w:pPr>
        <w:pStyle w:val="Casehead1"/>
        <w:jc w:val="center"/>
        <w:rPr>
          <w:lang w:val="en-GB"/>
        </w:rPr>
      </w:pPr>
      <w:r w:rsidRPr="00EE487F">
        <w:rPr>
          <w:lang w:val="en-GB"/>
        </w:rPr>
        <w:t>Exhibit 2: Departmental Operations of Time Warner in 2016 (in US$ millions)</w:t>
      </w:r>
    </w:p>
    <w:p w14:paraId="66E78653" w14:textId="77777777" w:rsidR="00D76815" w:rsidRPr="00D76815" w:rsidRDefault="00D76815" w:rsidP="00B77C4D">
      <w:pPr>
        <w:pStyle w:val="Casehead1"/>
        <w:jc w:val="center"/>
        <w:rPr>
          <w:sz w:val="16"/>
          <w:lang w:val="en-GB"/>
        </w:rPr>
      </w:pPr>
    </w:p>
    <w:p w14:paraId="6AD7202C" w14:textId="41735F62" w:rsidR="00EE487F" w:rsidRPr="00EE487F" w:rsidRDefault="00D76815" w:rsidP="00D76815">
      <w:pPr>
        <w:pStyle w:val="BodyTextMain"/>
        <w:jc w:val="center"/>
        <w:rPr>
          <w:lang w:val="en-GB"/>
        </w:rPr>
      </w:pPr>
      <w:r>
        <w:rPr>
          <w:noProof/>
        </w:rPr>
        <w:drawing>
          <wp:inline distT="0" distB="0" distL="0" distR="0" wp14:anchorId="021F1639" wp14:editId="7DA43BCE">
            <wp:extent cx="501015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3086100"/>
                    </a:xfrm>
                    <a:prstGeom prst="rect">
                      <a:avLst/>
                    </a:prstGeom>
                  </pic:spPr>
                </pic:pic>
              </a:graphicData>
            </a:graphic>
          </wp:inline>
        </w:drawing>
      </w:r>
    </w:p>
    <w:p w14:paraId="2C11103C" w14:textId="77777777" w:rsidR="00D76815" w:rsidRDefault="00D76815" w:rsidP="007B04CD">
      <w:pPr>
        <w:pStyle w:val="FootnoteText1"/>
        <w:rPr>
          <w:lang w:val="en-GB"/>
        </w:rPr>
      </w:pPr>
    </w:p>
    <w:p w14:paraId="4B3E9A2D" w14:textId="6A4D21A8" w:rsidR="007B04CD" w:rsidRDefault="007B04CD" w:rsidP="007B04CD">
      <w:pPr>
        <w:pStyle w:val="FootnoteText1"/>
        <w:rPr>
          <w:lang w:val="en-GB"/>
        </w:rPr>
      </w:pPr>
      <w:r>
        <w:rPr>
          <w:lang w:val="en-GB"/>
        </w:rPr>
        <w:t xml:space="preserve">Note: EBITDA = </w:t>
      </w:r>
      <w:r w:rsidRPr="00EE487F">
        <w:rPr>
          <w:szCs w:val="24"/>
          <w:lang w:val="en-GB"/>
        </w:rPr>
        <w:t>earnings before interest, taxes, depreciation, and amortization</w:t>
      </w:r>
    </w:p>
    <w:p w14:paraId="7A80D06C" w14:textId="0DC02C69" w:rsidR="00EE487F" w:rsidRPr="00EE487F" w:rsidRDefault="00EE487F" w:rsidP="007B04CD">
      <w:pPr>
        <w:pStyle w:val="FootnoteText1"/>
        <w:rPr>
          <w:lang w:val="en-GB"/>
        </w:rPr>
      </w:pPr>
      <w:r w:rsidRPr="00EE487F">
        <w:rPr>
          <w:lang w:val="en-GB"/>
        </w:rPr>
        <w:t xml:space="preserve">Source: </w:t>
      </w:r>
      <w:r w:rsidR="0004254A">
        <w:rPr>
          <w:lang w:val="en-GB"/>
        </w:rPr>
        <w:t xml:space="preserve">Created by the case authors using data from </w:t>
      </w:r>
      <w:r w:rsidRPr="00EE487F">
        <w:rPr>
          <w:lang w:val="en-GB"/>
        </w:rPr>
        <w:t xml:space="preserve">Time Warner Inc., </w:t>
      </w:r>
      <w:r w:rsidRPr="00EE487F">
        <w:t xml:space="preserve">“Form </w:t>
      </w:r>
      <w:r w:rsidRPr="00EE487F">
        <w:rPr>
          <w:rFonts w:eastAsia="SimSun" w:hint="eastAsia"/>
          <w:lang w:eastAsia="zh-CN"/>
        </w:rPr>
        <w:t>10</w:t>
      </w:r>
      <w:r w:rsidRPr="00EE487F">
        <w:t>-</w:t>
      </w:r>
      <w:r w:rsidRPr="00EE487F">
        <w:rPr>
          <w:rFonts w:eastAsia="SimSun" w:hint="eastAsia"/>
          <w:lang w:eastAsia="zh-CN"/>
        </w:rPr>
        <w:t>Q</w:t>
      </w:r>
      <w:r w:rsidRPr="00EE487F">
        <w:t xml:space="preserve">, </w:t>
      </w:r>
      <w:r w:rsidRPr="00EE487F">
        <w:rPr>
          <w:lang w:val="en-GB"/>
        </w:rPr>
        <w:t>Quarterly Report</w:t>
      </w:r>
      <w:r w:rsidRPr="00EE487F">
        <w:rPr>
          <w:rFonts w:eastAsia="SimSun" w:hint="eastAsia"/>
          <w:lang w:eastAsia="zh-CN"/>
        </w:rPr>
        <w:t xml:space="preserve"> </w:t>
      </w:r>
      <w:r w:rsidRPr="00EE487F">
        <w:t>Pursuant to Section 13 or 15(d) of the Securities Exchange Act of 1934,</w:t>
      </w:r>
      <w:r w:rsidRPr="00EE487F">
        <w:rPr>
          <w:rFonts w:eastAsia="SimSun"/>
          <w:lang w:eastAsia="zh-CN"/>
        </w:rPr>
        <w:t>”</w:t>
      </w:r>
      <w:r w:rsidRPr="00EE487F">
        <w:rPr>
          <w:rFonts w:eastAsia="SimSun" w:hint="eastAsia"/>
          <w:lang w:eastAsia="zh-CN"/>
        </w:rPr>
        <w:t xml:space="preserve"> </w:t>
      </w:r>
      <w:r w:rsidR="003A618C">
        <w:t>US</w:t>
      </w:r>
      <w:r w:rsidRPr="00EE487F">
        <w:t xml:space="preserve"> Securities and Exchange Commission, </w:t>
      </w:r>
      <w:r w:rsidRPr="00EE487F">
        <w:rPr>
          <w:rFonts w:eastAsia="SimSun" w:hint="eastAsia"/>
          <w:lang w:eastAsia="zh-CN"/>
        </w:rPr>
        <w:t xml:space="preserve">November </w:t>
      </w:r>
      <w:r w:rsidRPr="00EE487F">
        <w:t xml:space="preserve">2, 2016, accessed </w:t>
      </w:r>
      <w:r w:rsidRPr="00EE487F">
        <w:rPr>
          <w:rFonts w:eastAsia="SimSun" w:hint="eastAsia"/>
          <w:lang w:eastAsia="zh-CN"/>
        </w:rPr>
        <w:t>July 12, 2019,</w:t>
      </w:r>
      <w:r w:rsidRPr="00EE487F">
        <w:t xml:space="preserve"> </w:t>
      </w:r>
      <w:r w:rsidRPr="00EE487F">
        <w:rPr>
          <w:rFonts w:hint="eastAsia"/>
        </w:rPr>
        <w:t>www.sec.gov/Archives/edgar/data/1105705/000119312516756548/0001193125-16-756548-index.htm</w:t>
      </w:r>
      <w:r w:rsidRPr="00EE487F">
        <w:t>.</w:t>
      </w:r>
      <w:bookmarkStart w:id="8" w:name="OLE_LINK1"/>
      <w:r w:rsidRPr="00EE487F">
        <w:rPr>
          <w:lang w:val="en-GB"/>
        </w:rPr>
        <w:br w:type="page"/>
      </w:r>
    </w:p>
    <w:p w14:paraId="3AC8B7B8" w14:textId="77777777" w:rsidR="00EE487F" w:rsidRPr="00EE487F" w:rsidRDefault="00EE487F" w:rsidP="00B77C4D">
      <w:pPr>
        <w:pStyle w:val="Casehead1"/>
        <w:jc w:val="center"/>
        <w:rPr>
          <w:lang w:val="en-GB"/>
        </w:rPr>
      </w:pPr>
      <w:r w:rsidRPr="00EE487F">
        <w:rPr>
          <w:lang w:val="en-GB"/>
        </w:rPr>
        <w:lastRenderedPageBreak/>
        <w:t>Exhibit 3</w:t>
      </w:r>
      <w:bookmarkEnd w:id="8"/>
      <w:r w:rsidRPr="00EE487F">
        <w:rPr>
          <w:lang w:val="en-GB"/>
        </w:rPr>
        <w:t>: Time Warner Inc., Consolidated Balance Sheet</w:t>
      </w:r>
    </w:p>
    <w:p w14:paraId="413CEAAE" w14:textId="77777777" w:rsidR="00EE487F" w:rsidRPr="00EE487F" w:rsidRDefault="00EE487F" w:rsidP="00B77C4D">
      <w:pPr>
        <w:pStyle w:val="BodyTextMain"/>
        <w:rPr>
          <w:lang w:val="en-GB"/>
        </w:rPr>
      </w:pPr>
    </w:p>
    <w:tbl>
      <w:tblPr>
        <w:tblStyle w:val="TableGrid1"/>
        <w:tblW w:w="8503" w:type="dxa"/>
        <w:jc w:val="center"/>
        <w:tblLayout w:type="fixed"/>
        <w:tblLook w:val="04A0" w:firstRow="1" w:lastRow="0" w:firstColumn="1" w:lastColumn="0" w:noHBand="0" w:noVBand="1"/>
        <w:tblCaption w:val="EXHIBIT 3"/>
        <w:tblDescription w:val="TIME WARNER INC., CONSOLIDATED BALANCE SHEET"/>
      </w:tblPr>
      <w:tblGrid>
        <w:gridCol w:w="5566"/>
        <w:gridCol w:w="979"/>
        <w:gridCol w:w="979"/>
        <w:gridCol w:w="979"/>
      </w:tblGrid>
      <w:tr w:rsidR="00EE487F" w:rsidRPr="00EE487F" w14:paraId="34CF6A46" w14:textId="77777777" w:rsidTr="00D76815">
        <w:trPr>
          <w:trHeight w:val="20"/>
          <w:tblHeader/>
          <w:jc w:val="center"/>
        </w:trPr>
        <w:tc>
          <w:tcPr>
            <w:tcW w:w="5566" w:type="dxa"/>
            <w:tcBorders>
              <w:top w:val="single" w:sz="4" w:space="0" w:color="auto"/>
              <w:left w:val="nil"/>
              <w:bottom w:val="single" w:sz="4" w:space="0" w:color="auto"/>
              <w:right w:val="nil"/>
            </w:tcBorders>
            <w:noWrap/>
          </w:tcPr>
          <w:p w14:paraId="5903F112" w14:textId="77777777" w:rsidR="00EE487F" w:rsidRPr="00EE487F" w:rsidRDefault="00EE487F" w:rsidP="00EE487F">
            <w:pPr>
              <w:spacing w:line="259" w:lineRule="auto"/>
              <w:ind w:firstLine="400"/>
              <w:rPr>
                <w:rFonts w:ascii="Arial" w:hAnsi="Arial" w:cs="Arial"/>
                <w:lang w:val="en-GB"/>
              </w:rPr>
            </w:pPr>
            <w:r w:rsidRPr="00EE487F">
              <w:rPr>
                <w:rFonts w:ascii="Arial" w:hAnsi="Arial" w:cs="Arial"/>
                <w:lang w:val="en-GB"/>
              </w:rPr>
              <w:t>In US$ millions, except per-share amounts</w:t>
            </w:r>
          </w:p>
        </w:tc>
        <w:tc>
          <w:tcPr>
            <w:tcW w:w="979" w:type="dxa"/>
            <w:tcBorders>
              <w:top w:val="single" w:sz="4" w:space="0" w:color="auto"/>
              <w:left w:val="nil"/>
              <w:bottom w:val="single" w:sz="4" w:space="0" w:color="auto"/>
              <w:right w:val="nil"/>
            </w:tcBorders>
            <w:noWrap/>
          </w:tcPr>
          <w:p w14:paraId="074433E8"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2016</w:t>
            </w:r>
          </w:p>
        </w:tc>
        <w:tc>
          <w:tcPr>
            <w:tcW w:w="979" w:type="dxa"/>
            <w:tcBorders>
              <w:top w:val="single" w:sz="4" w:space="0" w:color="auto"/>
              <w:left w:val="nil"/>
              <w:bottom w:val="single" w:sz="4" w:space="0" w:color="auto"/>
              <w:right w:val="nil"/>
            </w:tcBorders>
            <w:noWrap/>
          </w:tcPr>
          <w:p w14:paraId="5E880221"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2015</w:t>
            </w:r>
          </w:p>
        </w:tc>
        <w:tc>
          <w:tcPr>
            <w:tcW w:w="979" w:type="dxa"/>
            <w:tcBorders>
              <w:top w:val="single" w:sz="4" w:space="0" w:color="auto"/>
              <w:left w:val="nil"/>
              <w:bottom w:val="single" w:sz="4" w:space="0" w:color="auto"/>
              <w:right w:val="nil"/>
            </w:tcBorders>
            <w:noWrap/>
          </w:tcPr>
          <w:p w14:paraId="22C68455"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2014</w:t>
            </w:r>
          </w:p>
        </w:tc>
      </w:tr>
      <w:tr w:rsidR="00EE487F" w:rsidRPr="00EE487F" w14:paraId="377756DC" w14:textId="77777777" w:rsidTr="00D76815">
        <w:trPr>
          <w:trHeight w:val="20"/>
          <w:tblHeader/>
          <w:jc w:val="center"/>
        </w:trPr>
        <w:tc>
          <w:tcPr>
            <w:tcW w:w="5566" w:type="dxa"/>
            <w:tcBorders>
              <w:top w:val="nil"/>
              <w:left w:val="nil"/>
              <w:bottom w:val="nil"/>
              <w:right w:val="nil"/>
            </w:tcBorders>
            <w:noWrap/>
          </w:tcPr>
          <w:p w14:paraId="142CDE84"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ASSETS</w:t>
            </w:r>
          </w:p>
        </w:tc>
        <w:tc>
          <w:tcPr>
            <w:tcW w:w="979" w:type="dxa"/>
            <w:tcBorders>
              <w:top w:val="nil"/>
              <w:left w:val="nil"/>
              <w:bottom w:val="nil"/>
              <w:right w:val="nil"/>
            </w:tcBorders>
            <w:noWrap/>
          </w:tcPr>
          <w:p w14:paraId="186134B0" w14:textId="77777777" w:rsidR="00EE487F" w:rsidRPr="00EE487F" w:rsidRDefault="00EE487F" w:rsidP="00EE487F">
            <w:pPr>
              <w:spacing w:line="259" w:lineRule="auto"/>
              <w:rPr>
                <w:rFonts w:ascii="Arial" w:hAnsi="Arial" w:cs="Arial"/>
                <w:b/>
                <w:lang w:val="en-GB"/>
              </w:rPr>
            </w:pPr>
          </w:p>
        </w:tc>
        <w:tc>
          <w:tcPr>
            <w:tcW w:w="979" w:type="dxa"/>
            <w:tcBorders>
              <w:top w:val="nil"/>
              <w:left w:val="nil"/>
              <w:bottom w:val="nil"/>
              <w:right w:val="nil"/>
            </w:tcBorders>
            <w:noWrap/>
          </w:tcPr>
          <w:p w14:paraId="642F0965" w14:textId="77777777" w:rsidR="00EE487F" w:rsidRPr="00EE487F" w:rsidRDefault="00EE487F" w:rsidP="00EE487F">
            <w:pPr>
              <w:spacing w:line="259" w:lineRule="auto"/>
              <w:rPr>
                <w:rFonts w:ascii="Arial" w:hAnsi="Arial" w:cs="Arial"/>
                <w:b/>
                <w:lang w:val="en-GB"/>
              </w:rPr>
            </w:pPr>
          </w:p>
        </w:tc>
        <w:tc>
          <w:tcPr>
            <w:tcW w:w="979" w:type="dxa"/>
            <w:tcBorders>
              <w:top w:val="nil"/>
              <w:left w:val="nil"/>
              <w:bottom w:val="nil"/>
              <w:right w:val="nil"/>
            </w:tcBorders>
            <w:noWrap/>
          </w:tcPr>
          <w:p w14:paraId="7B885023" w14:textId="77777777" w:rsidR="00EE487F" w:rsidRPr="00EE487F" w:rsidRDefault="00EE487F" w:rsidP="00EE487F">
            <w:pPr>
              <w:spacing w:line="259" w:lineRule="auto"/>
              <w:rPr>
                <w:rFonts w:ascii="Arial" w:hAnsi="Arial" w:cs="Arial"/>
                <w:b/>
                <w:lang w:val="en-GB"/>
              </w:rPr>
            </w:pPr>
          </w:p>
        </w:tc>
      </w:tr>
      <w:tr w:rsidR="00EE487F" w:rsidRPr="00EE487F" w14:paraId="2477242B" w14:textId="77777777" w:rsidTr="00D76815">
        <w:trPr>
          <w:trHeight w:val="20"/>
          <w:tblHeader/>
          <w:jc w:val="center"/>
        </w:trPr>
        <w:tc>
          <w:tcPr>
            <w:tcW w:w="5566" w:type="dxa"/>
            <w:tcBorders>
              <w:top w:val="nil"/>
              <w:left w:val="nil"/>
              <w:bottom w:val="nil"/>
              <w:right w:val="nil"/>
            </w:tcBorders>
            <w:noWrap/>
          </w:tcPr>
          <w:p w14:paraId="784C1168"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Current Assets</w:t>
            </w:r>
          </w:p>
        </w:tc>
        <w:tc>
          <w:tcPr>
            <w:tcW w:w="979" w:type="dxa"/>
            <w:tcBorders>
              <w:top w:val="nil"/>
              <w:left w:val="nil"/>
              <w:bottom w:val="nil"/>
              <w:right w:val="nil"/>
            </w:tcBorders>
            <w:noWrap/>
          </w:tcPr>
          <w:p w14:paraId="1944BAAB" w14:textId="77777777" w:rsidR="00EE487F" w:rsidRPr="00EE487F" w:rsidRDefault="00EE487F" w:rsidP="00EE487F">
            <w:pPr>
              <w:spacing w:line="259" w:lineRule="auto"/>
              <w:rPr>
                <w:rFonts w:ascii="Arial" w:hAnsi="Arial" w:cs="Arial"/>
                <w:b/>
                <w:lang w:val="en-GB"/>
              </w:rPr>
            </w:pPr>
          </w:p>
        </w:tc>
        <w:tc>
          <w:tcPr>
            <w:tcW w:w="979" w:type="dxa"/>
            <w:tcBorders>
              <w:top w:val="nil"/>
              <w:left w:val="nil"/>
              <w:bottom w:val="nil"/>
              <w:right w:val="nil"/>
            </w:tcBorders>
            <w:noWrap/>
          </w:tcPr>
          <w:p w14:paraId="7CB9FD92" w14:textId="77777777" w:rsidR="00EE487F" w:rsidRPr="00EE487F" w:rsidRDefault="00EE487F" w:rsidP="00EE487F">
            <w:pPr>
              <w:spacing w:line="259" w:lineRule="auto"/>
              <w:rPr>
                <w:rFonts w:ascii="Arial" w:hAnsi="Arial" w:cs="Arial"/>
                <w:b/>
                <w:lang w:val="en-GB"/>
              </w:rPr>
            </w:pPr>
          </w:p>
        </w:tc>
        <w:tc>
          <w:tcPr>
            <w:tcW w:w="979" w:type="dxa"/>
            <w:tcBorders>
              <w:top w:val="nil"/>
              <w:left w:val="nil"/>
              <w:bottom w:val="nil"/>
              <w:right w:val="nil"/>
            </w:tcBorders>
            <w:noWrap/>
          </w:tcPr>
          <w:p w14:paraId="0641C6E0" w14:textId="77777777" w:rsidR="00EE487F" w:rsidRPr="00EE487F" w:rsidRDefault="00EE487F" w:rsidP="00EE487F">
            <w:pPr>
              <w:spacing w:line="259" w:lineRule="auto"/>
              <w:rPr>
                <w:rFonts w:ascii="Arial" w:hAnsi="Arial" w:cs="Arial"/>
                <w:b/>
                <w:lang w:val="en-GB"/>
              </w:rPr>
            </w:pPr>
          </w:p>
        </w:tc>
      </w:tr>
      <w:tr w:rsidR="00EE487F" w:rsidRPr="00EE487F" w14:paraId="24EEE72A" w14:textId="77777777" w:rsidTr="00D76815">
        <w:trPr>
          <w:trHeight w:val="20"/>
          <w:tblHeader/>
          <w:jc w:val="center"/>
        </w:trPr>
        <w:tc>
          <w:tcPr>
            <w:tcW w:w="5566" w:type="dxa"/>
            <w:tcBorders>
              <w:top w:val="nil"/>
              <w:left w:val="nil"/>
              <w:bottom w:val="nil"/>
              <w:right w:val="nil"/>
            </w:tcBorders>
            <w:noWrap/>
          </w:tcPr>
          <w:p w14:paraId="09B34038"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Cash and Equivalents  </w:t>
            </w:r>
          </w:p>
        </w:tc>
        <w:tc>
          <w:tcPr>
            <w:tcW w:w="979" w:type="dxa"/>
            <w:tcBorders>
              <w:top w:val="nil"/>
              <w:left w:val="nil"/>
              <w:bottom w:val="nil"/>
              <w:right w:val="nil"/>
            </w:tcBorders>
            <w:noWrap/>
          </w:tcPr>
          <w:p w14:paraId="3CB35978"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 xml:space="preserve">1,539 </w:t>
            </w:r>
          </w:p>
        </w:tc>
        <w:tc>
          <w:tcPr>
            <w:tcW w:w="979" w:type="dxa"/>
            <w:tcBorders>
              <w:top w:val="nil"/>
              <w:left w:val="nil"/>
              <w:bottom w:val="nil"/>
              <w:right w:val="nil"/>
            </w:tcBorders>
            <w:noWrap/>
          </w:tcPr>
          <w:p w14:paraId="477C221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 xml:space="preserve">2,155 </w:t>
            </w:r>
          </w:p>
        </w:tc>
        <w:tc>
          <w:tcPr>
            <w:tcW w:w="979" w:type="dxa"/>
            <w:tcBorders>
              <w:top w:val="nil"/>
              <w:left w:val="nil"/>
              <w:bottom w:val="nil"/>
              <w:right w:val="nil"/>
            </w:tcBorders>
            <w:noWrap/>
          </w:tcPr>
          <w:p w14:paraId="0035A45B"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 xml:space="preserve">2,618 </w:t>
            </w:r>
          </w:p>
        </w:tc>
      </w:tr>
      <w:tr w:rsidR="00EE487F" w:rsidRPr="00EE487F" w14:paraId="742AF5D9" w14:textId="77777777" w:rsidTr="00D76815">
        <w:trPr>
          <w:trHeight w:val="20"/>
          <w:tblHeader/>
          <w:jc w:val="center"/>
        </w:trPr>
        <w:tc>
          <w:tcPr>
            <w:tcW w:w="5566" w:type="dxa"/>
            <w:tcBorders>
              <w:top w:val="nil"/>
              <w:left w:val="nil"/>
              <w:bottom w:val="nil"/>
              <w:right w:val="nil"/>
            </w:tcBorders>
            <w:noWrap/>
          </w:tcPr>
          <w:p w14:paraId="7C270142"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Receivables, Less Allowances of $981 and $1,055 </w:t>
            </w:r>
          </w:p>
        </w:tc>
        <w:tc>
          <w:tcPr>
            <w:tcW w:w="979" w:type="dxa"/>
            <w:tcBorders>
              <w:top w:val="nil"/>
              <w:left w:val="nil"/>
              <w:bottom w:val="nil"/>
              <w:right w:val="nil"/>
            </w:tcBorders>
            <w:noWrap/>
          </w:tcPr>
          <w:p w14:paraId="7F6848B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8,699</w:t>
            </w:r>
          </w:p>
        </w:tc>
        <w:tc>
          <w:tcPr>
            <w:tcW w:w="979" w:type="dxa"/>
            <w:tcBorders>
              <w:top w:val="nil"/>
              <w:left w:val="nil"/>
              <w:bottom w:val="nil"/>
              <w:right w:val="nil"/>
            </w:tcBorders>
            <w:noWrap/>
          </w:tcPr>
          <w:p w14:paraId="5EBBA65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7,411</w:t>
            </w:r>
          </w:p>
        </w:tc>
        <w:tc>
          <w:tcPr>
            <w:tcW w:w="979" w:type="dxa"/>
            <w:tcBorders>
              <w:top w:val="nil"/>
              <w:left w:val="nil"/>
              <w:bottom w:val="nil"/>
              <w:right w:val="nil"/>
            </w:tcBorders>
            <w:noWrap/>
          </w:tcPr>
          <w:p w14:paraId="5FE87705"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7,720</w:t>
            </w:r>
          </w:p>
        </w:tc>
      </w:tr>
      <w:tr w:rsidR="00EE487F" w:rsidRPr="00EE487F" w14:paraId="5BA04C5E" w14:textId="77777777" w:rsidTr="00D76815">
        <w:trPr>
          <w:trHeight w:val="20"/>
          <w:tblHeader/>
          <w:jc w:val="center"/>
        </w:trPr>
        <w:tc>
          <w:tcPr>
            <w:tcW w:w="5566" w:type="dxa"/>
            <w:tcBorders>
              <w:top w:val="nil"/>
              <w:left w:val="nil"/>
              <w:bottom w:val="nil"/>
              <w:right w:val="nil"/>
            </w:tcBorders>
            <w:noWrap/>
          </w:tcPr>
          <w:p w14:paraId="2F26696A"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Inventories</w:t>
            </w:r>
          </w:p>
        </w:tc>
        <w:tc>
          <w:tcPr>
            <w:tcW w:w="979" w:type="dxa"/>
            <w:tcBorders>
              <w:top w:val="nil"/>
              <w:left w:val="nil"/>
              <w:bottom w:val="nil"/>
              <w:right w:val="nil"/>
            </w:tcBorders>
            <w:noWrap/>
          </w:tcPr>
          <w:p w14:paraId="6FA6CA6B"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2,062</w:t>
            </w:r>
          </w:p>
        </w:tc>
        <w:tc>
          <w:tcPr>
            <w:tcW w:w="979" w:type="dxa"/>
            <w:tcBorders>
              <w:top w:val="nil"/>
              <w:left w:val="nil"/>
              <w:bottom w:val="nil"/>
              <w:right w:val="nil"/>
            </w:tcBorders>
            <w:noWrap/>
          </w:tcPr>
          <w:p w14:paraId="6CB04C93"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1,753</w:t>
            </w:r>
          </w:p>
        </w:tc>
        <w:tc>
          <w:tcPr>
            <w:tcW w:w="979" w:type="dxa"/>
            <w:tcBorders>
              <w:top w:val="nil"/>
              <w:left w:val="nil"/>
              <w:bottom w:val="nil"/>
              <w:right w:val="nil"/>
            </w:tcBorders>
            <w:noWrap/>
          </w:tcPr>
          <w:p w14:paraId="42769E36"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1,700</w:t>
            </w:r>
          </w:p>
        </w:tc>
      </w:tr>
      <w:tr w:rsidR="00EE487F" w:rsidRPr="00EE487F" w14:paraId="3C6E2A2B" w14:textId="77777777" w:rsidTr="00D76815">
        <w:trPr>
          <w:trHeight w:val="20"/>
          <w:tblHeader/>
          <w:jc w:val="center"/>
        </w:trPr>
        <w:tc>
          <w:tcPr>
            <w:tcW w:w="5566" w:type="dxa"/>
            <w:tcBorders>
              <w:top w:val="nil"/>
              <w:left w:val="nil"/>
              <w:bottom w:val="nil"/>
              <w:right w:val="nil"/>
            </w:tcBorders>
            <w:noWrap/>
          </w:tcPr>
          <w:p w14:paraId="2F9E8851"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Deferred Income Taxes</w:t>
            </w:r>
          </w:p>
        </w:tc>
        <w:tc>
          <w:tcPr>
            <w:tcW w:w="979" w:type="dxa"/>
            <w:tcBorders>
              <w:top w:val="nil"/>
              <w:left w:val="nil"/>
              <w:bottom w:val="nil"/>
              <w:right w:val="nil"/>
            </w:tcBorders>
            <w:noWrap/>
          </w:tcPr>
          <w:p w14:paraId="6FE060EB" w14:textId="77777777" w:rsidR="00EE487F" w:rsidRPr="00EE487F" w:rsidRDefault="00EE487F" w:rsidP="00EE487F">
            <w:pPr>
              <w:spacing w:line="259" w:lineRule="auto"/>
              <w:ind w:firstLine="400"/>
              <w:jc w:val="right"/>
              <w:rPr>
                <w:rFonts w:ascii="Arial" w:hAnsi="Arial" w:cs="Arial"/>
                <w:lang w:val="en-GB"/>
              </w:rPr>
            </w:pPr>
            <w:r w:rsidRPr="00EE487F">
              <w:rPr>
                <w:rFonts w:ascii="Arial" w:hAnsi="Arial" w:cs="Arial"/>
                <w:lang w:val="en-GB"/>
              </w:rPr>
              <w:t>/</w:t>
            </w:r>
          </w:p>
        </w:tc>
        <w:tc>
          <w:tcPr>
            <w:tcW w:w="979" w:type="dxa"/>
            <w:tcBorders>
              <w:top w:val="nil"/>
              <w:left w:val="nil"/>
              <w:bottom w:val="nil"/>
              <w:right w:val="nil"/>
            </w:tcBorders>
            <w:noWrap/>
          </w:tcPr>
          <w:p w14:paraId="0DF2FAE1" w14:textId="77777777" w:rsidR="00EE487F" w:rsidRPr="00EE487F" w:rsidRDefault="00EE487F" w:rsidP="00EE487F">
            <w:pPr>
              <w:spacing w:line="259" w:lineRule="auto"/>
              <w:ind w:firstLine="400"/>
              <w:jc w:val="right"/>
              <w:rPr>
                <w:rFonts w:ascii="Arial" w:hAnsi="Arial" w:cs="Arial"/>
                <w:lang w:val="en-GB"/>
              </w:rPr>
            </w:pPr>
            <w:r w:rsidRPr="00EE487F">
              <w:rPr>
                <w:rFonts w:ascii="Arial" w:hAnsi="Arial" w:cs="Arial"/>
                <w:lang w:val="en-GB"/>
              </w:rPr>
              <w:t>/</w:t>
            </w:r>
          </w:p>
        </w:tc>
        <w:tc>
          <w:tcPr>
            <w:tcW w:w="979" w:type="dxa"/>
            <w:tcBorders>
              <w:top w:val="nil"/>
              <w:left w:val="nil"/>
              <w:bottom w:val="nil"/>
              <w:right w:val="nil"/>
            </w:tcBorders>
            <w:noWrap/>
          </w:tcPr>
          <w:p w14:paraId="3D8F459B"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184</w:t>
            </w:r>
          </w:p>
        </w:tc>
      </w:tr>
      <w:tr w:rsidR="00EE487F" w:rsidRPr="00EE487F" w14:paraId="0B36A3CA" w14:textId="77777777" w:rsidTr="00D76815">
        <w:trPr>
          <w:trHeight w:val="20"/>
          <w:tblHeader/>
          <w:jc w:val="center"/>
        </w:trPr>
        <w:tc>
          <w:tcPr>
            <w:tcW w:w="5566" w:type="dxa"/>
            <w:tcBorders>
              <w:top w:val="nil"/>
              <w:left w:val="nil"/>
              <w:bottom w:val="nil"/>
              <w:right w:val="nil"/>
            </w:tcBorders>
            <w:noWrap/>
          </w:tcPr>
          <w:p w14:paraId="69548BCF"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Prepaid Expenses and Other Current Assets   </w:t>
            </w:r>
          </w:p>
        </w:tc>
        <w:tc>
          <w:tcPr>
            <w:tcW w:w="979" w:type="dxa"/>
            <w:tcBorders>
              <w:top w:val="nil"/>
              <w:left w:val="nil"/>
              <w:bottom w:val="nil"/>
              <w:right w:val="nil"/>
            </w:tcBorders>
            <w:noWrap/>
          </w:tcPr>
          <w:p w14:paraId="6B847C6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1,185</w:t>
            </w:r>
          </w:p>
        </w:tc>
        <w:tc>
          <w:tcPr>
            <w:tcW w:w="979" w:type="dxa"/>
            <w:tcBorders>
              <w:top w:val="nil"/>
              <w:left w:val="nil"/>
              <w:bottom w:val="nil"/>
              <w:right w:val="nil"/>
            </w:tcBorders>
            <w:noWrap/>
          </w:tcPr>
          <w:p w14:paraId="54A4A2ED"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1,194</w:t>
            </w:r>
          </w:p>
        </w:tc>
        <w:tc>
          <w:tcPr>
            <w:tcW w:w="979" w:type="dxa"/>
            <w:tcBorders>
              <w:top w:val="nil"/>
              <w:left w:val="nil"/>
              <w:bottom w:val="nil"/>
              <w:right w:val="nil"/>
            </w:tcBorders>
            <w:noWrap/>
          </w:tcPr>
          <w:p w14:paraId="4B0B4A85"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958</w:t>
            </w:r>
          </w:p>
        </w:tc>
      </w:tr>
      <w:tr w:rsidR="00EE487F" w:rsidRPr="00EE487F" w14:paraId="2928A4FD" w14:textId="77777777" w:rsidTr="00D76815">
        <w:trPr>
          <w:trHeight w:val="20"/>
          <w:tblHeader/>
          <w:jc w:val="center"/>
        </w:trPr>
        <w:tc>
          <w:tcPr>
            <w:tcW w:w="5566" w:type="dxa"/>
            <w:tcBorders>
              <w:top w:val="nil"/>
              <w:left w:val="nil"/>
              <w:bottom w:val="nil"/>
              <w:right w:val="nil"/>
            </w:tcBorders>
            <w:noWrap/>
          </w:tcPr>
          <w:p w14:paraId="4A363D32"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 xml:space="preserve">Total Current Assets </w:t>
            </w:r>
          </w:p>
        </w:tc>
        <w:tc>
          <w:tcPr>
            <w:tcW w:w="979" w:type="dxa"/>
            <w:tcBorders>
              <w:top w:val="nil"/>
              <w:left w:val="nil"/>
              <w:bottom w:val="nil"/>
              <w:right w:val="nil"/>
            </w:tcBorders>
            <w:noWrap/>
          </w:tcPr>
          <w:p w14:paraId="1DD68593"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13,485</w:t>
            </w:r>
          </w:p>
        </w:tc>
        <w:tc>
          <w:tcPr>
            <w:tcW w:w="979" w:type="dxa"/>
            <w:tcBorders>
              <w:top w:val="nil"/>
              <w:left w:val="nil"/>
              <w:bottom w:val="nil"/>
              <w:right w:val="nil"/>
            </w:tcBorders>
            <w:noWrap/>
          </w:tcPr>
          <w:p w14:paraId="49CF2D25"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12,513</w:t>
            </w:r>
          </w:p>
        </w:tc>
        <w:tc>
          <w:tcPr>
            <w:tcW w:w="979" w:type="dxa"/>
            <w:tcBorders>
              <w:top w:val="nil"/>
              <w:left w:val="nil"/>
              <w:bottom w:val="nil"/>
              <w:right w:val="nil"/>
            </w:tcBorders>
            <w:noWrap/>
          </w:tcPr>
          <w:p w14:paraId="2C03CEF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13,180</w:t>
            </w:r>
          </w:p>
        </w:tc>
      </w:tr>
      <w:tr w:rsidR="00EE487F" w:rsidRPr="00EE487F" w14:paraId="75467FB8" w14:textId="77777777" w:rsidTr="00D76815">
        <w:trPr>
          <w:trHeight w:val="20"/>
          <w:tblHeader/>
          <w:jc w:val="center"/>
        </w:trPr>
        <w:tc>
          <w:tcPr>
            <w:tcW w:w="5566" w:type="dxa"/>
            <w:tcBorders>
              <w:top w:val="nil"/>
              <w:left w:val="nil"/>
              <w:bottom w:val="nil"/>
              <w:right w:val="nil"/>
            </w:tcBorders>
            <w:noWrap/>
          </w:tcPr>
          <w:p w14:paraId="174E5907"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Non-Current Inventories and Theatrical Film and Television Production Costs </w:t>
            </w:r>
          </w:p>
        </w:tc>
        <w:tc>
          <w:tcPr>
            <w:tcW w:w="979" w:type="dxa"/>
            <w:tcBorders>
              <w:top w:val="nil"/>
              <w:left w:val="nil"/>
              <w:bottom w:val="nil"/>
              <w:right w:val="nil"/>
            </w:tcBorders>
            <w:noWrap/>
          </w:tcPr>
          <w:p w14:paraId="33BA1039"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7,916</w:t>
            </w:r>
          </w:p>
        </w:tc>
        <w:tc>
          <w:tcPr>
            <w:tcW w:w="979" w:type="dxa"/>
            <w:tcBorders>
              <w:top w:val="nil"/>
              <w:left w:val="nil"/>
              <w:bottom w:val="nil"/>
              <w:right w:val="nil"/>
            </w:tcBorders>
            <w:noWrap/>
          </w:tcPr>
          <w:p w14:paraId="040D3AC5"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7,600</w:t>
            </w:r>
          </w:p>
        </w:tc>
        <w:tc>
          <w:tcPr>
            <w:tcW w:w="979" w:type="dxa"/>
            <w:tcBorders>
              <w:top w:val="nil"/>
              <w:left w:val="nil"/>
              <w:bottom w:val="nil"/>
              <w:right w:val="nil"/>
            </w:tcBorders>
            <w:noWrap/>
          </w:tcPr>
          <w:p w14:paraId="0A9445CD"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6,841</w:t>
            </w:r>
          </w:p>
        </w:tc>
      </w:tr>
      <w:tr w:rsidR="00EE487F" w:rsidRPr="00EE487F" w14:paraId="4D9E11B6" w14:textId="77777777" w:rsidTr="00D76815">
        <w:trPr>
          <w:trHeight w:val="20"/>
          <w:tblHeader/>
          <w:jc w:val="center"/>
        </w:trPr>
        <w:tc>
          <w:tcPr>
            <w:tcW w:w="5566" w:type="dxa"/>
            <w:tcBorders>
              <w:top w:val="nil"/>
              <w:left w:val="nil"/>
              <w:bottom w:val="nil"/>
              <w:right w:val="nil"/>
            </w:tcBorders>
            <w:noWrap/>
          </w:tcPr>
          <w:p w14:paraId="2C9EA32A"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Investments, Including Available-for-Sale Securities  </w:t>
            </w:r>
          </w:p>
        </w:tc>
        <w:tc>
          <w:tcPr>
            <w:tcW w:w="979" w:type="dxa"/>
            <w:tcBorders>
              <w:top w:val="nil"/>
              <w:left w:val="nil"/>
              <w:bottom w:val="nil"/>
              <w:right w:val="nil"/>
            </w:tcBorders>
            <w:noWrap/>
          </w:tcPr>
          <w:p w14:paraId="5CE65CB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3,337</w:t>
            </w:r>
          </w:p>
        </w:tc>
        <w:tc>
          <w:tcPr>
            <w:tcW w:w="979" w:type="dxa"/>
            <w:tcBorders>
              <w:top w:val="nil"/>
              <w:left w:val="nil"/>
              <w:bottom w:val="nil"/>
              <w:right w:val="nil"/>
            </w:tcBorders>
            <w:noWrap/>
          </w:tcPr>
          <w:p w14:paraId="0C7EFBB9"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2,617</w:t>
            </w:r>
          </w:p>
        </w:tc>
        <w:tc>
          <w:tcPr>
            <w:tcW w:w="979" w:type="dxa"/>
            <w:tcBorders>
              <w:top w:val="nil"/>
              <w:left w:val="nil"/>
              <w:bottom w:val="nil"/>
              <w:right w:val="nil"/>
            </w:tcBorders>
            <w:noWrap/>
          </w:tcPr>
          <w:p w14:paraId="7E8BA0A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2,326</w:t>
            </w:r>
          </w:p>
        </w:tc>
      </w:tr>
      <w:tr w:rsidR="00EE487F" w:rsidRPr="00EE487F" w14:paraId="0737F689" w14:textId="77777777" w:rsidTr="00D76815">
        <w:trPr>
          <w:trHeight w:val="20"/>
          <w:tblHeader/>
          <w:jc w:val="center"/>
        </w:trPr>
        <w:tc>
          <w:tcPr>
            <w:tcW w:w="5566" w:type="dxa"/>
            <w:tcBorders>
              <w:top w:val="nil"/>
              <w:left w:val="nil"/>
              <w:bottom w:val="nil"/>
              <w:right w:val="nil"/>
            </w:tcBorders>
            <w:noWrap/>
          </w:tcPr>
          <w:p w14:paraId="441A490F"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Property, Plant and Equipment, Net </w:t>
            </w:r>
          </w:p>
        </w:tc>
        <w:tc>
          <w:tcPr>
            <w:tcW w:w="979" w:type="dxa"/>
            <w:tcBorders>
              <w:top w:val="nil"/>
              <w:left w:val="nil"/>
              <w:bottom w:val="nil"/>
              <w:right w:val="nil"/>
            </w:tcBorders>
            <w:noWrap/>
          </w:tcPr>
          <w:p w14:paraId="3F71AB67"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2,510</w:t>
            </w:r>
          </w:p>
        </w:tc>
        <w:tc>
          <w:tcPr>
            <w:tcW w:w="979" w:type="dxa"/>
            <w:tcBorders>
              <w:top w:val="nil"/>
              <w:left w:val="nil"/>
              <w:bottom w:val="nil"/>
              <w:right w:val="nil"/>
            </w:tcBorders>
            <w:noWrap/>
          </w:tcPr>
          <w:p w14:paraId="06C957ED"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2,596</w:t>
            </w:r>
          </w:p>
        </w:tc>
        <w:tc>
          <w:tcPr>
            <w:tcW w:w="979" w:type="dxa"/>
            <w:tcBorders>
              <w:top w:val="nil"/>
              <w:left w:val="nil"/>
              <w:bottom w:val="nil"/>
              <w:right w:val="nil"/>
            </w:tcBorders>
            <w:noWrap/>
          </w:tcPr>
          <w:p w14:paraId="753ED9D7"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2,655</w:t>
            </w:r>
          </w:p>
        </w:tc>
      </w:tr>
      <w:tr w:rsidR="00EE487F" w:rsidRPr="00EE487F" w14:paraId="5DE9AEF3" w14:textId="77777777" w:rsidTr="00D76815">
        <w:trPr>
          <w:trHeight w:val="20"/>
          <w:tblHeader/>
          <w:jc w:val="center"/>
        </w:trPr>
        <w:tc>
          <w:tcPr>
            <w:tcW w:w="5566" w:type="dxa"/>
            <w:tcBorders>
              <w:top w:val="nil"/>
              <w:left w:val="nil"/>
              <w:bottom w:val="nil"/>
              <w:right w:val="nil"/>
            </w:tcBorders>
            <w:noWrap/>
          </w:tcPr>
          <w:p w14:paraId="08F988C4"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Intangible Assets Subject to Amortization, Net</w:t>
            </w:r>
          </w:p>
        </w:tc>
        <w:tc>
          <w:tcPr>
            <w:tcW w:w="979" w:type="dxa"/>
            <w:tcBorders>
              <w:top w:val="nil"/>
              <w:left w:val="nil"/>
              <w:bottom w:val="nil"/>
              <w:right w:val="nil"/>
            </w:tcBorders>
            <w:noWrap/>
          </w:tcPr>
          <w:p w14:paraId="6800740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783</w:t>
            </w:r>
          </w:p>
        </w:tc>
        <w:tc>
          <w:tcPr>
            <w:tcW w:w="979" w:type="dxa"/>
            <w:tcBorders>
              <w:top w:val="nil"/>
              <w:left w:val="nil"/>
              <w:bottom w:val="nil"/>
              <w:right w:val="nil"/>
            </w:tcBorders>
            <w:noWrap/>
          </w:tcPr>
          <w:p w14:paraId="746F6264"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949</w:t>
            </w:r>
          </w:p>
        </w:tc>
        <w:tc>
          <w:tcPr>
            <w:tcW w:w="979" w:type="dxa"/>
            <w:tcBorders>
              <w:top w:val="nil"/>
              <w:left w:val="nil"/>
              <w:bottom w:val="nil"/>
              <w:right w:val="nil"/>
            </w:tcBorders>
            <w:noWrap/>
          </w:tcPr>
          <w:p w14:paraId="701E8538"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1,141</w:t>
            </w:r>
          </w:p>
        </w:tc>
      </w:tr>
      <w:tr w:rsidR="00EE487F" w:rsidRPr="00EE487F" w14:paraId="04ADAF38" w14:textId="77777777" w:rsidTr="00D76815">
        <w:trPr>
          <w:trHeight w:val="20"/>
          <w:tblHeader/>
          <w:jc w:val="center"/>
        </w:trPr>
        <w:tc>
          <w:tcPr>
            <w:tcW w:w="5566" w:type="dxa"/>
            <w:tcBorders>
              <w:top w:val="nil"/>
              <w:left w:val="nil"/>
              <w:bottom w:val="nil"/>
              <w:right w:val="nil"/>
            </w:tcBorders>
            <w:noWrap/>
          </w:tcPr>
          <w:p w14:paraId="68E998FC"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Intangible Assets Not Subject to Amortization </w:t>
            </w:r>
          </w:p>
        </w:tc>
        <w:tc>
          <w:tcPr>
            <w:tcW w:w="979" w:type="dxa"/>
            <w:tcBorders>
              <w:top w:val="nil"/>
              <w:left w:val="nil"/>
              <w:bottom w:val="nil"/>
              <w:right w:val="nil"/>
            </w:tcBorders>
            <w:noWrap/>
          </w:tcPr>
          <w:p w14:paraId="649EED49"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7,005</w:t>
            </w:r>
          </w:p>
        </w:tc>
        <w:tc>
          <w:tcPr>
            <w:tcW w:w="979" w:type="dxa"/>
            <w:tcBorders>
              <w:top w:val="nil"/>
              <w:left w:val="nil"/>
              <w:bottom w:val="nil"/>
              <w:right w:val="nil"/>
            </w:tcBorders>
            <w:noWrap/>
          </w:tcPr>
          <w:p w14:paraId="4001FF6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7,029</w:t>
            </w:r>
          </w:p>
        </w:tc>
        <w:tc>
          <w:tcPr>
            <w:tcW w:w="979" w:type="dxa"/>
            <w:tcBorders>
              <w:top w:val="nil"/>
              <w:left w:val="nil"/>
              <w:bottom w:val="nil"/>
              <w:right w:val="nil"/>
            </w:tcBorders>
            <w:noWrap/>
          </w:tcPr>
          <w:p w14:paraId="27AF21BA"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7,032</w:t>
            </w:r>
          </w:p>
        </w:tc>
      </w:tr>
      <w:tr w:rsidR="00EE487F" w:rsidRPr="00EE487F" w14:paraId="4227D932" w14:textId="77777777" w:rsidTr="00D76815">
        <w:trPr>
          <w:trHeight w:val="20"/>
          <w:tblHeader/>
          <w:jc w:val="center"/>
        </w:trPr>
        <w:tc>
          <w:tcPr>
            <w:tcW w:w="5566" w:type="dxa"/>
            <w:tcBorders>
              <w:top w:val="nil"/>
              <w:left w:val="nil"/>
              <w:bottom w:val="nil"/>
              <w:right w:val="nil"/>
            </w:tcBorders>
            <w:noWrap/>
          </w:tcPr>
          <w:p w14:paraId="1627B83C"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Goodwill </w:t>
            </w:r>
          </w:p>
        </w:tc>
        <w:tc>
          <w:tcPr>
            <w:tcW w:w="979" w:type="dxa"/>
            <w:tcBorders>
              <w:top w:val="nil"/>
              <w:left w:val="nil"/>
              <w:bottom w:val="nil"/>
              <w:right w:val="nil"/>
            </w:tcBorders>
            <w:noWrap/>
          </w:tcPr>
          <w:p w14:paraId="0CD394D1"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27,752</w:t>
            </w:r>
          </w:p>
        </w:tc>
        <w:tc>
          <w:tcPr>
            <w:tcW w:w="979" w:type="dxa"/>
            <w:tcBorders>
              <w:top w:val="nil"/>
              <w:left w:val="nil"/>
              <w:bottom w:val="nil"/>
              <w:right w:val="nil"/>
            </w:tcBorders>
            <w:noWrap/>
          </w:tcPr>
          <w:p w14:paraId="2C00C03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27,689</w:t>
            </w:r>
          </w:p>
        </w:tc>
        <w:tc>
          <w:tcPr>
            <w:tcW w:w="979" w:type="dxa"/>
            <w:tcBorders>
              <w:top w:val="nil"/>
              <w:left w:val="nil"/>
              <w:bottom w:val="nil"/>
              <w:right w:val="nil"/>
            </w:tcBorders>
            <w:noWrap/>
          </w:tcPr>
          <w:p w14:paraId="33D9B5FF"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27,565</w:t>
            </w:r>
          </w:p>
        </w:tc>
      </w:tr>
      <w:tr w:rsidR="00EE487F" w:rsidRPr="00EE487F" w14:paraId="561F6676" w14:textId="77777777" w:rsidTr="00D76815">
        <w:trPr>
          <w:trHeight w:val="20"/>
          <w:tblHeader/>
          <w:jc w:val="center"/>
        </w:trPr>
        <w:tc>
          <w:tcPr>
            <w:tcW w:w="5566" w:type="dxa"/>
            <w:tcBorders>
              <w:top w:val="nil"/>
              <w:left w:val="nil"/>
              <w:bottom w:val="nil"/>
              <w:right w:val="nil"/>
            </w:tcBorders>
            <w:noWrap/>
          </w:tcPr>
          <w:p w14:paraId="0DC419AD"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Other Assets </w:t>
            </w:r>
          </w:p>
        </w:tc>
        <w:tc>
          <w:tcPr>
            <w:tcW w:w="979" w:type="dxa"/>
            <w:tcBorders>
              <w:top w:val="nil"/>
              <w:left w:val="nil"/>
              <w:bottom w:val="nil"/>
              <w:right w:val="nil"/>
            </w:tcBorders>
            <w:noWrap/>
          </w:tcPr>
          <w:p w14:paraId="3719B267"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3,178</w:t>
            </w:r>
          </w:p>
        </w:tc>
        <w:tc>
          <w:tcPr>
            <w:tcW w:w="979" w:type="dxa"/>
            <w:tcBorders>
              <w:top w:val="nil"/>
              <w:left w:val="nil"/>
              <w:bottom w:val="nil"/>
              <w:right w:val="nil"/>
            </w:tcBorders>
            <w:noWrap/>
          </w:tcPr>
          <w:p w14:paraId="6FDDE7D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2,855</w:t>
            </w:r>
          </w:p>
        </w:tc>
        <w:tc>
          <w:tcPr>
            <w:tcW w:w="979" w:type="dxa"/>
            <w:tcBorders>
              <w:top w:val="nil"/>
              <w:left w:val="nil"/>
              <w:bottom w:val="nil"/>
              <w:right w:val="nil"/>
            </w:tcBorders>
            <w:noWrap/>
          </w:tcPr>
          <w:p w14:paraId="2F15104F"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2,406</w:t>
            </w:r>
          </w:p>
        </w:tc>
      </w:tr>
      <w:tr w:rsidR="00EE487F" w:rsidRPr="00EE487F" w14:paraId="37B45952" w14:textId="77777777" w:rsidTr="00D76815">
        <w:trPr>
          <w:trHeight w:val="20"/>
          <w:tblHeader/>
          <w:jc w:val="center"/>
        </w:trPr>
        <w:tc>
          <w:tcPr>
            <w:tcW w:w="5566" w:type="dxa"/>
            <w:tcBorders>
              <w:top w:val="nil"/>
              <w:left w:val="nil"/>
              <w:bottom w:val="single" w:sz="4" w:space="0" w:color="auto"/>
              <w:right w:val="nil"/>
            </w:tcBorders>
            <w:noWrap/>
          </w:tcPr>
          <w:p w14:paraId="0DAAACD0"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 xml:space="preserve">Total Assets  </w:t>
            </w:r>
          </w:p>
        </w:tc>
        <w:tc>
          <w:tcPr>
            <w:tcW w:w="979" w:type="dxa"/>
            <w:tcBorders>
              <w:top w:val="nil"/>
              <w:left w:val="nil"/>
              <w:bottom w:val="single" w:sz="4" w:space="0" w:color="auto"/>
              <w:right w:val="nil"/>
            </w:tcBorders>
            <w:noWrap/>
          </w:tcPr>
          <w:p w14:paraId="67B46946" w14:textId="77777777" w:rsidR="00EE487F" w:rsidRPr="00EE487F" w:rsidRDefault="00EE487F" w:rsidP="00EE487F">
            <w:pPr>
              <w:spacing w:line="259" w:lineRule="auto"/>
              <w:jc w:val="right"/>
              <w:rPr>
                <w:rFonts w:ascii="Arial" w:hAnsi="Arial" w:cs="Arial"/>
                <w:b/>
                <w:lang w:val="en-GB"/>
              </w:rPr>
            </w:pPr>
            <w:r w:rsidRPr="00EE487F">
              <w:rPr>
                <w:rFonts w:ascii="Arial" w:hAnsi="Arial" w:cs="Arial"/>
                <w:b/>
                <w:lang w:val="en-GB"/>
              </w:rPr>
              <w:t xml:space="preserve">$65,966 </w:t>
            </w:r>
          </w:p>
        </w:tc>
        <w:tc>
          <w:tcPr>
            <w:tcW w:w="979" w:type="dxa"/>
            <w:tcBorders>
              <w:top w:val="nil"/>
              <w:left w:val="nil"/>
              <w:bottom w:val="single" w:sz="4" w:space="0" w:color="auto"/>
              <w:right w:val="nil"/>
            </w:tcBorders>
            <w:noWrap/>
          </w:tcPr>
          <w:p w14:paraId="0F3787BC" w14:textId="77777777" w:rsidR="00EE487F" w:rsidRPr="00EE487F" w:rsidRDefault="00EE487F" w:rsidP="00EE487F">
            <w:pPr>
              <w:spacing w:line="259" w:lineRule="auto"/>
              <w:jc w:val="right"/>
              <w:rPr>
                <w:rFonts w:ascii="Arial" w:hAnsi="Arial" w:cs="Arial"/>
                <w:b/>
                <w:lang w:val="en-GB"/>
              </w:rPr>
            </w:pPr>
            <w:r w:rsidRPr="00EE487F">
              <w:rPr>
                <w:rFonts w:ascii="Arial" w:hAnsi="Arial" w:cs="Arial"/>
                <w:b/>
                <w:lang w:val="en-GB"/>
              </w:rPr>
              <w:t xml:space="preserve">$63,848 </w:t>
            </w:r>
          </w:p>
        </w:tc>
        <w:tc>
          <w:tcPr>
            <w:tcW w:w="979" w:type="dxa"/>
            <w:tcBorders>
              <w:top w:val="nil"/>
              <w:left w:val="nil"/>
              <w:bottom w:val="single" w:sz="4" w:space="0" w:color="auto"/>
              <w:right w:val="nil"/>
            </w:tcBorders>
            <w:noWrap/>
          </w:tcPr>
          <w:p w14:paraId="605F00F3" w14:textId="77777777" w:rsidR="00EE487F" w:rsidRPr="00EE487F" w:rsidRDefault="00EE487F" w:rsidP="00EE487F">
            <w:pPr>
              <w:spacing w:line="259" w:lineRule="auto"/>
              <w:jc w:val="right"/>
              <w:rPr>
                <w:rFonts w:ascii="Arial" w:hAnsi="Arial" w:cs="Arial"/>
                <w:b/>
                <w:lang w:val="en-GB"/>
              </w:rPr>
            </w:pPr>
            <w:r w:rsidRPr="00EE487F">
              <w:rPr>
                <w:rFonts w:ascii="Arial" w:hAnsi="Arial" w:cs="Arial"/>
                <w:b/>
                <w:lang w:val="en-GB"/>
              </w:rPr>
              <w:t xml:space="preserve">$63,146 </w:t>
            </w:r>
          </w:p>
        </w:tc>
      </w:tr>
      <w:tr w:rsidR="00EE487F" w:rsidRPr="00EE487F" w14:paraId="44B7E33F" w14:textId="77777777" w:rsidTr="00D76815">
        <w:trPr>
          <w:trHeight w:val="20"/>
          <w:tblHeader/>
          <w:jc w:val="center"/>
        </w:trPr>
        <w:tc>
          <w:tcPr>
            <w:tcW w:w="5566" w:type="dxa"/>
            <w:tcBorders>
              <w:top w:val="nil"/>
              <w:left w:val="nil"/>
              <w:bottom w:val="nil"/>
              <w:right w:val="nil"/>
            </w:tcBorders>
            <w:noWrap/>
          </w:tcPr>
          <w:p w14:paraId="1CD37FF9"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LIABILITIES AND EQUITY</w:t>
            </w:r>
          </w:p>
        </w:tc>
        <w:tc>
          <w:tcPr>
            <w:tcW w:w="979" w:type="dxa"/>
            <w:tcBorders>
              <w:top w:val="nil"/>
              <w:left w:val="nil"/>
              <w:bottom w:val="nil"/>
              <w:right w:val="nil"/>
            </w:tcBorders>
            <w:noWrap/>
          </w:tcPr>
          <w:p w14:paraId="78E13D7C" w14:textId="77777777" w:rsidR="00EE487F" w:rsidRPr="00EE487F" w:rsidRDefault="00EE487F" w:rsidP="00EE487F">
            <w:pPr>
              <w:spacing w:line="259" w:lineRule="auto"/>
              <w:jc w:val="right"/>
              <w:rPr>
                <w:rFonts w:ascii="Arial" w:hAnsi="Arial" w:cs="Arial"/>
                <w:b/>
                <w:lang w:val="en-GB"/>
              </w:rPr>
            </w:pPr>
          </w:p>
        </w:tc>
        <w:tc>
          <w:tcPr>
            <w:tcW w:w="979" w:type="dxa"/>
            <w:tcBorders>
              <w:top w:val="nil"/>
              <w:left w:val="nil"/>
              <w:bottom w:val="nil"/>
              <w:right w:val="nil"/>
            </w:tcBorders>
            <w:noWrap/>
          </w:tcPr>
          <w:p w14:paraId="7400A991" w14:textId="77777777" w:rsidR="00EE487F" w:rsidRPr="00EE487F" w:rsidRDefault="00EE487F" w:rsidP="00EE487F">
            <w:pPr>
              <w:spacing w:line="259" w:lineRule="auto"/>
              <w:jc w:val="right"/>
              <w:rPr>
                <w:rFonts w:ascii="Arial" w:hAnsi="Arial" w:cs="Arial"/>
                <w:b/>
                <w:lang w:val="en-GB"/>
              </w:rPr>
            </w:pPr>
          </w:p>
        </w:tc>
        <w:tc>
          <w:tcPr>
            <w:tcW w:w="979" w:type="dxa"/>
            <w:tcBorders>
              <w:top w:val="nil"/>
              <w:left w:val="nil"/>
              <w:bottom w:val="nil"/>
              <w:right w:val="nil"/>
            </w:tcBorders>
            <w:noWrap/>
          </w:tcPr>
          <w:p w14:paraId="587612B1" w14:textId="77777777" w:rsidR="00EE487F" w:rsidRPr="00EE487F" w:rsidRDefault="00EE487F" w:rsidP="00EE487F">
            <w:pPr>
              <w:spacing w:line="259" w:lineRule="auto"/>
              <w:jc w:val="right"/>
              <w:rPr>
                <w:rFonts w:ascii="Arial" w:hAnsi="Arial" w:cs="Arial"/>
                <w:b/>
                <w:lang w:val="en-GB"/>
              </w:rPr>
            </w:pPr>
          </w:p>
        </w:tc>
      </w:tr>
      <w:tr w:rsidR="00EE487F" w:rsidRPr="00EE487F" w14:paraId="4F4A1CF1" w14:textId="77777777" w:rsidTr="00D76815">
        <w:trPr>
          <w:trHeight w:val="20"/>
          <w:tblHeader/>
          <w:jc w:val="center"/>
        </w:trPr>
        <w:tc>
          <w:tcPr>
            <w:tcW w:w="5566" w:type="dxa"/>
            <w:tcBorders>
              <w:top w:val="nil"/>
              <w:left w:val="nil"/>
              <w:bottom w:val="nil"/>
              <w:right w:val="nil"/>
            </w:tcBorders>
            <w:noWrap/>
          </w:tcPr>
          <w:p w14:paraId="5D95C4A5"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Current Liabilities</w:t>
            </w:r>
          </w:p>
        </w:tc>
        <w:tc>
          <w:tcPr>
            <w:tcW w:w="979" w:type="dxa"/>
            <w:tcBorders>
              <w:top w:val="nil"/>
              <w:left w:val="nil"/>
              <w:bottom w:val="nil"/>
              <w:right w:val="nil"/>
            </w:tcBorders>
            <w:noWrap/>
          </w:tcPr>
          <w:p w14:paraId="55A5E933" w14:textId="77777777" w:rsidR="00EE487F" w:rsidRPr="00EE487F" w:rsidRDefault="00EE487F" w:rsidP="00EE487F">
            <w:pPr>
              <w:spacing w:line="259" w:lineRule="auto"/>
              <w:jc w:val="right"/>
              <w:rPr>
                <w:rFonts w:ascii="Arial" w:hAnsi="Arial" w:cs="Arial"/>
                <w:b/>
                <w:lang w:val="en-GB"/>
              </w:rPr>
            </w:pPr>
          </w:p>
        </w:tc>
        <w:tc>
          <w:tcPr>
            <w:tcW w:w="979" w:type="dxa"/>
            <w:tcBorders>
              <w:top w:val="nil"/>
              <w:left w:val="nil"/>
              <w:bottom w:val="nil"/>
              <w:right w:val="nil"/>
            </w:tcBorders>
            <w:noWrap/>
          </w:tcPr>
          <w:p w14:paraId="58F01BA6" w14:textId="77777777" w:rsidR="00EE487F" w:rsidRPr="00EE487F" w:rsidRDefault="00EE487F" w:rsidP="00EE487F">
            <w:pPr>
              <w:spacing w:line="259" w:lineRule="auto"/>
              <w:jc w:val="right"/>
              <w:rPr>
                <w:rFonts w:ascii="Arial" w:hAnsi="Arial" w:cs="Arial"/>
                <w:b/>
                <w:lang w:val="en-GB"/>
              </w:rPr>
            </w:pPr>
          </w:p>
        </w:tc>
        <w:tc>
          <w:tcPr>
            <w:tcW w:w="979" w:type="dxa"/>
            <w:tcBorders>
              <w:top w:val="nil"/>
              <w:left w:val="nil"/>
              <w:bottom w:val="nil"/>
              <w:right w:val="nil"/>
            </w:tcBorders>
            <w:noWrap/>
          </w:tcPr>
          <w:p w14:paraId="0E618C25" w14:textId="77777777" w:rsidR="00EE487F" w:rsidRPr="00EE487F" w:rsidRDefault="00EE487F" w:rsidP="00EE487F">
            <w:pPr>
              <w:spacing w:line="259" w:lineRule="auto"/>
              <w:jc w:val="right"/>
              <w:rPr>
                <w:rFonts w:ascii="Arial" w:hAnsi="Arial" w:cs="Arial"/>
                <w:b/>
                <w:lang w:val="en-GB"/>
              </w:rPr>
            </w:pPr>
          </w:p>
        </w:tc>
      </w:tr>
      <w:tr w:rsidR="00EE487F" w:rsidRPr="00EE487F" w14:paraId="4A3E8309" w14:textId="77777777" w:rsidTr="00D76815">
        <w:trPr>
          <w:trHeight w:val="20"/>
          <w:tblHeader/>
          <w:jc w:val="center"/>
        </w:trPr>
        <w:tc>
          <w:tcPr>
            <w:tcW w:w="5566" w:type="dxa"/>
            <w:tcBorders>
              <w:top w:val="nil"/>
              <w:left w:val="nil"/>
              <w:bottom w:val="nil"/>
              <w:right w:val="nil"/>
            </w:tcBorders>
            <w:noWrap/>
          </w:tcPr>
          <w:p w14:paraId="6945178D"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Accounts Payable and Accrued Liabilities </w:t>
            </w:r>
          </w:p>
        </w:tc>
        <w:tc>
          <w:tcPr>
            <w:tcW w:w="979" w:type="dxa"/>
            <w:tcBorders>
              <w:top w:val="nil"/>
              <w:left w:val="nil"/>
              <w:bottom w:val="nil"/>
              <w:right w:val="nil"/>
            </w:tcBorders>
            <w:noWrap/>
          </w:tcPr>
          <w:p w14:paraId="1AA5597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 xml:space="preserve">$7,192 </w:t>
            </w:r>
          </w:p>
        </w:tc>
        <w:tc>
          <w:tcPr>
            <w:tcW w:w="979" w:type="dxa"/>
            <w:tcBorders>
              <w:top w:val="nil"/>
              <w:left w:val="nil"/>
              <w:bottom w:val="nil"/>
              <w:right w:val="nil"/>
            </w:tcBorders>
            <w:noWrap/>
          </w:tcPr>
          <w:p w14:paraId="5464CFAA"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 xml:space="preserve">$7,188 </w:t>
            </w:r>
          </w:p>
        </w:tc>
        <w:tc>
          <w:tcPr>
            <w:tcW w:w="979" w:type="dxa"/>
            <w:tcBorders>
              <w:top w:val="nil"/>
              <w:left w:val="nil"/>
              <w:bottom w:val="nil"/>
              <w:right w:val="nil"/>
            </w:tcBorders>
            <w:noWrap/>
          </w:tcPr>
          <w:p w14:paraId="3A7F8C84"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 xml:space="preserve">$7,507 </w:t>
            </w:r>
          </w:p>
        </w:tc>
      </w:tr>
      <w:tr w:rsidR="00EE487F" w:rsidRPr="00EE487F" w14:paraId="5487C963" w14:textId="77777777" w:rsidTr="00D76815">
        <w:trPr>
          <w:trHeight w:val="20"/>
          <w:tblHeader/>
          <w:jc w:val="center"/>
        </w:trPr>
        <w:tc>
          <w:tcPr>
            <w:tcW w:w="5566" w:type="dxa"/>
            <w:tcBorders>
              <w:top w:val="nil"/>
              <w:left w:val="nil"/>
              <w:bottom w:val="nil"/>
              <w:right w:val="nil"/>
            </w:tcBorders>
            <w:noWrap/>
          </w:tcPr>
          <w:p w14:paraId="5B35DD5D"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Deferred Revenue </w:t>
            </w:r>
          </w:p>
        </w:tc>
        <w:tc>
          <w:tcPr>
            <w:tcW w:w="979" w:type="dxa"/>
            <w:tcBorders>
              <w:top w:val="nil"/>
              <w:left w:val="nil"/>
              <w:bottom w:val="nil"/>
              <w:right w:val="nil"/>
            </w:tcBorders>
            <w:noWrap/>
          </w:tcPr>
          <w:p w14:paraId="3C7A249C"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564</w:t>
            </w:r>
          </w:p>
        </w:tc>
        <w:tc>
          <w:tcPr>
            <w:tcW w:w="979" w:type="dxa"/>
            <w:tcBorders>
              <w:top w:val="nil"/>
              <w:left w:val="nil"/>
              <w:bottom w:val="nil"/>
              <w:right w:val="nil"/>
            </w:tcBorders>
            <w:noWrap/>
          </w:tcPr>
          <w:p w14:paraId="34DB36C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616</w:t>
            </w:r>
          </w:p>
        </w:tc>
        <w:tc>
          <w:tcPr>
            <w:tcW w:w="979" w:type="dxa"/>
            <w:tcBorders>
              <w:top w:val="nil"/>
              <w:left w:val="nil"/>
              <w:bottom w:val="nil"/>
              <w:right w:val="nil"/>
            </w:tcBorders>
            <w:noWrap/>
          </w:tcPr>
          <w:p w14:paraId="58D0924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579</w:t>
            </w:r>
          </w:p>
        </w:tc>
      </w:tr>
      <w:tr w:rsidR="00EE487F" w:rsidRPr="00EE487F" w14:paraId="03CBBE50" w14:textId="77777777" w:rsidTr="00D76815">
        <w:trPr>
          <w:trHeight w:val="20"/>
          <w:tblHeader/>
          <w:jc w:val="center"/>
        </w:trPr>
        <w:tc>
          <w:tcPr>
            <w:tcW w:w="5566" w:type="dxa"/>
            <w:tcBorders>
              <w:top w:val="nil"/>
              <w:left w:val="nil"/>
              <w:bottom w:val="nil"/>
              <w:right w:val="nil"/>
            </w:tcBorders>
            <w:noWrap/>
          </w:tcPr>
          <w:p w14:paraId="7845CBE1"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Debt Due Within One Year </w:t>
            </w:r>
          </w:p>
        </w:tc>
        <w:tc>
          <w:tcPr>
            <w:tcW w:w="979" w:type="dxa"/>
            <w:tcBorders>
              <w:top w:val="nil"/>
              <w:left w:val="nil"/>
              <w:bottom w:val="nil"/>
              <w:right w:val="nil"/>
            </w:tcBorders>
            <w:noWrap/>
          </w:tcPr>
          <w:p w14:paraId="28AB6CAD"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1,947</w:t>
            </w:r>
          </w:p>
        </w:tc>
        <w:tc>
          <w:tcPr>
            <w:tcW w:w="979" w:type="dxa"/>
            <w:tcBorders>
              <w:top w:val="nil"/>
              <w:left w:val="nil"/>
              <w:bottom w:val="nil"/>
              <w:right w:val="nil"/>
            </w:tcBorders>
            <w:noWrap/>
          </w:tcPr>
          <w:p w14:paraId="5374FF17"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198</w:t>
            </w:r>
          </w:p>
        </w:tc>
        <w:tc>
          <w:tcPr>
            <w:tcW w:w="979" w:type="dxa"/>
            <w:tcBorders>
              <w:top w:val="nil"/>
              <w:left w:val="nil"/>
              <w:bottom w:val="nil"/>
              <w:right w:val="nil"/>
            </w:tcBorders>
            <w:noWrap/>
          </w:tcPr>
          <w:p w14:paraId="4A6AF1D1"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1,118</w:t>
            </w:r>
          </w:p>
        </w:tc>
      </w:tr>
      <w:tr w:rsidR="00EE487F" w:rsidRPr="00EE487F" w14:paraId="436D499C" w14:textId="77777777" w:rsidTr="00D76815">
        <w:trPr>
          <w:trHeight w:val="20"/>
          <w:tblHeader/>
          <w:jc w:val="center"/>
        </w:trPr>
        <w:tc>
          <w:tcPr>
            <w:tcW w:w="5566" w:type="dxa"/>
            <w:tcBorders>
              <w:top w:val="nil"/>
              <w:left w:val="nil"/>
              <w:bottom w:val="nil"/>
              <w:right w:val="nil"/>
            </w:tcBorders>
            <w:noWrap/>
          </w:tcPr>
          <w:p w14:paraId="3A50BF4E"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 xml:space="preserve">Total Current Liabilities </w:t>
            </w:r>
          </w:p>
        </w:tc>
        <w:tc>
          <w:tcPr>
            <w:tcW w:w="979" w:type="dxa"/>
            <w:tcBorders>
              <w:top w:val="nil"/>
              <w:left w:val="nil"/>
              <w:bottom w:val="nil"/>
              <w:right w:val="nil"/>
            </w:tcBorders>
            <w:noWrap/>
          </w:tcPr>
          <w:p w14:paraId="46C7EEAC"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9,703</w:t>
            </w:r>
          </w:p>
        </w:tc>
        <w:tc>
          <w:tcPr>
            <w:tcW w:w="979" w:type="dxa"/>
            <w:tcBorders>
              <w:top w:val="nil"/>
              <w:left w:val="nil"/>
              <w:bottom w:val="nil"/>
              <w:right w:val="nil"/>
            </w:tcBorders>
            <w:noWrap/>
          </w:tcPr>
          <w:p w14:paraId="7F1C266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8,002</w:t>
            </w:r>
          </w:p>
        </w:tc>
        <w:tc>
          <w:tcPr>
            <w:tcW w:w="979" w:type="dxa"/>
            <w:tcBorders>
              <w:top w:val="nil"/>
              <w:left w:val="nil"/>
              <w:bottom w:val="nil"/>
              <w:right w:val="nil"/>
            </w:tcBorders>
            <w:noWrap/>
          </w:tcPr>
          <w:p w14:paraId="75FB4404"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9,204</w:t>
            </w:r>
          </w:p>
        </w:tc>
      </w:tr>
      <w:tr w:rsidR="00EE487F" w:rsidRPr="00EE487F" w14:paraId="3FD5D3D4" w14:textId="77777777" w:rsidTr="00D76815">
        <w:trPr>
          <w:trHeight w:val="20"/>
          <w:tblHeader/>
          <w:jc w:val="center"/>
        </w:trPr>
        <w:tc>
          <w:tcPr>
            <w:tcW w:w="5566" w:type="dxa"/>
            <w:tcBorders>
              <w:top w:val="nil"/>
              <w:left w:val="nil"/>
              <w:bottom w:val="nil"/>
              <w:right w:val="nil"/>
            </w:tcBorders>
            <w:noWrap/>
          </w:tcPr>
          <w:p w14:paraId="52ADBEC3"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Long-Term Debt </w:t>
            </w:r>
          </w:p>
        </w:tc>
        <w:tc>
          <w:tcPr>
            <w:tcW w:w="979" w:type="dxa"/>
            <w:tcBorders>
              <w:top w:val="nil"/>
              <w:left w:val="nil"/>
              <w:bottom w:val="nil"/>
              <w:right w:val="nil"/>
            </w:tcBorders>
            <w:noWrap/>
          </w:tcPr>
          <w:p w14:paraId="6E7C178D"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22,392</w:t>
            </w:r>
          </w:p>
        </w:tc>
        <w:tc>
          <w:tcPr>
            <w:tcW w:w="979" w:type="dxa"/>
            <w:tcBorders>
              <w:top w:val="nil"/>
              <w:left w:val="nil"/>
              <w:bottom w:val="nil"/>
              <w:right w:val="nil"/>
            </w:tcBorders>
            <w:noWrap/>
          </w:tcPr>
          <w:p w14:paraId="29A07ED3"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23,594</w:t>
            </w:r>
          </w:p>
        </w:tc>
        <w:tc>
          <w:tcPr>
            <w:tcW w:w="979" w:type="dxa"/>
            <w:tcBorders>
              <w:top w:val="nil"/>
              <w:left w:val="nil"/>
              <w:bottom w:val="nil"/>
              <w:right w:val="nil"/>
            </w:tcBorders>
            <w:noWrap/>
          </w:tcPr>
          <w:p w14:paraId="0D2E2F36"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21,263</w:t>
            </w:r>
          </w:p>
        </w:tc>
      </w:tr>
      <w:tr w:rsidR="00EE487F" w:rsidRPr="00EE487F" w14:paraId="530A7A0B" w14:textId="77777777" w:rsidTr="00D76815">
        <w:trPr>
          <w:trHeight w:val="20"/>
          <w:tblHeader/>
          <w:jc w:val="center"/>
        </w:trPr>
        <w:tc>
          <w:tcPr>
            <w:tcW w:w="5566" w:type="dxa"/>
            <w:tcBorders>
              <w:top w:val="nil"/>
              <w:left w:val="nil"/>
              <w:bottom w:val="nil"/>
              <w:right w:val="nil"/>
            </w:tcBorders>
            <w:noWrap/>
          </w:tcPr>
          <w:p w14:paraId="092C421D"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Deferred Income Taxes </w:t>
            </w:r>
          </w:p>
        </w:tc>
        <w:tc>
          <w:tcPr>
            <w:tcW w:w="979" w:type="dxa"/>
            <w:tcBorders>
              <w:top w:val="nil"/>
              <w:left w:val="nil"/>
              <w:bottom w:val="nil"/>
              <w:right w:val="nil"/>
            </w:tcBorders>
            <w:noWrap/>
          </w:tcPr>
          <w:p w14:paraId="01F0FAB3"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2,678</w:t>
            </w:r>
          </w:p>
        </w:tc>
        <w:tc>
          <w:tcPr>
            <w:tcW w:w="979" w:type="dxa"/>
            <w:tcBorders>
              <w:top w:val="nil"/>
              <w:left w:val="nil"/>
              <w:bottom w:val="nil"/>
              <w:right w:val="nil"/>
            </w:tcBorders>
            <w:noWrap/>
          </w:tcPr>
          <w:p w14:paraId="14CE664B"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2,454</w:t>
            </w:r>
          </w:p>
        </w:tc>
        <w:tc>
          <w:tcPr>
            <w:tcW w:w="979" w:type="dxa"/>
            <w:tcBorders>
              <w:top w:val="nil"/>
              <w:left w:val="nil"/>
              <w:bottom w:val="nil"/>
              <w:right w:val="nil"/>
            </w:tcBorders>
            <w:noWrap/>
          </w:tcPr>
          <w:p w14:paraId="4D3706B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2,204</w:t>
            </w:r>
          </w:p>
        </w:tc>
      </w:tr>
      <w:tr w:rsidR="00EE487F" w:rsidRPr="00EE487F" w14:paraId="6B93C51D" w14:textId="77777777" w:rsidTr="00D76815">
        <w:trPr>
          <w:trHeight w:val="20"/>
          <w:tblHeader/>
          <w:jc w:val="center"/>
        </w:trPr>
        <w:tc>
          <w:tcPr>
            <w:tcW w:w="5566" w:type="dxa"/>
            <w:tcBorders>
              <w:top w:val="nil"/>
              <w:left w:val="nil"/>
              <w:bottom w:val="nil"/>
              <w:right w:val="nil"/>
            </w:tcBorders>
            <w:noWrap/>
          </w:tcPr>
          <w:p w14:paraId="53F8DBBA"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Deferred Revenue </w:t>
            </w:r>
          </w:p>
        </w:tc>
        <w:tc>
          <w:tcPr>
            <w:tcW w:w="979" w:type="dxa"/>
            <w:tcBorders>
              <w:top w:val="nil"/>
              <w:left w:val="nil"/>
              <w:bottom w:val="nil"/>
              <w:right w:val="nil"/>
            </w:tcBorders>
            <w:noWrap/>
          </w:tcPr>
          <w:p w14:paraId="0D123F59"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486</w:t>
            </w:r>
          </w:p>
        </w:tc>
        <w:tc>
          <w:tcPr>
            <w:tcW w:w="979" w:type="dxa"/>
            <w:tcBorders>
              <w:top w:val="nil"/>
              <w:left w:val="nil"/>
              <w:bottom w:val="nil"/>
              <w:right w:val="nil"/>
            </w:tcBorders>
            <w:noWrap/>
          </w:tcPr>
          <w:p w14:paraId="1014E578"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352</w:t>
            </w:r>
          </w:p>
        </w:tc>
        <w:tc>
          <w:tcPr>
            <w:tcW w:w="979" w:type="dxa"/>
            <w:tcBorders>
              <w:top w:val="nil"/>
              <w:left w:val="nil"/>
              <w:bottom w:val="nil"/>
              <w:right w:val="nil"/>
            </w:tcBorders>
            <w:noWrap/>
          </w:tcPr>
          <w:p w14:paraId="0CB3DF8C"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315</w:t>
            </w:r>
          </w:p>
        </w:tc>
      </w:tr>
      <w:tr w:rsidR="00EE487F" w:rsidRPr="00EE487F" w14:paraId="79D3E966" w14:textId="77777777" w:rsidTr="00D76815">
        <w:trPr>
          <w:trHeight w:val="20"/>
          <w:tblHeader/>
          <w:jc w:val="center"/>
        </w:trPr>
        <w:tc>
          <w:tcPr>
            <w:tcW w:w="5566" w:type="dxa"/>
            <w:tcBorders>
              <w:top w:val="nil"/>
              <w:left w:val="nil"/>
              <w:bottom w:val="nil"/>
              <w:right w:val="nil"/>
            </w:tcBorders>
            <w:noWrap/>
          </w:tcPr>
          <w:p w14:paraId="1EFDDFC6"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Other Non-Current Liabilities </w:t>
            </w:r>
          </w:p>
        </w:tc>
        <w:tc>
          <w:tcPr>
            <w:tcW w:w="979" w:type="dxa"/>
            <w:tcBorders>
              <w:top w:val="nil"/>
              <w:left w:val="nil"/>
              <w:bottom w:val="nil"/>
              <w:right w:val="nil"/>
            </w:tcBorders>
            <w:noWrap/>
          </w:tcPr>
          <w:p w14:paraId="0C7E7AB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6,341</w:t>
            </w:r>
          </w:p>
        </w:tc>
        <w:tc>
          <w:tcPr>
            <w:tcW w:w="979" w:type="dxa"/>
            <w:tcBorders>
              <w:top w:val="nil"/>
              <w:left w:val="nil"/>
              <w:bottom w:val="nil"/>
              <w:right w:val="nil"/>
            </w:tcBorders>
            <w:noWrap/>
          </w:tcPr>
          <w:p w14:paraId="6B35578D"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5,798</w:t>
            </w:r>
          </w:p>
        </w:tc>
        <w:tc>
          <w:tcPr>
            <w:tcW w:w="979" w:type="dxa"/>
            <w:tcBorders>
              <w:top w:val="nil"/>
              <w:left w:val="nil"/>
              <w:bottom w:val="nil"/>
              <w:right w:val="nil"/>
            </w:tcBorders>
            <w:noWrap/>
          </w:tcPr>
          <w:p w14:paraId="786C9D1A"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5,684</w:t>
            </w:r>
          </w:p>
        </w:tc>
      </w:tr>
      <w:tr w:rsidR="00EE487F" w:rsidRPr="00EE487F" w14:paraId="629CA8CE" w14:textId="77777777" w:rsidTr="00D76815">
        <w:trPr>
          <w:trHeight w:val="20"/>
          <w:tblHeader/>
          <w:jc w:val="center"/>
        </w:trPr>
        <w:tc>
          <w:tcPr>
            <w:tcW w:w="5566" w:type="dxa"/>
            <w:tcBorders>
              <w:top w:val="nil"/>
              <w:left w:val="nil"/>
              <w:bottom w:val="nil"/>
              <w:right w:val="nil"/>
            </w:tcBorders>
            <w:noWrap/>
          </w:tcPr>
          <w:p w14:paraId="51ADF11B"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Redeemable Non-Controlling Interest</w:t>
            </w:r>
          </w:p>
        </w:tc>
        <w:tc>
          <w:tcPr>
            <w:tcW w:w="979" w:type="dxa"/>
            <w:tcBorders>
              <w:top w:val="nil"/>
              <w:left w:val="nil"/>
              <w:bottom w:val="nil"/>
              <w:right w:val="nil"/>
            </w:tcBorders>
            <w:noWrap/>
          </w:tcPr>
          <w:p w14:paraId="190766D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29</w:t>
            </w:r>
          </w:p>
        </w:tc>
        <w:tc>
          <w:tcPr>
            <w:tcW w:w="979" w:type="dxa"/>
            <w:tcBorders>
              <w:top w:val="nil"/>
              <w:left w:val="nil"/>
              <w:bottom w:val="nil"/>
              <w:right w:val="nil"/>
            </w:tcBorders>
            <w:noWrap/>
          </w:tcPr>
          <w:p w14:paraId="4BFFF069"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29</w:t>
            </w:r>
          </w:p>
        </w:tc>
        <w:tc>
          <w:tcPr>
            <w:tcW w:w="979" w:type="dxa"/>
            <w:tcBorders>
              <w:top w:val="nil"/>
              <w:left w:val="nil"/>
              <w:bottom w:val="nil"/>
              <w:right w:val="nil"/>
            </w:tcBorders>
            <w:noWrap/>
          </w:tcPr>
          <w:p w14:paraId="34B6C47C"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w:t>
            </w:r>
          </w:p>
        </w:tc>
      </w:tr>
      <w:tr w:rsidR="00EE487F" w:rsidRPr="00EE487F" w14:paraId="60D61AC4" w14:textId="77777777" w:rsidTr="00D76815">
        <w:trPr>
          <w:trHeight w:val="20"/>
          <w:tblHeader/>
          <w:jc w:val="center"/>
        </w:trPr>
        <w:tc>
          <w:tcPr>
            <w:tcW w:w="5566" w:type="dxa"/>
            <w:tcBorders>
              <w:top w:val="nil"/>
              <w:left w:val="nil"/>
              <w:bottom w:val="nil"/>
              <w:right w:val="nil"/>
            </w:tcBorders>
            <w:noWrap/>
          </w:tcPr>
          <w:p w14:paraId="2F04C5EC"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Equity</w:t>
            </w:r>
          </w:p>
        </w:tc>
        <w:tc>
          <w:tcPr>
            <w:tcW w:w="979" w:type="dxa"/>
            <w:tcBorders>
              <w:top w:val="nil"/>
              <w:left w:val="nil"/>
              <w:bottom w:val="nil"/>
              <w:right w:val="nil"/>
            </w:tcBorders>
          </w:tcPr>
          <w:p w14:paraId="6529B577" w14:textId="77777777" w:rsidR="00EE487F" w:rsidRPr="00EE487F" w:rsidRDefault="00EE487F" w:rsidP="00EE487F">
            <w:pPr>
              <w:spacing w:line="259" w:lineRule="auto"/>
              <w:jc w:val="right"/>
              <w:rPr>
                <w:rFonts w:ascii="Arial" w:hAnsi="Arial" w:cs="Arial"/>
                <w:b/>
                <w:lang w:val="en-GB"/>
              </w:rPr>
            </w:pPr>
          </w:p>
        </w:tc>
        <w:tc>
          <w:tcPr>
            <w:tcW w:w="979" w:type="dxa"/>
            <w:tcBorders>
              <w:top w:val="nil"/>
              <w:left w:val="nil"/>
              <w:bottom w:val="nil"/>
              <w:right w:val="nil"/>
            </w:tcBorders>
            <w:noWrap/>
          </w:tcPr>
          <w:p w14:paraId="0C23820E" w14:textId="77777777" w:rsidR="00EE487F" w:rsidRPr="00EE487F" w:rsidRDefault="00EE487F" w:rsidP="00EE487F">
            <w:pPr>
              <w:spacing w:line="259" w:lineRule="auto"/>
              <w:jc w:val="right"/>
              <w:rPr>
                <w:rFonts w:ascii="Arial" w:hAnsi="Arial" w:cs="Arial"/>
                <w:b/>
                <w:lang w:val="en-GB"/>
              </w:rPr>
            </w:pPr>
          </w:p>
        </w:tc>
        <w:tc>
          <w:tcPr>
            <w:tcW w:w="979" w:type="dxa"/>
            <w:tcBorders>
              <w:top w:val="nil"/>
              <w:left w:val="nil"/>
              <w:bottom w:val="nil"/>
              <w:right w:val="nil"/>
            </w:tcBorders>
            <w:noWrap/>
          </w:tcPr>
          <w:p w14:paraId="4941152C" w14:textId="77777777" w:rsidR="00EE487F" w:rsidRPr="00EE487F" w:rsidRDefault="00EE487F" w:rsidP="00EE487F">
            <w:pPr>
              <w:spacing w:line="259" w:lineRule="auto"/>
              <w:jc w:val="right"/>
              <w:rPr>
                <w:rFonts w:ascii="Arial" w:hAnsi="Arial" w:cs="Arial"/>
                <w:b/>
                <w:lang w:val="en-GB"/>
              </w:rPr>
            </w:pPr>
          </w:p>
        </w:tc>
      </w:tr>
      <w:tr w:rsidR="00EE487F" w:rsidRPr="00EE487F" w14:paraId="12200A6E" w14:textId="77777777" w:rsidTr="00D76815">
        <w:trPr>
          <w:trHeight w:val="20"/>
          <w:tblHeader/>
          <w:jc w:val="center"/>
        </w:trPr>
        <w:tc>
          <w:tcPr>
            <w:tcW w:w="5566" w:type="dxa"/>
            <w:tcBorders>
              <w:top w:val="nil"/>
              <w:left w:val="nil"/>
              <w:bottom w:val="nil"/>
              <w:right w:val="nil"/>
            </w:tcBorders>
            <w:noWrap/>
          </w:tcPr>
          <w:p w14:paraId="10CDAC9E"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Additional Paid-In Capital </w:t>
            </w:r>
          </w:p>
        </w:tc>
        <w:tc>
          <w:tcPr>
            <w:tcW w:w="979" w:type="dxa"/>
            <w:tcBorders>
              <w:top w:val="nil"/>
              <w:left w:val="nil"/>
              <w:bottom w:val="nil"/>
              <w:right w:val="nil"/>
            </w:tcBorders>
          </w:tcPr>
          <w:p w14:paraId="3D63F3F4"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146,780</w:t>
            </w:r>
          </w:p>
        </w:tc>
        <w:tc>
          <w:tcPr>
            <w:tcW w:w="979" w:type="dxa"/>
            <w:tcBorders>
              <w:top w:val="nil"/>
              <w:left w:val="nil"/>
              <w:bottom w:val="nil"/>
              <w:right w:val="nil"/>
            </w:tcBorders>
            <w:noWrap/>
          </w:tcPr>
          <w:p w14:paraId="3E92A737"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148,041</w:t>
            </w:r>
          </w:p>
        </w:tc>
        <w:tc>
          <w:tcPr>
            <w:tcW w:w="979" w:type="dxa"/>
            <w:tcBorders>
              <w:top w:val="nil"/>
              <w:left w:val="nil"/>
              <w:bottom w:val="nil"/>
              <w:right w:val="nil"/>
            </w:tcBorders>
            <w:noWrap/>
          </w:tcPr>
          <w:p w14:paraId="1B25BF13"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149,282</w:t>
            </w:r>
          </w:p>
        </w:tc>
      </w:tr>
      <w:tr w:rsidR="00EE487F" w:rsidRPr="00EE487F" w14:paraId="6266FACF" w14:textId="77777777" w:rsidTr="00D76815">
        <w:trPr>
          <w:trHeight w:val="20"/>
          <w:tblHeader/>
          <w:jc w:val="center"/>
        </w:trPr>
        <w:tc>
          <w:tcPr>
            <w:tcW w:w="5566" w:type="dxa"/>
            <w:tcBorders>
              <w:top w:val="nil"/>
              <w:left w:val="nil"/>
              <w:bottom w:val="nil"/>
              <w:right w:val="nil"/>
            </w:tcBorders>
            <w:noWrap/>
          </w:tcPr>
          <w:p w14:paraId="723CDF39"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Treasury Stock, at Cost (880 Million and 857 Million Shares) </w:t>
            </w:r>
          </w:p>
        </w:tc>
        <w:tc>
          <w:tcPr>
            <w:tcW w:w="979" w:type="dxa"/>
            <w:tcBorders>
              <w:top w:val="nil"/>
              <w:left w:val="nil"/>
              <w:bottom w:val="nil"/>
              <w:right w:val="nil"/>
            </w:tcBorders>
            <w:noWrap/>
          </w:tcPr>
          <w:p w14:paraId="244C6F91"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(47,497)</w:t>
            </w:r>
          </w:p>
        </w:tc>
        <w:tc>
          <w:tcPr>
            <w:tcW w:w="979" w:type="dxa"/>
            <w:tcBorders>
              <w:top w:val="nil"/>
              <w:left w:val="nil"/>
              <w:bottom w:val="nil"/>
              <w:right w:val="nil"/>
            </w:tcBorders>
            <w:noWrap/>
          </w:tcPr>
          <w:p w14:paraId="2360C9D8"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(45,612)</w:t>
            </w:r>
          </w:p>
        </w:tc>
        <w:tc>
          <w:tcPr>
            <w:tcW w:w="979" w:type="dxa"/>
            <w:tcBorders>
              <w:top w:val="nil"/>
              <w:left w:val="nil"/>
              <w:bottom w:val="nil"/>
              <w:right w:val="nil"/>
            </w:tcBorders>
            <w:noWrap/>
          </w:tcPr>
          <w:p w14:paraId="532C37D6"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(42,445)</w:t>
            </w:r>
          </w:p>
        </w:tc>
      </w:tr>
      <w:tr w:rsidR="00EE487F" w:rsidRPr="00EE487F" w14:paraId="721569AF" w14:textId="77777777" w:rsidTr="00D76815">
        <w:trPr>
          <w:trHeight w:val="20"/>
          <w:tblHeader/>
          <w:jc w:val="center"/>
        </w:trPr>
        <w:tc>
          <w:tcPr>
            <w:tcW w:w="5566" w:type="dxa"/>
            <w:tcBorders>
              <w:top w:val="nil"/>
              <w:left w:val="nil"/>
              <w:bottom w:val="nil"/>
              <w:right w:val="nil"/>
            </w:tcBorders>
            <w:noWrap/>
          </w:tcPr>
          <w:p w14:paraId="23B0D0E3"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Accumulated Other Comprehensive Loss, Net </w:t>
            </w:r>
          </w:p>
        </w:tc>
        <w:tc>
          <w:tcPr>
            <w:tcW w:w="979" w:type="dxa"/>
            <w:tcBorders>
              <w:top w:val="nil"/>
              <w:left w:val="nil"/>
              <w:bottom w:val="nil"/>
              <w:right w:val="nil"/>
            </w:tcBorders>
            <w:noWrap/>
          </w:tcPr>
          <w:p w14:paraId="514A4757"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(1,510)</w:t>
            </w:r>
          </w:p>
        </w:tc>
        <w:tc>
          <w:tcPr>
            <w:tcW w:w="979" w:type="dxa"/>
            <w:tcBorders>
              <w:top w:val="nil"/>
              <w:left w:val="nil"/>
              <w:bottom w:val="nil"/>
              <w:right w:val="nil"/>
            </w:tcBorders>
            <w:noWrap/>
          </w:tcPr>
          <w:p w14:paraId="299FBB4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(1,446)</w:t>
            </w:r>
          </w:p>
        </w:tc>
        <w:tc>
          <w:tcPr>
            <w:tcW w:w="979" w:type="dxa"/>
            <w:tcBorders>
              <w:top w:val="nil"/>
              <w:left w:val="nil"/>
              <w:bottom w:val="nil"/>
              <w:right w:val="nil"/>
            </w:tcBorders>
            <w:noWrap/>
          </w:tcPr>
          <w:p w14:paraId="6FDFA6F8"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(1,164)</w:t>
            </w:r>
          </w:p>
        </w:tc>
      </w:tr>
      <w:tr w:rsidR="00EE487F" w:rsidRPr="00EE487F" w14:paraId="2CA93C8E" w14:textId="77777777" w:rsidTr="00D76815">
        <w:trPr>
          <w:trHeight w:val="20"/>
          <w:tblHeader/>
          <w:jc w:val="center"/>
        </w:trPr>
        <w:tc>
          <w:tcPr>
            <w:tcW w:w="5566" w:type="dxa"/>
            <w:tcBorders>
              <w:top w:val="nil"/>
              <w:left w:val="nil"/>
              <w:bottom w:val="nil"/>
              <w:right w:val="nil"/>
            </w:tcBorders>
            <w:noWrap/>
          </w:tcPr>
          <w:p w14:paraId="3A844680"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Accumulated Deficit </w:t>
            </w:r>
          </w:p>
        </w:tc>
        <w:tc>
          <w:tcPr>
            <w:tcW w:w="979" w:type="dxa"/>
            <w:tcBorders>
              <w:top w:val="nil"/>
              <w:left w:val="nil"/>
              <w:bottom w:val="nil"/>
              <w:right w:val="nil"/>
            </w:tcBorders>
            <w:noWrap/>
          </w:tcPr>
          <w:p w14:paraId="7F9173F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(73,455)</w:t>
            </w:r>
          </w:p>
        </w:tc>
        <w:tc>
          <w:tcPr>
            <w:tcW w:w="979" w:type="dxa"/>
            <w:tcBorders>
              <w:top w:val="nil"/>
              <w:left w:val="nil"/>
              <w:bottom w:val="nil"/>
              <w:right w:val="nil"/>
            </w:tcBorders>
            <w:noWrap/>
          </w:tcPr>
          <w:p w14:paraId="0A19BD6B"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(77,381)</w:t>
            </w:r>
          </w:p>
        </w:tc>
        <w:tc>
          <w:tcPr>
            <w:tcW w:w="979" w:type="dxa"/>
            <w:tcBorders>
              <w:top w:val="nil"/>
              <w:left w:val="nil"/>
              <w:bottom w:val="nil"/>
              <w:right w:val="nil"/>
            </w:tcBorders>
            <w:noWrap/>
          </w:tcPr>
          <w:p w14:paraId="188475D5"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(81,214)</w:t>
            </w:r>
          </w:p>
        </w:tc>
      </w:tr>
      <w:tr w:rsidR="00EE487F" w:rsidRPr="00EE487F" w14:paraId="7C2B5FEA" w14:textId="77777777" w:rsidTr="00D76815">
        <w:trPr>
          <w:trHeight w:val="20"/>
          <w:tblHeader/>
          <w:jc w:val="center"/>
        </w:trPr>
        <w:tc>
          <w:tcPr>
            <w:tcW w:w="5566" w:type="dxa"/>
            <w:tcBorders>
              <w:top w:val="nil"/>
              <w:left w:val="nil"/>
              <w:bottom w:val="nil"/>
              <w:right w:val="nil"/>
            </w:tcBorders>
            <w:noWrap/>
          </w:tcPr>
          <w:p w14:paraId="7384D4B2"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Total Time Warner Inc. Shareholders’ Equity </w:t>
            </w:r>
          </w:p>
        </w:tc>
        <w:tc>
          <w:tcPr>
            <w:tcW w:w="979" w:type="dxa"/>
            <w:tcBorders>
              <w:top w:val="nil"/>
              <w:left w:val="nil"/>
              <w:bottom w:val="nil"/>
              <w:right w:val="nil"/>
            </w:tcBorders>
            <w:noWrap/>
          </w:tcPr>
          <w:p w14:paraId="49E0AAF2"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24,335</w:t>
            </w:r>
          </w:p>
        </w:tc>
        <w:tc>
          <w:tcPr>
            <w:tcW w:w="979" w:type="dxa"/>
            <w:tcBorders>
              <w:top w:val="nil"/>
              <w:left w:val="nil"/>
              <w:bottom w:val="nil"/>
              <w:right w:val="nil"/>
            </w:tcBorders>
            <w:noWrap/>
          </w:tcPr>
          <w:p w14:paraId="4B0AF089"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23,619</w:t>
            </w:r>
          </w:p>
        </w:tc>
        <w:tc>
          <w:tcPr>
            <w:tcW w:w="979" w:type="dxa"/>
            <w:tcBorders>
              <w:top w:val="nil"/>
              <w:left w:val="nil"/>
              <w:bottom w:val="nil"/>
              <w:right w:val="nil"/>
            </w:tcBorders>
            <w:noWrap/>
          </w:tcPr>
          <w:p w14:paraId="7DBAA3D0"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w:t>
            </w:r>
          </w:p>
        </w:tc>
      </w:tr>
      <w:tr w:rsidR="00EE487F" w:rsidRPr="00EE487F" w14:paraId="5E059916" w14:textId="77777777" w:rsidTr="00D76815">
        <w:trPr>
          <w:trHeight w:val="20"/>
          <w:tblHeader/>
          <w:jc w:val="center"/>
        </w:trPr>
        <w:tc>
          <w:tcPr>
            <w:tcW w:w="5566" w:type="dxa"/>
            <w:tcBorders>
              <w:top w:val="nil"/>
              <w:left w:val="nil"/>
              <w:bottom w:val="nil"/>
              <w:right w:val="nil"/>
            </w:tcBorders>
            <w:noWrap/>
          </w:tcPr>
          <w:p w14:paraId="270B8FDE" w14:textId="77777777" w:rsidR="00EE487F" w:rsidRPr="00EE487F" w:rsidRDefault="00EE487F" w:rsidP="00EE487F">
            <w:pPr>
              <w:spacing w:line="259" w:lineRule="auto"/>
              <w:rPr>
                <w:rFonts w:ascii="Arial" w:hAnsi="Arial" w:cs="Arial"/>
                <w:lang w:val="en-GB"/>
              </w:rPr>
            </w:pPr>
            <w:r w:rsidRPr="00EE487F">
              <w:rPr>
                <w:rFonts w:ascii="Arial" w:hAnsi="Arial" w:cs="Arial"/>
                <w:lang w:val="en-GB"/>
              </w:rPr>
              <w:t xml:space="preserve">Non-Controlling Interests </w:t>
            </w:r>
          </w:p>
        </w:tc>
        <w:tc>
          <w:tcPr>
            <w:tcW w:w="979" w:type="dxa"/>
            <w:tcBorders>
              <w:top w:val="nil"/>
              <w:left w:val="nil"/>
              <w:bottom w:val="nil"/>
              <w:right w:val="nil"/>
            </w:tcBorders>
            <w:noWrap/>
          </w:tcPr>
          <w:p w14:paraId="019AF4DE"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2</w:t>
            </w:r>
          </w:p>
        </w:tc>
        <w:tc>
          <w:tcPr>
            <w:tcW w:w="979" w:type="dxa"/>
            <w:tcBorders>
              <w:top w:val="nil"/>
              <w:left w:val="nil"/>
              <w:bottom w:val="nil"/>
              <w:right w:val="nil"/>
            </w:tcBorders>
            <w:noWrap/>
          </w:tcPr>
          <w:p w14:paraId="30B0AB7C"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w:t>
            </w:r>
          </w:p>
        </w:tc>
        <w:tc>
          <w:tcPr>
            <w:tcW w:w="979" w:type="dxa"/>
            <w:tcBorders>
              <w:top w:val="nil"/>
              <w:left w:val="nil"/>
              <w:bottom w:val="nil"/>
              <w:right w:val="nil"/>
            </w:tcBorders>
            <w:noWrap/>
          </w:tcPr>
          <w:p w14:paraId="04AF8ECA" w14:textId="77777777" w:rsidR="00EE487F" w:rsidRPr="00EE487F" w:rsidRDefault="00EE487F" w:rsidP="00EE487F">
            <w:pPr>
              <w:spacing w:line="259" w:lineRule="auto"/>
              <w:jc w:val="right"/>
              <w:rPr>
                <w:rFonts w:ascii="Arial" w:hAnsi="Arial" w:cs="Arial"/>
                <w:lang w:val="en-GB"/>
              </w:rPr>
            </w:pPr>
            <w:r w:rsidRPr="00EE487F">
              <w:rPr>
                <w:rFonts w:ascii="Arial" w:hAnsi="Arial" w:cs="Arial"/>
                <w:lang w:val="en-GB"/>
              </w:rPr>
              <w:t>/</w:t>
            </w:r>
          </w:p>
        </w:tc>
      </w:tr>
      <w:tr w:rsidR="00EE487F" w:rsidRPr="00EE487F" w14:paraId="4F227B61" w14:textId="77777777" w:rsidTr="00D76815">
        <w:trPr>
          <w:trHeight w:val="20"/>
          <w:tblHeader/>
          <w:jc w:val="center"/>
        </w:trPr>
        <w:tc>
          <w:tcPr>
            <w:tcW w:w="5566" w:type="dxa"/>
            <w:tcBorders>
              <w:top w:val="nil"/>
              <w:left w:val="nil"/>
              <w:bottom w:val="nil"/>
              <w:right w:val="nil"/>
            </w:tcBorders>
            <w:noWrap/>
          </w:tcPr>
          <w:p w14:paraId="17CEBDF2" w14:textId="77777777" w:rsidR="00EE487F" w:rsidRPr="00EE487F" w:rsidRDefault="00EE487F" w:rsidP="00EE487F">
            <w:pPr>
              <w:spacing w:line="259" w:lineRule="auto"/>
              <w:rPr>
                <w:rFonts w:ascii="Arial" w:hAnsi="Arial" w:cs="Arial"/>
                <w:lang w:val="en-GB"/>
              </w:rPr>
            </w:pPr>
            <w:r w:rsidRPr="00EE487F">
              <w:rPr>
                <w:rFonts w:ascii="Arial" w:hAnsi="Arial" w:cs="Arial"/>
                <w:b/>
                <w:lang w:val="en-GB"/>
              </w:rPr>
              <w:t xml:space="preserve">Total Equity </w:t>
            </w:r>
          </w:p>
        </w:tc>
        <w:tc>
          <w:tcPr>
            <w:tcW w:w="979" w:type="dxa"/>
            <w:tcBorders>
              <w:top w:val="nil"/>
              <w:left w:val="nil"/>
              <w:bottom w:val="nil"/>
              <w:right w:val="nil"/>
            </w:tcBorders>
            <w:noWrap/>
          </w:tcPr>
          <w:p w14:paraId="715999B8" w14:textId="77777777" w:rsidR="00EE487F" w:rsidRPr="00EE487F" w:rsidRDefault="00EE487F" w:rsidP="00EE487F">
            <w:pPr>
              <w:spacing w:line="259" w:lineRule="auto"/>
              <w:jc w:val="right"/>
              <w:rPr>
                <w:rFonts w:ascii="Arial" w:hAnsi="Arial" w:cs="Arial"/>
                <w:b/>
                <w:lang w:val="en-GB"/>
              </w:rPr>
            </w:pPr>
            <w:r w:rsidRPr="00EE487F">
              <w:rPr>
                <w:rFonts w:ascii="Arial" w:hAnsi="Arial" w:cs="Arial"/>
                <w:b/>
                <w:lang w:val="en-GB"/>
              </w:rPr>
              <w:t>24,337</w:t>
            </w:r>
          </w:p>
        </w:tc>
        <w:tc>
          <w:tcPr>
            <w:tcW w:w="979" w:type="dxa"/>
            <w:tcBorders>
              <w:top w:val="nil"/>
              <w:left w:val="nil"/>
              <w:bottom w:val="nil"/>
              <w:right w:val="nil"/>
            </w:tcBorders>
            <w:noWrap/>
          </w:tcPr>
          <w:p w14:paraId="156B1983" w14:textId="77777777" w:rsidR="00EE487F" w:rsidRPr="00EE487F" w:rsidRDefault="00EE487F" w:rsidP="00EE487F">
            <w:pPr>
              <w:spacing w:line="259" w:lineRule="auto"/>
              <w:jc w:val="right"/>
              <w:rPr>
                <w:rFonts w:ascii="Arial" w:hAnsi="Arial" w:cs="Arial"/>
                <w:b/>
                <w:lang w:val="en-GB"/>
              </w:rPr>
            </w:pPr>
            <w:r w:rsidRPr="00EE487F">
              <w:rPr>
                <w:rFonts w:ascii="Arial" w:hAnsi="Arial" w:cs="Arial"/>
                <w:b/>
                <w:lang w:val="en-GB"/>
              </w:rPr>
              <w:t>23,619</w:t>
            </w:r>
          </w:p>
        </w:tc>
        <w:tc>
          <w:tcPr>
            <w:tcW w:w="979" w:type="dxa"/>
            <w:tcBorders>
              <w:top w:val="nil"/>
              <w:left w:val="nil"/>
              <w:bottom w:val="nil"/>
              <w:right w:val="nil"/>
            </w:tcBorders>
            <w:noWrap/>
          </w:tcPr>
          <w:p w14:paraId="48BE7F32" w14:textId="77777777" w:rsidR="00EE487F" w:rsidRPr="00EE487F" w:rsidRDefault="00EE487F" w:rsidP="00EE487F">
            <w:pPr>
              <w:spacing w:line="259" w:lineRule="auto"/>
              <w:jc w:val="right"/>
              <w:rPr>
                <w:rFonts w:ascii="Arial" w:hAnsi="Arial" w:cs="Arial"/>
                <w:b/>
                <w:lang w:val="en-GB"/>
              </w:rPr>
            </w:pPr>
            <w:r w:rsidRPr="00EE487F">
              <w:rPr>
                <w:rFonts w:ascii="Arial" w:hAnsi="Arial" w:cs="Arial"/>
                <w:b/>
                <w:lang w:val="en-GB"/>
              </w:rPr>
              <w:t>24,476</w:t>
            </w:r>
          </w:p>
        </w:tc>
      </w:tr>
      <w:tr w:rsidR="00EE487F" w:rsidRPr="00EE487F" w14:paraId="14D6B33F" w14:textId="77777777" w:rsidTr="00D76815">
        <w:trPr>
          <w:trHeight w:val="20"/>
          <w:tblHeader/>
          <w:jc w:val="center"/>
        </w:trPr>
        <w:tc>
          <w:tcPr>
            <w:tcW w:w="5566" w:type="dxa"/>
            <w:tcBorders>
              <w:top w:val="nil"/>
              <w:left w:val="nil"/>
              <w:bottom w:val="single" w:sz="4" w:space="0" w:color="auto"/>
              <w:right w:val="nil"/>
            </w:tcBorders>
            <w:noWrap/>
          </w:tcPr>
          <w:p w14:paraId="78E40663" w14:textId="77777777" w:rsidR="00EE487F" w:rsidRPr="00EE487F" w:rsidRDefault="00EE487F" w:rsidP="00EE487F">
            <w:pPr>
              <w:spacing w:line="259" w:lineRule="auto"/>
              <w:rPr>
                <w:rFonts w:ascii="Arial" w:hAnsi="Arial" w:cs="Arial"/>
                <w:b/>
                <w:lang w:val="en-GB"/>
              </w:rPr>
            </w:pPr>
            <w:r w:rsidRPr="00EE487F">
              <w:rPr>
                <w:rFonts w:ascii="Arial" w:hAnsi="Arial" w:cs="Arial"/>
                <w:b/>
                <w:lang w:val="en-GB"/>
              </w:rPr>
              <w:t xml:space="preserve">Total Liabilities and Equity </w:t>
            </w:r>
          </w:p>
        </w:tc>
        <w:tc>
          <w:tcPr>
            <w:tcW w:w="979" w:type="dxa"/>
            <w:tcBorders>
              <w:top w:val="nil"/>
              <w:left w:val="nil"/>
              <w:bottom w:val="single" w:sz="4" w:space="0" w:color="auto"/>
              <w:right w:val="nil"/>
            </w:tcBorders>
            <w:noWrap/>
          </w:tcPr>
          <w:p w14:paraId="5ED5EF1C" w14:textId="77777777" w:rsidR="00EE487F" w:rsidRPr="00EE487F" w:rsidRDefault="00EE487F" w:rsidP="00EE487F">
            <w:pPr>
              <w:spacing w:line="259" w:lineRule="auto"/>
              <w:jc w:val="right"/>
              <w:rPr>
                <w:rFonts w:ascii="Arial" w:hAnsi="Arial" w:cs="Arial"/>
                <w:lang w:val="en-GB"/>
              </w:rPr>
            </w:pPr>
            <w:r w:rsidRPr="00EE487F">
              <w:rPr>
                <w:rFonts w:ascii="Arial" w:hAnsi="Arial" w:cs="Arial"/>
                <w:b/>
                <w:lang w:val="en-GB"/>
              </w:rPr>
              <w:t xml:space="preserve">$65,966 </w:t>
            </w:r>
          </w:p>
        </w:tc>
        <w:tc>
          <w:tcPr>
            <w:tcW w:w="979" w:type="dxa"/>
            <w:tcBorders>
              <w:top w:val="nil"/>
              <w:left w:val="nil"/>
              <w:bottom w:val="single" w:sz="4" w:space="0" w:color="auto"/>
              <w:right w:val="nil"/>
            </w:tcBorders>
            <w:noWrap/>
          </w:tcPr>
          <w:p w14:paraId="5042FBC8" w14:textId="77777777" w:rsidR="00EE487F" w:rsidRPr="00EE487F" w:rsidRDefault="00EE487F" w:rsidP="00EE487F">
            <w:pPr>
              <w:spacing w:line="259" w:lineRule="auto"/>
              <w:jc w:val="right"/>
              <w:rPr>
                <w:rFonts w:ascii="Arial" w:hAnsi="Arial" w:cs="Arial"/>
                <w:lang w:val="en-GB"/>
              </w:rPr>
            </w:pPr>
            <w:r w:rsidRPr="00EE487F">
              <w:rPr>
                <w:rFonts w:ascii="Arial" w:hAnsi="Arial" w:cs="Arial"/>
                <w:b/>
                <w:lang w:val="en-GB"/>
              </w:rPr>
              <w:t xml:space="preserve">$63,848 </w:t>
            </w:r>
          </w:p>
        </w:tc>
        <w:tc>
          <w:tcPr>
            <w:tcW w:w="979" w:type="dxa"/>
            <w:tcBorders>
              <w:top w:val="nil"/>
              <w:left w:val="nil"/>
              <w:bottom w:val="single" w:sz="4" w:space="0" w:color="auto"/>
              <w:right w:val="nil"/>
            </w:tcBorders>
            <w:noWrap/>
          </w:tcPr>
          <w:p w14:paraId="34C2161A" w14:textId="77777777" w:rsidR="00EE487F" w:rsidRPr="00EE487F" w:rsidRDefault="00EE487F" w:rsidP="00EE487F">
            <w:pPr>
              <w:spacing w:line="259" w:lineRule="auto"/>
              <w:jc w:val="right"/>
              <w:rPr>
                <w:rFonts w:ascii="Arial" w:hAnsi="Arial" w:cs="Arial"/>
                <w:lang w:val="en-GB"/>
              </w:rPr>
            </w:pPr>
            <w:r w:rsidRPr="00EE487F">
              <w:rPr>
                <w:rFonts w:ascii="Arial" w:hAnsi="Arial" w:cs="Arial"/>
                <w:b/>
                <w:lang w:val="en-GB"/>
              </w:rPr>
              <w:t xml:space="preserve">$63,146 </w:t>
            </w:r>
          </w:p>
        </w:tc>
      </w:tr>
    </w:tbl>
    <w:p w14:paraId="0BA73C86" w14:textId="77777777" w:rsidR="00EE487F" w:rsidRPr="00EE487F" w:rsidRDefault="00EE487F" w:rsidP="0011091B">
      <w:pPr>
        <w:pStyle w:val="FootnoteText1"/>
        <w:rPr>
          <w:lang w:val="en-GB"/>
        </w:rPr>
      </w:pPr>
    </w:p>
    <w:p w14:paraId="1C466180" w14:textId="4E0D79F9" w:rsidR="0032058C" w:rsidRDefault="00EE487F" w:rsidP="0011091B">
      <w:pPr>
        <w:pStyle w:val="FootnoteText1"/>
        <w:rPr>
          <w:lang w:val="en-GB"/>
        </w:rPr>
      </w:pPr>
      <w:r w:rsidRPr="00EE487F">
        <w:rPr>
          <w:lang w:val="en-GB"/>
        </w:rPr>
        <w:t xml:space="preserve">Source: Excerpted from Time Warner Inc., </w:t>
      </w:r>
      <w:r w:rsidRPr="00EE487F">
        <w:rPr>
          <w:i/>
          <w:lang w:val="en-GB"/>
        </w:rPr>
        <w:t>2016 Annual Report</w:t>
      </w:r>
      <w:r w:rsidRPr="00EE487F">
        <w:rPr>
          <w:lang w:val="en-GB"/>
        </w:rPr>
        <w:t>, 60, 2017</w:t>
      </w:r>
      <w:r w:rsidRPr="00EE487F">
        <w:rPr>
          <w:rFonts w:eastAsia="SimSun" w:hint="eastAsia"/>
          <w:lang w:eastAsia="zh-CN"/>
        </w:rPr>
        <w:t xml:space="preserve"> and 2015 </w:t>
      </w:r>
      <w:r w:rsidRPr="00EE487F">
        <w:rPr>
          <w:rFonts w:eastAsia="SimSun"/>
          <w:i/>
          <w:lang w:eastAsia="zh-CN"/>
        </w:rPr>
        <w:t>Annual Report</w:t>
      </w:r>
      <w:r w:rsidRPr="00EE487F">
        <w:rPr>
          <w:rFonts w:eastAsia="SimSun" w:hint="eastAsia"/>
          <w:lang w:eastAsia="zh-CN"/>
        </w:rPr>
        <w:t>,</w:t>
      </w:r>
      <w:r w:rsidRPr="00EE487F">
        <w:rPr>
          <w:rFonts w:eastAsia="SimSun"/>
          <w:lang w:eastAsia="zh-CN"/>
        </w:rPr>
        <w:t xml:space="preserve"> </w:t>
      </w:r>
      <w:r w:rsidRPr="00EE487F">
        <w:rPr>
          <w:rFonts w:eastAsia="SimSun" w:hint="eastAsia"/>
          <w:lang w:eastAsia="zh-CN"/>
        </w:rPr>
        <w:t>71,</w:t>
      </w:r>
      <w:r w:rsidRPr="00EE487F">
        <w:rPr>
          <w:rFonts w:eastAsia="SimSun"/>
          <w:lang w:eastAsia="zh-CN"/>
        </w:rPr>
        <w:t xml:space="preserve"> </w:t>
      </w:r>
      <w:r w:rsidR="003A618C">
        <w:rPr>
          <w:rFonts w:eastAsia="SimSun"/>
          <w:lang w:eastAsia="zh-CN"/>
        </w:rPr>
        <w:t xml:space="preserve">US </w:t>
      </w:r>
      <w:r w:rsidRPr="00EE487F">
        <w:t xml:space="preserve">Securities and Exchange Commission, </w:t>
      </w:r>
      <w:r w:rsidRPr="00EE487F">
        <w:rPr>
          <w:rFonts w:eastAsia="SimSun" w:hint="eastAsia"/>
          <w:lang w:eastAsia="zh-CN"/>
        </w:rPr>
        <w:t>2016</w:t>
      </w:r>
      <w:r w:rsidRPr="00EE487F">
        <w:rPr>
          <w:lang w:val="en-GB"/>
        </w:rPr>
        <w:t xml:space="preserve">, accessed February 8, 2019, </w:t>
      </w:r>
      <w:r w:rsidR="0032058C" w:rsidRPr="0032058C">
        <w:rPr>
          <w:lang w:val="en-GB"/>
        </w:rPr>
        <w:t>http://annualreports.com/HostedData/AnnualReportArchive/t/NYS</w:t>
      </w:r>
    </w:p>
    <w:p w14:paraId="29C9A2D8" w14:textId="09E7CA3E" w:rsidR="00EE487F" w:rsidRPr="00EE487F" w:rsidRDefault="00EE487F" w:rsidP="0011091B">
      <w:pPr>
        <w:pStyle w:val="FootnoteText1"/>
        <w:rPr>
          <w:lang w:val="en-GB"/>
        </w:rPr>
      </w:pPr>
      <w:r w:rsidRPr="00EE487F">
        <w:rPr>
          <w:lang w:val="en-GB"/>
        </w:rPr>
        <w:t>E_TWX_2016.pdf.</w:t>
      </w:r>
      <w:r w:rsidRPr="00EE487F">
        <w:rPr>
          <w:rFonts w:eastAsia="SimSun" w:hint="eastAsia"/>
          <w:lang w:eastAsia="zh-CN"/>
        </w:rPr>
        <w:t xml:space="preserve"> and </w:t>
      </w:r>
      <w:r w:rsidRPr="00EE487F">
        <w:rPr>
          <w:rFonts w:hint="eastAsia"/>
          <w:lang w:val="en-GB"/>
        </w:rPr>
        <w:t>www.sec.gov/Archives/edgar/data/1105705/000119312516477965/d280491d10k.htm#tx280491_3</w:t>
      </w:r>
      <w:r w:rsidRPr="00EE487F">
        <w:rPr>
          <w:lang w:val="en-GB"/>
        </w:rPr>
        <w:t>.</w:t>
      </w:r>
    </w:p>
    <w:p w14:paraId="3778FADB" w14:textId="77777777" w:rsidR="00EE487F" w:rsidRPr="00EE487F" w:rsidRDefault="00EE487F" w:rsidP="00B77C4D">
      <w:pPr>
        <w:pStyle w:val="BodyTextMain"/>
        <w:rPr>
          <w:lang w:val="en-GB"/>
        </w:rPr>
      </w:pPr>
    </w:p>
    <w:p w14:paraId="373C7ADA" w14:textId="77777777" w:rsidR="00EE487F" w:rsidRPr="00EE487F" w:rsidRDefault="00EE487F" w:rsidP="00B77C4D">
      <w:pPr>
        <w:pStyle w:val="BodyTextMain"/>
        <w:rPr>
          <w:lang w:val="en-GB"/>
        </w:rPr>
      </w:pPr>
      <w:r w:rsidRPr="00EE487F">
        <w:rPr>
          <w:lang w:val="en-GB"/>
        </w:rPr>
        <w:br w:type="page"/>
      </w:r>
    </w:p>
    <w:p w14:paraId="2641C820" w14:textId="77777777" w:rsidR="00EE487F" w:rsidRPr="00EE487F" w:rsidRDefault="00EE487F" w:rsidP="00B77C4D">
      <w:pPr>
        <w:pStyle w:val="Casehead1"/>
        <w:jc w:val="center"/>
        <w:rPr>
          <w:lang w:val="en-GB"/>
        </w:rPr>
      </w:pPr>
      <w:r w:rsidRPr="00EE487F">
        <w:rPr>
          <w:lang w:val="en-GB"/>
        </w:rPr>
        <w:lastRenderedPageBreak/>
        <w:t>Exhibit 4: Time Warner Inc., Consolidated Statement of Operations</w:t>
      </w:r>
    </w:p>
    <w:p w14:paraId="44A73FAD" w14:textId="77777777" w:rsidR="00EE487F" w:rsidRPr="00EE487F" w:rsidRDefault="00EE487F" w:rsidP="00B77C4D">
      <w:pPr>
        <w:pStyle w:val="BodyTextMain"/>
        <w:rPr>
          <w:lang w:val="en-GB"/>
        </w:rPr>
      </w:pPr>
    </w:p>
    <w:tbl>
      <w:tblPr>
        <w:tblW w:w="8730" w:type="dxa"/>
        <w:jc w:val="center"/>
        <w:tblLayout w:type="fixed"/>
        <w:tblLook w:val="04A0" w:firstRow="1" w:lastRow="0" w:firstColumn="1" w:lastColumn="0" w:noHBand="0" w:noVBand="1"/>
        <w:tblCaption w:val="EXHIBIT 4"/>
        <w:tblDescription w:val="TIME WARNER INC., CONSOLIDATED STATEMENT OF OPERATIONS"/>
      </w:tblPr>
      <w:tblGrid>
        <w:gridCol w:w="5367"/>
        <w:gridCol w:w="393"/>
        <w:gridCol w:w="667"/>
        <w:gridCol w:w="53"/>
        <w:gridCol w:w="1056"/>
        <w:gridCol w:w="69"/>
        <w:gridCol w:w="1091"/>
        <w:gridCol w:w="34"/>
      </w:tblGrid>
      <w:tr w:rsidR="00EE487F" w:rsidRPr="00EE487F" w14:paraId="1D83F977" w14:textId="77777777" w:rsidTr="00EE487F">
        <w:trPr>
          <w:gridAfter w:val="1"/>
          <w:wAfter w:w="34" w:type="dxa"/>
          <w:trHeight w:val="144"/>
          <w:jc w:val="center"/>
        </w:trPr>
        <w:tc>
          <w:tcPr>
            <w:tcW w:w="5367" w:type="dxa"/>
            <w:tcBorders>
              <w:top w:val="single" w:sz="4" w:space="0" w:color="auto"/>
              <w:left w:val="nil"/>
              <w:bottom w:val="single" w:sz="4" w:space="0" w:color="auto"/>
              <w:right w:val="nil"/>
            </w:tcBorders>
            <w:shd w:val="clear" w:color="auto" w:fill="auto"/>
            <w:noWrap/>
            <w:vAlign w:val="center"/>
          </w:tcPr>
          <w:p w14:paraId="5F42B7B2" w14:textId="77777777" w:rsidR="00EE487F" w:rsidRPr="00EE487F" w:rsidRDefault="00EE487F" w:rsidP="00EE487F">
            <w:pPr>
              <w:rPr>
                <w:rFonts w:ascii="Arial" w:hAnsi="Arial" w:cs="Arial"/>
                <w:color w:val="000000"/>
                <w:lang w:val="en-GB"/>
              </w:rPr>
            </w:pPr>
            <w:r w:rsidRPr="00EE487F">
              <w:rPr>
                <w:rFonts w:ascii="Arial" w:hAnsi="Arial" w:cs="Arial"/>
                <w:lang w:val="en-GB"/>
              </w:rPr>
              <w:t>In US$ millions, except per-share amounts</w:t>
            </w:r>
          </w:p>
        </w:tc>
        <w:tc>
          <w:tcPr>
            <w:tcW w:w="1060" w:type="dxa"/>
            <w:gridSpan w:val="2"/>
            <w:tcBorders>
              <w:top w:val="single" w:sz="4" w:space="0" w:color="auto"/>
              <w:left w:val="nil"/>
              <w:bottom w:val="single" w:sz="4" w:space="0" w:color="auto"/>
              <w:right w:val="nil"/>
            </w:tcBorders>
            <w:shd w:val="clear" w:color="auto" w:fill="auto"/>
            <w:noWrap/>
            <w:vAlign w:val="center"/>
          </w:tcPr>
          <w:p w14:paraId="1D8E1E6E" w14:textId="77777777" w:rsidR="00EE487F" w:rsidRPr="00EE487F" w:rsidRDefault="00EE487F" w:rsidP="00EE487F">
            <w:pPr>
              <w:ind w:leftChars="-898" w:left="-75" w:hangingChars="857" w:hanging="1721"/>
              <w:jc w:val="right"/>
              <w:rPr>
                <w:rFonts w:ascii="Arial" w:hAnsi="Arial" w:cs="Arial"/>
                <w:b/>
                <w:color w:val="000000"/>
                <w:lang w:val="en-GB"/>
              </w:rPr>
            </w:pPr>
            <w:r w:rsidRPr="00EE487F">
              <w:rPr>
                <w:rFonts w:ascii="Arial" w:hAnsi="Arial" w:cs="Arial"/>
                <w:b/>
                <w:color w:val="000000"/>
                <w:lang w:val="en-GB"/>
              </w:rPr>
              <w:t>2016</w:t>
            </w:r>
          </w:p>
        </w:tc>
        <w:tc>
          <w:tcPr>
            <w:tcW w:w="1109" w:type="dxa"/>
            <w:gridSpan w:val="2"/>
            <w:tcBorders>
              <w:top w:val="single" w:sz="4" w:space="0" w:color="auto"/>
              <w:left w:val="nil"/>
              <w:bottom w:val="single" w:sz="4" w:space="0" w:color="auto"/>
              <w:right w:val="nil"/>
            </w:tcBorders>
            <w:shd w:val="clear" w:color="auto" w:fill="auto"/>
            <w:noWrap/>
            <w:vAlign w:val="center"/>
          </w:tcPr>
          <w:p w14:paraId="7032119D" w14:textId="77777777" w:rsidR="00EE487F" w:rsidRPr="00EE487F" w:rsidRDefault="00EE487F" w:rsidP="00EE487F">
            <w:pPr>
              <w:jc w:val="right"/>
              <w:rPr>
                <w:rFonts w:ascii="Arial" w:hAnsi="Arial" w:cs="Arial"/>
                <w:b/>
                <w:color w:val="000000"/>
                <w:lang w:val="en-GB"/>
              </w:rPr>
            </w:pPr>
            <w:r w:rsidRPr="00EE487F">
              <w:rPr>
                <w:rFonts w:ascii="Arial" w:hAnsi="Arial" w:cs="Arial"/>
                <w:b/>
                <w:color w:val="000000"/>
                <w:lang w:val="en-GB"/>
              </w:rPr>
              <w:t>2015</w:t>
            </w:r>
          </w:p>
        </w:tc>
        <w:tc>
          <w:tcPr>
            <w:tcW w:w="1160" w:type="dxa"/>
            <w:gridSpan w:val="2"/>
            <w:tcBorders>
              <w:top w:val="single" w:sz="4" w:space="0" w:color="auto"/>
              <w:left w:val="nil"/>
              <w:bottom w:val="single" w:sz="4" w:space="0" w:color="auto"/>
              <w:right w:val="nil"/>
            </w:tcBorders>
            <w:shd w:val="clear" w:color="auto" w:fill="auto"/>
            <w:noWrap/>
            <w:vAlign w:val="center"/>
          </w:tcPr>
          <w:p w14:paraId="4BDAA1F4" w14:textId="77777777" w:rsidR="00EE487F" w:rsidRPr="00EE487F" w:rsidRDefault="00EE487F" w:rsidP="00EE487F">
            <w:pPr>
              <w:jc w:val="right"/>
              <w:rPr>
                <w:rFonts w:ascii="Arial" w:hAnsi="Arial" w:cs="Arial"/>
                <w:b/>
                <w:color w:val="000000"/>
                <w:lang w:val="en-GB"/>
              </w:rPr>
            </w:pPr>
            <w:r w:rsidRPr="00EE487F">
              <w:rPr>
                <w:rFonts w:ascii="Arial" w:hAnsi="Arial" w:cs="Arial"/>
                <w:b/>
                <w:color w:val="000000"/>
                <w:lang w:val="en-GB"/>
              </w:rPr>
              <w:t>2014</w:t>
            </w:r>
          </w:p>
        </w:tc>
      </w:tr>
      <w:tr w:rsidR="00EE487F" w:rsidRPr="00EE487F" w14:paraId="6D36B94F" w14:textId="77777777" w:rsidTr="00EE487F">
        <w:trPr>
          <w:gridAfter w:val="1"/>
          <w:wAfter w:w="34" w:type="dxa"/>
          <w:trHeight w:val="144"/>
          <w:jc w:val="center"/>
        </w:trPr>
        <w:tc>
          <w:tcPr>
            <w:tcW w:w="5367" w:type="dxa"/>
            <w:tcBorders>
              <w:top w:val="single" w:sz="4" w:space="0" w:color="auto"/>
              <w:left w:val="nil"/>
              <w:bottom w:val="nil"/>
              <w:right w:val="nil"/>
            </w:tcBorders>
            <w:shd w:val="clear" w:color="auto" w:fill="auto"/>
            <w:noWrap/>
            <w:vAlign w:val="center"/>
          </w:tcPr>
          <w:p w14:paraId="6B060C51"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Revenues</w:t>
            </w:r>
          </w:p>
        </w:tc>
        <w:tc>
          <w:tcPr>
            <w:tcW w:w="1060" w:type="dxa"/>
            <w:gridSpan w:val="2"/>
            <w:tcBorders>
              <w:top w:val="single" w:sz="4" w:space="0" w:color="auto"/>
              <w:left w:val="nil"/>
              <w:bottom w:val="nil"/>
              <w:right w:val="nil"/>
            </w:tcBorders>
            <w:shd w:val="clear" w:color="auto" w:fill="auto"/>
            <w:noWrap/>
            <w:vAlign w:val="center"/>
          </w:tcPr>
          <w:p w14:paraId="6213613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 xml:space="preserve">29,318 </w:t>
            </w:r>
          </w:p>
        </w:tc>
        <w:tc>
          <w:tcPr>
            <w:tcW w:w="1109" w:type="dxa"/>
            <w:gridSpan w:val="2"/>
            <w:tcBorders>
              <w:top w:val="single" w:sz="4" w:space="0" w:color="auto"/>
              <w:left w:val="nil"/>
              <w:bottom w:val="nil"/>
              <w:right w:val="nil"/>
            </w:tcBorders>
            <w:shd w:val="clear" w:color="auto" w:fill="auto"/>
            <w:noWrap/>
            <w:vAlign w:val="center"/>
          </w:tcPr>
          <w:p w14:paraId="1C8509BE"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 xml:space="preserve">28,118 </w:t>
            </w:r>
          </w:p>
        </w:tc>
        <w:tc>
          <w:tcPr>
            <w:tcW w:w="1160" w:type="dxa"/>
            <w:gridSpan w:val="2"/>
            <w:tcBorders>
              <w:top w:val="single" w:sz="4" w:space="0" w:color="auto"/>
              <w:left w:val="nil"/>
              <w:bottom w:val="nil"/>
              <w:right w:val="nil"/>
            </w:tcBorders>
            <w:shd w:val="clear" w:color="auto" w:fill="auto"/>
            <w:noWrap/>
            <w:vAlign w:val="center"/>
          </w:tcPr>
          <w:p w14:paraId="36D38F8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 xml:space="preserve">27,359 </w:t>
            </w:r>
          </w:p>
        </w:tc>
      </w:tr>
      <w:tr w:rsidR="00EE487F" w:rsidRPr="00EE487F" w14:paraId="1C4ABC17"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67700887"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Costs of Revenues</w:t>
            </w:r>
          </w:p>
        </w:tc>
        <w:tc>
          <w:tcPr>
            <w:tcW w:w="1060" w:type="dxa"/>
            <w:gridSpan w:val="2"/>
            <w:tcBorders>
              <w:top w:val="nil"/>
              <w:left w:val="nil"/>
              <w:bottom w:val="nil"/>
              <w:right w:val="nil"/>
            </w:tcBorders>
            <w:shd w:val="clear" w:color="auto" w:fill="auto"/>
            <w:noWrap/>
            <w:vAlign w:val="center"/>
          </w:tcPr>
          <w:p w14:paraId="5004148F"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(16,376)</w:t>
            </w:r>
          </w:p>
        </w:tc>
        <w:tc>
          <w:tcPr>
            <w:tcW w:w="1109" w:type="dxa"/>
            <w:gridSpan w:val="2"/>
            <w:tcBorders>
              <w:top w:val="nil"/>
              <w:left w:val="nil"/>
              <w:bottom w:val="nil"/>
              <w:right w:val="nil"/>
            </w:tcBorders>
            <w:shd w:val="clear" w:color="auto" w:fill="auto"/>
            <w:noWrap/>
            <w:vAlign w:val="center"/>
          </w:tcPr>
          <w:p w14:paraId="479592E8"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(16,154)</w:t>
            </w:r>
          </w:p>
        </w:tc>
        <w:tc>
          <w:tcPr>
            <w:tcW w:w="1160" w:type="dxa"/>
            <w:gridSpan w:val="2"/>
            <w:tcBorders>
              <w:top w:val="nil"/>
              <w:left w:val="nil"/>
              <w:bottom w:val="nil"/>
              <w:right w:val="nil"/>
            </w:tcBorders>
            <w:shd w:val="clear" w:color="auto" w:fill="auto"/>
            <w:noWrap/>
            <w:vAlign w:val="center"/>
          </w:tcPr>
          <w:p w14:paraId="5031A9C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(15,875)</w:t>
            </w:r>
          </w:p>
        </w:tc>
      </w:tr>
      <w:tr w:rsidR="00EE487F" w:rsidRPr="00EE487F" w14:paraId="55B605F4"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7A1E89CE"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Selling, General, and Administrative</w:t>
            </w:r>
          </w:p>
        </w:tc>
        <w:tc>
          <w:tcPr>
            <w:tcW w:w="1060" w:type="dxa"/>
            <w:gridSpan w:val="2"/>
            <w:tcBorders>
              <w:top w:val="nil"/>
              <w:left w:val="nil"/>
              <w:bottom w:val="nil"/>
              <w:right w:val="nil"/>
            </w:tcBorders>
            <w:shd w:val="clear" w:color="auto" w:fill="auto"/>
            <w:noWrap/>
            <w:vAlign w:val="center"/>
          </w:tcPr>
          <w:p w14:paraId="0099A0A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(5,123)</w:t>
            </w:r>
          </w:p>
        </w:tc>
        <w:tc>
          <w:tcPr>
            <w:tcW w:w="1109" w:type="dxa"/>
            <w:gridSpan w:val="2"/>
            <w:tcBorders>
              <w:top w:val="nil"/>
              <w:left w:val="nil"/>
              <w:bottom w:val="nil"/>
              <w:right w:val="nil"/>
            </w:tcBorders>
            <w:shd w:val="clear" w:color="auto" w:fill="auto"/>
            <w:noWrap/>
            <w:vAlign w:val="center"/>
          </w:tcPr>
          <w:p w14:paraId="20B58B47"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(4,824)</w:t>
            </w:r>
          </w:p>
        </w:tc>
        <w:tc>
          <w:tcPr>
            <w:tcW w:w="1160" w:type="dxa"/>
            <w:gridSpan w:val="2"/>
            <w:tcBorders>
              <w:top w:val="nil"/>
              <w:left w:val="nil"/>
              <w:bottom w:val="nil"/>
              <w:right w:val="nil"/>
            </w:tcBorders>
            <w:shd w:val="clear" w:color="auto" w:fill="auto"/>
            <w:noWrap/>
            <w:vAlign w:val="center"/>
          </w:tcPr>
          <w:p w14:paraId="6FACDD63"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(5,190)</w:t>
            </w:r>
          </w:p>
        </w:tc>
      </w:tr>
      <w:tr w:rsidR="00EE487F" w:rsidRPr="00EE487F" w14:paraId="6F9AB4D9"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430F41EC"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Amortization of Intangible Assets</w:t>
            </w:r>
          </w:p>
        </w:tc>
        <w:tc>
          <w:tcPr>
            <w:tcW w:w="1060" w:type="dxa"/>
            <w:gridSpan w:val="2"/>
            <w:tcBorders>
              <w:top w:val="nil"/>
              <w:left w:val="nil"/>
              <w:bottom w:val="nil"/>
              <w:right w:val="nil"/>
            </w:tcBorders>
            <w:shd w:val="clear" w:color="auto" w:fill="auto"/>
            <w:noWrap/>
            <w:vAlign w:val="center"/>
          </w:tcPr>
          <w:p w14:paraId="3B60E43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(190)</w:t>
            </w:r>
          </w:p>
        </w:tc>
        <w:tc>
          <w:tcPr>
            <w:tcW w:w="1109" w:type="dxa"/>
            <w:gridSpan w:val="2"/>
            <w:tcBorders>
              <w:top w:val="nil"/>
              <w:left w:val="nil"/>
              <w:bottom w:val="nil"/>
              <w:right w:val="nil"/>
            </w:tcBorders>
            <w:shd w:val="clear" w:color="auto" w:fill="auto"/>
            <w:noWrap/>
            <w:vAlign w:val="center"/>
          </w:tcPr>
          <w:p w14:paraId="0F20A20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(189)</w:t>
            </w:r>
          </w:p>
        </w:tc>
        <w:tc>
          <w:tcPr>
            <w:tcW w:w="1160" w:type="dxa"/>
            <w:gridSpan w:val="2"/>
            <w:tcBorders>
              <w:top w:val="nil"/>
              <w:left w:val="nil"/>
              <w:bottom w:val="nil"/>
              <w:right w:val="nil"/>
            </w:tcBorders>
            <w:shd w:val="clear" w:color="auto" w:fill="auto"/>
            <w:noWrap/>
            <w:vAlign w:val="center"/>
          </w:tcPr>
          <w:p w14:paraId="71F56E70"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(202)</w:t>
            </w:r>
          </w:p>
        </w:tc>
      </w:tr>
      <w:tr w:rsidR="00EE487F" w:rsidRPr="00EE487F" w14:paraId="1B2C4032"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1D18D3E8"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Restructuring and Severance Costs</w:t>
            </w:r>
          </w:p>
        </w:tc>
        <w:tc>
          <w:tcPr>
            <w:tcW w:w="1060" w:type="dxa"/>
            <w:gridSpan w:val="2"/>
            <w:tcBorders>
              <w:top w:val="nil"/>
              <w:left w:val="nil"/>
              <w:bottom w:val="nil"/>
              <w:right w:val="nil"/>
            </w:tcBorders>
            <w:shd w:val="clear" w:color="auto" w:fill="auto"/>
            <w:noWrap/>
            <w:vAlign w:val="center"/>
          </w:tcPr>
          <w:p w14:paraId="5C86347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(117)</w:t>
            </w:r>
          </w:p>
        </w:tc>
        <w:tc>
          <w:tcPr>
            <w:tcW w:w="1109" w:type="dxa"/>
            <w:gridSpan w:val="2"/>
            <w:tcBorders>
              <w:top w:val="nil"/>
              <w:left w:val="nil"/>
              <w:bottom w:val="nil"/>
              <w:right w:val="nil"/>
            </w:tcBorders>
            <w:shd w:val="clear" w:color="auto" w:fill="auto"/>
            <w:noWrap/>
            <w:vAlign w:val="center"/>
          </w:tcPr>
          <w:p w14:paraId="239864A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(60)</w:t>
            </w:r>
          </w:p>
        </w:tc>
        <w:tc>
          <w:tcPr>
            <w:tcW w:w="1160" w:type="dxa"/>
            <w:gridSpan w:val="2"/>
            <w:tcBorders>
              <w:top w:val="nil"/>
              <w:left w:val="nil"/>
              <w:bottom w:val="nil"/>
              <w:right w:val="nil"/>
            </w:tcBorders>
            <w:shd w:val="clear" w:color="auto" w:fill="auto"/>
            <w:noWrap/>
            <w:vAlign w:val="center"/>
          </w:tcPr>
          <w:p w14:paraId="2859E17D"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(512)</w:t>
            </w:r>
          </w:p>
        </w:tc>
      </w:tr>
      <w:tr w:rsidR="00EE487F" w:rsidRPr="00EE487F" w14:paraId="11061DCE"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0BA77218"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Asset Impairments</w:t>
            </w:r>
          </w:p>
        </w:tc>
        <w:tc>
          <w:tcPr>
            <w:tcW w:w="1060" w:type="dxa"/>
            <w:gridSpan w:val="2"/>
            <w:tcBorders>
              <w:top w:val="nil"/>
              <w:left w:val="nil"/>
              <w:bottom w:val="nil"/>
              <w:right w:val="nil"/>
            </w:tcBorders>
            <w:shd w:val="clear" w:color="auto" w:fill="auto"/>
            <w:noWrap/>
            <w:vAlign w:val="center"/>
          </w:tcPr>
          <w:p w14:paraId="31D0B17A"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(43)</w:t>
            </w:r>
          </w:p>
        </w:tc>
        <w:tc>
          <w:tcPr>
            <w:tcW w:w="1109" w:type="dxa"/>
            <w:gridSpan w:val="2"/>
            <w:tcBorders>
              <w:top w:val="nil"/>
              <w:left w:val="nil"/>
              <w:bottom w:val="nil"/>
              <w:right w:val="nil"/>
            </w:tcBorders>
            <w:shd w:val="clear" w:color="auto" w:fill="auto"/>
            <w:noWrap/>
            <w:vAlign w:val="center"/>
          </w:tcPr>
          <w:p w14:paraId="2E3555F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(25)</w:t>
            </w:r>
          </w:p>
        </w:tc>
        <w:tc>
          <w:tcPr>
            <w:tcW w:w="1160" w:type="dxa"/>
            <w:gridSpan w:val="2"/>
            <w:tcBorders>
              <w:top w:val="nil"/>
              <w:left w:val="nil"/>
              <w:bottom w:val="nil"/>
              <w:right w:val="nil"/>
            </w:tcBorders>
            <w:shd w:val="clear" w:color="auto" w:fill="auto"/>
            <w:noWrap/>
            <w:vAlign w:val="center"/>
          </w:tcPr>
          <w:p w14:paraId="4F30750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(69)</w:t>
            </w:r>
          </w:p>
        </w:tc>
      </w:tr>
      <w:tr w:rsidR="00EE487F" w:rsidRPr="00EE487F" w14:paraId="4292BC59"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32B22B46"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Gain (Loss) on Operating Assets, Net</w:t>
            </w:r>
          </w:p>
        </w:tc>
        <w:tc>
          <w:tcPr>
            <w:tcW w:w="1060" w:type="dxa"/>
            <w:gridSpan w:val="2"/>
            <w:tcBorders>
              <w:top w:val="nil"/>
              <w:left w:val="nil"/>
              <w:bottom w:val="nil"/>
              <w:right w:val="nil"/>
            </w:tcBorders>
            <w:shd w:val="clear" w:color="auto" w:fill="auto"/>
            <w:noWrap/>
            <w:vAlign w:val="center"/>
          </w:tcPr>
          <w:p w14:paraId="7832E22F"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78</w:t>
            </w:r>
          </w:p>
        </w:tc>
        <w:tc>
          <w:tcPr>
            <w:tcW w:w="1109" w:type="dxa"/>
            <w:gridSpan w:val="2"/>
            <w:tcBorders>
              <w:top w:val="nil"/>
              <w:left w:val="nil"/>
              <w:bottom w:val="nil"/>
              <w:right w:val="nil"/>
            </w:tcBorders>
            <w:shd w:val="clear" w:color="auto" w:fill="auto"/>
            <w:noWrap/>
            <w:vAlign w:val="center"/>
          </w:tcPr>
          <w:p w14:paraId="531C2966"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w:t>
            </w:r>
          </w:p>
        </w:tc>
        <w:tc>
          <w:tcPr>
            <w:tcW w:w="1160" w:type="dxa"/>
            <w:gridSpan w:val="2"/>
            <w:tcBorders>
              <w:top w:val="nil"/>
              <w:left w:val="nil"/>
              <w:bottom w:val="nil"/>
              <w:right w:val="nil"/>
            </w:tcBorders>
            <w:shd w:val="clear" w:color="auto" w:fill="auto"/>
            <w:noWrap/>
            <w:vAlign w:val="center"/>
          </w:tcPr>
          <w:p w14:paraId="7A6CFF80"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464</w:t>
            </w:r>
          </w:p>
        </w:tc>
      </w:tr>
      <w:tr w:rsidR="00EE487F" w:rsidRPr="00EE487F" w14:paraId="01097B0D"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12507D13"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Operating Income</w:t>
            </w:r>
          </w:p>
        </w:tc>
        <w:tc>
          <w:tcPr>
            <w:tcW w:w="1060" w:type="dxa"/>
            <w:gridSpan w:val="2"/>
            <w:tcBorders>
              <w:top w:val="nil"/>
              <w:left w:val="nil"/>
              <w:bottom w:val="nil"/>
              <w:right w:val="nil"/>
            </w:tcBorders>
            <w:shd w:val="clear" w:color="auto" w:fill="auto"/>
            <w:noWrap/>
            <w:vAlign w:val="center"/>
          </w:tcPr>
          <w:p w14:paraId="34DAF41B"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7,547</w:t>
            </w:r>
          </w:p>
        </w:tc>
        <w:tc>
          <w:tcPr>
            <w:tcW w:w="1109" w:type="dxa"/>
            <w:gridSpan w:val="2"/>
            <w:tcBorders>
              <w:top w:val="nil"/>
              <w:left w:val="nil"/>
              <w:bottom w:val="nil"/>
              <w:right w:val="nil"/>
            </w:tcBorders>
            <w:shd w:val="clear" w:color="auto" w:fill="auto"/>
            <w:noWrap/>
            <w:vAlign w:val="center"/>
          </w:tcPr>
          <w:p w14:paraId="4ED37E1C"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6,865</w:t>
            </w:r>
          </w:p>
        </w:tc>
        <w:tc>
          <w:tcPr>
            <w:tcW w:w="1160" w:type="dxa"/>
            <w:gridSpan w:val="2"/>
            <w:tcBorders>
              <w:top w:val="nil"/>
              <w:left w:val="nil"/>
              <w:bottom w:val="nil"/>
              <w:right w:val="nil"/>
            </w:tcBorders>
            <w:shd w:val="clear" w:color="auto" w:fill="auto"/>
            <w:noWrap/>
            <w:vAlign w:val="center"/>
          </w:tcPr>
          <w:p w14:paraId="2299CAE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5,975</w:t>
            </w:r>
          </w:p>
        </w:tc>
      </w:tr>
      <w:tr w:rsidR="00EE487F" w:rsidRPr="00EE487F" w14:paraId="426BF523"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63C25C9D"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Interest Expense, Net</w:t>
            </w:r>
          </w:p>
        </w:tc>
        <w:tc>
          <w:tcPr>
            <w:tcW w:w="1060" w:type="dxa"/>
            <w:gridSpan w:val="2"/>
            <w:tcBorders>
              <w:top w:val="nil"/>
              <w:left w:val="nil"/>
              <w:bottom w:val="nil"/>
              <w:right w:val="nil"/>
            </w:tcBorders>
            <w:shd w:val="clear" w:color="auto" w:fill="auto"/>
            <w:noWrap/>
            <w:vAlign w:val="center"/>
          </w:tcPr>
          <w:p w14:paraId="3267EA66"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(1,161)</w:t>
            </w:r>
          </w:p>
        </w:tc>
        <w:tc>
          <w:tcPr>
            <w:tcW w:w="1109" w:type="dxa"/>
            <w:gridSpan w:val="2"/>
            <w:tcBorders>
              <w:top w:val="nil"/>
              <w:left w:val="nil"/>
              <w:bottom w:val="nil"/>
              <w:right w:val="nil"/>
            </w:tcBorders>
            <w:shd w:val="clear" w:color="auto" w:fill="auto"/>
            <w:noWrap/>
            <w:vAlign w:val="center"/>
          </w:tcPr>
          <w:p w14:paraId="5798178E"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(1,163)</w:t>
            </w:r>
          </w:p>
        </w:tc>
        <w:tc>
          <w:tcPr>
            <w:tcW w:w="1160" w:type="dxa"/>
            <w:gridSpan w:val="2"/>
            <w:tcBorders>
              <w:top w:val="nil"/>
              <w:left w:val="nil"/>
              <w:bottom w:val="nil"/>
              <w:right w:val="nil"/>
            </w:tcBorders>
            <w:shd w:val="clear" w:color="auto" w:fill="auto"/>
            <w:noWrap/>
            <w:vAlign w:val="center"/>
          </w:tcPr>
          <w:p w14:paraId="00CC8DE3"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(1,169)</w:t>
            </w:r>
          </w:p>
        </w:tc>
      </w:tr>
      <w:tr w:rsidR="00EE487F" w:rsidRPr="00EE487F" w14:paraId="640391E6"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42A817FB"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Other Loss, Net</w:t>
            </w:r>
          </w:p>
        </w:tc>
        <w:tc>
          <w:tcPr>
            <w:tcW w:w="1060" w:type="dxa"/>
            <w:gridSpan w:val="2"/>
            <w:tcBorders>
              <w:top w:val="nil"/>
              <w:left w:val="nil"/>
              <w:bottom w:val="nil"/>
              <w:right w:val="nil"/>
            </w:tcBorders>
            <w:shd w:val="clear" w:color="auto" w:fill="auto"/>
            <w:noWrap/>
            <w:vAlign w:val="center"/>
          </w:tcPr>
          <w:p w14:paraId="45ACDC70"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(1,191)</w:t>
            </w:r>
          </w:p>
        </w:tc>
        <w:tc>
          <w:tcPr>
            <w:tcW w:w="1109" w:type="dxa"/>
            <w:gridSpan w:val="2"/>
            <w:tcBorders>
              <w:top w:val="nil"/>
              <w:left w:val="nil"/>
              <w:bottom w:val="nil"/>
              <w:right w:val="nil"/>
            </w:tcBorders>
            <w:shd w:val="clear" w:color="auto" w:fill="auto"/>
            <w:noWrap/>
            <w:vAlign w:val="center"/>
          </w:tcPr>
          <w:p w14:paraId="13918FE1"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(256)</w:t>
            </w:r>
          </w:p>
        </w:tc>
        <w:tc>
          <w:tcPr>
            <w:tcW w:w="1160" w:type="dxa"/>
            <w:gridSpan w:val="2"/>
            <w:tcBorders>
              <w:top w:val="nil"/>
              <w:left w:val="nil"/>
              <w:bottom w:val="nil"/>
              <w:right w:val="nil"/>
            </w:tcBorders>
            <w:shd w:val="clear" w:color="auto" w:fill="auto"/>
            <w:noWrap/>
            <w:vAlign w:val="center"/>
          </w:tcPr>
          <w:p w14:paraId="52496063"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(127)</w:t>
            </w:r>
          </w:p>
        </w:tc>
      </w:tr>
      <w:tr w:rsidR="00EE487F" w:rsidRPr="00EE487F" w14:paraId="77BD19FC"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78011FE2" w14:textId="69D0F17B" w:rsidR="00EE487F" w:rsidRPr="00EE487F" w:rsidRDefault="00EE487F" w:rsidP="00EE487F">
            <w:pPr>
              <w:rPr>
                <w:rFonts w:ascii="Arial" w:hAnsi="Arial" w:cs="Arial"/>
                <w:color w:val="000000"/>
                <w:lang w:val="en-GB"/>
              </w:rPr>
            </w:pPr>
            <w:r w:rsidRPr="00EE487F">
              <w:rPr>
                <w:rFonts w:ascii="Arial" w:hAnsi="Arial" w:cs="Arial"/>
                <w:color w:val="000000"/>
                <w:lang w:val="en-GB"/>
              </w:rPr>
              <w:t>Income from Continuing Operations before Income Taxes</w:t>
            </w:r>
          </w:p>
        </w:tc>
        <w:tc>
          <w:tcPr>
            <w:tcW w:w="1060" w:type="dxa"/>
            <w:gridSpan w:val="2"/>
            <w:tcBorders>
              <w:top w:val="nil"/>
              <w:left w:val="nil"/>
              <w:bottom w:val="nil"/>
              <w:right w:val="nil"/>
            </w:tcBorders>
            <w:shd w:val="clear" w:color="auto" w:fill="auto"/>
            <w:noWrap/>
            <w:vAlign w:val="center"/>
          </w:tcPr>
          <w:p w14:paraId="5E31208E"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5,195</w:t>
            </w:r>
          </w:p>
        </w:tc>
        <w:tc>
          <w:tcPr>
            <w:tcW w:w="1109" w:type="dxa"/>
            <w:gridSpan w:val="2"/>
            <w:tcBorders>
              <w:top w:val="nil"/>
              <w:left w:val="nil"/>
              <w:bottom w:val="nil"/>
              <w:right w:val="nil"/>
            </w:tcBorders>
            <w:shd w:val="clear" w:color="auto" w:fill="auto"/>
            <w:noWrap/>
            <w:vAlign w:val="center"/>
          </w:tcPr>
          <w:p w14:paraId="1DBAC061"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5,446</w:t>
            </w:r>
          </w:p>
        </w:tc>
        <w:tc>
          <w:tcPr>
            <w:tcW w:w="1160" w:type="dxa"/>
            <w:gridSpan w:val="2"/>
            <w:tcBorders>
              <w:top w:val="nil"/>
              <w:left w:val="nil"/>
              <w:bottom w:val="nil"/>
              <w:right w:val="nil"/>
            </w:tcBorders>
            <w:shd w:val="clear" w:color="auto" w:fill="auto"/>
            <w:noWrap/>
            <w:vAlign w:val="center"/>
          </w:tcPr>
          <w:p w14:paraId="2073061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4,679</w:t>
            </w:r>
          </w:p>
        </w:tc>
      </w:tr>
      <w:tr w:rsidR="00EE487F" w:rsidRPr="00EE487F" w14:paraId="032FD9D5"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2C9AC7E4"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Income Tax Provision</w:t>
            </w:r>
          </w:p>
        </w:tc>
        <w:tc>
          <w:tcPr>
            <w:tcW w:w="1060" w:type="dxa"/>
            <w:gridSpan w:val="2"/>
            <w:tcBorders>
              <w:top w:val="nil"/>
              <w:left w:val="nil"/>
              <w:bottom w:val="nil"/>
              <w:right w:val="nil"/>
            </w:tcBorders>
            <w:shd w:val="clear" w:color="auto" w:fill="auto"/>
            <w:noWrap/>
            <w:vAlign w:val="center"/>
          </w:tcPr>
          <w:p w14:paraId="48F34CAB"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(1,281)</w:t>
            </w:r>
          </w:p>
        </w:tc>
        <w:tc>
          <w:tcPr>
            <w:tcW w:w="1109" w:type="dxa"/>
            <w:gridSpan w:val="2"/>
            <w:tcBorders>
              <w:top w:val="nil"/>
              <w:left w:val="nil"/>
              <w:bottom w:val="nil"/>
              <w:right w:val="nil"/>
            </w:tcBorders>
            <w:shd w:val="clear" w:color="auto" w:fill="auto"/>
            <w:noWrap/>
            <w:vAlign w:val="center"/>
          </w:tcPr>
          <w:p w14:paraId="38D129F7"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(1,651)</w:t>
            </w:r>
          </w:p>
        </w:tc>
        <w:tc>
          <w:tcPr>
            <w:tcW w:w="1160" w:type="dxa"/>
            <w:gridSpan w:val="2"/>
            <w:tcBorders>
              <w:top w:val="nil"/>
              <w:left w:val="nil"/>
              <w:bottom w:val="nil"/>
              <w:right w:val="nil"/>
            </w:tcBorders>
            <w:shd w:val="clear" w:color="auto" w:fill="auto"/>
            <w:noWrap/>
            <w:vAlign w:val="center"/>
          </w:tcPr>
          <w:p w14:paraId="4B43CD82"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(785)</w:t>
            </w:r>
          </w:p>
        </w:tc>
      </w:tr>
      <w:tr w:rsidR="00EE487F" w:rsidRPr="00EE487F" w14:paraId="71A83B7C"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5DC47F8B" w14:textId="0FCCF9CB" w:rsidR="00EE487F" w:rsidRPr="00EE487F" w:rsidRDefault="00EE487F" w:rsidP="00EE487F">
            <w:pPr>
              <w:rPr>
                <w:rFonts w:ascii="Arial" w:hAnsi="Arial" w:cs="Arial"/>
                <w:color w:val="000000"/>
                <w:lang w:val="en-GB"/>
              </w:rPr>
            </w:pPr>
            <w:r w:rsidRPr="00EE487F">
              <w:rPr>
                <w:rFonts w:ascii="Arial" w:hAnsi="Arial" w:cs="Arial"/>
                <w:color w:val="000000"/>
                <w:lang w:val="en-GB"/>
              </w:rPr>
              <w:t>Income from Continuing Operations</w:t>
            </w:r>
          </w:p>
        </w:tc>
        <w:tc>
          <w:tcPr>
            <w:tcW w:w="1060" w:type="dxa"/>
            <w:gridSpan w:val="2"/>
            <w:tcBorders>
              <w:top w:val="nil"/>
              <w:left w:val="nil"/>
              <w:bottom w:val="nil"/>
              <w:right w:val="nil"/>
            </w:tcBorders>
            <w:shd w:val="clear" w:color="auto" w:fill="auto"/>
            <w:noWrap/>
            <w:vAlign w:val="center"/>
          </w:tcPr>
          <w:p w14:paraId="565DD60F"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3,914</w:t>
            </w:r>
          </w:p>
        </w:tc>
        <w:tc>
          <w:tcPr>
            <w:tcW w:w="1109" w:type="dxa"/>
            <w:gridSpan w:val="2"/>
            <w:tcBorders>
              <w:top w:val="nil"/>
              <w:left w:val="nil"/>
              <w:bottom w:val="nil"/>
              <w:right w:val="nil"/>
            </w:tcBorders>
            <w:shd w:val="clear" w:color="auto" w:fill="auto"/>
            <w:noWrap/>
            <w:vAlign w:val="center"/>
          </w:tcPr>
          <w:p w14:paraId="68E9D0C4"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3,795</w:t>
            </w:r>
          </w:p>
        </w:tc>
        <w:tc>
          <w:tcPr>
            <w:tcW w:w="1160" w:type="dxa"/>
            <w:gridSpan w:val="2"/>
            <w:tcBorders>
              <w:top w:val="nil"/>
              <w:left w:val="nil"/>
              <w:bottom w:val="nil"/>
              <w:right w:val="nil"/>
            </w:tcBorders>
            <w:shd w:val="clear" w:color="auto" w:fill="auto"/>
            <w:noWrap/>
            <w:vAlign w:val="center"/>
          </w:tcPr>
          <w:p w14:paraId="6CFAEECE"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3,894</w:t>
            </w:r>
          </w:p>
        </w:tc>
      </w:tr>
      <w:tr w:rsidR="00EE487F" w:rsidRPr="00EE487F" w14:paraId="2BC8E71C"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5DFEFE8E"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Discontinued Operations, Net of Tax</w:t>
            </w:r>
          </w:p>
        </w:tc>
        <w:tc>
          <w:tcPr>
            <w:tcW w:w="1060" w:type="dxa"/>
            <w:gridSpan w:val="2"/>
            <w:tcBorders>
              <w:top w:val="nil"/>
              <w:left w:val="nil"/>
              <w:bottom w:val="nil"/>
              <w:right w:val="nil"/>
            </w:tcBorders>
            <w:shd w:val="clear" w:color="auto" w:fill="auto"/>
            <w:noWrap/>
            <w:vAlign w:val="center"/>
          </w:tcPr>
          <w:p w14:paraId="1A7866D4"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11</w:t>
            </w:r>
          </w:p>
        </w:tc>
        <w:tc>
          <w:tcPr>
            <w:tcW w:w="1109" w:type="dxa"/>
            <w:gridSpan w:val="2"/>
            <w:tcBorders>
              <w:top w:val="nil"/>
              <w:left w:val="nil"/>
              <w:bottom w:val="nil"/>
              <w:right w:val="nil"/>
            </w:tcBorders>
            <w:shd w:val="clear" w:color="auto" w:fill="auto"/>
            <w:noWrap/>
            <w:vAlign w:val="center"/>
          </w:tcPr>
          <w:p w14:paraId="180D934F"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37</w:t>
            </w:r>
          </w:p>
        </w:tc>
        <w:tc>
          <w:tcPr>
            <w:tcW w:w="1160" w:type="dxa"/>
            <w:gridSpan w:val="2"/>
            <w:tcBorders>
              <w:top w:val="nil"/>
              <w:left w:val="nil"/>
              <w:bottom w:val="nil"/>
              <w:right w:val="nil"/>
            </w:tcBorders>
            <w:shd w:val="clear" w:color="auto" w:fill="auto"/>
            <w:noWrap/>
            <w:vAlign w:val="center"/>
          </w:tcPr>
          <w:p w14:paraId="5BD8EB54"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(67)</w:t>
            </w:r>
          </w:p>
        </w:tc>
      </w:tr>
      <w:tr w:rsidR="00EE487F" w:rsidRPr="00EE487F" w14:paraId="1005A50F"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5556DEBC"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Net Income</w:t>
            </w:r>
          </w:p>
        </w:tc>
        <w:tc>
          <w:tcPr>
            <w:tcW w:w="1060" w:type="dxa"/>
            <w:gridSpan w:val="2"/>
            <w:tcBorders>
              <w:top w:val="nil"/>
              <w:left w:val="nil"/>
              <w:bottom w:val="nil"/>
              <w:right w:val="nil"/>
            </w:tcBorders>
            <w:shd w:val="clear" w:color="auto" w:fill="auto"/>
            <w:noWrap/>
            <w:vAlign w:val="center"/>
          </w:tcPr>
          <w:p w14:paraId="00ABA9AB"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3,925</w:t>
            </w:r>
          </w:p>
        </w:tc>
        <w:tc>
          <w:tcPr>
            <w:tcW w:w="1109" w:type="dxa"/>
            <w:gridSpan w:val="2"/>
            <w:tcBorders>
              <w:top w:val="nil"/>
              <w:left w:val="nil"/>
              <w:bottom w:val="nil"/>
              <w:right w:val="nil"/>
            </w:tcBorders>
            <w:shd w:val="clear" w:color="auto" w:fill="auto"/>
            <w:noWrap/>
            <w:vAlign w:val="center"/>
          </w:tcPr>
          <w:p w14:paraId="5498B0A7"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3,832</w:t>
            </w:r>
          </w:p>
        </w:tc>
        <w:tc>
          <w:tcPr>
            <w:tcW w:w="1160" w:type="dxa"/>
            <w:gridSpan w:val="2"/>
            <w:tcBorders>
              <w:top w:val="nil"/>
              <w:left w:val="nil"/>
              <w:bottom w:val="nil"/>
              <w:right w:val="nil"/>
            </w:tcBorders>
            <w:shd w:val="clear" w:color="auto" w:fill="auto"/>
            <w:noWrap/>
            <w:vAlign w:val="center"/>
          </w:tcPr>
          <w:p w14:paraId="00BDE4F8"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3,827</w:t>
            </w:r>
          </w:p>
        </w:tc>
      </w:tr>
      <w:tr w:rsidR="00EE487F" w:rsidRPr="00EE487F" w14:paraId="6CADCDF8"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4399F54F"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Less Net Loss Attributable to Non-Controlling Interests</w:t>
            </w:r>
          </w:p>
        </w:tc>
        <w:tc>
          <w:tcPr>
            <w:tcW w:w="1060" w:type="dxa"/>
            <w:gridSpan w:val="2"/>
            <w:tcBorders>
              <w:top w:val="nil"/>
              <w:left w:val="nil"/>
              <w:bottom w:val="nil"/>
              <w:right w:val="nil"/>
            </w:tcBorders>
            <w:shd w:val="clear" w:color="auto" w:fill="auto"/>
            <w:noWrap/>
            <w:vAlign w:val="center"/>
          </w:tcPr>
          <w:p w14:paraId="0464BA45"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w:t>
            </w:r>
          </w:p>
        </w:tc>
        <w:tc>
          <w:tcPr>
            <w:tcW w:w="1109" w:type="dxa"/>
            <w:gridSpan w:val="2"/>
            <w:tcBorders>
              <w:top w:val="nil"/>
              <w:left w:val="nil"/>
              <w:bottom w:val="nil"/>
              <w:right w:val="nil"/>
            </w:tcBorders>
            <w:shd w:val="clear" w:color="auto" w:fill="auto"/>
            <w:noWrap/>
            <w:vAlign w:val="center"/>
          </w:tcPr>
          <w:p w14:paraId="274AADB4"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1</w:t>
            </w:r>
          </w:p>
        </w:tc>
        <w:tc>
          <w:tcPr>
            <w:tcW w:w="1160" w:type="dxa"/>
            <w:gridSpan w:val="2"/>
            <w:tcBorders>
              <w:top w:val="nil"/>
              <w:left w:val="nil"/>
              <w:bottom w:val="nil"/>
              <w:right w:val="nil"/>
            </w:tcBorders>
            <w:shd w:val="clear" w:color="auto" w:fill="auto"/>
            <w:noWrap/>
            <w:vAlign w:val="center"/>
          </w:tcPr>
          <w:p w14:paraId="76F6948D" w14:textId="77777777" w:rsidR="00EE487F" w:rsidRPr="00EE487F" w:rsidRDefault="00EE487F" w:rsidP="00EE487F">
            <w:pPr>
              <w:ind w:left="96" w:firstLineChars="3" w:firstLine="6"/>
              <w:jc w:val="right"/>
              <w:rPr>
                <w:rFonts w:ascii="Arial" w:hAnsi="Arial" w:cs="Arial"/>
                <w:color w:val="000000"/>
                <w:lang w:val="en-GB"/>
              </w:rPr>
            </w:pPr>
            <w:r w:rsidRPr="00EE487F">
              <w:rPr>
                <w:rFonts w:ascii="Arial" w:hAnsi="Arial" w:cs="Arial"/>
                <w:color w:val="000000"/>
                <w:lang w:val="en-GB"/>
              </w:rPr>
              <w:t>—</w:t>
            </w:r>
          </w:p>
        </w:tc>
      </w:tr>
      <w:tr w:rsidR="00EE487F" w:rsidRPr="00EE487F" w14:paraId="57719823" w14:textId="77777777" w:rsidTr="00EE487F">
        <w:trPr>
          <w:gridAfter w:val="1"/>
          <w:wAfter w:w="34" w:type="dxa"/>
          <w:trHeight w:val="144"/>
          <w:jc w:val="center"/>
        </w:trPr>
        <w:tc>
          <w:tcPr>
            <w:tcW w:w="5367" w:type="dxa"/>
            <w:tcBorders>
              <w:top w:val="nil"/>
              <w:left w:val="nil"/>
              <w:bottom w:val="nil"/>
              <w:right w:val="nil"/>
            </w:tcBorders>
            <w:shd w:val="clear" w:color="auto" w:fill="auto"/>
            <w:noWrap/>
            <w:vAlign w:val="center"/>
          </w:tcPr>
          <w:p w14:paraId="62C3A0E6"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Net Income Attributable to Time Warner Inc. Shareholders</w:t>
            </w:r>
          </w:p>
        </w:tc>
        <w:tc>
          <w:tcPr>
            <w:tcW w:w="1060" w:type="dxa"/>
            <w:gridSpan w:val="2"/>
            <w:tcBorders>
              <w:top w:val="nil"/>
              <w:left w:val="nil"/>
              <w:bottom w:val="nil"/>
              <w:right w:val="nil"/>
            </w:tcBorders>
            <w:shd w:val="clear" w:color="auto" w:fill="auto"/>
            <w:noWrap/>
            <w:vAlign w:val="center"/>
          </w:tcPr>
          <w:p w14:paraId="06007080"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 xml:space="preserve">$3,926 </w:t>
            </w:r>
          </w:p>
        </w:tc>
        <w:tc>
          <w:tcPr>
            <w:tcW w:w="1109" w:type="dxa"/>
            <w:gridSpan w:val="2"/>
            <w:tcBorders>
              <w:top w:val="nil"/>
              <w:left w:val="nil"/>
              <w:bottom w:val="nil"/>
              <w:right w:val="nil"/>
            </w:tcBorders>
            <w:shd w:val="clear" w:color="auto" w:fill="auto"/>
            <w:noWrap/>
            <w:vAlign w:val="center"/>
          </w:tcPr>
          <w:p w14:paraId="59E882EA"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 xml:space="preserve">$3,833 </w:t>
            </w:r>
          </w:p>
        </w:tc>
        <w:tc>
          <w:tcPr>
            <w:tcW w:w="1160" w:type="dxa"/>
            <w:gridSpan w:val="2"/>
            <w:tcBorders>
              <w:top w:val="nil"/>
              <w:left w:val="nil"/>
              <w:bottom w:val="nil"/>
              <w:right w:val="nil"/>
            </w:tcBorders>
            <w:shd w:val="clear" w:color="auto" w:fill="auto"/>
            <w:noWrap/>
            <w:vAlign w:val="center"/>
          </w:tcPr>
          <w:p w14:paraId="47F32F7D" w14:textId="77777777" w:rsidR="00EE487F" w:rsidRPr="00EE487F" w:rsidRDefault="00EE487F" w:rsidP="00EE487F">
            <w:pPr>
              <w:jc w:val="right"/>
              <w:rPr>
                <w:rFonts w:ascii="Arial" w:hAnsi="Arial" w:cs="Arial"/>
                <w:color w:val="000000"/>
                <w:lang w:val="en-GB"/>
              </w:rPr>
            </w:pPr>
            <w:r w:rsidRPr="00EE487F">
              <w:rPr>
                <w:rFonts w:ascii="Arial" w:hAnsi="Arial" w:cs="Arial"/>
                <w:color w:val="000000"/>
                <w:lang w:val="en-GB"/>
              </w:rPr>
              <w:t xml:space="preserve">$3,827 </w:t>
            </w:r>
          </w:p>
        </w:tc>
      </w:tr>
      <w:tr w:rsidR="00EE487F" w:rsidRPr="00EE487F" w14:paraId="16C1875F" w14:textId="77777777" w:rsidTr="00EE487F">
        <w:trPr>
          <w:trHeight w:val="144"/>
          <w:jc w:val="center"/>
        </w:trPr>
        <w:tc>
          <w:tcPr>
            <w:tcW w:w="5760" w:type="dxa"/>
            <w:gridSpan w:val="2"/>
            <w:tcBorders>
              <w:top w:val="nil"/>
              <w:left w:val="nil"/>
              <w:bottom w:val="nil"/>
              <w:right w:val="nil"/>
            </w:tcBorders>
            <w:shd w:val="clear" w:color="auto" w:fill="auto"/>
            <w:noWrap/>
            <w:vAlign w:val="center"/>
          </w:tcPr>
          <w:p w14:paraId="3BE66CBA"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Average Basic Common Shares Outstanding</w:t>
            </w:r>
          </w:p>
        </w:tc>
        <w:tc>
          <w:tcPr>
            <w:tcW w:w="720" w:type="dxa"/>
            <w:gridSpan w:val="2"/>
            <w:tcBorders>
              <w:top w:val="nil"/>
              <w:left w:val="nil"/>
              <w:bottom w:val="nil"/>
              <w:right w:val="nil"/>
            </w:tcBorders>
            <w:shd w:val="clear" w:color="auto" w:fill="auto"/>
            <w:noWrap/>
            <w:vAlign w:val="center"/>
          </w:tcPr>
          <w:p w14:paraId="11E5F8A2"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780.8</w:t>
            </w:r>
          </w:p>
        </w:tc>
        <w:tc>
          <w:tcPr>
            <w:tcW w:w="1125" w:type="dxa"/>
            <w:gridSpan w:val="2"/>
            <w:tcBorders>
              <w:top w:val="nil"/>
              <w:left w:val="nil"/>
              <w:bottom w:val="nil"/>
              <w:right w:val="nil"/>
            </w:tcBorders>
            <w:shd w:val="clear" w:color="auto" w:fill="auto"/>
            <w:noWrap/>
            <w:vAlign w:val="center"/>
          </w:tcPr>
          <w:p w14:paraId="3E802941"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814.9</w:t>
            </w:r>
          </w:p>
        </w:tc>
        <w:tc>
          <w:tcPr>
            <w:tcW w:w="1125" w:type="dxa"/>
            <w:gridSpan w:val="2"/>
            <w:tcBorders>
              <w:top w:val="nil"/>
              <w:left w:val="nil"/>
              <w:bottom w:val="nil"/>
              <w:right w:val="nil"/>
            </w:tcBorders>
            <w:shd w:val="clear" w:color="auto" w:fill="auto"/>
            <w:noWrap/>
            <w:vAlign w:val="center"/>
          </w:tcPr>
          <w:p w14:paraId="55BB8A9D"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863.3</w:t>
            </w:r>
          </w:p>
        </w:tc>
      </w:tr>
      <w:tr w:rsidR="00EE487F" w:rsidRPr="00EE487F" w14:paraId="56D64CC4" w14:textId="77777777" w:rsidTr="00EE487F">
        <w:trPr>
          <w:trHeight w:val="144"/>
          <w:jc w:val="center"/>
        </w:trPr>
        <w:tc>
          <w:tcPr>
            <w:tcW w:w="5760" w:type="dxa"/>
            <w:gridSpan w:val="2"/>
            <w:tcBorders>
              <w:top w:val="nil"/>
              <w:left w:val="nil"/>
              <w:right w:val="nil"/>
            </w:tcBorders>
            <w:shd w:val="clear" w:color="auto" w:fill="auto"/>
            <w:noWrap/>
            <w:vAlign w:val="center"/>
          </w:tcPr>
          <w:p w14:paraId="1973154A"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Average Diluted Common Shares Outstanding</w:t>
            </w:r>
          </w:p>
        </w:tc>
        <w:tc>
          <w:tcPr>
            <w:tcW w:w="720" w:type="dxa"/>
            <w:gridSpan w:val="2"/>
            <w:tcBorders>
              <w:top w:val="nil"/>
              <w:left w:val="nil"/>
              <w:right w:val="nil"/>
            </w:tcBorders>
            <w:shd w:val="clear" w:color="auto" w:fill="auto"/>
            <w:noWrap/>
            <w:vAlign w:val="center"/>
          </w:tcPr>
          <w:p w14:paraId="6F048030"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792.3</w:t>
            </w:r>
          </w:p>
        </w:tc>
        <w:tc>
          <w:tcPr>
            <w:tcW w:w="1125" w:type="dxa"/>
            <w:gridSpan w:val="2"/>
            <w:tcBorders>
              <w:top w:val="nil"/>
              <w:left w:val="nil"/>
              <w:right w:val="nil"/>
            </w:tcBorders>
            <w:shd w:val="clear" w:color="auto" w:fill="auto"/>
            <w:noWrap/>
            <w:vAlign w:val="center"/>
          </w:tcPr>
          <w:p w14:paraId="1AB69625"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829.5</w:t>
            </w:r>
          </w:p>
        </w:tc>
        <w:tc>
          <w:tcPr>
            <w:tcW w:w="1125" w:type="dxa"/>
            <w:gridSpan w:val="2"/>
            <w:tcBorders>
              <w:top w:val="nil"/>
              <w:left w:val="nil"/>
              <w:right w:val="nil"/>
            </w:tcBorders>
            <w:shd w:val="clear" w:color="auto" w:fill="auto"/>
            <w:noWrap/>
            <w:vAlign w:val="center"/>
          </w:tcPr>
          <w:p w14:paraId="69AAC1B6"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882.6</w:t>
            </w:r>
          </w:p>
        </w:tc>
      </w:tr>
      <w:tr w:rsidR="00EE487F" w:rsidRPr="00EE487F" w14:paraId="66457514" w14:textId="77777777" w:rsidTr="00EE487F">
        <w:trPr>
          <w:trHeight w:val="144"/>
          <w:jc w:val="center"/>
        </w:trPr>
        <w:tc>
          <w:tcPr>
            <w:tcW w:w="5760" w:type="dxa"/>
            <w:gridSpan w:val="2"/>
            <w:tcBorders>
              <w:top w:val="nil"/>
              <w:left w:val="nil"/>
              <w:right w:val="nil"/>
            </w:tcBorders>
            <w:shd w:val="clear" w:color="auto" w:fill="auto"/>
            <w:noWrap/>
            <w:vAlign w:val="center"/>
          </w:tcPr>
          <w:p w14:paraId="764BD963" w14:textId="77777777" w:rsidR="00EE487F" w:rsidRPr="00EE487F" w:rsidRDefault="00EE487F" w:rsidP="00EE487F">
            <w:pPr>
              <w:rPr>
                <w:rFonts w:ascii="Arial" w:hAnsi="Arial" w:cs="Arial"/>
                <w:color w:val="000000"/>
                <w:lang w:val="en-GB"/>
              </w:rPr>
            </w:pPr>
            <w:r w:rsidRPr="00EE487F">
              <w:rPr>
                <w:rFonts w:ascii="Arial" w:hAnsi="Arial" w:cs="Arial"/>
                <w:color w:val="000000"/>
                <w:lang w:val="en-GB"/>
              </w:rPr>
              <w:t>Cash Dividends Declared per Share of Common Stock</w:t>
            </w:r>
          </w:p>
        </w:tc>
        <w:tc>
          <w:tcPr>
            <w:tcW w:w="720" w:type="dxa"/>
            <w:gridSpan w:val="2"/>
            <w:tcBorders>
              <w:top w:val="nil"/>
              <w:left w:val="nil"/>
              <w:right w:val="nil"/>
            </w:tcBorders>
            <w:shd w:val="clear" w:color="auto" w:fill="auto"/>
            <w:noWrap/>
            <w:vAlign w:val="center"/>
          </w:tcPr>
          <w:p w14:paraId="56DF912A"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$1.61</w:t>
            </w:r>
          </w:p>
        </w:tc>
        <w:tc>
          <w:tcPr>
            <w:tcW w:w="1125" w:type="dxa"/>
            <w:gridSpan w:val="2"/>
            <w:tcBorders>
              <w:top w:val="nil"/>
              <w:left w:val="nil"/>
              <w:right w:val="nil"/>
            </w:tcBorders>
            <w:shd w:val="clear" w:color="auto" w:fill="auto"/>
            <w:noWrap/>
            <w:vAlign w:val="center"/>
          </w:tcPr>
          <w:p w14:paraId="59D0EF2B"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$1.40</w:t>
            </w:r>
          </w:p>
        </w:tc>
        <w:tc>
          <w:tcPr>
            <w:tcW w:w="1125" w:type="dxa"/>
            <w:gridSpan w:val="2"/>
            <w:tcBorders>
              <w:top w:val="nil"/>
              <w:left w:val="nil"/>
              <w:right w:val="nil"/>
            </w:tcBorders>
            <w:shd w:val="clear" w:color="auto" w:fill="auto"/>
            <w:noWrap/>
            <w:vAlign w:val="center"/>
          </w:tcPr>
          <w:p w14:paraId="3F742893" w14:textId="77777777" w:rsidR="00EE487F" w:rsidRPr="00EE487F" w:rsidRDefault="00EE487F" w:rsidP="00EE487F">
            <w:pPr>
              <w:ind w:left="-5" w:firstLine="4"/>
              <w:jc w:val="right"/>
              <w:rPr>
                <w:rFonts w:ascii="Arial" w:hAnsi="Arial" w:cs="Arial"/>
                <w:color w:val="000000"/>
                <w:lang w:val="en-GB"/>
              </w:rPr>
            </w:pPr>
            <w:r w:rsidRPr="00EE487F">
              <w:rPr>
                <w:rFonts w:ascii="Arial" w:hAnsi="Arial" w:cs="Arial"/>
                <w:color w:val="000000"/>
                <w:lang w:val="en-GB"/>
              </w:rPr>
              <w:t>$1.27</w:t>
            </w:r>
          </w:p>
        </w:tc>
      </w:tr>
    </w:tbl>
    <w:p w14:paraId="11A96CC4" w14:textId="77777777" w:rsidR="00EE487F" w:rsidRPr="00EE487F" w:rsidRDefault="00EE487F" w:rsidP="0011091B">
      <w:pPr>
        <w:pStyle w:val="FootnoteText1"/>
        <w:rPr>
          <w:lang w:val="en-GB"/>
        </w:rPr>
      </w:pPr>
    </w:p>
    <w:p w14:paraId="2BBE4F48" w14:textId="77777777" w:rsidR="00EE487F" w:rsidRPr="00EE487F" w:rsidRDefault="00EE487F" w:rsidP="0011091B">
      <w:pPr>
        <w:pStyle w:val="FootnoteText1"/>
        <w:rPr>
          <w:lang w:val="en-GB"/>
        </w:rPr>
      </w:pPr>
      <w:r w:rsidRPr="00EE487F">
        <w:rPr>
          <w:lang w:val="en-GB"/>
        </w:rPr>
        <w:t>Source</w:t>
      </w:r>
      <w:r w:rsidRPr="00EE487F">
        <w:rPr>
          <w:rFonts w:ascii="MS Gothic" w:eastAsia="MS Gothic" w:hAnsi="MS Gothic" w:cs="MS Gothic"/>
          <w:lang w:val="en-GB"/>
        </w:rPr>
        <w:t xml:space="preserve">: </w:t>
      </w:r>
      <w:r w:rsidRPr="00EE487F">
        <w:rPr>
          <w:lang w:val="en-GB"/>
        </w:rPr>
        <w:t xml:space="preserve">Excerpted from Time Warner Inc., </w:t>
      </w:r>
      <w:r w:rsidRPr="00EE487F">
        <w:rPr>
          <w:i/>
          <w:lang w:val="en-GB"/>
        </w:rPr>
        <w:t>2016 Annual Report</w:t>
      </w:r>
      <w:r w:rsidRPr="00EE487F">
        <w:rPr>
          <w:lang w:val="en-GB"/>
        </w:rPr>
        <w:t>, 61–62, 2017, accessed February 8, 2019, http://annualreports.com/HostedData/AnnualReportArchive/t/NYSE_TWX_2016.pdf.</w:t>
      </w:r>
    </w:p>
    <w:p w14:paraId="3EF439D9" w14:textId="77777777" w:rsidR="00EE487F" w:rsidRPr="00EE487F" w:rsidRDefault="00EE487F" w:rsidP="00B77C4D">
      <w:pPr>
        <w:pStyle w:val="BodyTextMain"/>
        <w:rPr>
          <w:lang w:val="en-GB"/>
        </w:rPr>
      </w:pPr>
      <w:r w:rsidRPr="00EE487F">
        <w:rPr>
          <w:lang w:val="en-GB"/>
        </w:rPr>
        <w:br w:type="page"/>
      </w:r>
    </w:p>
    <w:p w14:paraId="3A5C189E" w14:textId="77777777" w:rsidR="00EE487F" w:rsidRPr="00EE487F" w:rsidRDefault="00EE487F" w:rsidP="00B77C4D">
      <w:pPr>
        <w:pStyle w:val="Casehead1"/>
        <w:jc w:val="center"/>
        <w:rPr>
          <w:lang w:val="en-GB"/>
        </w:rPr>
      </w:pPr>
      <w:r w:rsidRPr="00EE487F">
        <w:rPr>
          <w:lang w:val="en-GB"/>
        </w:rPr>
        <w:lastRenderedPageBreak/>
        <w:t>Exhibit 5: Time Warner Inc., Consolidated Statement of Cash Flows</w:t>
      </w:r>
    </w:p>
    <w:p w14:paraId="7A29369E" w14:textId="77777777" w:rsidR="00EE487F" w:rsidRPr="00EE487F" w:rsidRDefault="00EE487F" w:rsidP="00B77C4D">
      <w:pPr>
        <w:pStyle w:val="BodyTextMain"/>
        <w:rPr>
          <w:lang w:val="en-GB"/>
        </w:rPr>
      </w:pPr>
    </w:p>
    <w:tbl>
      <w:tblPr>
        <w:tblW w:w="8560" w:type="dxa"/>
        <w:jc w:val="center"/>
        <w:tblLayout w:type="fixed"/>
        <w:tblLook w:val="04A0" w:firstRow="1" w:lastRow="0" w:firstColumn="1" w:lastColumn="0" w:noHBand="0" w:noVBand="1"/>
        <w:tblCaption w:val="EXHIBIT 5"/>
        <w:tblDescription w:val="TIME WARNER INC., CONSOLIDATED STATEMENT OF CASH FLOWS"/>
      </w:tblPr>
      <w:tblGrid>
        <w:gridCol w:w="5760"/>
        <w:gridCol w:w="990"/>
        <w:gridCol w:w="900"/>
        <w:gridCol w:w="910"/>
      </w:tblGrid>
      <w:tr w:rsidR="00EE487F" w:rsidRPr="0004254A" w14:paraId="35CE8E84" w14:textId="77777777" w:rsidTr="00C55AD1">
        <w:trPr>
          <w:trHeight w:hRule="exact" w:val="216"/>
          <w:tblHeader/>
          <w:jc w:val="center"/>
        </w:trPr>
        <w:tc>
          <w:tcPr>
            <w:tcW w:w="5760" w:type="dxa"/>
            <w:tcBorders>
              <w:top w:val="single" w:sz="4" w:space="0" w:color="auto"/>
              <w:bottom w:val="single" w:sz="4" w:space="0" w:color="auto"/>
            </w:tcBorders>
            <w:shd w:val="clear" w:color="auto" w:fill="auto"/>
            <w:vAlign w:val="center"/>
          </w:tcPr>
          <w:p w14:paraId="1A2147B5"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lang w:val="en-GB"/>
              </w:rPr>
              <w:t>(In US$ millions)</w:t>
            </w:r>
          </w:p>
        </w:tc>
        <w:tc>
          <w:tcPr>
            <w:tcW w:w="990" w:type="dxa"/>
            <w:tcBorders>
              <w:top w:val="single" w:sz="4" w:space="0" w:color="auto"/>
              <w:bottom w:val="single" w:sz="4" w:space="0" w:color="auto"/>
            </w:tcBorders>
            <w:shd w:val="clear" w:color="auto" w:fill="auto"/>
            <w:noWrap/>
            <w:vAlign w:val="center"/>
          </w:tcPr>
          <w:p w14:paraId="09C8AB6C" w14:textId="77777777" w:rsidR="00EE487F" w:rsidRPr="0004254A" w:rsidRDefault="00EE487F" w:rsidP="00EE487F">
            <w:pPr>
              <w:spacing w:after="160" w:line="259" w:lineRule="auto"/>
              <w:jc w:val="center"/>
              <w:rPr>
                <w:rFonts w:ascii="Arial" w:hAnsi="Arial" w:cs="Arial"/>
                <w:b/>
                <w:color w:val="000000"/>
                <w:lang w:val="en-GB"/>
              </w:rPr>
            </w:pPr>
            <w:r w:rsidRPr="0004254A">
              <w:rPr>
                <w:rFonts w:ascii="Arial" w:hAnsi="Arial" w:cs="Arial"/>
                <w:b/>
                <w:color w:val="000000"/>
                <w:lang w:val="en-GB"/>
              </w:rPr>
              <w:t>2016</w:t>
            </w:r>
          </w:p>
        </w:tc>
        <w:tc>
          <w:tcPr>
            <w:tcW w:w="900" w:type="dxa"/>
            <w:tcBorders>
              <w:top w:val="single" w:sz="4" w:space="0" w:color="auto"/>
              <w:bottom w:val="single" w:sz="4" w:space="0" w:color="auto"/>
            </w:tcBorders>
            <w:shd w:val="clear" w:color="auto" w:fill="auto"/>
            <w:noWrap/>
            <w:vAlign w:val="center"/>
          </w:tcPr>
          <w:p w14:paraId="7264F857" w14:textId="77777777" w:rsidR="00EE487F" w:rsidRPr="0004254A" w:rsidRDefault="00EE487F" w:rsidP="00EE487F">
            <w:pPr>
              <w:spacing w:after="160" w:line="259" w:lineRule="auto"/>
              <w:jc w:val="center"/>
              <w:rPr>
                <w:rFonts w:ascii="Arial" w:hAnsi="Arial" w:cs="Arial"/>
                <w:b/>
                <w:color w:val="000000"/>
                <w:lang w:val="en-GB"/>
              </w:rPr>
            </w:pPr>
            <w:r w:rsidRPr="0004254A">
              <w:rPr>
                <w:rFonts w:ascii="Arial" w:hAnsi="Arial" w:cs="Arial"/>
                <w:b/>
                <w:color w:val="000000"/>
                <w:lang w:val="en-GB"/>
              </w:rPr>
              <w:t>2015</w:t>
            </w:r>
          </w:p>
        </w:tc>
        <w:tc>
          <w:tcPr>
            <w:tcW w:w="910" w:type="dxa"/>
            <w:tcBorders>
              <w:top w:val="single" w:sz="4" w:space="0" w:color="auto"/>
              <w:bottom w:val="single" w:sz="4" w:space="0" w:color="auto"/>
            </w:tcBorders>
            <w:shd w:val="clear" w:color="auto" w:fill="auto"/>
            <w:noWrap/>
            <w:vAlign w:val="center"/>
          </w:tcPr>
          <w:p w14:paraId="269824F5" w14:textId="77777777" w:rsidR="00EE487F" w:rsidRPr="0004254A" w:rsidRDefault="00EE487F" w:rsidP="00EE487F">
            <w:pPr>
              <w:spacing w:after="160" w:line="259" w:lineRule="auto"/>
              <w:jc w:val="center"/>
              <w:rPr>
                <w:rFonts w:ascii="Arial" w:hAnsi="Arial" w:cs="Arial"/>
                <w:b/>
                <w:color w:val="000000"/>
                <w:lang w:val="en-GB"/>
              </w:rPr>
            </w:pPr>
            <w:r w:rsidRPr="0004254A">
              <w:rPr>
                <w:rFonts w:ascii="Arial" w:hAnsi="Arial" w:cs="Arial"/>
                <w:b/>
                <w:color w:val="000000"/>
                <w:lang w:val="en-GB"/>
              </w:rPr>
              <w:t>2014</w:t>
            </w:r>
          </w:p>
        </w:tc>
      </w:tr>
      <w:tr w:rsidR="00EE487F" w:rsidRPr="0004254A" w14:paraId="0A850EAD" w14:textId="77777777" w:rsidTr="00C55AD1">
        <w:trPr>
          <w:trHeight w:hRule="exact" w:val="235"/>
          <w:tblHeader/>
          <w:jc w:val="center"/>
        </w:trPr>
        <w:tc>
          <w:tcPr>
            <w:tcW w:w="5760" w:type="dxa"/>
            <w:tcBorders>
              <w:top w:val="single" w:sz="4" w:space="0" w:color="auto"/>
            </w:tcBorders>
            <w:shd w:val="clear" w:color="auto" w:fill="auto"/>
            <w:vAlign w:val="center"/>
          </w:tcPr>
          <w:p w14:paraId="503E2AAE"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OPERATIONS</w:t>
            </w:r>
          </w:p>
        </w:tc>
        <w:tc>
          <w:tcPr>
            <w:tcW w:w="990" w:type="dxa"/>
            <w:tcBorders>
              <w:top w:val="single" w:sz="4" w:space="0" w:color="auto"/>
            </w:tcBorders>
            <w:shd w:val="clear" w:color="auto" w:fill="auto"/>
            <w:vAlign w:val="center"/>
          </w:tcPr>
          <w:p w14:paraId="7BF82F0C" w14:textId="77777777" w:rsidR="00EE487F" w:rsidRPr="0004254A" w:rsidRDefault="00EE487F" w:rsidP="00EE487F">
            <w:pPr>
              <w:spacing w:after="160" w:line="259" w:lineRule="auto"/>
              <w:jc w:val="right"/>
              <w:rPr>
                <w:rFonts w:ascii="Arial" w:hAnsi="Arial" w:cs="Arial"/>
                <w:color w:val="000000"/>
                <w:lang w:val="en-GB"/>
              </w:rPr>
            </w:pPr>
          </w:p>
        </w:tc>
        <w:tc>
          <w:tcPr>
            <w:tcW w:w="900" w:type="dxa"/>
            <w:tcBorders>
              <w:top w:val="single" w:sz="4" w:space="0" w:color="auto"/>
            </w:tcBorders>
            <w:shd w:val="clear" w:color="auto" w:fill="auto"/>
            <w:vAlign w:val="center"/>
          </w:tcPr>
          <w:p w14:paraId="7B31D764" w14:textId="77777777" w:rsidR="00EE487F" w:rsidRPr="0004254A" w:rsidRDefault="00EE487F" w:rsidP="00EE487F">
            <w:pPr>
              <w:spacing w:after="160" w:line="259" w:lineRule="auto"/>
              <w:jc w:val="right"/>
              <w:rPr>
                <w:rFonts w:ascii="Arial" w:hAnsi="Arial" w:cs="Arial"/>
                <w:color w:val="000000"/>
                <w:lang w:val="en-GB"/>
              </w:rPr>
            </w:pPr>
          </w:p>
        </w:tc>
        <w:tc>
          <w:tcPr>
            <w:tcW w:w="910" w:type="dxa"/>
            <w:tcBorders>
              <w:top w:val="single" w:sz="4" w:space="0" w:color="auto"/>
            </w:tcBorders>
            <w:shd w:val="clear" w:color="auto" w:fill="auto"/>
            <w:vAlign w:val="center"/>
          </w:tcPr>
          <w:p w14:paraId="4221173B" w14:textId="77777777" w:rsidR="00EE487F" w:rsidRPr="0004254A" w:rsidRDefault="00EE487F" w:rsidP="00EE487F">
            <w:pPr>
              <w:spacing w:after="160" w:line="259" w:lineRule="auto"/>
              <w:jc w:val="right"/>
              <w:rPr>
                <w:rFonts w:ascii="Arial" w:hAnsi="Arial" w:cs="Arial"/>
                <w:color w:val="000000"/>
                <w:lang w:val="en-GB"/>
              </w:rPr>
            </w:pPr>
          </w:p>
        </w:tc>
      </w:tr>
      <w:tr w:rsidR="004E0EBF" w:rsidRPr="0004254A" w14:paraId="79E816D0" w14:textId="77777777" w:rsidTr="00C55AD1">
        <w:trPr>
          <w:trHeight w:hRule="exact" w:val="216"/>
          <w:tblHeader/>
          <w:jc w:val="center"/>
        </w:trPr>
        <w:tc>
          <w:tcPr>
            <w:tcW w:w="5760" w:type="dxa"/>
            <w:shd w:val="clear" w:color="auto" w:fill="auto"/>
            <w:vAlign w:val="center"/>
          </w:tcPr>
          <w:p w14:paraId="2D90A6F7"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Net Income</w:t>
            </w:r>
          </w:p>
        </w:tc>
        <w:tc>
          <w:tcPr>
            <w:tcW w:w="990" w:type="dxa"/>
            <w:tcBorders>
              <w:top w:val="nil"/>
              <w:left w:val="nil"/>
              <w:bottom w:val="nil"/>
              <w:right w:val="nil"/>
            </w:tcBorders>
            <w:shd w:val="clear" w:color="auto" w:fill="auto"/>
          </w:tcPr>
          <w:p w14:paraId="21621A57" w14:textId="6211BD69"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$3,925</w:t>
            </w:r>
          </w:p>
        </w:tc>
        <w:tc>
          <w:tcPr>
            <w:tcW w:w="900" w:type="dxa"/>
            <w:tcBorders>
              <w:top w:val="nil"/>
              <w:left w:val="nil"/>
              <w:bottom w:val="nil"/>
              <w:right w:val="nil"/>
            </w:tcBorders>
            <w:shd w:val="clear" w:color="auto" w:fill="auto"/>
          </w:tcPr>
          <w:p w14:paraId="4B992F75" w14:textId="532281ED"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$3,832</w:t>
            </w:r>
          </w:p>
        </w:tc>
        <w:tc>
          <w:tcPr>
            <w:tcW w:w="910" w:type="dxa"/>
            <w:tcBorders>
              <w:top w:val="nil"/>
              <w:left w:val="nil"/>
              <w:bottom w:val="nil"/>
              <w:right w:val="nil"/>
            </w:tcBorders>
            <w:shd w:val="clear" w:color="auto" w:fill="auto"/>
          </w:tcPr>
          <w:p w14:paraId="4EBE69A7" w14:textId="2A322059"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$3,827</w:t>
            </w:r>
          </w:p>
        </w:tc>
      </w:tr>
      <w:tr w:rsidR="004E0EBF" w:rsidRPr="0004254A" w14:paraId="35234173" w14:textId="77777777" w:rsidTr="00C55AD1">
        <w:trPr>
          <w:trHeight w:hRule="exact" w:val="216"/>
          <w:tblHeader/>
          <w:jc w:val="center"/>
        </w:trPr>
        <w:tc>
          <w:tcPr>
            <w:tcW w:w="5760" w:type="dxa"/>
            <w:shd w:val="clear" w:color="auto" w:fill="auto"/>
            <w:vAlign w:val="center"/>
          </w:tcPr>
          <w:p w14:paraId="57C02006"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Less Discontinued Operations, Net of Tax</w:t>
            </w:r>
          </w:p>
        </w:tc>
        <w:tc>
          <w:tcPr>
            <w:tcW w:w="990" w:type="dxa"/>
            <w:tcBorders>
              <w:top w:val="nil"/>
              <w:left w:val="nil"/>
              <w:bottom w:val="nil"/>
              <w:right w:val="nil"/>
            </w:tcBorders>
            <w:shd w:val="clear" w:color="auto" w:fill="auto"/>
          </w:tcPr>
          <w:p w14:paraId="009966C4" w14:textId="5983FBB9"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(11)</w:t>
            </w:r>
          </w:p>
        </w:tc>
        <w:tc>
          <w:tcPr>
            <w:tcW w:w="900" w:type="dxa"/>
            <w:tcBorders>
              <w:top w:val="nil"/>
              <w:left w:val="nil"/>
              <w:bottom w:val="nil"/>
              <w:right w:val="nil"/>
            </w:tcBorders>
            <w:shd w:val="clear" w:color="auto" w:fill="auto"/>
          </w:tcPr>
          <w:p w14:paraId="180825DA" w14:textId="009DA938"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(37)</w:t>
            </w:r>
          </w:p>
        </w:tc>
        <w:tc>
          <w:tcPr>
            <w:tcW w:w="910" w:type="dxa"/>
            <w:tcBorders>
              <w:top w:val="nil"/>
              <w:left w:val="nil"/>
              <w:bottom w:val="nil"/>
              <w:right w:val="nil"/>
            </w:tcBorders>
            <w:shd w:val="clear" w:color="auto" w:fill="auto"/>
          </w:tcPr>
          <w:p w14:paraId="0BA0DBF7" w14:textId="0C63CF3E"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67 </w:t>
            </w:r>
          </w:p>
        </w:tc>
      </w:tr>
      <w:tr w:rsidR="004E0EBF" w:rsidRPr="0004254A" w14:paraId="2E3B477A" w14:textId="77777777" w:rsidTr="00C55AD1">
        <w:trPr>
          <w:trHeight w:hRule="exact" w:val="216"/>
          <w:tblHeader/>
          <w:jc w:val="center"/>
        </w:trPr>
        <w:tc>
          <w:tcPr>
            <w:tcW w:w="5760" w:type="dxa"/>
            <w:shd w:val="clear" w:color="auto" w:fill="auto"/>
            <w:vAlign w:val="center"/>
          </w:tcPr>
          <w:p w14:paraId="2492A924"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Net Income from Continuing Operations</w:t>
            </w:r>
          </w:p>
        </w:tc>
        <w:tc>
          <w:tcPr>
            <w:tcW w:w="990" w:type="dxa"/>
            <w:tcBorders>
              <w:top w:val="nil"/>
              <w:left w:val="nil"/>
              <w:bottom w:val="nil"/>
              <w:right w:val="nil"/>
            </w:tcBorders>
            <w:shd w:val="clear" w:color="auto" w:fill="auto"/>
          </w:tcPr>
          <w:p w14:paraId="296F896F" w14:textId="0F36D276"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3,914 </w:t>
            </w:r>
          </w:p>
        </w:tc>
        <w:tc>
          <w:tcPr>
            <w:tcW w:w="900" w:type="dxa"/>
            <w:tcBorders>
              <w:top w:val="nil"/>
              <w:left w:val="nil"/>
              <w:bottom w:val="nil"/>
              <w:right w:val="nil"/>
            </w:tcBorders>
            <w:shd w:val="clear" w:color="auto" w:fill="auto"/>
          </w:tcPr>
          <w:p w14:paraId="36F81DC3" w14:textId="13372173"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3,795 </w:t>
            </w:r>
          </w:p>
        </w:tc>
        <w:tc>
          <w:tcPr>
            <w:tcW w:w="910" w:type="dxa"/>
            <w:tcBorders>
              <w:top w:val="nil"/>
              <w:left w:val="nil"/>
              <w:bottom w:val="nil"/>
              <w:right w:val="nil"/>
            </w:tcBorders>
            <w:shd w:val="clear" w:color="auto" w:fill="auto"/>
          </w:tcPr>
          <w:p w14:paraId="679A8709" w14:textId="525DA585"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3,894 </w:t>
            </w:r>
          </w:p>
        </w:tc>
      </w:tr>
      <w:tr w:rsidR="004E0EBF" w:rsidRPr="0004254A" w14:paraId="58C7B03B" w14:textId="77777777" w:rsidTr="00C55AD1">
        <w:trPr>
          <w:trHeight w:hRule="exact" w:val="216"/>
          <w:tblHeader/>
          <w:jc w:val="center"/>
        </w:trPr>
        <w:tc>
          <w:tcPr>
            <w:tcW w:w="5760" w:type="dxa"/>
            <w:shd w:val="clear" w:color="auto" w:fill="auto"/>
            <w:vAlign w:val="center"/>
          </w:tcPr>
          <w:p w14:paraId="3331D9AE"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Adjustments for Non-Cash and Non-Operating Items:</w:t>
            </w:r>
          </w:p>
        </w:tc>
        <w:tc>
          <w:tcPr>
            <w:tcW w:w="990" w:type="dxa"/>
            <w:tcBorders>
              <w:top w:val="nil"/>
              <w:left w:val="nil"/>
              <w:bottom w:val="nil"/>
              <w:right w:val="nil"/>
            </w:tcBorders>
            <w:shd w:val="clear" w:color="auto" w:fill="auto"/>
          </w:tcPr>
          <w:p w14:paraId="1A78B132" w14:textId="2EAF8CD0" w:rsidR="004E0EBF" w:rsidRPr="0004254A" w:rsidRDefault="004E0EBF" w:rsidP="004E0EBF">
            <w:pPr>
              <w:spacing w:after="160" w:line="259" w:lineRule="auto"/>
              <w:jc w:val="right"/>
              <w:rPr>
                <w:rFonts w:ascii="Arial" w:hAnsi="Arial" w:cs="Arial"/>
                <w:color w:val="000000"/>
                <w:lang w:val="en-GB"/>
              </w:rPr>
            </w:pPr>
          </w:p>
        </w:tc>
        <w:tc>
          <w:tcPr>
            <w:tcW w:w="900" w:type="dxa"/>
            <w:tcBorders>
              <w:top w:val="nil"/>
              <w:left w:val="nil"/>
              <w:bottom w:val="nil"/>
              <w:right w:val="nil"/>
            </w:tcBorders>
            <w:shd w:val="clear" w:color="auto" w:fill="auto"/>
          </w:tcPr>
          <w:p w14:paraId="23327B7F" w14:textId="1FB9CF46" w:rsidR="004E0EBF" w:rsidRPr="0004254A" w:rsidRDefault="004E0EBF" w:rsidP="004E0EBF">
            <w:pPr>
              <w:spacing w:after="160" w:line="259" w:lineRule="auto"/>
              <w:jc w:val="right"/>
              <w:rPr>
                <w:rFonts w:ascii="Arial" w:hAnsi="Arial" w:cs="Arial"/>
                <w:color w:val="000000"/>
                <w:lang w:val="en-GB"/>
              </w:rPr>
            </w:pPr>
          </w:p>
        </w:tc>
        <w:tc>
          <w:tcPr>
            <w:tcW w:w="910" w:type="dxa"/>
            <w:tcBorders>
              <w:top w:val="nil"/>
              <w:left w:val="nil"/>
              <w:bottom w:val="nil"/>
              <w:right w:val="nil"/>
            </w:tcBorders>
            <w:shd w:val="clear" w:color="auto" w:fill="auto"/>
          </w:tcPr>
          <w:p w14:paraId="62B870AE" w14:textId="36517464" w:rsidR="004E0EBF" w:rsidRPr="0004254A" w:rsidRDefault="004E0EBF" w:rsidP="004E0EBF">
            <w:pPr>
              <w:spacing w:after="160" w:line="259" w:lineRule="auto"/>
              <w:jc w:val="right"/>
              <w:rPr>
                <w:rFonts w:ascii="Arial" w:hAnsi="Arial" w:cs="Arial"/>
                <w:color w:val="000000"/>
                <w:lang w:val="en-GB"/>
              </w:rPr>
            </w:pPr>
          </w:p>
        </w:tc>
      </w:tr>
      <w:tr w:rsidR="004E0EBF" w:rsidRPr="0004254A" w14:paraId="05DD37FC" w14:textId="77777777" w:rsidTr="00C55AD1">
        <w:trPr>
          <w:trHeight w:hRule="exact" w:val="216"/>
          <w:tblHeader/>
          <w:jc w:val="center"/>
        </w:trPr>
        <w:tc>
          <w:tcPr>
            <w:tcW w:w="5760" w:type="dxa"/>
            <w:shd w:val="clear" w:color="auto" w:fill="auto"/>
            <w:vAlign w:val="center"/>
          </w:tcPr>
          <w:p w14:paraId="7FC0AC49"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Depreciation and Amortization</w:t>
            </w:r>
          </w:p>
        </w:tc>
        <w:tc>
          <w:tcPr>
            <w:tcW w:w="990" w:type="dxa"/>
            <w:tcBorders>
              <w:top w:val="nil"/>
              <w:left w:val="nil"/>
              <w:bottom w:val="nil"/>
              <w:right w:val="nil"/>
            </w:tcBorders>
            <w:shd w:val="clear" w:color="auto" w:fill="auto"/>
          </w:tcPr>
          <w:p w14:paraId="1D9E5918" w14:textId="40951C14"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669 </w:t>
            </w:r>
          </w:p>
        </w:tc>
        <w:tc>
          <w:tcPr>
            <w:tcW w:w="900" w:type="dxa"/>
            <w:tcBorders>
              <w:top w:val="nil"/>
              <w:left w:val="nil"/>
              <w:bottom w:val="nil"/>
              <w:right w:val="nil"/>
            </w:tcBorders>
            <w:shd w:val="clear" w:color="auto" w:fill="auto"/>
          </w:tcPr>
          <w:p w14:paraId="5ECCA8D6" w14:textId="77CAB9DC"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681 </w:t>
            </w:r>
          </w:p>
        </w:tc>
        <w:tc>
          <w:tcPr>
            <w:tcW w:w="910" w:type="dxa"/>
            <w:tcBorders>
              <w:top w:val="nil"/>
              <w:left w:val="nil"/>
              <w:bottom w:val="nil"/>
              <w:right w:val="nil"/>
            </w:tcBorders>
            <w:shd w:val="clear" w:color="auto" w:fill="auto"/>
          </w:tcPr>
          <w:p w14:paraId="6C75FFA4" w14:textId="0A1EDB5D"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733 </w:t>
            </w:r>
          </w:p>
        </w:tc>
      </w:tr>
      <w:tr w:rsidR="004E0EBF" w:rsidRPr="0004254A" w14:paraId="505A71FA" w14:textId="77777777" w:rsidTr="00C55AD1">
        <w:trPr>
          <w:trHeight w:hRule="exact" w:val="216"/>
          <w:tblHeader/>
          <w:jc w:val="center"/>
        </w:trPr>
        <w:tc>
          <w:tcPr>
            <w:tcW w:w="5760" w:type="dxa"/>
            <w:shd w:val="clear" w:color="auto" w:fill="auto"/>
            <w:vAlign w:val="center"/>
          </w:tcPr>
          <w:p w14:paraId="12B96656"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Amortization of Film and Television Costs</w:t>
            </w:r>
          </w:p>
        </w:tc>
        <w:tc>
          <w:tcPr>
            <w:tcW w:w="990" w:type="dxa"/>
            <w:tcBorders>
              <w:top w:val="nil"/>
              <w:left w:val="nil"/>
              <w:bottom w:val="nil"/>
              <w:right w:val="nil"/>
            </w:tcBorders>
            <w:shd w:val="clear" w:color="auto" w:fill="auto"/>
          </w:tcPr>
          <w:p w14:paraId="6D97B606" w14:textId="0640ED21"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8,324 </w:t>
            </w:r>
          </w:p>
        </w:tc>
        <w:tc>
          <w:tcPr>
            <w:tcW w:w="900" w:type="dxa"/>
            <w:tcBorders>
              <w:top w:val="nil"/>
              <w:left w:val="nil"/>
              <w:bottom w:val="nil"/>
              <w:right w:val="nil"/>
            </w:tcBorders>
            <w:shd w:val="clear" w:color="auto" w:fill="auto"/>
          </w:tcPr>
          <w:p w14:paraId="702EFAA4" w14:textId="396053C2"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8,030 </w:t>
            </w:r>
          </w:p>
        </w:tc>
        <w:tc>
          <w:tcPr>
            <w:tcW w:w="910" w:type="dxa"/>
            <w:tcBorders>
              <w:top w:val="nil"/>
              <w:left w:val="nil"/>
              <w:bottom w:val="nil"/>
              <w:right w:val="nil"/>
            </w:tcBorders>
            <w:shd w:val="clear" w:color="auto" w:fill="auto"/>
          </w:tcPr>
          <w:p w14:paraId="55524629" w14:textId="476F512D"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8,040 </w:t>
            </w:r>
          </w:p>
        </w:tc>
      </w:tr>
      <w:tr w:rsidR="004E0EBF" w:rsidRPr="0004254A" w14:paraId="18AAFA81" w14:textId="77777777" w:rsidTr="00C55AD1">
        <w:trPr>
          <w:trHeight w:hRule="exact" w:val="216"/>
          <w:tblHeader/>
          <w:jc w:val="center"/>
        </w:trPr>
        <w:tc>
          <w:tcPr>
            <w:tcW w:w="5760" w:type="dxa"/>
            <w:shd w:val="clear" w:color="auto" w:fill="auto"/>
            <w:vAlign w:val="center"/>
          </w:tcPr>
          <w:p w14:paraId="38D370EB"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Asset Impairments</w:t>
            </w:r>
          </w:p>
        </w:tc>
        <w:tc>
          <w:tcPr>
            <w:tcW w:w="990" w:type="dxa"/>
            <w:tcBorders>
              <w:top w:val="nil"/>
              <w:left w:val="nil"/>
              <w:bottom w:val="nil"/>
              <w:right w:val="nil"/>
            </w:tcBorders>
            <w:shd w:val="clear" w:color="auto" w:fill="auto"/>
          </w:tcPr>
          <w:p w14:paraId="229FACD5" w14:textId="10D2D322"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43 </w:t>
            </w:r>
          </w:p>
        </w:tc>
        <w:tc>
          <w:tcPr>
            <w:tcW w:w="900" w:type="dxa"/>
            <w:tcBorders>
              <w:top w:val="nil"/>
              <w:left w:val="nil"/>
              <w:bottom w:val="nil"/>
              <w:right w:val="nil"/>
            </w:tcBorders>
            <w:shd w:val="clear" w:color="auto" w:fill="auto"/>
          </w:tcPr>
          <w:p w14:paraId="62B62977" w14:textId="6080B93E"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25 </w:t>
            </w:r>
          </w:p>
        </w:tc>
        <w:tc>
          <w:tcPr>
            <w:tcW w:w="910" w:type="dxa"/>
            <w:tcBorders>
              <w:top w:val="nil"/>
              <w:left w:val="nil"/>
              <w:bottom w:val="nil"/>
              <w:right w:val="nil"/>
            </w:tcBorders>
            <w:shd w:val="clear" w:color="auto" w:fill="auto"/>
          </w:tcPr>
          <w:p w14:paraId="01619C04" w14:textId="116EBE97"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69 </w:t>
            </w:r>
          </w:p>
        </w:tc>
      </w:tr>
      <w:tr w:rsidR="004E0EBF" w:rsidRPr="0004254A" w14:paraId="43FFFA72" w14:textId="77777777" w:rsidTr="00C55AD1">
        <w:trPr>
          <w:trHeight w:hRule="exact" w:val="216"/>
          <w:tblHeader/>
          <w:jc w:val="center"/>
        </w:trPr>
        <w:tc>
          <w:tcPr>
            <w:tcW w:w="5760" w:type="dxa"/>
            <w:shd w:val="clear" w:color="auto" w:fill="auto"/>
            <w:vAlign w:val="center"/>
          </w:tcPr>
          <w:p w14:paraId="7258F16A"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Venezuelan Foreign Currency Loss</w:t>
            </w:r>
          </w:p>
        </w:tc>
        <w:tc>
          <w:tcPr>
            <w:tcW w:w="990" w:type="dxa"/>
            <w:tcBorders>
              <w:top w:val="nil"/>
              <w:left w:val="nil"/>
              <w:bottom w:val="nil"/>
              <w:right w:val="nil"/>
            </w:tcBorders>
            <w:shd w:val="clear" w:color="auto" w:fill="auto"/>
          </w:tcPr>
          <w:p w14:paraId="593270F2" w14:textId="6BEAA62A"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w:t>
            </w:r>
          </w:p>
        </w:tc>
        <w:tc>
          <w:tcPr>
            <w:tcW w:w="900" w:type="dxa"/>
            <w:tcBorders>
              <w:top w:val="nil"/>
              <w:left w:val="nil"/>
              <w:bottom w:val="nil"/>
              <w:right w:val="nil"/>
            </w:tcBorders>
            <w:shd w:val="clear" w:color="auto" w:fill="auto"/>
          </w:tcPr>
          <w:p w14:paraId="7F23D8B0" w14:textId="207A50B4"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w:t>
            </w:r>
          </w:p>
        </w:tc>
        <w:tc>
          <w:tcPr>
            <w:tcW w:w="910" w:type="dxa"/>
            <w:tcBorders>
              <w:top w:val="nil"/>
              <w:left w:val="nil"/>
              <w:bottom w:val="nil"/>
              <w:right w:val="nil"/>
            </w:tcBorders>
            <w:shd w:val="clear" w:color="auto" w:fill="auto"/>
          </w:tcPr>
          <w:p w14:paraId="1D3CE3E8" w14:textId="59B9BC80"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173 </w:t>
            </w:r>
          </w:p>
        </w:tc>
      </w:tr>
      <w:tr w:rsidR="004E0EBF" w:rsidRPr="0004254A" w14:paraId="6CCF3C02" w14:textId="77777777" w:rsidTr="00C55AD1">
        <w:trPr>
          <w:trHeight w:hRule="exact" w:val="216"/>
          <w:tblHeader/>
          <w:jc w:val="center"/>
        </w:trPr>
        <w:tc>
          <w:tcPr>
            <w:tcW w:w="5760" w:type="dxa"/>
            <w:shd w:val="clear" w:color="auto" w:fill="auto"/>
            <w:vAlign w:val="center"/>
          </w:tcPr>
          <w:p w14:paraId="4E37C5F9"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(Gain) Loss on Investments and Other Assets, Net</w:t>
            </w:r>
          </w:p>
        </w:tc>
        <w:tc>
          <w:tcPr>
            <w:tcW w:w="990" w:type="dxa"/>
            <w:tcBorders>
              <w:top w:val="nil"/>
              <w:left w:val="nil"/>
              <w:bottom w:val="nil"/>
              <w:right w:val="nil"/>
            </w:tcBorders>
            <w:shd w:val="clear" w:color="auto" w:fill="auto"/>
          </w:tcPr>
          <w:p w14:paraId="4CB2C423" w14:textId="0E707510"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(131)</w:t>
            </w:r>
          </w:p>
        </w:tc>
        <w:tc>
          <w:tcPr>
            <w:tcW w:w="900" w:type="dxa"/>
            <w:tcBorders>
              <w:top w:val="nil"/>
              <w:left w:val="nil"/>
              <w:bottom w:val="nil"/>
              <w:right w:val="nil"/>
            </w:tcBorders>
            <w:shd w:val="clear" w:color="auto" w:fill="auto"/>
          </w:tcPr>
          <w:p w14:paraId="011B5506" w14:textId="57D99951"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31 </w:t>
            </w:r>
          </w:p>
        </w:tc>
        <w:tc>
          <w:tcPr>
            <w:tcW w:w="910" w:type="dxa"/>
            <w:tcBorders>
              <w:top w:val="nil"/>
              <w:left w:val="nil"/>
              <w:bottom w:val="nil"/>
              <w:right w:val="nil"/>
            </w:tcBorders>
            <w:shd w:val="clear" w:color="auto" w:fill="auto"/>
          </w:tcPr>
          <w:p w14:paraId="109986A6" w14:textId="71B79327"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(493)</w:t>
            </w:r>
          </w:p>
        </w:tc>
      </w:tr>
      <w:tr w:rsidR="004E0EBF" w:rsidRPr="0004254A" w14:paraId="431C36CF" w14:textId="77777777" w:rsidTr="00C55AD1">
        <w:trPr>
          <w:trHeight w:hRule="exact" w:val="216"/>
          <w:tblHeader/>
          <w:jc w:val="center"/>
        </w:trPr>
        <w:tc>
          <w:tcPr>
            <w:tcW w:w="5760" w:type="dxa"/>
            <w:shd w:val="clear" w:color="auto" w:fill="auto"/>
            <w:vAlign w:val="center"/>
          </w:tcPr>
          <w:p w14:paraId="653E1CC9"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Equity in Losses of Investee Companies, Net of Cash Distributions</w:t>
            </w:r>
          </w:p>
        </w:tc>
        <w:tc>
          <w:tcPr>
            <w:tcW w:w="990" w:type="dxa"/>
            <w:tcBorders>
              <w:top w:val="nil"/>
              <w:left w:val="nil"/>
              <w:bottom w:val="nil"/>
              <w:right w:val="nil"/>
            </w:tcBorders>
            <w:shd w:val="clear" w:color="auto" w:fill="auto"/>
          </w:tcPr>
          <w:p w14:paraId="1AE33D96" w14:textId="3AE94E78"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324 </w:t>
            </w:r>
          </w:p>
        </w:tc>
        <w:tc>
          <w:tcPr>
            <w:tcW w:w="900" w:type="dxa"/>
            <w:tcBorders>
              <w:top w:val="nil"/>
              <w:left w:val="nil"/>
              <w:bottom w:val="nil"/>
              <w:right w:val="nil"/>
            </w:tcBorders>
            <w:shd w:val="clear" w:color="auto" w:fill="auto"/>
          </w:tcPr>
          <w:p w14:paraId="1ABE72EB" w14:textId="392944B7"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161 </w:t>
            </w:r>
          </w:p>
        </w:tc>
        <w:tc>
          <w:tcPr>
            <w:tcW w:w="910" w:type="dxa"/>
            <w:tcBorders>
              <w:top w:val="nil"/>
              <w:left w:val="nil"/>
              <w:bottom w:val="nil"/>
              <w:right w:val="nil"/>
            </w:tcBorders>
            <w:shd w:val="clear" w:color="auto" w:fill="auto"/>
          </w:tcPr>
          <w:p w14:paraId="174B6988" w14:textId="0606E0FE"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232 </w:t>
            </w:r>
          </w:p>
        </w:tc>
      </w:tr>
      <w:tr w:rsidR="004E0EBF" w:rsidRPr="0004254A" w14:paraId="5A3ACC37" w14:textId="77777777" w:rsidTr="00C55AD1">
        <w:trPr>
          <w:trHeight w:hRule="exact" w:val="216"/>
          <w:tblHeader/>
          <w:jc w:val="center"/>
        </w:trPr>
        <w:tc>
          <w:tcPr>
            <w:tcW w:w="5760" w:type="dxa"/>
            <w:shd w:val="clear" w:color="auto" w:fill="auto"/>
            <w:vAlign w:val="center"/>
          </w:tcPr>
          <w:p w14:paraId="2C6F8A14"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Equity-Based Compensation</w:t>
            </w:r>
          </w:p>
        </w:tc>
        <w:tc>
          <w:tcPr>
            <w:tcW w:w="990" w:type="dxa"/>
            <w:tcBorders>
              <w:top w:val="nil"/>
              <w:left w:val="nil"/>
              <w:bottom w:val="nil"/>
              <w:right w:val="nil"/>
            </w:tcBorders>
            <w:shd w:val="clear" w:color="auto" w:fill="auto"/>
          </w:tcPr>
          <w:p w14:paraId="4E10E3CD" w14:textId="7588C074"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277 </w:t>
            </w:r>
          </w:p>
        </w:tc>
        <w:tc>
          <w:tcPr>
            <w:tcW w:w="900" w:type="dxa"/>
            <w:tcBorders>
              <w:top w:val="nil"/>
              <w:left w:val="nil"/>
              <w:bottom w:val="nil"/>
              <w:right w:val="nil"/>
            </w:tcBorders>
            <w:shd w:val="clear" w:color="auto" w:fill="auto"/>
          </w:tcPr>
          <w:p w14:paraId="790014B3" w14:textId="7247C452"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182 </w:t>
            </w:r>
          </w:p>
        </w:tc>
        <w:tc>
          <w:tcPr>
            <w:tcW w:w="910" w:type="dxa"/>
            <w:tcBorders>
              <w:top w:val="nil"/>
              <w:left w:val="nil"/>
              <w:bottom w:val="nil"/>
              <w:right w:val="nil"/>
            </w:tcBorders>
            <w:shd w:val="clear" w:color="auto" w:fill="auto"/>
          </w:tcPr>
          <w:p w14:paraId="13270014" w14:textId="25B2B18B"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219 </w:t>
            </w:r>
          </w:p>
        </w:tc>
      </w:tr>
      <w:tr w:rsidR="004E0EBF" w:rsidRPr="0004254A" w14:paraId="63EBD317" w14:textId="77777777" w:rsidTr="00C55AD1">
        <w:trPr>
          <w:trHeight w:hRule="exact" w:val="216"/>
          <w:tblHeader/>
          <w:jc w:val="center"/>
        </w:trPr>
        <w:tc>
          <w:tcPr>
            <w:tcW w:w="5760" w:type="dxa"/>
            <w:shd w:val="clear" w:color="auto" w:fill="auto"/>
            <w:vAlign w:val="center"/>
          </w:tcPr>
          <w:p w14:paraId="1CB948BA"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Deferred Income Taxes</w:t>
            </w:r>
          </w:p>
        </w:tc>
        <w:tc>
          <w:tcPr>
            <w:tcW w:w="990" w:type="dxa"/>
            <w:tcBorders>
              <w:top w:val="nil"/>
              <w:left w:val="nil"/>
              <w:bottom w:val="nil"/>
              <w:right w:val="nil"/>
            </w:tcBorders>
            <w:shd w:val="clear" w:color="auto" w:fill="auto"/>
          </w:tcPr>
          <w:p w14:paraId="0B27CCE2" w14:textId="08132739"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236 </w:t>
            </w:r>
          </w:p>
        </w:tc>
        <w:tc>
          <w:tcPr>
            <w:tcW w:w="900" w:type="dxa"/>
            <w:tcBorders>
              <w:top w:val="nil"/>
              <w:left w:val="nil"/>
              <w:bottom w:val="nil"/>
              <w:right w:val="nil"/>
            </w:tcBorders>
            <w:shd w:val="clear" w:color="auto" w:fill="auto"/>
          </w:tcPr>
          <w:p w14:paraId="10EBAE41" w14:textId="2EA2CCED"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328 </w:t>
            </w:r>
          </w:p>
        </w:tc>
        <w:tc>
          <w:tcPr>
            <w:tcW w:w="910" w:type="dxa"/>
            <w:tcBorders>
              <w:top w:val="nil"/>
              <w:left w:val="nil"/>
              <w:bottom w:val="nil"/>
              <w:right w:val="nil"/>
            </w:tcBorders>
            <w:shd w:val="clear" w:color="auto" w:fill="auto"/>
          </w:tcPr>
          <w:p w14:paraId="3C88B746" w14:textId="2A3B722A"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166 </w:t>
            </w:r>
          </w:p>
        </w:tc>
      </w:tr>
      <w:tr w:rsidR="004E0EBF" w:rsidRPr="0004254A" w14:paraId="19632ADB" w14:textId="77777777" w:rsidTr="00C55AD1">
        <w:trPr>
          <w:trHeight w:hRule="exact" w:val="216"/>
          <w:tblHeader/>
          <w:jc w:val="center"/>
        </w:trPr>
        <w:tc>
          <w:tcPr>
            <w:tcW w:w="5760" w:type="dxa"/>
            <w:shd w:val="clear" w:color="auto" w:fill="auto"/>
            <w:vAlign w:val="center"/>
          </w:tcPr>
          <w:p w14:paraId="690E1150"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Premiums Paid and Costs Incurred on Debt Redemption</w:t>
            </w:r>
          </w:p>
        </w:tc>
        <w:tc>
          <w:tcPr>
            <w:tcW w:w="990" w:type="dxa"/>
            <w:tcBorders>
              <w:top w:val="nil"/>
              <w:left w:val="nil"/>
              <w:bottom w:val="nil"/>
              <w:right w:val="nil"/>
            </w:tcBorders>
            <w:shd w:val="clear" w:color="auto" w:fill="auto"/>
          </w:tcPr>
          <w:p w14:paraId="5BBB22D8" w14:textId="6181ED74"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1,008 </w:t>
            </w:r>
          </w:p>
        </w:tc>
        <w:tc>
          <w:tcPr>
            <w:tcW w:w="900" w:type="dxa"/>
            <w:tcBorders>
              <w:top w:val="nil"/>
              <w:left w:val="nil"/>
              <w:bottom w:val="nil"/>
              <w:right w:val="nil"/>
            </w:tcBorders>
            <w:shd w:val="clear" w:color="auto" w:fill="auto"/>
          </w:tcPr>
          <w:p w14:paraId="3534B12E" w14:textId="402E0FE2"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72 </w:t>
            </w:r>
          </w:p>
        </w:tc>
        <w:tc>
          <w:tcPr>
            <w:tcW w:w="910" w:type="dxa"/>
            <w:tcBorders>
              <w:top w:val="nil"/>
              <w:left w:val="nil"/>
              <w:bottom w:val="nil"/>
              <w:right w:val="nil"/>
            </w:tcBorders>
            <w:shd w:val="clear" w:color="auto" w:fill="auto"/>
          </w:tcPr>
          <w:p w14:paraId="417DFD17" w14:textId="7DCA312A"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w:t>
            </w:r>
          </w:p>
        </w:tc>
      </w:tr>
      <w:tr w:rsidR="004E0EBF" w:rsidRPr="0004254A" w14:paraId="0C20DB35" w14:textId="77777777" w:rsidTr="00C55AD1">
        <w:trPr>
          <w:trHeight w:hRule="exact" w:val="216"/>
          <w:tblHeader/>
          <w:jc w:val="center"/>
        </w:trPr>
        <w:tc>
          <w:tcPr>
            <w:tcW w:w="5760" w:type="dxa"/>
            <w:shd w:val="clear" w:color="auto" w:fill="auto"/>
            <w:vAlign w:val="center"/>
          </w:tcPr>
          <w:p w14:paraId="0C6FE2B0"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Changes in Operating Assets and Liabilities, Net of Acquisitions:</w:t>
            </w:r>
          </w:p>
        </w:tc>
        <w:tc>
          <w:tcPr>
            <w:tcW w:w="990" w:type="dxa"/>
            <w:tcBorders>
              <w:top w:val="nil"/>
              <w:left w:val="nil"/>
              <w:bottom w:val="nil"/>
              <w:right w:val="nil"/>
            </w:tcBorders>
            <w:shd w:val="clear" w:color="auto" w:fill="auto"/>
          </w:tcPr>
          <w:p w14:paraId="3B582639" w14:textId="6DEAF080" w:rsidR="004E0EBF" w:rsidRPr="0004254A" w:rsidRDefault="004E0EBF" w:rsidP="004E0EBF">
            <w:pPr>
              <w:spacing w:after="160" w:line="259" w:lineRule="auto"/>
              <w:jc w:val="right"/>
              <w:rPr>
                <w:rFonts w:ascii="Arial" w:hAnsi="Arial" w:cs="Arial"/>
                <w:color w:val="000000"/>
                <w:lang w:val="en-GB"/>
              </w:rPr>
            </w:pPr>
          </w:p>
        </w:tc>
        <w:tc>
          <w:tcPr>
            <w:tcW w:w="900" w:type="dxa"/>
            <w:tcBorders>
              <w:top w:val="nil"/>
              <w:left w:val="nil"/>
              <w:bottom w:val="nil"/>
              <w:right w:val="nil"/>
            </w:tcBorders>
            <w:shd w:val="clear" w:color="auto" w:fill="auto"/>
          </w:tcPr>
          <w:p w14:paraId="3FBF1998" w14:textId="691945F9" w:rsidR="004E0EBF" w:rsidRPr="0004254A" w:rsidRDefault="004E0EBF" w:rsidP="004E0EBF">
            <w:pPr>
              <w:spacing w:after="160" w:line="259" w:lineRule="auto"/>
              <w:jc w:val="right"/>
              <w:rPr>
                <w:rFonts w:ascii="Arial" w:hAnsi="Arial" w:cs="Arial"/>
                <w:color w:val="000000"/>
                <w:lang w:val="en-GB"/>
              </w:rPr>
            </w:pPr>
          </w:p>
        </w:tc>
        <w:tc>
          <w:tcPr>
            <w:tcW w:w="910" w:type="dxa"/>
            <w:tcBorders>
              <w:top w:val="nil"/>
              <w:left w:val="nil"/>
              <w:bottom w:val="nil"/>
              <w:right w:val="nil"/>
            </w:tcBorders>
            <w:shd w:val="clear" w:color="auto" w:fill="auto"/>
          </w:tcPr>
          <w:p w14:paraId="2145C199" w14:textId="099E5BD2" w:rsidR="004E0EBF" w:rsidRPr="0004254A" w:rsidRDefault="004E0EBF" w:rsidP="004E0EBF">
            <w:pPr>
              <w:spacing w:after="160" w:line="259" w:lineRule="auto"/>
              <w:jc w:val="right"/>
              <w:rPr>
                <w:rFonts w:ascii="Arial" w:hAnsi="Arial" w:cs="Arial"/>
                <w:color w:val="000000"/>
                <w:lang w:val="en-GB"/>
              </w:rPr>
            </w:pPr>
          </w:p>
        </w:tc>
      </w:tr>
      <w:tr w:rsidR="004E0EBF" w:rsidRPr="0004254A" w14:paraId="23D49780" w14:textId="77777777" w:rsidTr="00C55AD1">
        <w:trPr>
          <w:trHeight w:hRule="exact" w:val="216"/>
          <w:tblHeader/>
          <w:jc w:val="center"/>
        </w:trPr>
        <w:tc>
          <w:tcPr>
            <w:tcW w:w="5760" w:type="dxa"/>
            <w:shd w:val="clear" w:color="auto" w:fill="auto"/>
            <w:vAlign w:val="center"/>
          </w:tcPr>
          <w:p w14:paraId="638644D0"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Receivables</w:t>
            </w:r>
          </w:p>
        </w:tc>
        <w:tc>
          <w:tcPr>
            <w:tcW w:w="990" w:type="dxa"/>
            <w:tcBorders>
              <w:top w:val="nil"/>
              <w:left w:val="nil"/>
              <w:bottom w:val="nil"/>
              <w:right w:val="nil"/>
            </w:tcBorders>
            <w:shd w:val="clear" w:color="auto" w:fill="auto"/>
          </w:tcPr>
          <w:p w14:paraId="310AC11F" w14:textId="646FF85F"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(1,201)</w:t>
            </w:r>
          </w:p>
        </w:tc>
        <w:tc>
          <w:tcPr>
            <w:tcW w:w="900" w:type="dxa"/>
            <w:tcBorders>
              <w:top w:val="nil"/>
              <w:left w:val="nil"/>
              <w:bottom w:val="nil"/>
              <w:right w:val="nil"/>
            </w:tcBorders>
            <w:shd w:val="clear" w:color="auto" w:fill="auto"/>
          </w:tcPr>
          <w:p w14:paraId="049F88C6" w14:textId="0B10F803"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(112)</w:t>
            </w:r>
          </w:p>
        </w:tc>
        <w:tc>
          <w:tcPr>
            <w:tcW w:w="910" w:type="dxa"/>
            <w:tcBorders>
              <w:top w:val="nil"/>
              <w:left w:val="nil"/>
              <w:bottom w:val="nil"/>
              <w:right w:val="nil"/>
            </w:tcBorders>
            <w:shd w:val="clear" w:color="auto" w:fill="auto"/>
          </w:tcPr>
          <w:p w14:paraId="774EC47B" w14:textId="22C9E8E9"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(403)</w:t>
            </w:r>
          </w:p>
        </w:tc>
      </w:tr>
      <w:tr w:rsidR="004E0EBF" w:rsidRPr="0004254A" w14:paraId="140B729F" w14:textId="77777777" w:rsidTr="00C55AD1">
        <w:trPr>
          <w:trHeight w:hRule="exact" w:val="216"/>
          <w:tblHeader/>
          <w:jc w:val="center"/>
        </w:trPr>
        <w:tc>
          <w:tcPr>
            <w:tcW w:w="5760" w:type="dxa"/>
            <w:shd w:val="clear" w:color="auto" w:fill="auto"/>
            <w:vAlign w:val="center"/>
          </w:tcPr>
          <w:p w14:paraId="2DC4C3DF"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Inventories and Film Costs</w:t>
            </w:r>
          </w:p>
        </w:tc>
        <w:tc>
          <w:tcPr>
            <w:tcW w:w="990" w:type="dxa"/>
            <w:tcBorders>
              <w:top w:val="nil"/>
              <w:left w:val="nil"/>
              <w:bottom w:val="nil"/>
              <w:right w:val="nil"/>
            </w:tcBorders>
            <w:shd w:val="clear" w:color="auto" w:fill="auto"/>
          </w:tcPr>
          <w:p w14:paraId="709B0897" w14:textId="06789B3D"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(8,774)</w:t>
            </w:r>
          </w:p>
        </w:tc>
        <w:tc>
          <w:tcPr>
            <w:tcW w:w="900" w:type="dxa"/>
            <w:tcBorders>
              <w:top w:val="nil"/>
              <w:left w:val="nil"/>
              <w:bottom w:val="nil"/>
              <w:right w:val="nil"/>
            </w:tcBorders>
            <w:shd w:val="clear" w:color="auto" w:fill="auto"/>
          </w:tcPr>
          <w:p w14:paraId="06A58D1C" w14:textId="73BA7169"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(8,526)</w:t>
            </w:r>
          </w:p>
        </w:tc>
        <w:tc>
          <w:tcPr>
            <w:tcW w:w="910" w:type="dxa"/>
            <w:tcBorders>
              <w:top w:val="nil"/>
              <w:left w:val="nil"/>
              <w:bottom w:val="nil"/>
              <w:right w:val="nil"/>
            </w:tcBorders>
            <w:shd w:val="clear" w:color="auto" w:fill="auto"/>
          </w:tcPr>
          <w:p w14:paraId="18230F37" w14:textId="08CF5DD7"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(7,789)</w:t>
            </w:r>
          </w:p>
        </w:tc>
      </w:tr>
      <w:tr w:rsidR="004E0EBF" w:rsidRPr="0004254A" w14:paraId="39B346A4" w14:textId="77777777" w:rsidTr="00C55AD1">
        <w:trPr>
          <w:trHeight w:hRule="exact" w:val="216"/>
          <w:tblHeader/>
          <w:jc w:val="center"/>
        </w:trPr>
        <w:tc>
          <w:tcPr>
            <w:tcW w:w="5760" w:type="dxa"/>
            <w:shd w:val="clear" w:color="auto" w:fill="auto"/>
            <w:vAlign w:val="center"/>
          </w:tcPr>
          <w:p w14:paraId="1638F5BC"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Accounts Payable and Other Liabilities</w:t>
            </w:r>
          </w:p>
        </w:tc>
        <w:tc>
          <w:tcPr>
            <w:tcW w:w="990" w:type="dxa"/>
            <w:tcBorders>
              <w:top w:val="nil"/>
              <w:left w:val="nil"/>
              <w:bottom w:val="nil"/>
              <w:right w:val="nil"/>
            </w:tcBorders>
            <w:shd w:val="clear" w:color="auto" w:fill="auto"/>
          </w:tcPr>
          <w:p w14:paraId="2237FB13" w14:textId="0C031BF7"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631 </w:t>
            </w:r>
          </w:p>
        </w:tc>
        <w:tc>
          <w:tcPr>
            <w:tcW w:w="900" w:type="dxa"/>
            <w:tcBorders>
              <w:top w:val="nil"/>
              <w:left w:val="nil"/>
              <w:bottom w:val="nil"/>
              <w:right w:val="nil"/>
            </w:tcBorders>
            <w:shd w:val="clear" w:color="auto" w:fill="auto"/>
          </w:tcPr>
          <w:p w14:paraId="58A7D035" w14:textId="3E84B035"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(200)</w:t>
            </w:r>
          </w:p>
        </w:tc>
        <w:tc>
          <w:tcPr>
            <w:tcW w:w="910" w:type="dxa"/>
            <w:tcBorders>
              <w:top w:val="nil"/>
              <w:left w:val="nil"/>
              <w:bottom w:val="nil"/>
              <w:right w:val="nil"/>
            </w:tcBorders>
            <w:shd w:val="clear" w:color="auto" w:fill="auto"/>
          </w:tcPr>
          <w:p w14:paraId="38EB65F5" w14:textId="62CA65CE"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592 </w:t>
            </w:r>
          </w:p>
        </w:tc>
      </w:tr>
      <w:tr w:rsidR="004E0EBF" w:rsidRPr="0004254A" w14:paraId="1F0B43FD" w14:textId="77777777" w:rsidTr="00C55AD1">
        <w:trPr>
          <w:trHeight w:hRule="exact" w:val="216"/>
          <w:tblHeader/>
          <w:jc w:val="center"/>
        </w:trPr>
        <w:tc>
          <w:tcPr>
            <w:tcW w:w="5760" w:type="dxa"/>
            <w:shd w:val="clear" w:color="auto" w:fill="auto"/>
            <w:vAlign w:val="center"/>
          </w:tcPr>
          <w:p w14:paraId="2DA9C4DD"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Other Changes</w:t>
            </w:r>
          </w:p>
        </w:tc>
        <w:tc>
          <w:tcPr>
            <w:tcW w:w="990" w:type="dxa"/>
            <w:tcBorders>
              <w:top w:val="nil"/>
              <w:left w:val="nil"/>
              <w:bottom w:val="nil"/>
              <w:right w:val="nil"/>
            </w:tcBorders>
            <w:shd w:val="clear" w:color="auto" w:fill="auto"/>
          </w:tcPr>
          <w:p w14:paraId="64F23078" w14:textId="518D8F9A"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(637)</w:t>
            </w:r>
          </w:p>
        </w:tc>
        <w:tc>
          <w:tcPr>
            <w:tcW w:w="900" w:type="dxa"/>
            <w:tcBorders>
              <w:top w:val="nil"/>
              <w:left w:val="nil"/>
              <w:bottom w:val="nil"/>
              <w:right w:val="nil"/>
            </w:tcBorders>
            <w:shd w:val="clear" w:color="auto" w:fill="auto"/>
          </w:tcPr>
          <w:p w14:paraId="3A3A51CC" w14:textId="0AADB335"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(616)</w:t>
            </w:r>
          </w:p>
        </w:tc>
        <w:tc>
          <w:tcPr>
            <w:tcW w:w="910" w:type="dxa"/>
            <w:tcBorders>
              <w:top w:val="nil"/>
              <w:left w:val="nil"/>
              <w:bottom w:val="nil"/>
              <w:right w:val="nil"/>
            </w:tcBorders>
            <w:shd w:val="clear" w:color="auto" w:fill="auto"/>
          </w:tcPr>
          <w:p w14:paraId="6A60CFA8" w14:textId="316315C2"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(1,752)</w:t>
            </w:r>
          </w:p>
        </w:tc>
      </w:tr>
      <w:tr w:rsidR="004E0EBF" w:rsidRPr="0004254A" w14:paraId="7BBF94D2" w14:textId="77777777" w:rsidTr="00C55AD1">
        <w:trPr>
          <w:trHeight w:hRule="exact" w:val="216"/>
          <w:tblHeader/>
          <w:jc w:val="center"/>
        </w:trPr>
        <w:tc>
          <w:tcPr>
            <w:tcW w:w="5760" w:type="dxa"/>
            <w:tcBorders>
              <w:bottom w:val="single" w:sz="4" w:space="0" w:color="auto"/>
            </w:tcBorders>
            <w:shd w:val="clear" w:color="auto" w:fill="auto"/>
            <w:vAlign w:val="center"/>
          </w:tcPr>
          <w:p w14:paraId="0E3C003A" w14:textId="77777777" w:rsidR="004E0EBF" w:rsidRPr="0004254A" w:rsidRDefault="004E0EBF" w:rsidP="004E0EBF">
            <w:pPr>
              <w:spacing w:after="160" w:line="259" w:lineRule="auto"/>
              <w:rPr>
                <w:rFonts w:ascii="Arial" w:hAnsi="Arial" w:cs="Arial"/>
                <w:color w:val="000000"/>
                <w:lang w:val="en-GB"/>
              </w:rPr>
            </w:pPr>
            <w:r w:rsidRPr="0004254A">
              <w:rPr>
                <w:rFonts w:ascii="Arial" w:hAnsi="Arial" w:cs="Arial"/>
                <w:color w:val="000000"/>
                <w:lang w:val="en-GB"/>
              </w:rPr>
              <w:t>Cash Provided by Operations from Continuing Operations</w:t>
            </w:r>
          </w:p>
        </w:tc>
        <w:tc>
          <w:tcPr>
            <w:tcW w:w="990" w:type="dxa"/>
            <w:tcBorders>
              <w:top w:val="nil"/>
              <w:left w:val="nil"/>
              <w:bottom w:val="single" w:sz="4" w:space="0" w:color="auto"/>
              <w:right w:val="nil"/>
            </w:tcBorders>
            <w:shd w:val="clear" w:color="auto" w:fill="auto"/>
          </w:tcPr>
          <w:p w14:paraId="2EE17734" w14:textId="48F341C1"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4,683 </w:t>
            </w:r>
          </w:p>
        </w:tc>
        <w:tc>
          <w:tcPr>
            <w:tcW w:w="900" w:type="dxa"/>
            <w:tcBorders>
              <w:top w:val="nil"/>
              <w:left w:val="nil"/>
              <w:bottom w:val="single" w:sz="4" w:space="0" w:color="auto"/>
              <w:right w:val="nil"/>
            </w:tcBorders>
            <w:shd w:val="clear" w:color="auto" w:fill="auto"/>
          </w:tcPr>
          <w:p w14:paraId="1AA6E055" w14:textId="0B68A75D"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3,851 </w:t>
            </w:r>
          </w:p>
        </w:tc>
        <w:tc>
          <w:tcPr>
            <w:tcW w:w="910" w:type="dxa"/>
            <w:tcBorders>
              <w:top w:val="nil"/>
              <w:left w:val="nil"/>
              <w:bottom w:val="single" w:sz="4" w:space="0" w:color="auto"/>
              <w:right w:val="nil"/>
            </w:tcBorders>
            <w:shd w:val="clear" w:color="auto" w:fill="auto"/>
          </w:tcPr>
          <w:p w14:paraId="0EF8D993" w14:textId="3CCA8B37" w:rsidR="004E0EBF" w:rsidRPr="0004254A" w:rsidRDefault="004E0EBF" w:rsidP="004E0EBF">
            <w:pPr>
              <w:spacing w:after="160" w:line="259" w:lineRule="auto"/>
              <w:jc w:val="right"/>
              <w:rPr>
                <w:rFonts w:ascii="Arial" w:hAnsi="Arial" w:cs="Arial"/>
                <w:color w:val="000000"/>
                <w:lang w:val="en-GB"/>
              </w:rPr>
            </w:pPr>
            <w:r>
              <w:rPr>
                <w:rFonts w:ascii="Arial" w:hAnsi="Arial" w:cs="Arial"/>
                <w:color w:val="000000"/>
              </w:rPr>
              <w:t xml:space="preserve">3,681 </w:t>
            </w:r>
          </w:p>
        </w:tc>
      </w:tr>
      <w:tr w:rsidR="00EE487F" w:rsidRPr="0004254A" w14:paraId="1FEF0E06" w14:textId="77777777" w:rsidTr="00C55AD1">
        <w:trPr>
          <w:trHeight w:hRule="exact" w:val="216"/>
          <w:tblHeader/>
          <w:jc w:val="center"/>
        </w:trPr>
        <w:tc>
          <w:tcPr>
            <w:tcW w:w="5760" w:type="dxa"/>
            <w:tcBorders>
              <w:top w:val="single" w:sz="4" w:space="0" w:color="auto"/>
            </w:tcBorders>
            <w:shd w:val="clear" w:color="auto" w:fill="auto"/>
            <w:vAlign w:val="center"/>
          </w:tcPr>
          <w:p w14:paraId="7FBD33DF"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INVESTING ACTIVITIES</w:t>
            </w:r>
          </w:p>
        </w:tc>
        <w:tc>
          <w:tcPr>
            <w:tcW w:w="990" w:type="dxa"/>
            <w:tcBorders>
              <w:top w:val="single" w:sz="4" w:space="0" w:color="auto"/>
            </w:tcBorders>
            <w:shd w:val="clear" w:color="auto" w:fill="auto"/>
            <w:vAlign w:val="center"/>
          </w:tcPr>
          <w:p w14:paraId="187BEE52" w14:textId="1B352C28" w:rsidR="00EE487F" w:rsidRPr="0004254A" w:rsidRDefault="00EE487F" w:rsidP="00EE487F">
            <w:pPr>
              <w:spacing w:after="160" w:line="259" w:lineRule="auto"/>
              <w:jc w:val="right"/>
              <w:rPr>
                <w:rFonts w:ascii="Arial" w:hAnsi="Arial" w:cs="Arial"/>
                <w:color w:val="000000"/>
                <w:lang w:val="en-GB"/>
              </w:rPr>
            </w:pPr>
          </w:p>
        </w:tc>
        <w:tc>
          <w:tcPr>
            <w:tcW w:w="900" w:type="dxa"/>
            <w:tcBorders>
              <w:top w:val="single" w:sz="4" w:space="0" w:color="auto"/>
            </w:tcBorders>
            <w:shd w:val="clear" w:color="auto" w:fill="auto"/>
            <w:vAlign w:val="center"/>
          </w:tcPr>
          <w:p w14:paraId="65728073" w14:textId="61EBBC17" w:rsidR="00EE487F" w:rsidRPr="0004254A" w:rsidRDefault="00EE487F" w:rsidP="00EE487F">
            <w:pPr>
              <w:spacing w:after="160" w:line="259" w:lineRule="auto"/>
              <w:jc w:val="right"/>
              <w:rPr>
                <w:rFonts w:ascii="Arial" w:hAnsi="Arial" w:cs="Arial"/>
                <w:color w:val="000000"/>
                <w:lang w:val="en-GB"/>
              </w:rPr>
            </w:pPr>
          </w:p>
        </w:tc>
        <w:tc>
          <w:tcPr>
            <w:tcW w:w="910" w:type="dxa"/>
            <w:tcBorders>
              <w:top w:val="single" w:sz="4" w:space="0" w:color="auto"/>
            </w:tcBorders>
            <w:shd w:val="clear" w:color="auto" w:fill="auto"/>
            <w:vAlign w:val="center"/>
          </w:tcPr>
          <w:p w14:paraId="74B6B29C" w14:textId="2B9BBC16" w:rsidR="00EE487F" w:rsidRPr="0004254A" w:rsidRDefault="00EE487F" w:rsidP="00EE487F">
            <w:pPr>
              <w:spacing w:after="160" w:line="259" w:lineRule="auto"/>
              <w:jc w:val="right"/>
              <w:rPr>
                <w:rFonts w:ascii="Arial" w:hAnsi="Arial" w:cs="Arial"/>
                <w:color w:val="000000"/>
                <w:lang w:val="en-GB"/>
              </w:rPr>
            </w:pPr>
          </w:p>
        </w:tc>
      </w:tr>
      <w:tr w:rsidR="00EE487F" w:rsidRPr="0004254A" w14:paraId="255037B1" w14:textId="77777777" w:rsidTr="00C55AD1">
        <w:trPr>
          <w:trHeight w:hRule="exact" w:val="216"/>
          <w:tblHeader/>
          <w:jc w:val="center"/>
        </w:trPr>
        <w:tc>
          <w:tcPr>
            <w:tcW w:w="5760" w:type="dxa"/>
            <w:shd w:val="clear" w:color="auto" w:fill="auto"/>
            <w:vAlign w:val="center"/>
          </w:tcPr>
          <w:p w14:paraId="30F9BFB1"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Investments in Available-for-Sale Securities</w:t>
            </w:r>
          </w:p>
        </w:tc>
        <w:tc>
          <w:tcPr>
            <w:tcW w:w="990" w:type="dxa"/>
            <w:shd w:val="clear" w:color="auto" w:fill="auto"/>
            <w:vAlign w:val="center"/>
          </w:tcPr>
          <w:p w14:paraId="783BB606"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(9)</w:t>
            </w:r>
          </w:p>
        </w:tc>
        <w:tc>
          <w:tcPr>
            <w:tcW w:w="900" w:type="dxa"/>
            <w:shd w:val="clear" w:color="auto" w:fill="auto"/>
            <w:vAlign w:val="center"/>
          </w:tcPr>
          <w:p w14:paraId="25C30462"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(41)</w:t>
            </w:r>
          </w:p>
        </w:tc>
        <w:tc>
          <w:tcPr>
            <w:tcW w:w="910" w:type="dxa"/>
            <w:shd w:val="clear" w:color="auto" w:fill="auto"/>
            <w:vAlign w:val="center"/>
          </w:tcPr>
          <w:p w14:paraId="458BF559"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(30)</w:t>
            </w:r>
          </w:p>
        </w:tc>
      </w:tr>
      <w:tr w:rsidR="00EE487F" w:rsidRPr="0004254A" w14:paraId="7F5E87BF" w14:textId="77777777" w:rsidTr="00C55AD1">
        <w:trPr>
          <w:trHeight w:hRule="exact" w:val="216"/>
          <w:tblHeader/>
          <w:jc w:val="center"/>
        </w:trPr>
        <w:tc>
          <w:tcPr>
            <w:tcW w:w="5760" w:type="dxa"/>
            <w:shd w:val="clear" w:color="auto" w:fill="auto"/>
            <w:vAlign w:val="center"/>
          </w:tcPr>
          <w:p w14:paraId="11754B68"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Investments and Acquisitions, Net of Cash Acquired</w:t>
            </w:r>
          </w:p>
        </w:tc>
        <w:tc>
          <w:tcPr>
            <w:tcW w:w="990" w:type="dxa"/>
            <w:shd w:val="clear" w:color="auto" w:fill="auto"/>
            <w:vAlign w:val="center"/>
          </w:tcPr>
          <w:p w14:paraId="5BDAA0E8"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(1,228)</w:t>
            </w:r>
          </w:p>
        </w:tc>
        <w:tc>
          <w:tcPr>
            <w:tcW w:w="900" w:type="dxa"/>
            <w:shd w:val="clear" w:color="auto" w:fill="auto"/>
            <w:vAlign w:val="center"/>
          </w:tcPr>
          <w:p w14:paraId="6D5BD319"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(672)</w:t>
            </w:r>
          </w:p>
        </w:tc>
        <w:tc>
          <w:tcPr>
            <w:tcW w:w="910" w:type="dxa"/>
            <w:shd w:val="clear" w:color="auto" w:fill="auto"/>
            <w:vAlign w:val="center"/>
          </w:tcPr>
          <w:p w14:paraId="76BE58B8"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(950)</w:t>
            </w:r>
          </w:p>
        </w:tc>
      </w:tr>
      <w:tr w:rsidR="00EE487F" w:rsidRPr="0004254A" w14:paraId="5C8126CD" w14:textId="77777777" w:rsidTr="00C55AD1">
        <w:trPr>
          <w:trHeight w:hRule="exact" w:val="216"/>
          <w:tblHeader/>
          <w:jc w:val="center"/>
        </w:trPr>
        <w:tc>
          <w:tcPr>
            <w:tcW w:w="5760" w:type="dxa"/>
            <w:shd w:val="clear" w:color="auto" w:fill="auto"/>
            <w:vAlign w:val="center"/>
          </w:tcPr>
          <w:p w14:paraId="688AA2CB"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Capital Expenditures</w:t>
            </w:r>
          </w:p>
        </w:tc>
        <w:tc>
          <w:tcPr>
            <w:tcW w:w="990" w:type="dxa"/>
            <w:shd w:val="clear" w:color="auto" w:fill="auto"/>
            <w:vAlign w:val="center"/>
          </w:tcPr>
          <w:p w14:paraId="2994420E"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(432)</w:t>
            </w:r>
          </w:p>
        </w:tc>
        <w:tc>
          <w:tcPr>
            <w:tcW w:w="900" w:type="dxa"/>
            <w:shd w:val="clear" w:color="auto" w:fill="auto"/>
            <w:vAlign w:val="center"/>
          </w:tcPr>
          <w:p w14:paraId="37B6D3AD"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(423)</w:t>
            </w:r>
          </w:p>
        </w:tc>
        <w:tc>
          <w:tcPr>
            <w:tcW w:w="910" w:type="dxa"/>
            <w:shd w:val="clear" w:color="auto" w:fill="auto"/>
            <w:vAlign w:val="center"/>
          </w:tcPr>
          <w:p w14:paraId="7BE35D59"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(474)</w:t>
            </w:r>
          </w:p>
        </w:tc>
      </w:tr>
      <w:tr w:rsidR="00EE487F" w:rsidRPr="0004254A" w14:paraId="7AEC1CC2" w14:textId="77777777" w:rsidTr="00C55AD1">
        <w:trPr>
          <w:trHeight w:hRule="exact" w:val="216"/>
          <w:tblHeader/>
          <w:jc w:val="center"/>
        </w:trPr>
        <w:tc>
          <w:tcPr>
            <w:tcW w:w="5760" w:type="dxa"/>
            <w:shd w:val="clear" w:color="auto" w:fill="auto"/>
            <w:vAlign w:val="center"/>
          </w:tcPr>
          <w:p w14:paraId="61BA6FE5"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Proceeds from Time Inc. in the Time Separation</w:t>
            </w:r>
          </w:p>
        </w:tc>
        <w:tc>
          <w:tcPr>
            <w:tcW w:w="990" w:type="dxa"/>
            <w:shd w:val="clear" w:color="auto" w:fill="auto"/>
            <w:vAlign w:val="center"/>
          </w:tcPr>
          <w:p w14:paraId="486393D6"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w:t>
            </w:r>
          </w:p>
        </w:tc>
        <w:tc>
          <w:tcPr>
            <w:tcW w:w="900" w:type="dxa"/>
            <w:shd w:val="clear" w:color="auto" w:fill="auto"/>
            <w:vAlign w:val="center"/>
          </w:tcPr>
          <w:p w14:paraId="2F2B44F2"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w:t>
            </w:r>
          </w:p>
        </w:tc>
        <w:tc>
          <w:tcPr>
            <w:tcW w:w="910" w:type="dxa"/>
            <w:shd w:val="clear" w:color="auto" w:fill="auto"/>
            <w:vAlign w:val="center"/>
          </w:tcPr>
          <w:p w14:paraId="2A00C757"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1,400</w:t>
            </w:r>
          </w:p>
        </w:tc>
      </w:tr>
      <w:tr w:rsidR="00EE487F" w:rsidRPr="0004254A" w14:paraId="67F35EC5" w14:textId="77777777" w:rsidTr="00C55AD1">
        <w:trPr>
          <w:trHeight w:hRule="exact" w:val="216"/>
          <w:tblHeader/>
          <w:jc w:val="center"/>
        </w:trPr>
        <w:tc>
          <w:tcPr>
            <w:tcW w:w="5760" w:type="dxa"/>
            <w:shd w:val="clear" w:color="auto" w:fill="auto"/>
            <w:vAlign w:val="center"/>
          </w:tcPr>
          <w:p w14:paraId="4F183B9B"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Proceeds from the Sale of Time Warner Center</w:t>
            </w:r>
          </w:p>
        </w:tc>
        <w:tc>
          <w:tcPr>
            <w:tcW w:w="990" w:type="dxa"/>
            <w:shd w:val="clear" w:color="auto" w:fill="auto"/>
            <w:vAlign w:val="center"/>
          </w:tcPr>
          <w:p w14:paraId="6FB39055"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w:t>
            </w:r>
          </w:p>
        </w:tc>
        <w:tc>
          <w:tcPr>
            <w:tcW w:w="900" w:type="dxa"/>
            <w:shd w:val="clear" w:color="auto" w:fill="auto"/>
            <w:vAlign w:val="center"/>
          </w:tcPr>
          <w:p w14:paraId="56B503B7"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w:t>
            </w:r>
          </w:p>
        </w:tc>
        <w:tc>
          <w:tcPr>
            <w:tcW w:w="910" w:type="dxa"/>
            <w:shd w:val="clear" w:color="auto" w:fill="auto"/>
            <w:vAlign w:val="center"/>
          </w:tcPr>
          <w:p w14:paraId="795C609D"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1,264</w:t>
            </w:r>
          </w:p>
        </w:tc>
      </w:tr>
      <w:tr w:rsidR="00EE487F" w:rsidRPr="0004254A" w14:paraId="76A44E91" w14:textId="77777777" w:rsidTr="00C55AD1">
        <w:trPr>
          <w:trHeight w:hRule="exact" w:val="216"/>
          <w:tblHeader/>
          <w:jc w:val="center"/>
        </w:trPr>
        <w:tc>
          <w:tcPr>
            <w:tcW w:w="5760" w:type="dxa"/>
            <w:shd w:val="clear" w:color="auto" w:fill="auto"/>
            <w:vAlign w:val="center"/>
          </w:tcPr>
          <w:p w14:paraId="7E878F98"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Other Investment Proceeds</w:t>
            </w:r>
          </w:p>
        </w:tc>
        <w:tc>
          <w:tcPr>
            <w:tcW w:w="990" w:type="dxa"/>
            <w:shd w:val="clear" w:color="auto" w:fill="auto"/>
            <w:vAlign w:val="center"/>
          </w:tcPr>
          <w:p w14:paraId="319CA6DE"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309</w:t>
            </w:r>
          </w:p>
        </w:tc>
        <w:tc>
          <w:tcPr>
            <w:tcW w:w="900" w:type="dxa"/>
            <w:shd w:val="clear" w:color="auto" w:fill="auto"/>
            <w:vAlign w:val="center"/>
          </w:tcPr>
          <w:p w14:paraId="61BA54CF"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143</w:t>
            </w:r>
          </w:p>
        </w:tc>
        <w:tc>
          <w:tcPr>
            <w:tcW w:w="910" w:type="dxa"/>
            <w:shd w:val="clear" w:color="auto" w:fill="auto"/>
            <w:vAlign w:val="center"/>
          </w:tcPr>
          <w:p w14:paraId="445471F3"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173</w:t>
            </w:r>
          </w:p>
        </w:tc>
      </w:tr>
      <w:tr w:rsidR="00EE487F" w:rsidRPr="0004254A" w14:paraId="01DC32F7" w14:textId="77777777" w:rsidTr="00C55AD1">
        <w:trPr>
          <w:trHeight w:hRule="exact" w:val="216"/>
          <w:tblHeader/>
          <w:jc w:val="center"/>
        </w:trPr>
        <w:tc>
          <w:tcPr>
            <w:tcW w:w="5760" w:type="dxa"/>
            <w:tcBorders>
              <w:bottom w:val="single" w:sz="4" w:space="0" w:color="auto"/>
            </w:tcBorders>
            <w:shd w:val="clear" w:color="auto" w:fill="auto"/>
            <w:vAlign w:val="center"/>
          </w:tcPr>
          <w:p w14:paraId="186701F8"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Cash Provided (Used) by Investing from Continuing Operations</w:t>
            </w:r>
          </w:p>
        </w:tc>
        <w:tc>
          <w:tcPr>
            <w:tcW w:w="990" w:type="dxa"/>
            <w:tcBorders>
              <w:bottom w:val="single" w:sz="4" w:space="0" w:color="auto"/>
            </w:tcBorders>
            <w:shd w:val="clear" w:color="auto" w:fill="auto"/>
            <w:vAlign w:val="center"/>
          </w:tcPr>
          <w:p w14:paraId="42C35325"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(1,360)</w:t>
            </w:r>
          </w:p>
        </w:tc>
        <w:tc>
          <w:tcPr>
            <w:tcW w:w="900" w:type="dxa"/>
            <w:tcBorders>
              <w:bottom w:val="single" w:sz="4" w:space="0" w:color="auto"/>
            </w:tcBorders>
            <w:shd w:val="clear" w:color="auto" w:fill="auto"/>
            <w:vAlign w:val="center"/>
          </w:tcPr>
          <w:p w14:paraId="5A599A4A"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(993)</w:t>
            </w:r>
          </w:p>
        </w:tc>
        <w:tc>
          <w:tcPr>
            <w:tcW w:w="910" w:type="dxa"/>
            <w:tcBorders>
              <w:bottom w:val="single" w:sz="4" w:space="0" w:color="auto"/>
            </w:tcBorders>
            <w:shd w:val="clear" w:color="auto" w:fill="auto"/>
            <w:vAlign w:val="center"/>
          </w:tcPr>
          <w:p w14:paraId="3A80FFA5"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1,383</w:t>
            </w:r>
          </w:p>
        </w:tc>
      </w:tr>
      <w:tr w:rsidR="00EE487F" w:rsidRPr="0004254A" w14:paraId="12BD9E42" w14:textId="77777777" w:rsidTr="00C55AD1">
        <w:trPr>
          <w:trHeight w:hRule="exact" w:val="216"/>
          <w:tblHeader/>
          <w:jc w:val="center"/>
        </w:trPr>
        <w:tc>
          <w:tcPr>
            <w:tcW w:w="5760" w:type="dxa"/>
            <w:tcBorders>
              <w:top w:val="single" w:sz="4" w:space="0" w:color="auto"/>
            </w:tcBorders>
            <w:shd w:val="clear" w:color="auto" w:fill="auto"/>
            <w:vAlign w:val="center"/>
          </w:tcPr>
          <w:p w14:paraId="779BCEEC"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FINANCING ACTIVITIES</w:t>
            </w:r>
          </w:p>
        </w:tc>
        <w:tc>
          <w:tcPr>
            <w:tcW w:w="990" w:type="dxa"/>
            <w:tcBorders>
              <w:top w:val="single" w:sz="4" w:space="0" w:color="auto"/>
            </w:tcBorders>
            <w:shd w:val="clear" w:color="auto" w:fill="auto"/>
            <w:vAlign w:val="center"/>
          </w:tcPr>
          <w:p w14:paraId="2F5E1F7C" w14:textId="108B69E4" w:rsidR="00EE487F" w:rsidRPr="0004254A" w:rsidRDefault="00EE487F" w:rsidP="00EE487F">
            <w:pPr>
              <w:spacing w:after="160" w:line="259" w:lineRule="auto"/>
              <w:jc w:val="right"/>
              <w:rPr>
                <w:rFonts w:ascii="Arial" w:hAnsi="Arial" w:cs="Arial"/>
                <w:color w:val="000000"/>
                <w:lang w:val="en-GB"/>
              </w:rPr>
            </w:pPr>
          </w:p>
        </w:tc>
        <w:tc>
          <w:tcPr>
            <w:tcW w:w="900" w:type="dxa"/>
            <w:tcBorders>
              <w:top w:val="single" w:sz="4" w:space="0" w:color="auto"/>
            </w:tcBorders>
            <w:shd w:val="clear" w:color="auto" w:fill="auto"/>
            <w:vAlign w:val="center"/>
          </w:tcPr>
          <w:p w14:paraId="48EAAA3E" w14:textId="4F6A17C2" w:rsidR="00EE487F" w:rsidRPr="0004254A" w:rsidRDefault="00EE487F" w:rsidP="00EE487F">
            <w:pPr>
              <w:spacing w:after="160" w:line="259" w:lineRule="auto"/>
              <w:jc w:val="right"/>
              <w:rPr>
                <w:rFonts w:ascii="Arial" w:hAnsi="Arial" w:cs="Arial"/>
                <w:color w:val="000000"/>
                <w:lang w:val="en-GB"/>
              </w:rPr>
            </w:pPr>
          </w:p>
        </w:tc>
        <w:tc>
          <w:tcPr>
            <w:tcW w:w="910" w:type="dxa"/>
            <w:tcBorders>
              <w:top w:val="single" w:sz="4" w:space="0" w:color="auto"/>
            </w:tcBorders>
            <w:shd w:val="clear" w:color="auto" w:fill="auto"/>
            <w:vAlign w:val="center"/>
          </w:tcPr>
          <w:p w14:paraId="6D91F053" w14:textId="341E55B4" w:rsidR="00EE487F" w:rsidRPr="0004254A" w:rsidRDefault="00EE487F" w:rsidP="00EE487F">
            <w:pPr>
              <w:spacing w:after="160" w:line="259" w:lineRule="auto"/>
              <w:jc w:val="right"/>
              <w:rPr>
                <w:rFonts w:ascii="Arial" w:hAnsi="Arial" w:cs="Arial"/>
                <w:color w:val="000000"/>
                <w:lang w:val="en-GB"/>
              </w:rPr>
            </w:pPr>
          </w:p>
        </w:tc>
      </w:tr>
      <w:tr w:rsidR="00EE487F" w:rsidRPr="0004254A" w14:paraId="2CF7C33E" w14:textId="77777777" w:rsidTr="00C55AD1">
        <w:trPr>
          <w:trHeight w:hRule="exact" w:val="216"/>
          <w:tblHeader/>
          <w:jc w:val="center"/>
        </w:trPr>
        <w:tc>
          <w:tcPr>
            <w:tcW w:w="5760" w:type="dxa"/>
            <w:shd w:val="clear" w:color="auto" w:fill="auto"/>
            <w:vAlign w:val="center"/>
          </w:tcPr>
          <w:p w14:paraId="0F6D186E"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Borrowings</w:t>
            </w:r>
          </w:p>
        </w:tc>
        <w:tc>
          <w:tcPr>
            <w:tcW w:w="990" w:type="dxa"/>
            <w:shd w:val="clear" w:color="auto" w:fill="auto"/>
            <w:vAlign w:val="center"/>
          </w:tcPr>
          <w:p w14:paraId="674EEE41"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3,830</w:t>
            </w:r>
          </w:p>
        </w:tc>
        <w:tc>
          <w:tcPr>
            <w:tcW w:w="900" w:type="dxa"/>
            <w:shd w:val="clear" w:color="auto" w:fill="auto"/>
            <w:vAlign w:val="center"/>
          </w:tcPr>
          <w:p w14:paraId="5A171997"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3,768</w:t>
            </w:r>
          </w:p>
        </w:tc>
        <w:tc>
          <w:tcPr>
            <w:tcW w:w="910" w:type="dxa"/>
            <w:shd w:val="clear" w:color="auto" w:fill="auto"/>
            <w:vAlign w:val="center"/>
          </w:tcPr>
          <w:p w14:paraId="433D97DD"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2,409</w:t>
            </w:r>
          </w:p>
        </w:tc>
      </w:tr>
      <w:tr w:rsidR="00EE487F" w:rsidRPr="0004254A" w14:paraId="28E68177" w14:textId="77777777" w:rsidTr="00C55AD1">
        <w:trPr>
          <w:trHeight w:hRule="exact" w:val="216"/>
          <w:tblHeader/>
          <w:jc w:val="center"/>
        </w:trPr>
        <w:tc>
          <w:tcPr>
            <w:tcW w:w="5760" w:type="dxa"/>
            <w:shd w:val="clear" w:color="auto" w:fill="auto"/>
            <w:vAlign w:val="center"/>
          </w:tcPr>
          <w:p w14:paraId="3809DFB7"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Debt Repayments</w:t>
            </w:r>
          </w:p>
        </w:tc>
        <w:tc>
          <w:tcPr>
            <w:tcW w:w="990" w:type="dxa"/>
            <w:shd w:val="clear" w:color="auto" w:fill="auto"/>
            <w:vAlign w:val="center"/>
          </w:tcPr>
          <w:p w14:paraId="6DD8402D"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(3,304)</w:t>
            </w:r>
          </w:p>
        </w:tc>
        <w:tc>
          <w:tcPr>
            <w:tcW w:w="900" w:type="dxa"/>
            <w:shd w:val="clear" w:color="auto" w:fill="auto"/>
            <w:vAlign w:val="center"/>
          </w:tcPr>
          <w:p w14:paraId="1C22F03E"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(2,344)</w:t>
            </w:r>
          </w:p>
        </w:tc>
        <w:tc>
          <w:tcPr>
            <w:tcW w:w="910" w:type="dxa"/>
            <w:shd w:val="clear" w:color="auto" w:fill="auto"/>
            <w:vAlign w:val="center"/>
          </w:tcPr>
          <w:p w14:paraId="0367319A"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(72)</w:t>
            </w:r>
          </w:p>
        </w:tc>
      </w:tr>
      <w:tr w:rsidR="00EE487F" w:rsidRPr="0004254A" w14:paraId="502A8DA9" w14:textId="77777777" w:rsidTr="00C55AD1">
        <w:trPr>
          <w:trHeight w:hRule="exact" w:val="216"/>
          <w:tblHeader/>
          <w:jc w:val="center"/>
        </w:trPr>
        <w:tc>
          <w:tcPr>
            <w:tcW w:w="5760" w:type="dxa"/>
            <w:shd w:val="clear" w:color="auto" w:fill="auto"/>
            <w:vAlign w:val="center"/>
          </w:tcPr>
          <w:p w14:paraId="2E0185A1"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Proceeds from Exercise of Stock Options</w:t>
            </w:r>
          </w:p>
        </w:tc>
        <w:tc>
          <w:tcPr>
            <w:tcW w:w="990" w:type="dxa"/>
            <w:shd w:val="clear" w:color="auto" w:fill="auto"/>
            <w:vAlign w:val="center"/>
          </w:tcPr>
          <w:p w14:paraId="0B702B56"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172</w:t>
            </w:r>
          </w:p>
        </w:tc>
        <w:tc>
          <w:tcPr>
            <w:tcW w:w="900" w:type="dxa"/>
            <w:shd w:val="clear" w:color="auto" w:fill="auto"/>
            <w:vAlign w:val="center"/>
          </w:tcPr>
          <w:p w14:paraId="693B3E68"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165</w:t>
            </w:r>
          </w:p>
        </w:tc>
        <w:tc>
          <w:tcPr>
            <w:tcW w:w="910" w:type="dxa"/>
            <w:shd w:val="clear" w:color="auto" w:fill="auto"/>
            <w:vAlign w:val="center"/>
          </w:tcPr>
          <w:p w14:paraId="20D61684"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338</w:t>
            </w:r>
          </w:p>
        </w:tc>
      </w:tr>
      <w:tr w:rsidR="00EE487F" w:rsidRPr="0004254A" w14:paraId="1879B895" w14:textId="77777777" w:rsidTr="00C55AD1">
        <w:trPr>
          <w:trHeight w:hRule="exact" w:val="216"/>
          <w:tblHeader/>
          <w:jc w:val="center"/>
        </w:trPr>
        <w:tc>
          <w:tcPr>
            <w:tcW w:w="5760" w:type="dxa"/>
            <w:shd w:val="clear" w:color="auto" w:fill="auto"/>
            <w:vAlign w:val="center"/>
          </w:tcPr>
          <w:p w14:paraId="0B895FB8"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Excess Tax Benefit from Equity Instruments</w:t>
            </w:r>
          </w:p>
        </w:tc>
        <w:tc>
          <w:tcPr>
            <w:tcW w:w="990" w:type="dxa"/>
            <w:shd w:val="clear" w:color="auto" w:fill="auto"/>
            <w:vAlign w:val="center"/>
          </w:tcPr>
          <w:p w14:paraId="3029C8B9"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88</w:t>
            </w:r>
          </w:p>
        </w:tc>
        <w:tc>
          <w:tcPr>
            <w:tcW w:w="900" w:type="dxa"/>
            <w:shd w:val="clear" w:color="auto" w:fill="auto"/>
            <w:vAlign w:val="center"/>
          </w:tcPr>
          <w:p w14:paraId="4E06217F"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151</w:t>
            </w:r>
          </w:p>
        </w:tc>
        <w:tc>
          <w:tcPr>
            <w:tcW w:w="910" w:type="dxa"/>
            <w:shd w:val="clear" w:color="auto" w:fill="auto"/>
            <w:vAlign w:val="center"/>
          </w:tcPr>
          <w:p w14:paraId="5C3FD921"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179</w:t>
            </w:r>
          </w:p>
        </w:tc>
      </w:tr>
      <w:tr w:rsidR="00EE487F" w:rsidRPr="0004254A" w14:paraId="22CA629D" w14:textId="77777777" w:rsidTr="00C55AD1">
        <w:trPr>
          <w:trHeight w:hRule="exact" w:val="216"/>
          <w:tblHeader/>
          <w:jc w:val="center"/>
        </w:trPr>
        <w:tc>
          <w:tcPr>
            <w:tcW w:w="5760" w:type="dxa"/>
            <w:shd w:val="clear" w:color="auto" w:fill="auto"/>
            <w:vAlign w:val="center"/>
          </w:tcPr>
          <w:p w14:paraId="10AAEDB2"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Principal Payments on Capital Leases</w:t>
            </w:r>
          </w:p>
        </w:tc>
        <w:tc>
          <w:tcPr>
            <w:tcW w:w="990" w:type="dxa"/>
            <w:shd w:val="clear" w:color="auto" w:fill="auto"/>
            <w:vAlign w:val="center"/>
          </w:tcPr>
          <w:p w14:paraId="086D76AC"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(14)</w:t>
            </w:r>
          </w:p>
        </w:tc>
        <w:tc>
          <w:tcPr>
            <w:tcW w:w="900" w:type="dxa"/>
            <w:shd w:val="clear" w:color="auto" w:fill="auto"/>
            <w:vAlign w:val="center"/>
          </w:tcPr>
          <w:p w14:paraId="6A6E5004"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(11)</w:t>
            </w:r>
          </w:p>
        </w:tc>
        <w:tc>
          <w:tcPr>
            <w:tcW w:w="910" w:type="dxa"/>
            <w:shd w:val="clear" w:color="auto" w:fill="auto"/>
            <w:vAlign w:val="center"/>
          </w:tcPr>
          <w:p w14:paraId="250097C0"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(11)</w:t>
            </w:r>
          </w:p>
        </w:tc>
      </w:tr>
      <w:tr w:rsidR="00EE487F" w:rsidRPr="0004254A" w14:paraId="6EA4B4BC" w14:textId="77777777" w:rsidTr="00C55AD1">
        <w:trPr>
          <w:trHeight w:hRule="exact" w:val="216"/>
          <w:tblHeader/>
          <w:jc w:val="center"/>
        </w:trPr>
        <w:tc>
          <w:tcPr>
            <w:tcW w:w="5760" w:type="dxa"/>
            <w:shd w:val="clear" w:color="auto" w:fill="auto"/>
            <w:vAlign w:val="center"/>
          </w:tcPr>
          <w:p w14:paraId="4935EDE9"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Repurchases of Common Stock</w:t>
            </w:r>
          </w:p>
        </w:tc>
        <w:tc>
          <w:tcPr>
            <w:tcW w:w="990" w:type="dxa"/>
            <w:shd w:val="clear" w:color="auto" w:fill="auto"/>
            <w:vAlign w:val="center"/>
          </w:tcPr>
          <w:p w14:paraId="34F4EB6C"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(2,322)</w:t>
            </w:r>
          </w:p>
        </w:tc>
        <w:tc>
          <w:tcPr>
            <w:tcW w:w="900" w:type="dxa"/>
            <w:shd w:val="clear" w:color="auto" w:fill="auto"/>
            <w:vAlign w:val="center"/>
          </w:tcPr>
          <w:p w14:paraId="32F857AA"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(3,632)</w:t>
            </w:r>
          </w:p>
        </w:tc>
        <w:tc>
          <w:tcPr>
            <w:tcW w:w="910" w:type="dxa"/>
            <w:shd w:val="clear" w:color="auto" w:fill="auto"/>
            <w:vAlign w:val="center"/>
          </w:tcPr>
          <w:p w14:paraId="7C47EEE5"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(5,504)</w:t>
            </w:r>
          </w:p>
        </w:tc>
      </w:tr>
      <w:tr w:rsidR="00EE487F" w:rsidRPr="0004254A" w14:paraId="1F13A4D3" w14:textId="77777777" w:rsidTr="00C55AD1">
        <w:trPr>
          <w:trHeight w:hRule="exact" w:val="216"/>
          <w:tblHeader/>
          <w:jc w:val="center"/>
        </w:trPr>
        <w:tc>
          <w:tcPr>
            <w:tcW w:w="5760" w:type="dxa"/>
            <w:shd w:val="clear" w:color="auto" w:fill="auto"/>
            <w:vAlign w:val="center"/>
          </w:tcPr>
          <w:p w14:paraId="3FB67FB7"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Dividends Paid</w:t>
            </w:r>
          </w:p>
        </w:tc>
        <w:tc>
          <w:tcPr>
            <w:tcW w:w="990" w:type="dxa"/>
            <w:shd w:val="clear" w:color="auto" w:fill="auto"/>
            <w:vAlign w:val="center"/>
          </w:tcPr>
          <w:p w14:paraId="574E6D37"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(1,269)</w:t>
            </w:r>
          </w:p>
        </w:tc>
        <w:tc>
          <w:tcPr>
            <w:tcW w:w="900" w:type="dxa"/>
            <w:shd w:val="clear" w:color="auto" w:fill="auto"/>
            <w:vAlign w:val="center"/>
          </w:tcPr>
          <w:p w14:paraId="76C0B9BC"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(1,150)</w:t>
            </w:r>
          </w:p>
        </w:tc>
        <w:tc>
          <w:tcPr>
            <w:tcW w:w="910" w:type="dxa"/>
            <w:shd w:val="clear" w:color="auto" w:fill="auto"/>
            <w:vAlign w:val="center"/>
          </w:tcPr>
          <w:p w14:paraId="5AA24A92"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(1,109)</w:t>
            </w:r>
          </w:p>
        </w:tc>
      </w:tr>
      <w:tr w:rsidR="00EE487F" w:rsidRPr="0004254A" w14:paraId="45FF2177" w14:textId="77777777" w:rsidTr="00C55AD1">
        <w:trPr>
          <w:trHeight w:hRule="exact" w:val="216"/>
          <w:tblHeader/>
          <w:jc w:val="center"/>
        </w:trPr>
        <w:tc>
          <w:tcPr>
            <w:tcW w:w="5760" w:type="dxa"/>
            <w:shd w:val="clear" w:color="auto" w:fill="auto"/>
            <w:vAlign w:val="center"/>
          </w:tcPr>
          <w:p w14:paraId="4FA6E7B3"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Other Financing Activities</w:t>
            </w:r>
          </w:p>
        </w:tc>
        <w:tc>
          <w:tcPr>
            <w:tcW w:w="990" w:type="dxa"/>
            <w:shd w:val="clear" w:color="auto" w:fill="auto"/>
            <w:vAlign w:val="center"/>
          </w:tcPr>
          <w:p w14:paraId="5113AEF2"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(1,103)</w:t>
            </w:r>
          </w:p>
        </w:tc>
        <w:tc>
          <w:tcPr>
            <w:tcW w:w="900" w:type="dxa"/>
            <w:shd w:val="clear" w:color="auto" w:fill="auto"/>
            <w:vAlign w:val="center"/>
          </w:tcPr>
          <w:p w14:paraId="7B2B497C"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(260)</w:t>
            </w:r>
          </w:p>
        </w:tc>
        <w:tc>
          <w:tcPr>
            <w:tcW w:w="910" w:type="dxa"/>
            <w:shd w:val="clear" w:color="auto" w:fill="auto"/>
            <w:vAlign w:val="center"/>
          </w:tcPr>
          <w:p w14:paraId="46AF1681"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(173)</w:t>
            </w:r>
          </w:p>
        </w:tc>
      </w:tr>
      <w:tr w:rsidR="00EE487F" w:rsidRPr="0004254A" w14:paraId="39DF136C" w14:textId="77777777" w:rsidTr="00C55AD1">
        <w:trPr>
          <w:trHeight w:hRule="exact" w:val="216"/>
          <w:tblHeader/>
          <w:jc w:val="center"/>
        </w:trPr>
        <w:tc>
          <w:tcPr>
            <w:tcW w:w="5760" w:type="dxa"/>
            <w:shd w:val="clear" w:color="auto" w:fill="auto"/>
            <w:vAlign w:val="center"/>
          </w:tcPr>
          <w:p w14:paraId="67B39A76"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Cash Used by Financing Activities from Continuing Operations</w:t>
            </w:r>
          </w:p>
        </w:tc>
        <w:tc>
          <w:tcPr>
            <w:tcW w:w="990" w:type="dxa"/>
            <w:shd w:val="clear" w:color="auto" w:fill="auto"/>
            <w:vAlign w:val="center"/>
          </w:tcPr>
          <w:p w14:paraId="70397E9A"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(3,922)</w:t>
            </w:r>
          </w:p>
        </w:tc>
        <w:tc>
          <w:tcPr>
            <w:tcW w:w="900" w:type="dxa"/>
            <w:shd w:val="clear" w:color="auto" w:fill="auto"/>
            <w:vAlign w:val="center"/>
          </w:tcPr>
          <w:p w14:paraId="68BABCB3"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(3,313)</w:t>
            </w:r>
          </w:p>
        </w:tc>
        <w:tc>
          <w:tcPr>
            <w:tcW w:w="910" w:type="dxa"/>
            <w:shd w:val="clear" w:color="auto" w:fill="auto"/>
            <w:vAlign w:val="center"/>
          </w:tcPr>
          <w:p w14:paraId="5EE60873"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(3,943)</w:t>
            </w:r>
          </w:p>
        </w:tc>
      </w:tr>
      <w:tr w:rsidR="00EE487F" w:rsidRPr="0004254A" w14:paraId="7EAED60D" w14:textId="77777777" w:rsidTr="00C55AD1">
        <w:trPr>
          <w:trHeight w:hRule="exact" w:val="216"/>
          <w:tblHeader/>
          <w:jc w:val="center"/>
        </w:trPr>
        <w:tc>
          <w:tcPr>
            <w:tcW w:w="5760" w:type="dxa"/>
            <w:shd w:val="clear" w:color="auto" w:fill="auto"/>
            <w:vAlign w:val="center"/>
          </w:tcPr>
          <w:p w14:paraId="3DF8E270"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Cash Provided (Used) by Continuing Operations</w:t>
            </w:r>
          </w:p>
        </w:tc>
        <w:tc>
          <w:tcPr>
            <w:tcW w:w="990" w:type="dxa"/>
            <w:shd w:val="clear" w:color="auto" w:fill="auto"/>
            <w:vAlign w:val="center"/>
          </w:tcPr>
          <w:p w14:paraId="1013B21D"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(599)</w:t>
            </w:r>
          </w:p>
        </w:tc>
        <w:tc>
          <w:tcPr>
            <w:tcW w:w="900" w:type="dxa"/>
            <w:shd w:val="clear" w:color="auto" w:fill="auto"/>
            <w:vAlign w:val="center"/>
          </w:tcPr>
          <w:p w14:paraId="5EA4CAB1"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(455)</w:t>
            </w:r>
          </w:p>
        </w:tc>
        <w:tc>
          <w:tcPr>
            <w:tcW w:w="910" w:type="dxa"/>
            <w:shd w:val="clear" w:color="auto" w:fill="auto"/>
            <w:vAlign w:val="center"/>
          </w:tcPr>
          <w:p w14:paraId="7300BF11"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1,121</w:t>
            </w:r>
          </w:p>
        </w:tc>
      </w:tr>
      <w:tr w:rsidR="00EE487F" w:rsidRPr="0004254A" w14:paraId="64F19F00" w14:textId="77777777" w:rsidTr="00C55AD1">
        <w:trPr>
          <w:trHeight w:hRule="exact" w:val="216"/>
          <w:tblHeader/>
          <w:jc w:val="center"/>
        </w:trPr>
        <w:tc>
          <w:tcPr>
            <w:tcW w:w="5760" w:type="dxa"/>
            <w:shd w:val="clear" w:color="auto" w:fill="auto"/>
            <w:vAlign w:val="center"/>
          </w:tcPr>
          <w:p w14:paraId="145699B3"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Cash Used by Discontinued Operations</w:t>
            </w:r>
          </w:p>
        </w:tc>
        <w:tc>
          <w:tcPr>
            <w:tcW w:w="990" w:type="dxa"/>
            <w:shd w:val="clear" w:color="auto" w:fill="auto"/>
            <w:vAlign w:val="center"/>
          </w:tcPr>
          <w:p w14:paraId="59532DEF"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(17)</w:t>
            </w:r>
          </w:p>
        </w:tc>
        <w:tc>
          <w:tcPr>
            <w:tcW w:w="900" w:type="dxa"/>
            <w:shd w:val="clear" w:color="auto" w:fill="auto"/>
            <w:vAlign w:val="center"/>
          </w:tcPr>
          <w:p w14:paraId="671615B8"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(8)</w:t>
            </w:r>
          </w:p>
        </w:tc>
        <w:tc>
          <w:tcPr>
            <w:tcW w:w="910" w:type="dxa"/>
            <w:shd w:val="clear" w:color="auto" w:fill="auto"/>
            <w:vAlign w:val="center"/>
          </w:tcPr>
          <w:p w14:paraId="554C2343"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(190)</w:t>
            </w:r>
          </w:p>
        </w:tc>
      </w:tr>
      <w:tr w:rsidR="00EE487F" w:rsidRPr="0004254A" w14:paraId="52A1BAD1" w14:textId="77777777" w:rsidTr="00C55AD1">
        <w:trPr>
          <w:trHeight w:hRule="exact" w:val="216"/>
          <w:tblHeader/>
          <w:jc w:val="center"/>
        </w:trPr>
        <w:tc>
          <w:tcPr>
            <w:tcW w:w="5760" w:type="dxa"/>
            <w:shd w:val="clear" w:color="auto" w:fill="auto"/>
            <w:vAlign w:val="center"/>
          </w:tcPr>
          <w:p w14:paraId="246D9ECA"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Effect of Venezuelan Exchange Rate Changes on Cash</w:t>
            </w:r>
          </w:p>
        </w:tc>
        <w:tc>
          <w:tcPr>
            <w:tcW w:w="990" w:type="dxa"/>
            <w:shd w:val="clear" w:color="auto" w:fill="auto"/>
            <w:vAlign w:val="center"/>
          </w:tcPr>
          <w:p w14:paraId="1C71726B"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w:t>
            </w:r>
          </w:p>
        </w:tc>
        <w:tc>
          <w:tcPr>
            <w:tcW w:w="900" w:type="dxa"/>
            <w:shd w:val="clear" w:color="auto" w:fill="auto"/>
            <w:vAlign w:val="center"/>
          </w:tcPr>
          <w:p w14:paraId="473F2DD7"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w:t>
            </w:r>
          </w:p>
        </w:tc>
        <w:tc>
          <w:tcPr>
            <w:tcW w:w="910" w:type="dxa"/>
            <w:shd w:val="clear" w:color="auto" w:fill="auto"/>
            <w:vAlign w:val="center"/>
          </w:tcPr>
          <w:p w14:paraId="5DCE6912"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(129)</w:t>
            </w:r>
          </w:p>
        </w:tc>
      </w:tr>
      <w:tr w:rsidR="00EE487F" w:rsidRPr="0004254A" w14:paraId="6E935604" w14:textId="77777777" w:rsidTr="00C55AD1">
        <w:trPr>
          <w:trHeight w:hRule="exact" w:val="216"/>
          <w:tblHeader/>
          <w:jc w:val="center"/>
        </w:trPr>
        <w:tc>
          <w:tcPr>
            <w:tcW w:w="5760" w:type="dxa"/>
            <w:shd w:val="clear" w:color="auto" w:fill="auto"/>
            <w:vAlign w:val="center"/>
          </w:tcPr>
          <w:p w14:paraId="2188D79E"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INCREASE (DECREASE) IN CASH AND EQUIVALENTS</w:t>
            </w:r>
          </w:p>
        </w:tc>
        <w:tc>
          <w:tcPr>
            <w:tcW w:w="990" w:type="dxa"/>
            <w:shd w:val="clear" w:color="auto" w:fill="auto"/>
            <w:vAlign w:val="center"/>
          </w:tcPr>
          <w:p w14:paraId="19C48D43"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(616)</w:t>
            </w:r>
          </w:p>
        </w:tc>
        <w:tc>
          <w:tcPr>
            <w:tcW w:w="900" w:type="dxa"/>
            <w:shd w:val="clear" w:color="auto" w:fill="auto"/>
            <w:vAlign w:val="center"/>
          </w:tcPr>
          <w:p w14:paraId="246BF40C"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(463)</w:t>
            </w:r>
          </w:p>
        </w:tc>
        <w:tc>
          <w:tcPr>
            <w:tcW w:w="910" w:type="dxa"/>
            <w:shd w:val="clear" w:color="auto" w:fill="auto"/>
            <w:vAlign w:val="center"/>
          </w:tcPr>
          <w:p w14:paraId="5C7E2662"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802</w:t>
            </w:r>
          </w:p>
        </w:tc>
      </w:tr>
      <w:tr w:rsidR="00EE487F" w:rsidRPr="0004254A" w14:paraId="337E3D99" w14:textId="77777777" w:rsidTr="00C55AD1">
        <w:trPr>
          <w:trHeight w:hRule="exact" w:val="216"/>
          <w:tblHeader/>
          <w:jc w:val="center"/>
        </w:trPr>
        <w:tc>
          <w:tcPr>
            <w:tcW w:w="5760" w:type="dxa"/>
            <w:shd w:val="clear" w:color="auto" w:fill="auto"/>
            <w:vAlign w:val="center"/>
          </w:tcPr>
          <w:p w14:paraId="2557BE2F"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CASH AND EQUIVALENTS AT BEGINNING OF PERIOD</w:t>
            </w:r>
          </w:p>
        </w:tc>
        <w:tc>
          <w:tcPr>
            <w:tcW w:w="990" w:type="dxa"/>
            <w:shd w:val="clear" w:color="auto" w:fill="auto"/>
            <w:vAlign w:val="center"/>
          </w:tcPr>
          <w:p w14:paraId="3227C5C0"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2,155</w:t>
            </w:r>
          </w:p>
        </w:tc>
        <w:tc>
          <w:tcPr>
            <w:tcW w:w="900" w:type="dxa"/>
            <w:shd w:val="clear" w:color="auto" w:fill="auto"/>
            <w:vAlign w:val="center"/>
          </w:tcPr>
          <w:p w14:paraId="3ADA24D3"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2,618</w:t>
            </w:r>
          </w:p>
        </w:tc>
        <w:tc>
          <w:tcPr>
            <w:tcW w:w="910" w:type="dxa"/>
            <w:shd w:val="clear" w:color="auto" w:fill="auto"/>
            <w:vAlign w:val="center"/>
          </w:tcPr>
          <w:p w14:paraId="5DC396D4"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1,816</w:t>
            </w:r>
          </w:p>
        </w:tc>
      </w:tr>
      <w:tr w:rsidR="00EE487F" w:rsidRPr="0004254A" w14:paraId="74BA95BC" w14:textId="77777777" w:rsidTr="00C55AD1">
        <w:trPr>
          <w:trHeight w:hRule="exact" w:val="216"/>
          <w:tblHeader/>
          <w:jc w:val="center"/>
        </w:trPr>
        <w:tc>
          <w:tcPr>
            <w:tcW w:w="5760" w:type="dxa"/>
            <w:tcBorders>
              <w:bottom w:val="single" w:sz="4" w:space="0" w:color="auto"/>
            </w:tcBorders>
            <w:shd w:val="clear" w:color="auto" w:fill="auto"/>
            <w:vAlign w:val="center"/>
          </w:tcPr>
          <w:p w14:paraId="0D0DF6B8" w14:textId="77777777" w:rsidR="00EE487F" w:rsidRPr="0004254A" w:rsidRDefault="00EE487F" w:rsidP="00EE487F">
            <w:pPr>
              <w:spacing w:after="160" w:line="259" w:lineRule="auto"/>
              <w:rPr>
                <w:rFonts w:ascii="Arial" w:hAnsi="Arial" w:cs="Arial"/>
                <w:color w:val="000000"/>
                <w:lang w:val="en-GB"/>
              </w:rPr>
            </w:pPr>
            <w:r w:rsidRPr="0004254A">
              <w:rPr>
                <w:rFonts w:ascii="Arial" w:hAnsi="Arial" w:cs="Arial"/>
                <w:color w:val="000000"/>
                <w:lang w:val="en-GB"/>
              </w:rPr>
              <w:t>CASH AND EQUIVALENTS AT END OF PERIOD</w:t>
            </w:r>
          </w:p>
        </w:tc>
        <w:tc>
          <w:tcPr>
            <w:tcW w:w="990" w:type="dxa"/>
            <w:tcBorders>
              <w:bottom w:val="single" w:sz="4" w:space="0" w:color="auto"/>
            </w:tcBorders>
            <w:shd w:val="clear" w:color="auto" w:fill="auto"/>
            <w:vAlign w:val="center"/>
          </w:tcPr>
          <w:p w14:paraId="6BBEA60A"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$1,539</w:t>
            </w:r>
          </w:p>
        </w:tc>
        <w:tc>
          <w:tcPr>
            <w:tcW w:w="900" w:type="dxa"/>
            <w:tcBorders>
              <w:bottom w:val="single" w:sz="4" w:space="0" w:color="auto"/>
            </w:tcBorders>
            <w:shd w:val="clear" w:color="auto" w:fill="auto"/>
            <w:vAlign w:val="center"/>
          </w:tcPr>
          <w:p w14:paraId="0BF4CC7D"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$2,155</w:t>
            </w:r>
          </w:p>
        </w:tc>
        <w:tc>
          <w:tcPr>
            <w:tcW w:w="910" w:type="dxa"/>
            <w:tcBorders>
              <w:bottom w:val="single" w:sz="4" w:space="0" w:color="auto"/>
            </w:tcBorders>
            <w:shd w:val="clear" w:color="auto" w:fill="auto"/>
            <w:vAlign w:val="center"/>
          </w:tcPr>
          <w:p w14:paraId="49559ED1" w14:textId="77777777" w:rsidR="00EE487F" w:rsidRPr="0004254A" w:rsidRDefault="00EE487F" w:rsidP="00EE487F">
            <w:pPr>
              <w:spacing w:after="160" w:line="259" w:lineRule="auto"/>
              <w:jc w:val="right"/>
              <w:rPr>
                <w:rFonts w:ascii="Arial" w:hAnsi="Arial" w:cs="Arial"/>
                <w:color w:val="000000"/>
                <w:lang w:val="en-GB"/>
              </w:rPr>
            </w:pPr>
            <w:r w:rsidRPr="0004254A">
              <w:rPr>
                <w:rFonts w:ascii="Arial" w:hAnsi="Arial" w:cs="Arial"/>
                <w:color w:val="000000"/>
                <w:lang w:val="en-GB"/>
              </w:rPr>
              <w:t>$2,618</w:t>
            </w:r>
          </w:p>
        </w:tc>
      </w:tr>
    </w:tbl>
    <w:p w14:paraId="350F3706" w14:textId="77777777" w:rsidR="00EE487F" w:rsidRPr="00EE487F" w:rsidRDefault="00EE487F" w:rsidP="0011091B">
      <w:pPr>
        <w:pStyle w:val="FootnoteText1"/>
        <w:rPr>
          <w:lang w:val="en-GB"/>
        </w:rPr>
      </w:pPr>
    </w:p>
    <w:p w14:paraId="23BEA00C" w14:textId="77777777" w:rsidR="00EE487F" w:rsidRPr="00EE487F" w:rsidRDefault="00EE487F" w:rsidP="0011091B">
      <w:pPr>
        <w:pStyle w:val="FootnoteText1"/>
        <w:rPr>
          <w:lang w:val="en-GB"/>
        </w:rPr>
      </w:pPr>
      <w:r w:rsidRPr="00EE487F">
        <w:rPr>
          <w:lang w:val="en-GB"/>
        </w:rPr>
        <w:t xml:space="preserve">Source: Excerpted from Time Warner Inc., </w:t>
      </w:r>
      <w:r w:rsidRPr="00EE487F">
        <w:rPr>
          <w:i/>
          <w:lang w:val="en-GB"/>
        </w:rPr>
        <w:t>2016 Annual Report</w:t>
      </w:r>
      <w:r w:rsidRPr="00EE487F">
        <w:rPr>
          <w:lang w:val="en-GB"/>
        </w:rPr>
        <w:t>, 63, 2017, accessed February 8, 2019, http://annualreports.com/HostedData/AnnualReportArchive/t/NYSE_TWX_2016.pdf.</w:t>
      </w:r>
    </w:p>
    <w:p w14:paraId="630EAF0B" w14:textId="77777777" w:rsidR="00EE487F" w:rsidRPr="00EE487F" w:rsidRDefault="00EE487F" w:rsidP="00B77C4D">
      <w:pPr>
        <w:pStyle w:val="BodyTextMain"/>
        <w:rPr>
          <w:lang w:val="en-GB"/>
        </w:rPr>
      </w:pPr>
    </w:p>
    <w:p w14:paraId="455E2C29" w14:textId="77777777" w:rsidR="00EE487F" w:rsidRPr="00EE487F" w:rsidRDefault="00EE487F" w:rsidP="00B77C4D">
      <w:pPr>
        <w:pStyle w:val="BodyTextMain"/>
        <w:rPr>
          <w:lang w:val="en-GB"/>
        </w:rPr>
      </w:pPr>
      <w:r w:rsidRPr="00EE487F">
        <w:rPr>
          <w:lang w:val="en-GB"/>
        </w:rPr>
        <w:br w:type="page"/>
      </w:r>
    </w:p>
    <w:p w14:paraId="48D101B4" w14:textId="77777777" w:rsidR="00EE487F" w:rsidRPr="00EE487F" w:rsidRDefault="00EE487F" w:rsidP="00B77C4D">
      <w:pPr>
        <w:pStyle w:val="Casehead1"/>
        <w:jc w:val="center"/>
        <w:rPr>
          <w:lang w:val="en-GB"/>
        </w:rPr>
      </w:pPr>
      <w:r w:rsidRPr="00EE487F">
        <w:rPr>
          <w:lang w:val="en-GB"/>
        </w:rPr>
        <w:lastRenderedPageBreak/>
        <w:t>Exhibit 6: Comparable Mergers and acquisitions Transactions (in US$)</w:t>
      </w:r>
    </w:p>
    <w:p w14:paraId="153B23F2" w14:textId="77777777" w:rsidR="00EE487F" w:rsidRPr="00EE487F" w:rsidRDefault="00EE487F" w:rsidP="00B77C4D">
      <w:pPr>
        <w:pStyle w:val="BodyTextMain"/>
      </w:pPr>
    </w:p>
    <w:tbl>
      <w:tblPr>
        <w:tblW w:w="9432" w:type="dxa"/>
        <w:jc w:val="center"/>
        <w:tblLayout w:type="fixed"/>
        <w:tblLook w:val="04A0" w:firstRow="1" w:lastRow="0" w:firstColumn="1" w:lastColumn="0" w:noHBand="0" w:noVBand="1"/>
        <w:tblCaption w:val="EXHIBIT 6"/>
        <w:tblDescription w:val="COMPARABLE MERGERS AND ACQUISITIONS TRANSACTIONS (IN US$)"/>
      </w:tblPr>
      <w:tblGrid>
        <w:gridCol w:w="1530"/>
        <w:gridCol w:w="2822"/>
        <w:gridCol w:w="2970"/>
        <w:gridCol w:w="1210"/>
        <w:gridCol w:w="900"/>
      </w:tblGrid>
      <w:tr w:rsidR="00EE487F" w:rsidRPr="00EE487F" w14:paraId="0F2694AE" w14:textId="77777777" w:rsidTr="00920E4B">
        <w:trPr>
          <w:trHeight w:val="20"/>
          <w:jc w:val="center"/>
        </w:trPr>
        <w:tc>
          <w:tcPr>
            <w:tcW w:w="1530" w:type="dxa"/>
            <w:tcBorders>
              <w:top w:val="single" w:sz="4" w:space="0" w:color="auto"/>
              <w:left w:val="nil"/>
              <w:bottom w:val="nil"/>
              <w:right w:val="nil"/>
            </w:tcBorders>
            <w:shd w:val="clear" w:color="auto" w:fill="auto"/>
            <w:noWrap/>
            <w:vAlign w:val="center"/>
          </w:tcPr>
          <w:p w14:paraId="18DEAE51" w14:textId="77777777" w:rsidR="00EE487F" w:rsidRPr="00EE487F" w:rsidRDefault="00EE487F" w:rsidP="00EE487F">
            <w:pPr>
              <w:jc w:val="center"/>
              <w:rPr>
                <w:rFonts w:ascii="Arial" w:hAnsi="Arial" w:cs="Arial"/>
                <w:b/>
                <w:color w:val="000000"/>
                <w:sz w:val="18"/>
                <w:szCs w:val="18"/>
                <w:lang w:val="en-GB"/>
              </w:rPr>
            </w:pPr>
            <w:r w:rsidRPr="00EE487F">
              <w:rPr>
                <w:rFonts w:ascii="Arial" w:hAnsi="Arial" w:cs="Arial"/>
                <w:b/>
                <w:color w:val="000000"/>
                <w:sz w:val="18"/>
                <w:szCs w:val="18"/>
                <w:lang w:val="en-GB"/>
              </w:rPr>
              <w:t>Date</w:t>
            </w:r>
          </w:p>
        </w:tc>
        <w:tc>
          <w:tcPr>
            <w:tcW w:w="2822" w:type="dxa"/>
            <w:tcBorders>
              <w:top w:val="single" w:sz="4" w:space="0" w:color="auto"/>
              <w:left w:val="nil"/>
              <w:bottom w:val="nil"/>
              <w:right w:val="nil"/>
            </w:tcBorders>
            <w:shd w:val="clear" w:color="auto" w:fill="auto"/>
            <w:noWrap/>
            <w:vAlign w:val="center"/>
          </w:tcPr>
          <w:p w14:paraId="31D22421" w14:textId="77777777" w:rsidR="00EE487F" w:rsidRPr="00EE487F" w:rsidRDefault="00EE487F" w:rsidP="00EE487F">
            <w:pPr>
              <w:ind w:firstLineChars="200" w:firstLine="361"/>
              <w:jc w:val="center"/>
              <w:rPr>
                <w:rFonts w:ascii="Arial" w:hAnsi="Arial" w:cs="Arial"/>
                <w:b/>
                <w:color w:val="000000"/>
                <w:sz w:val="18"/>
                <w:szCs w:val="18"/>
                <w:lang w:val="en-GB"/>
              </w:rPr>
            </w:pPr>
            <w:r w:rsidRPr="00EE487F">
              <w:rPr>
                <w:rFonts w:ascii="Arial" w:hAnsi="Arial" w:cs="Arial"/>
                <w:b/>
                <w:color w:val="000000"/>
                <w:sz w:val="18"/>
                <w:szCs w:val="18"/>
                <w:lang w:val="en-GB"/>
              </w:rPr>
              <w:t>Acquirer Company</w:t>
            </w:r>
          </w:p>
        </w:tc>
        <w:tc>
          <w:tcPr>
            <w:tcW w:w="2970" w:type="dxa"/>
            <w:tcBorders>
              <w:top w:val="single" w:sz="4" w:space="0" w:color="auto"/>
              <w:left w:val="nil"/>
              <w:bottom w:val="nil"/>
              <w:right w:val="nil"/>
            </w:tcBorders>
            <w:shd w:val="clear" w:color="auto" w:fill="auto"/>
            <w:noWrap/>
            <w:vAlign w:val="center"/>
          </w:tcPr>
          <w:p w14:paraId="65C0E37F" w14:textId="77777777" w:rsidR="00EE487F" w:rsidRPr="00EE487F" w:rsidRDefault="00EE487F" w:rsidP="00EE487F">
            <w:pPr>
              <w:ind w:firstLineChars="300" w:firstLine="542"/>
              <w:jc w:val="center"/>
              <w:rPr>
                <w:rFonts w:ascii="Arial" w:hAnsi="Arial" w:cs="Arial"/>
                <w:b/>
                <w:color w:val="000000"/>
                <w:sz w:val="18"/>
                <w:szCs w:val="18"/>
                <w:lang w:val="en-GB"/>
              </w:rPr>
            </w:pPr>
            <w:r w:rsidRPr="00EE487F">
              <w:rPr>
                <w:rFonts w:ascii="Arial" w:hAnsi="Arial" w:cs="Arial"/>
                <w:b/>
                <w:color w:val="000000"/>
                <w:sz w:val="18"/>
                <w:szCs w:val="18"/>
                <w:lang w:val="en-GB"/>
              </w:rPr>
              <w:t>Target Company</w:t>
            </w:r>
          </w:p>
        </w:tc>
        <w:tc>
          <w:tcPr>
            <w:tcW w:w="1210" w:type="dxa"/>
            <w:tcBorders>
              <w:top w:val="single" w:sz="4" w:space="0" w:color="auto"/>
              <w:left w:val="nil"/>
              <w:bottom w:val="nil"/>
              <w:right w:val="nil"/>
            </w:tcBorders>
            <w:shd w:val="clear" w:color="auto" w:fill="auto"/>
            <w:noWrap/>
            <w:vAlign w:val="center"/>
          </w:tcPr>
          <w:p w14:paraId="33E4735A" w14:textId="77777777" w:rsidR="00EE487F" w:rsidRPr="00EE487F" w:rsidRDefault="00EE487F" w:rsidP="00EE487F">
            <w:pPr>
              <w:jc w:val="center"/>
              <w:rPr>
                <w:rFonts w:ascii="Arial" w:hAnsi="Arial" w:cs="Arial"/>
                <w:b/>
                <w:color w:val="000000"/>
                <w:sz w:val="18"/>
                <w:szCs w:val="18"/>
                <w:lang w:val="en-GB"/>
              </w:rPr>
            </w:pPr>
            <w:r w:rsidRPr="00EE487F">
              <w:rPr>
                <w:rFonts w:ascii="Arial" w:hAnsi="Arial" w:cs="Arial"/>
                <w:b/>
                <w:color w:val="000000"/>
                <w:sz w:val="18"/>
                <w:szCs w:val="18"/>
                <w:lang w:val="en-GB"/>
              </w:rPr>
              <w:t>Deal Value</w:t>
            </w:r>
          </w:p>
        </w:tc>
        <w:tc>
          <w:tcPr>
            <w:tcW w:w="900" w:type="dxa"/>
            <w:tcBorders>
              <w:top w:val="single" w:sz="4" w:space="0" w:color="auto"/>
              <w:left w:val="nil"/>
              <w:bottom w:val="nil"/>
              <w:right w:val="nil"/>
            </w:tcBorders>
            <w:shd w:val="clear" w:color="auto" w:fill="auto"/>
            <w:noWrap/>
            <w:vAlign w:val="center"/>
          </w:tcPr>
          <w:p w14:paraId="5E2A12F8" w14:textId="77777777" w:rsidR="00EE487F" w:rsidRPr="00EE487F" w:rsidRDefault="00EE487F" w:rsidP="00EE487F">
            <w:pPr>
              <w:ind w:right="-112" w:hanging="105"/>
              <w:jc w:val="center"/>
              <w:rPr>
                <w:rFonts w:ascii="Arial" w:hAnsi="Arial" w:cs="Arial"/>
                <w:b/>
                <w:color w:val="000000"/>
                <w:sz w:val="18"/>
                <w:szCs w:val="18"/>
                <w:lang w:val="en-GB"/>
              </w:rPr>
            </w:pPr>
            <w:r w:rsidRPr="00EE487F">
              <w:rPr>
                <w:rFonts w:ascii="Arial" w:hAnsi="Arial" w:cs="Arial"/>
                <w:b/>
                <w:color w:val="000000"/>
                <w:sz w:val="18"/>
                <w:szCs w:val="18"/>
                <w:lang w:val="en-GB"/>
              </w:rPr>
              <w:t>EBITDA Multiple</w:t>
            </w:r>
          </w:p>
        </w:tc>
      </w:tr>
      <w:tr w:rsidR="00EE487F" w:rsidRPr="00EE487F" w14:paraId="705FA27C" w14:textId="77777777" w:rsidTr="00920E4B">
        <w:trPr>
          <w:trHeight w:val="20"/>
          <w:jc w:val="center"/>
        </w:trPr>
        <w:tc>
          <w:tcPr>
            <w:tcW w:w="1530" w:type="dxa"/>
            <w:tcBorders>
              <w:top w:val="single" w:sz="4" w:space="0" w:color="auto"/>
              <w:left w:val="nil"/>
              <w:bottom w:val="single" w:sz="4" w:space="0" w:color="auto"/>
              <w:right w:val="nil"/>
            </w:tcBorders>
            <w:shd w:val="clear" w:color="auto" w:fill="auto"/>
            <w:noWrap/>
            <w:vAlign w:val="center"/>
          </w:tcPr>
          <w:p w14:paraId="56228FDB" w14:textId="77777777" w:rsidR="00EE487F" w:rsidRPr="00EE487F" w:rsidRDefault="00EE487F" w:rsidP="00EE487F">
            <w:pPr>
              <w:ind w:leftChars="-7" w:left="-14" w:firstLineChars="7" w:firstLine="13"/>
              <w:rPr>
                <w:rFonts w:ascii="Arial" w:hAnsi="Arial" w:cs="Arial"/>
                <w:color w:val="000000"/>
                <w:sz w:val="18"/>
                <w:szCs w:val="18"/>
                <w:lang w:val="en-GB"/>
              </w:rPr>
            </w:pPr>
            <w:r w:rsidRPr="00EE487F">
              <w:rPr>
                <w:rFonts w:ascii="Arial" w:hAnsi="Arial" w:cs="Arial"/>
                <w:color w:val="000000"/>
                <w:sz w:val="18"/>
                <w:szCs w:val="18"/>
                <w:lang w:val="en-GB"/>
              </w:rPr>
              <w:t>June 2016</w:t>
            </w:r>
          </w:p>
        </w:tc>
        <w:tc>
          <w:tcPr>
            <w:tcW w:w="2822" w:type="dxa"/>
            <w:tcBorders>
              <w:top w:val="single" w:sz="4" w:space="0" w:color="auto"/>
              <w:left w:val="nil"/>
              <w:bottom w:val="single" w:sz="4" w:space="0" w:color="auto"/>
              <w:right w:val="nil"/>
            </w:tcBorders>
            <w:shd w:val="clear" w:color="auto" w:fill="auto"/>
            <w:noWrap/>
            <w:vAlign w:val="center"/>
          </w:tcPr>
          <w:p w14:paraId="06F5AAB1"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Lions Gate Entertainment Corp.</w:t>
            </w:r>
          </w:p>
        </w:tc>
        <w:tc>
          <w:tcPr>
            <w:tcW w:w="2970" w:type="dxa"/>
            <w:tcBorders>
              <w:top w:val="single" w:sz="4" w:space="0" w:color="auto"/>
              <w:left w:val="nil"/>
              <w:bottom w:val="single" w:sz="4" w:space="0" w:color="auto"/>
              <w:right w:val="nil"/>
            </w:tcBorders>
            <w:shd w:val="clear" w:color="auto" w:fill="auto"/>
            <w:noWrap/>
            <w:vAlign w:val="center"/>
          </w:tcPr>
          <w:p w14:paraId="19A1EB85" w14:textId="77777777" w:rsidR="00EE487F" w:rsidRPr="00EE487F" w:rsidRDefault="00EE487F" w:rsidP="00EE487F">
            <w:pPr>
              <w:jc w:val="center"/>
              <w:rPr>
                <w:rFonts w:ascii="Arial" w:hAnsi="Arial" w:cs="Arial"/>
                <w:color w:val="000000"/>
                <w:sz w:val="18"/>
                <w:szCs w:val="18"/>
                <w:lang w:val="en-GB"/>
              </w:rPr>
            </w:pPr>
            <w:proofErr w:type="spellStart"/>
            <w:r w:rsidRPr="00EE487F">
              <w:rPr>
                <w:rFonts w:ascii="Arial" w:hAnsi="Arial" w:cs="Arial"/>
                <w:color w:val="000000"/>
                <w:sz w:val="18"/>
                <w:szCs w:val="18"/>
                <w:lang w:val="en-GB"/>
              </w:rPr>
              <w:t>Starz</w:t>
            </w:r>
            <w:proofErr w:type="spellEnd"/>
            <w:r w:rsidRPr="00EE487F">
              <w:rPr>
                <w:rFonts w:ascii="Arial" w:hAnsi="Arial" w:cs="Arial"/>
                <w:color w:val="000000"/>
                <w:sz w:val="18"/>
                <w:szCs w:val="18"/>
                <w:lang w:val="en-GB"/>
              </w:rPr>
              <w:t xml:space="preserve"> Inc.</w:t>
            </w:r>
          </w:p>
        </w:tc>
        <w:tc>
          <w:tcPr>
            <w:tcW w:w="1210" w:type="dxa"/>
            <w:tcBorders>
              <w:top w:val="single" w:sz="4" w:space="0" w:color="auto"/>
              <w:left w:val="nil"/>
              <w:bottom w:val="single" w:sz="4" w:space="0" w:color="auto"/>
              <w:right w:val="nil"/>
            </w:tcBorders>
            <w:shd w:val="clear" w:color="auto" w:fill="auto"/>
            <w:noWrap/>
            <w:vAlign w:val="center"/>
          </w:tcPr>
          <w:p w14:paraId="73D50F07"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$4.40 billion</w:t>
            </w:r>
          </w:p>
        </w:tc>
        <w:tc>
          <w:tcPr>
            <w:tcW w:w="900" w:type="dxa"/>
            <w:tcBorders>
              <w:top w:val="single" w:sz="4" w:space="0" w:color="auto"/>
              <w:left w:val="nil"/>
              <w:bottom w:val="single" w:sz="4" w:space="0" w:color="auto"/>
              <w:right w:val="nil"/>
            </w:tcBorders>
            <w:shd w:val="clear" w:color="auto" w:fill="auto"/>
            <w:noWrap/>
            <w:vAlign w:val="center"/>
          </w:tcPr>
          <w:p w14:paraId="4FAE64D8"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10.9×</w:t>
            </w:r>
          </w:p>
        </w:tc>
      </w:tr>
      <w:tr w:rsidR="00EE487F" w:rsidRPr="00EE487F" w14:paraId="7D72C86A" w14:textId="77777777" w:rsidTr="00920E4B">
        <w:trPr>
          <w:trHeight w:val="20"/>
          <w:jc w:val="center"/>
        </w:trPr>
        <w:tc>
          <w:tcPr>
            <w:tcW w:w="1530" w:type="dxa"/>
            <w:tcBorders>
              <w:top w:val="nil"/>
              <w:left w:val="nil"/>
              <w:bottom w:val="single" w:sz="4" w:space="0" w:color="auto"/>
              <w:right w:val="nil"/>
            </w:tcBorders>
            <w:shd w:val="clear" w:color="auto" w:fill="auto"/>
            <w:noWrap/>
            <w:vAlign w:val="center"/>
          </w:tcPr>
          <w:p w14:paraId="1FE95E18" w14:textId="77777777" w:rsidR="00EE487F" w:rsidRPr="00EE487F" w:rsidRDefault="00EE487F" w:rsidP="00EE487F">
            <w:pPr>
              <w:ind w:leftChars="-7" w:left="-14" w:firstLineChars="7" w:firstLine="13"/>
              <w:rPr>
                <w:rFonts w:ascii="Arial" w:hAnsi="Arial" w:cs="Arial"/>
                <w:color w:val="000000"/>
                <w:sz w:val="18"/>
                <w:szCs w:val="18"/>
                <w:lang w:val="en-GB"/>
              </w:rPr>
            </w:pPr>
            <w:r w:rsidRPr="00EE487F">
              <w:rPr>
                <w:rFonts w:ascii="Arial" w:hAnsi="Arial" w:cs="Arial"/>
                <w:color w:val="000000"/>
                <w:sz w:val="18"/>
                <w:szCs w:val="18"/>
                <w:lang w:val="en-GB"/>
              </w:rPr>
              <w:t>April 2016</w:t>
            </w:r>
          </w:p>
        </w:tc>
        <w:tc>
          <w:tcPr>
            <w:tcW w:w="2822" w:type="dxa"/>
            <w:tcBorders>
              <w:top w:val="nil"/>
              <w:left w:val="nil"/>
              <w:bottom w:val="single" w:sz="4" w:space="0" w:color="auto"/>
              <w:right w:val="nil"/>
            </w:tcBorders>
            <w:shd w:val="clear" w:color="auto" w:fill="auto"/>
            <w:noWrap/>
            <w:vAlign w:val="center"/>
          </w:tcPr>
          <w:p w14:paraId="56CB79B0"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Comcast Corporation</w:t>
            </w:r>
          </w:p>
        </w:tc>
        <w:tc>
          <w:tcPr>
            <w:tcW w:w="2970" w:type="dxa"/>
            <w:tcBorders>
              <w:top w:val="nil"/>
              <w:left w:val="nil"/>
              <w:bottom w:val="single" w:sz="4" w:space="0" w:color="auto"/>
              <w:right w:val="nil"/>
            </w:tcBorders>
            <w:shd w:val="clear" w:color="auto" w:fill="auto"/>
            <w:noWrap/>
            <w:vAlign w:val="center"/>
          </w:tcPr>
          <w:p w14:paraId="57082CE7"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DreamWorks Animation SKG Inc.</w:t>
            </w:r>
          </w:p>
        </w:tc>
        <w:tc>
          <w:tcPr>
            <w:tcW w:w="1210" w:type="dxa"/>
            <w:tcBorders>
              <w:top w:val="nil"/>
              <w:left w:val="nil"/>
              <w:bottom w:val="single" w:sz="4" w:space="0" w:color="auto"/>
              <w:right w:val="nil"/>
            </w:tcBorders>
            <w:shd w:val="clear" w:color="auto" w:fill="auto"/>
            <w:noWrap/>
            <w:vAlign w:val="center"/>
          </w:tcPr>
          <w:p w14:paraId="6FAF7D32"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$3.80 billion</w:t>
            </w:r>
          </w:p>
        </w:tc>
        <w:tc>
          <w:tcPr>
            <w:tcW w:w="900" w:type="dxa"/>
            <w:tcBorders>
              <w:top w:val="nil"/>
              <w:left w:val="nil"/>
              <w:bottom w:val="single" w:sz="4" w:space="0" w:color="auto"/>
              <w:right w:val="nil"/>
            </w:tcBorders>
            <w:shd w:val="clear" w:color="auto" w:fill="auto"/>
            <w:noWrap/>
            <w:vAlign w:val="center"/>
          </w:tcPr>
          <w:p w14:paraId="3A62DADB"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32.3×</w:t>
            </w:r>
          </w:p>
        </w:tc>
      </w:tr>
      <w:tr w:rsidR="00EE487F" w:rsidRPr="00EE487F" w14:paraId="7C7B0AB1" w14:textId="77777777" w:rsidTr="00920E4B">
        <w:trPr>
          <w:trHeight w:val="20"/>
          <w:jc w:val="center"/>
        </w:trPr>
        <w:tc>
          <w:tcPr>
            <w:tcW w:w="1530" w:type="dxa"/>
            <w:tcBorders>
              <w:top w:val="nil"/>
              <w:left w:val="nil"/>
              <w:bottom w:val="single" w:sz="4" w:space="0" w:color="auto"/>
              <w:right w:val="nil"/>
            </w:tcBorders>
            <w:shd w:val="clear" w:color="auto" w:fill="auto"/>
            <w:noWrap/>
            <w:vAlign w:val="center"/>
          </w:tcPr>
          <w:p w14:paraId="377F87F0" w14:textId="77777777" w:rsidR="00EE487F" w:rsidRPr="00EE487F" w:rsidRDefault="00EE487F" w:rsidP="00EE487F">
            <w:pPr>
              <w:ind w:leftChars="-7" w:left="-14" w:firstLineChars="7" w:firstLine="13"/>
              <w:rPr>
                <w:rFonts w:ascii="Arial" w:hAnsi="Arial" w:cs="Arial"/>
                <w:color w:val="000000"/>
                <w:sz w:val="18"/>
                <w:szCs w:val="18"/>
                <w:lang w:val="en-GB"/>
              </w:rPr>
            </w:pPr>
            <w:r w:rsidRPr="00EE487F">
              <w:rPr>
                <w:rFonts w:ascii="Arial" w:hAnsi="Arial" w:cs="Arial"/>
                <w:color w:val="000000"/>
                <w:sz w:val="18"/>
                <w:szCs w:val="18"/>
                <w:lang w:val="en-GB"/>
              </w:rPr>
              <w:t>November 2012</w:t>
            </w:r>
          </w:p>
        </w:tc>
        <w:tc>
          <w:tcPr>
            <w:tcW w:w="2822" w:type="dxa"/>
            <w:tcBorders>
              <w:top w:val="nil"/>
              <w:left w:val="nil"/>
              <w:bottom w:val="single" w:sz="4" w:space="0" w:color="auto"/>
              <w:right w:val="nil"/>
            </w:tcBorders>
            <w:shd w:val="clear" w:color="auto" w:fill="auto"/>
            <w:noWrap/>
            <w:vAlign w:val="center"/>
          </w:tcPr>
          <w:p w14:paraId="328EDEBA"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News Corporation</w:t>
            </w:r>
          </w:p>
        </w:tc>
        <w:tc>
          <w:tcPr>
            <w:tcW w:w="2970" w:type="dxa"/>
            <w:tcBorders>
              <w:top w:val="nil"/>
              <w:left w:val="nil"/>
              <w:bottom w:val="single" w:sz="4" w:space="0" w:color="auto"/>
              <w:right w:val="nil"/>
            </w:tcBorders>
            <w:shd w:val="clear" w:color="auto" w:fill="auto"/>
            <w:noWrap/>
            <w:vAlign w:val="center"/>
          </w:tcPr>
          <w:p w14:paraId="2E03458F"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Yankee Entertainment and Sports Network</w:t>
            </w:r>
          </w:p>
        </w:tc>
        <w:tc>
          <w:tcPr>
            <w:tcW w:w="1210" w:type="dxa"/>
            <w:tcBorders>
              <w:top w:val="nil"/>
              <w:left w:val="nil"/>
              <w:bottom w:val="single" w:sz="4" w:space="0" w:color="auto"/>
              <w:right w:val="nil"/>
            </w:tcBorders>
            <w:shd w:val="clear" w:color="auto" w:fill="auto"/>
            <w:noWrap/>
            <w:vAlign w:val="center"/>
          </w:tcPr>
          <w:p w14:paraId="4E905D6F"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$3.90 billion</w:t>
            </w:r>
          </w:p>
        </w:tc>
        <w:tc>
          <w:tcPr>
            <w:tcW w:w="900" w:type="dxa"/>
            <w:tcBorders>
              <w:top w:val="nil"/>
              <w:left w:val="nil"/>
              <w:bottom w:val="single" w:sz="4" w:space="0" w:color="auto"/>
              <w:right w:val="nil"/>
            </w:tcBorders>
            <w:shd w:val="clear" w:color="auto" w:fill="auto"/>
            <w:noWrap/>
            <w:vAlign w:val="center"/>
          </w:tcPr>
          <w:p w14:paraId="135D470A"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12.2×</w:t>
            </w:r>
          </w:p>
        </w:tc>
      </w:tr>
      <w:tr w:rsidR="00EE487F" w:rsidRPr="00EE487F" w14:paraId="69B861AA" w14:textId="77777777" w:rsidTr="00920E4B">
        <w:trPr>
          <w:trHeight w:val="20"/>
          <w:jc w:val="center"/>
        </w:trPr>
        <w:tc>
          <w:tcPr>
            <w:tcW w:w="1530" w:type="dxa"/>
            <w:tcBorders>
              <w:top w:val="nil"/>
              <w:left w:val="nil"/>
              <w:bottom w:val="single" w:sz="4" w:space="0" w:color="auto"/>
              <w:right w:val="nil"/>
            </w:tcBorders>
            <w:shd w:val="clear" w:color="auto" w:fill="auto"/>
            <w:noWrap/>
            <w:vAlign w:val="center"/>
          </w:tcPr>
          <w:p w14:paraId="1756341F" w14:textId="77777777" w:rsidR="00EE487F" w:rsidRPr="00EE487F" w:rsidRDefault="00EE487F" w:rsidP="00EE487F">
            <w:pPr>
              <w:ind w:leftChars="-7" w:left="-14" w:firstLineChars="7" w:firstLine="13"/>
              <w:rPr>
                <w:rFonts w:ascii="Arial" w:hAnsi="Arial" w:cs="Arial"/>
                <w:color w:val="000000"/>
                <w:sz w:val="18"/>
                <w:szCs w:val="18"/>
                <w:lang w:val="en-GB"/>
              </w:rPr>
            </w:pPr>
            <w:r w:rsidRPr="00EE487F">
              <w:rPr>
                <w:rFonts w:ascii="Arial" w:hAnsi="Arial" w:cs="Arial"/>
                <w:color w:val="000000"/>
                <w:sz w:val="18"/>
                <w:szCs w:val="18"/>
                <w:lang w:val="en-GB"/>
              </w:rPr>
              <w:t>August 2009</w:t>
            </w:r>
          </w:p>
        </w:tc>
        <w:tc>
          <w:tcPr>
            <w:tcW w:w="2822" w:type="dxa"/>
            <w:tcBorders>
              <w:top w:val="nil"/>
              <w:left w:val="nil"/>
              <w:bottom w:val="single" w:sz="4" w:space="0" w:color="auto"/>
              <w:right w:val="nil"/>
            </w:tcBorders>
            <w:shd w:val="clear" w:color="auto" w:fill="auto"/>
            <w:noWrap/>
            <w:vAlign w:val="center"/>
          </w:tcPr>
          <w:p w14:paraId="611A3AA3"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The Walt Disney Company</w:t>
            </w:r>
          </w:p>
        </w:tc>
        <w:tc>
          <w:tcPr>
            <w:tcW w:w="2970" w:type="dxa"/>
            <w:tcBorders>
              <w:top w:val="nil"/>
              <w:left w:val="nil"/>
              <w:bottom w:val="single" w:sz="4" w:space="0" w:color="auto"/>
              <w:right w:val="nil"/>
            </w:tcBorders>
            <w:shd w:val="clear" w:color="auto" w:fill="auto"/>
            <w:noWrap/>
            <w:vAlign w:val="center"/>
          </w:tcPr>
          <w:p w14:paraId="464873F4" w14:textId="77777777" w:rsidR="00EE487F" w:rsidRPr="00EE487F" w:rsidRDefault="00EE487F" w:rsidP="00EE487F">
            <w:pPr>
              <w:jc w:val="center"/>
              <w:rPr>
                <w:rFonts w:ascii="Arial" w:hAnsi="Arial" w:cs="Arial"/>
                <w:color w:val="000000"/>
                <w:sz w:val="18"/>
                <w:szCs w:val="18"/>
                <w:lang w:val="en-GB"/>
              </w:rPr>
            </w:pPr>
            <w:r w:rsidRPr="00EE487F">
              <w:rPr>
                <w:rFonts w:ascii="Arial" w:hAnsi="Arial" w:cs="Arial"/>
                <w:color w:val="000000"/>
                <w:sz w:val="18"/>
                <w:szCs w:val="18"/>
                <w:lang w:val="en-GB"/>
              </w:rPr>
              <w:t>Marvel Entertainment Group Inc.</w:t>
            </w:r>
          </w:p>
        </w:tc>
        <w:tc>
          <w:tcPr>
            <w:tcW w:w="1210" w:type="dxa"/>
            <w:tcBorders>
              <w:top w:val="nil"/>
              <w:left w:val="nil"/>
              <w:bottom w:val="single" w:sz="4" w:space="0" w:color="auto"/>
              <w:right w:val="nil"/>
            </w:tcBorders>
            <w:shd w:val="clear" w:color="auto" w:fill="auto"/>
            <w:noWrap/>
            <w:vAlign w:val="center"/>
          </w:tcPr>
          <w:p w14:paraId="64953154"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$4.24 billion</w:t>
            </w:r>
          </w:p>
        </w:tc>
        <w:tc>
          <w:tcPr>
            <w:tcW w:w="900" w:type="dxa"/>
            <w:tcBorders>
              <w:top w:val="nil"/>
              <w:left w:val="nil"/>
              <w:bottom w:val="single" w:sz="4" w:space="0" w:color="auto"/>
              <w:right w:val="nil"/>
            </w:tcBorders>
            <w:shd w:val="clear" w:color="auto" w:fill="auto"/>
            <w:noWrap/>
            <w:vAlign w:val="center"/>
          </w:tcPr>
          <w:p w14:paraId="4A924D9D" w14:textId="77777777" w:rsidR="00EE487F" w:rsidRPr="00EE487F" w:rsidRDefault="00EE487F" w:rsidP="00EE487F">
            <w:pPr>
              <w:jc w:val="right"/>
              <w:rPr>
                <w:rFonts w:ascii="Arial" w:hAnsi="Arial" w:cs="Arial"/>
                <w:color w:val="000000"/>
                <w:sz w:val="18"/>
                <w:szCs w:val="18"/>
                <w:lang w:val="en-GB"/>
              </w:rPr>
            </w:pPr>
            <w:r w:rsidRPr="00EE487F">
              <w:rPr>
                <w:rFonts w:ascii="Arial" w:hAnsi="Arial" w:cs="Arial"/>
                <w:color w:val="000000"/>
                <w:sz w:val="18"/>
                <w:szCs w:val="18"/>
                <w:lang w:val="en-GB"/>
              </w:rPr>
              <w:t>12.7×</w:t>
            </w:r>
          </w:p>
        </w:tc>
      </w:tr>
    </w:tbl>
    <w:p w14:paraId="6187AA98" w14:textId="77777777" w:rsidR="00EE487F" w:rsidRPr="00EE487F" w:rsidRDefault="00EE487F" w:rsidP="0011091B">
      <w:pPr>
        <w:pStyle w:val="FootnoteText1"/>
        <w:rPr>
          <w:lang w:val="en-GB"/>
        </w:rPr>
      </w:pPr>
    </w:p>
    <w:p w14:paraId="336CC811" w14:textId="6F440ACA" w:rsidR="007B04CD" w:rsidRDefault="007B04CD" w:rsidP="007B04CD">
      <w:pPr>
        <w:pStyle w:val="FootnoteText1"/>
        <w:rPr>
          <w:lang w:val="en-GB"/>
        </w:rPr>
      </w:pPr>
      <w:r>
        <w:rPr>
          <w:lang w:val="en-GB"/>
        </w:rPr>
        <w:t>Note:</w:t>
      </w:r>
      <w:r w:rsidRPr="007B04CD">
        <w:rPr>
          <w:lang w:val="en-GB"/>
        </w:rPr>
        <w:t xml:space="preserve"> </w:t>
      </w:r>
      <w:r>
        <w:rPr>
          <w:lang w:val="en-GB"/>
        </w:rPr>
        <w:t xml:space="preserve">Note: EBITDA = </w:t>
      </w:r>
      <w:r w:rsidRPr="00EE487F">
        <w:rPr>
          <w:szCs w:val="24"/>
          <w:lang w:val="en-GB"/>
        </w:rPr>
        <w:t>earnings before interest, taxes, depreciation, and amortization</w:t>
      </w:r>
    </w:p>
    <w:p w14:paraId="2CA88261" w14:textId="20747DAE" w:rsidR="00EE487F" w:rsidRPr="00EE487F" w:rsidRDefault="00EE487F" w:rsidP="0011091B">
      <w:pPr>
        <w:pStyle w:val="FootnoteText1"/>
        <w:rPr>
          <w:rFonts w:eastAsia="SimSun"/>
          <w:lang w:eastAsia="zh-CN"/>
        </w:rPr>
      </w:pPr>
      <w:r w:rsidRPr="00EE487F">
        <w:rPr>
          <w:lang w:val="en-GB"/>
        </w:rPr>
        <w:t>Source: Created by the case authors using data from Bloomberg.</w:t>
      </w:r>
      <w:r w:rsidRPr="00EE487F">
        <w:rPr>
          <w:rFonts w:eastAsia="SimSun" w:hint="eastAsia"/>
          <w:sz w:val="16"/>
          <w:szCs w:val="16"/>
          <w:lang w:eastAsia="zh-CN"/>
        </w:rPr>
        <w:t xml:space="preserve"> </w:t>
      </w:r>
    </w:p>
    <w:p w14:paraId="579E9210" w14:textId="77777777" w:rsidR="00EE487F" w:rsidRPr="00EE487F" w:rsidRDefault="00EE487F" w:rsidP="00B77C4D">
      <w:pPr>
        <w:pStyle w:val="BodyTextMain"/>
      </w:pPr>
    </w:p>
    <w:p w14:paraId="79564CF2" w14:textId="77777777" w:rsidR="00EE487F" w:rsidRPr="00EE487F" w:rsidRDefault="00EE487F" w:rsidP="00B77C4D">
      <w:pPr>
        <w:pStyle w:val="BodyTextMain"/>
      </w:pPr>
    </w:p>
    <w:p w14:paraId="7ED2D7A5" w14:textId="77777777" w:rsidR="00EE487F" w:rsidRPr="00EE487F" w:rsidRDefault="00EE487F" w:rsidP="00B77C4D">
      <w:pPr>
        <w:pStyle w:val="Casehead1"/>
        <w:jc w:val="center"/>
        <w:rPr>
          <w:lang w:val="en-GB"/>
        </w:rPr>
      </w:pPr>
      <w:r w:rsidRPr="00EE487F">
        <w:rPr>
          <w:lang w:val="en-GB"/>
        </w:rPr>
        <w:t>Exhibit 7: Multiples of Major Competitors in the Media Industry</w:t>
      </w:r>
    </w:p>
    <w:p w14:paraId="79A7DF55" w14:textId="77777777" w:rsidR="00EE487F" w:rsidRPr="00EE487F" w:rsidRDefault="00EE487F" w:rsidP="00B77C4D">
      <w:pPr>
        <w:pStyle w:val="BodyTextMain"/>
        <w:rPr>
          <w:lang w:val="en-GB"/>
        </w:rPr>
      </w:pPr>
    </w:p>
    <w:tbl>
      <w:tblPr>
        <w:tblW w:w="7936" w:type="dxa"/>
        <w:jc w:val="center"/>
        <w:tblBorders>
          <w:top w:val="single" w:sz="4" w:space="0" w:color="auto"/>
          <w:bottom w:val="single" w:sz="4" w:space="0" w:color="auto"/>
        </w:tblBorders>
        <w:tblLayout w:type="fixed"/>
        <w:tblLook w:val="04A0" w:firstRow="1" w:lastRow="0" w:firstColumn="1" w:lastColumn="0" w:noHBand="0" w:noVBand="1"/>
        <w:tblCaption w:val="EXHIBIT 7"/>
        <w:tblDescription w:val="MULTIPLES OF MAJOR COMPETITORS IN THE MEDIA INDUSTRY"/>
      </w:tblPr>
      <w:tblGrid>
        <w:gridCol w:w="4634"/>
        <w:gridCol w:w="1598"/>
        <w:gridCol w:w="1704"/>
      </w:tblGrid>
      <w:tr w:rsidR="00EE487F" w:rsidRPr="00EE487F" w14:paraId="1F40592F" w14:textId="77777777" w:rsidTr="00B77C4D">
        <w:trPr>
          <w:trHeight w:val="253"/>
          <w:jc w:val="center"/>
        </w:trPr>
        <w:tc>
          <w:tcPr>
            <w:tcW w:w="4634" w:type="dxa"/>
            <w:tcBorders>
              <w:top w:val="single" w:sz="4" w:space="0" w:color="auto"/>
              <w:bottom w:val="single" w:sz="4" w:space="0" w:color="auto"/>
            </w:tcBorders>
            <w:shd w:val="clear" w:color="auto" w:fill="auto"/>
            <w:noWrap/>
            <w:vAlign w:val="bottom"/>
          </w:tcPr>
          <w:p w14:paraId="382FAC9A" w14:textId="77777777" w:rsidR="00EE487F" w:rsidRPr="00EE487F" w:rsidRDefault="00EE487F" w:rsidP="00EE487F">
            <w:pPr>
              <w:jc w:val="center"/>
              <w:rPr>
                <w:rFonts w:ascii="Arial" w:hAnsi="Arial" w:cs="Arial"/>
                <w:lang w:val="en-GB"/>
              </w:rPr>
            </w:pPr>
          </w:p>
        </w:tc>
        <w:tc>
          <w:tcPr>
            <w:tcW w:w="1598" w:type="dxa"/>
            <w:tcBorders>
              <w:top w:val="single" w:sz="4" w:space="0" w:color="auto"/>
              <w:bottom w:val="single" w:sz="4" w:space="0" w:color="auto"/>
            </w:tcBorders>
            <w:shd w:val="clear" w:color="auto" w:fill="auto"/>
            <w:noWrap/>
            <w:vAlign w:val="bottom"/>
          </w:tcPr>
          <w:p w14:paraId="17FD5901" w14:textId="77777777" w:rsidR="00EE487F" w:rsidRPr="00EE487F" w:rsidRDefault="00EE487F" w:rsidP="00EE487F">
            <w:pPr>
              <w:ind w:left="-105" w:right="-195"/>
              <w:jc w:val="center"/>
              <w:rPr>
                <w:rFonts w:ascii="Arial" w:hAnsi="Arial" w:cs="Arial"/>
                <w:b/>
                <w:lang w:val="en-GB"/>
              </w:rPr>
            </w:pPr>
            <w:r w:rsidRPr="00EE487F">
              <w:rPr>
                <w:rFonts w:ascii="Arial" w:hAnsi="Arial" w:cs="Arial"/>
                <w:b/>
                <w:lang w:val="en-GB"/>
              </w:rPr>
              <w:t>P/E Ratio</w:t>
            </w:r>
          </w:p>
        </w:tc>
        <w:tc>
          <w:tcPr>
            <w:tcW w:w="1704" w:type="dxa"/>
            <w:tcBorders>
              <w:top w:val="single" w:sz="4" w:space="0" w:color="auto"/>
              <w:bottom w:val="single" w:sz="4" w:space="0" w:color="auto"/>
            </w:tcBorders>
            <w:shd w:val="clear" w:color="auto" w:fill="auto"/>
            <w:noWrap/>
            <w:vAlign w:val="bottom"/>
          </w:tcPr>
          <w:p w14:paraId="6D4C32A8" w14:textId="77777777" w:rsidR="00EE487F" w:rsidRPr="00EE487F" w:rsidRDefault="00EE487F" w:rsidP="00EE487F">
            <w:pPr>
              <w:jc w:val="center"/>
              <w:rPr>
                <w:rFonts w:ascii="Arial" w:hAnsi="Arial" w:cs="Arial"/>
                <w:b/>
                <w:lang w:val="en-GB"/>
              </w:rPr>
            </w:pPr>
            <w:r w:rsidRPr="00EE487F">
              <w:rPr>
                <w:rFonts w:ascii="Arial" w:hAnsi="Arial" w:cs="Arial"/>
                <w:b/>
                <w:lang w:val="en-GB"/>
              </w:rPr>
              <w:t>EV/EBITDA</w:t>
            </w:r>
          </w:p>
        </w:tc>
      </w:tr>
      <w:tr w:rsidR="00EE487F" w:rsidRPr="00EE487F" w14:paraId="5C16F17B" w14:textId="77777777" w:rsidTr="00B77C4D">
        <w:trPr>
          <w:trHeight w:val="253"/>
          <w:jc w:val="center"/>
        </w:trPr>
        <w:tc>
          <w:tcPr>
            <w:tcW w:w="4634" w:type="dxa"/>
            <w:tcBorders>
              <w:top w:val="single" w:sz="4" w:space="0" w:color="auto"/>
            </w:tcBorders>
            <w:shd w:val="clear" w:color="auto" w:fill="auto"/>
            <w:noWrap/>
            <w:vAlign w:val="bottom"/>
          </w:tcPr>
          <w:p w14:paraId="02AA272F" w14:textId="12F05701" w:rsidR="00EE487F" w:rsidRPr="00EE487F" w:rsidRDefault="00EE487F" w:rsidP="00EE487F">
            <w:pPr>
              <w:rPr>
                <w:rFonts w:ascii="Arial" w:hAnsi="Arial" w:cs="Arial"/>
                <w:b/>
                <w:bCs/>
                <w:lang w:val="en-GB"/>
              </w:rPr>
            </w:pPr>
            <w:r w:rsidRPr="00EE487F">
              <w:rPr>
                <w:rFonts w:ascii="Arial" w:hAnsi="Arial" w:cs="Arial"/>
                <w:b/>
                <w:bCs/>
                <w:lang w:val="en-GB"/>
              </w:rPr>
              <w:t>Entertainment Division (Warner Bro</w:t>
            </w:r>
            <w:r w:rsidR="00920E4B">
              <w:rPr>
                <w:rFonts w:ascii="Arial" w:hAnsi="Arial" w:cs="Arial"/>
                <w:b/>
                <w:bCs/>
                <w:lang w:val="en-GB"/>
              </w:rPr>
              <w:t>thers</w:t>
            </w:r>
            <w:r w:rsidRPr="00EE487F">
              <w:rPr>
                <w:rFonts w:ascii="Arial" w:hAnsi="Arial" w:cs="Arial"/>
                <w:b/>
                <w:bCs/>
                <w:lang w:val="en-GB"/>
              </w:rPr>
              <w:t>)</w:t>
            </w:r>
          </w:p>
        </w:tc>
        <w:tc>
          <w:tcPr>
            <w:tcW w:w="1598" w:type="dxa"/>
            <w:tcBorders>
              <w:top w:val="single" w:sz="4" w:space="0" w:color="auto"/>
            </w:tcBorders>
            <w:shd w:val="clear" w:color="auto" w:fill="auto"/>
            <w:noWrap/>
            <w:vAlign w:val="bottom"/>
          </w:tcPr>
          <w:p w14:paraId="54ADF803" w14:textId="77777777" w:rsidR="00EE487F" w:rsidRPr="00EE487F" w:rsidRDefault="00EE487F" w:rsidP="00EE487F">
            <w:pPr>
              <w:jc w:val="center"/>
              <w:rPr>
                <w:rFonts w:ascii="Arial" w:hAnsi="Arial" w:cs="Arial"/>
                <w:lang w:val="en-GB"/>
              </w:rPr>
            </w:pPr>
          </w:p>
        </w:tc>
        <w:tc>
          <w:tcPr>
            <w:tcW w:w="1704" w:type="dxa"/>
            <w:tcBorders>
              <w:top w:val="single" w:sz="4" w:space="0" w:color="auto"/>
            </w:tcBorders>
            <w:shd w:val="clear" w:color="auto" w:fill="auto"/>
            <w:noWrap/>
            <w:vAlign w:val="bottom"/>
          </w:tcPr>
          <w:p w14:paraId="31105EF0" w14:textId="77777777" w:rsidR="00EE487F" w:rsidRPr="00EE487F" w:rsidRDefault="00EE487F" w:rsidP="00EE487F">
            <w:pPr>
              <w:jc w:val="center"/>
              <w:rPr>
                <w:rFonts w:ascii="Arial" w:hAnsi="Arial" w:cs="Arial"/>
                <w:lang w:val="en-GB"/>
              </w:rPr>
            </w:pPr>
          </w:p>
        </w:tc>
      </w:tr>
      <w:tr w:rsidR="00EE487F" w:rsidRPr="00EE487F" w14:paraId="2E5C6AFB" w14:textId="77777777" w:rsidTr="00B77C4D">
        <w:trPr>
          <w:trHeight w:val="253"/>
          <w:jc w:val="center"/>
        </w:trPr>
        <w:tc>
          <w:tcPr>
            <w:tcW w:w="4634" w:type="dxa"/>
            <w:shd w:val="clear" w:color="auto" w:fill="auto"/>
            <w:noWrap/>
            <w:vAlign w:val="bottom"/>
          </w:tcPr>
          <w:p w14:paraId="773AE2C8" w14:textId="77777777" w:rsidR="00EE487F" w:rsidRPr="00EE487F" w:rsidRDefault="00EE487F" w:rsidP="00EE487F">
            <w:pPr>
              <w:rPr>
                <w:rFonts w:ascii="Arial" w:hAnsi="Arial" w:cs="Arial"/>
                <w:lang w:val="en-GB"/>
              </w:rPr>
            </w:pPr>
            <w:r w:rsidRPr="00EE487F">
              <w:rPr>
                <w:rFonts w:ascii="Arial" w:hAnsi="Arial" w:cs="Arial"/>
                <w:lang w:val="en-GB"/>
              </w:rPr>
              <w:t>The Walt Disney Company</w:t>
            </w:r>
          </w:p>
        </w:tc>
        <w:tc>
          <w:tcPr>
            <w:tcW w:w="1598" w:type="dxa"/>
            <w:shd w:val="clear" w:color="auto" w:fill="auto"/>
            <w:noWrap/>
            <w:vAlign w:val="bottom"/>
          </w:tcPr>
          <w:p w14:paraId="291B1076" w14:textId="77777777" w:rsidR="00EE487F" w:rsidRPr="00EE487F" w:rsidRDefault="00EE487F" w:rsidP="00EE487F">
            <w:pPr>
              <w:jc w:val="right"/>
              <w:rPr>
                <w:rFonts w:ascii="Arial" w:hAnsi="Arial" w:cs="Arial"/>
                <w:lang w:val="en-GB"/>
              </w:rPr>
            </w:pPr>
            <w:r w:rsidRPr="00EE487F">
              <w:rPr>
                <w:rFonts w:ascii="Arial" w:hAnsi="Arial" w:cs="Arial"/>
                <w:lang w:val="en-GB"/>
              </w:rPr>
              <w:t>16.23</w:t>
            </w:r>
          </w:p>
        </w:tc>
        <w:tc>
          <w:tcPr>
            <w:tcW w:w="1704" w:type="dxa"/>
            <w:shd w:val="clear" w:color="auto" w:fill="auto"/>
            <w:noWrap/>
            <w:vAlign w:val="bottom"/>
          </w:tcPr>
          <w:p w14:paraId="0E5357CF" w14:textId="77777777" w:rsidR="00EE487F" w:rsidRPr="00EE487F" w:rsidRDefault="00EE487F" w:rsidP="00EE487F">
            <w:pPr>
              <w:jc w:val="right"/>
              <w:rPr>
                <w:rFonts w:ascii="Arial" w:hAnsi="Arial" w:cs="Arial"/>
                <w:lang w:val="en-GB"/>
              </w:rPr>
            </w:pPr>
            <w:r w:rsidRPr="00EE487F">
              <w:rPr>
                <w:rFonts w:ascii="Arial" w:hAnsi="Arial" w:cs="Arial"/>
                <w:lang w:val="en-GB"/>
              </w:rPr>
              <w:t>9.51</w:t>
            </w:r>
          </w:p>
        </w:tc>
      </w:tr>
      <w:tr w:rsidR="00EE487F" w:rsidRPr="00EE487F" w14:paraId="30E4DDB2" w14:textId="77777777" w:rsidTr="00B77C4D">
        <w:trPr>
          <w:trHeight w:val="253"/>
          <w:jc w:val="center"/>
        </w:trPr>
        <w:tc>
          <w:tcPr>
            <w:tcW w:w="4634" w:type="dxa"/>
            <w:tcBorders>
              <w:bottom w:val="nil"/>
            </w:tcBorders>
            <w:shd w:val="clear" w:color="auto" w:fill="auto"/>
            <w:noWrap/>
            <w:vAlign w:val="bottom"/>
          </w:tcPr>
          <w:p w14:paraId="2A80DD4D" w14:textId="77777777" w:rsidR="00EE487F" w:rsidRPr="00EE487F" w:rsidRDefault="00EE487F" w:rsidP="00EE487F">
            <w:pPr>
              <w:rPr>
                <w:rFonts w:ascii="Arial" w:hAnsi="Arial" w:cs="Arial"/>
                <w:lang w:val="en-GB"/>
              </w:rPr>
            </w:pPr>
            <w:r w:rsidRPr="00EE487F">
              <w:rPr>
                <w:rFonts w:ascii="Arial" w:hAnsi="Arial" w:cs="Arial"/>
                <w:lang w:val="en-GB"/>
              </w:rPr>
              <w:t xml:space="preserve">21st Century Fox Inc. </w:t>
            </w:r>
          </w:p>
        </w:tc>
        <w:tc>
          <w:tcPr>
            <w:tcW w:w="1598" w:type="dxa"/>
            <w:tcBorders>
              <w:bottom w:val="nil"/>
            </w:tcBorders>
            <w:shd w:val="clear" w:color="auto" w:fill="auto"/>
            <w:noWrap/>
            <w:vAlign w:val="bottom"/>
          </w:tcPr>
          <w:p w14:paraId="2CB69CB4" w14:textId="77777777" w:rsidR="00EE487F" w:rsidRPr="00EE487F" w:rsidRDefault="00EE487F" w:rsidP="00EE487F">
            <w:pPr>
              <w:jc w:val="right"/>
              <w:rPr>
                <w:rFonts w:ascii="Arial" w:hAnsi="Arial" w:cs="Arial"/>
                <w:lang w:val="en-GB"/>
              </w:rPr>
            </w:pPr>
            <w:r w:rsidRPr="00EE487F">
              <w:rPr>
                <w:rFonts w:ascii="Arial" w:hAnsi="Arial" w:cs="Arial"/>
                <w:lang w:val="en-GB"/>
              </w:rPr>
              <w:t>15.93</w:t>
            </w:r>
          </w:p>
        </w:tc>
        <w:tc>
          <w:tcPr>
            <w:tcW w:w="1704" w:type="dxa"/>
            <w:tcBorders>
              <w:bottom w:val="nil"/>
            </w:tcBorders>
            <w:shd w:val="clear" w:color="auto" w:fill="auto"/>
            <w:noWrap/>
            <w:vAlign w:val="bottom"/>
          </w:tcPr>
          <w:p w14:paraId="74A67509" w14:textId="77777777" w:rsidR="00EE487F" w:rsidRPr="00EE487F" w:rsidRDefault="00EE487F" w:rsidP="00EE487F">
            <w:pPr>
              <w:jc w:val="right"/>
              <w:rPr>
                <w:rFonts w:ascii="Arial" w:hAnsi="Arial" w:cs="Arial"/>
                <w:lang w:val="en-GB"/>
              </w:rPr>
            </w:pPr>
            <w:r w:rsidRPr="00EE487F">
              <w:rPr>
                <w:rFonts w:ascii="Arial" w:hAnsi="Arial" w:cs="Arial"/>
                <w:lang w:val="en-GB"/>
              </w:rPr>
              <w:t>9.01</w:t>
            </w:r>
          </w:p>
        </w:tc>
      </w:tr>
      <w:tr w:rsidR="00EE487F" w:rsidRPr="00EE487F" w14:paraId="264E27C2" w14:textId="77777777" w:rsidTr="00B77C4D">
        <w:trPr>
          <w:trHeight w:val="253"/>
          <w:jc w:val="center"/>
        </w:trPr>
        <w:tc>
          <w:tcPr>
            <w:tcW w:w="4634" w:type="dxa"/>
            <w:tcBorders>
              <w:top w:val="nil"/>
              <w:bottom w:val="single" w:sz="4" w:space="0" w:color="auto"/>
            </w:tcBorders>
            <w:shd w:val="clear" w:color="auto" w:fill="auto"/>
            <w:noWrap/>
            <w:vAlign w:val="bottom"/>
          </w:tcPr>
          <w:p w14:paraId="5719C037" w14:textId="77777777" w:rsidR="00EE487F" w:rsidRPr="00EE487F" w:rsidRDefault="00EE487F" w:rsidP="00EE487F">
            <w:pPr>
              <w:rPr>
                <w:rFonts w:ascii="Arial" w:hAnsi="Arial" w:cs="Arial"/>
                <w:lang w:val="en-GB"/>
              </w:rPr>
            </w:pPr>
            <w:r w:rsidRPr="00EE487F">
              <w:rPr>
                <w:rFonts w:ascii="Arial" w:hAnsi="Arial" w:cs="Arial"/>
                <w:lang w:val="en-GB"/>
              </w:rPr>
              <w:t>CBS Corporation</w:t>
            </w:r>
          </w:p>
        </w:tc>
        <w:tc>
          <w:tcPr>
            <w:tcW w:w="1598" w:type="dxa"/>
            <w:tcBorders>
              <w:top w:val="nil"/>
              <w:bottom w:val="single" w:sz="4" w:space="0" w:color="auto"/>
            </w:tcBorders>
            <w:shd w:val="clear" w:color="auto" w:fill="auto"/>
            <w:noWrap/>
            <w:vAlign w:val="bottom"/>
          </w:tcPr>
          <w:p w14:paraId="11EFF3EC" w14:textId="77777777" w:rsidR="00EE487F" w:rsidRPr="00EE487F" w:rsidRDefault="00EE487F" w:rsidP="00EE487F">
            <w:pPr>
              <w:jc w:val="right"/>
              <w:rPr>
                <w:rFonts w:ascii="Arial" w:hAnsi="Arial" w:cs="Arial"/>
                <w:lang w:val="en-GB"/>
              </w:rPr>
            </w:pPr>
            <w:r w:rsidRPr="00EE487F">
              <w:rPr>
                <w:rFonts w:ascii="Arial" w:hAnsi="Arial" w:cs="Arial"/>
                <w:lang w:val="en-GB"/>
              </w:rPr>
              <w:t>15.29</w:t>
            </w:r>
          </w:p>
        </w:tc>
        <w:tc>
          <w:tcPr>
            <w:tcW w:w="1704" w:type="dxa"/>
            <w:tcBorders>
              <w:top w:val="nil"/>
              <w:bottom w:val="single" w:sz="4" w:space="0" w:color="auto"/>
            </w:tcBorders>
            <w:shd w:val="clear" w:color="auto" w:fill="auto"/>
            <w:noWrap/>
            <w:vAlign w:val="bottom"/>
          </w:tcPr>
          <w:p w14:paraId="3D6D5477" w14:textId="77777777" w:rsidR="00EE487F" w:rsidRPr="00EE487F" w:rsidRDefault="00EE487F" w:rsidP="00EE487F">
            <w:pPr>
              <w:jc w:val="right"/>
              <w:rPr>
                <w:rFonts w:ascii="Arial" w:hAnsi="Arial" w:cs="Arial"/>
                <w:lang w:val="en-GB"/>
              </w:rPr>
            </w:pPr>
            <w:r w:rsidRPr="00EE487F">
              <w:rPr>
                <w:rFonts w:ascii="Arial" w:hAnsi="Arial" w:cs="Arial"/>
                <w:lang w:val="en-GB"/>
              </w:rPr>
              <w:t>10.97</w:t>
            </w:r>
          </w:p>
        </w:tc>
      </w:tr>
      <w:tr w:rsidR="00EE487F" w:rsidRPr="00EE487F" w14:paraId="2B6CFC56" w14:textId="77777777" w:rsidTr="00B77C4D">
        <w:trPr>
          <w:trHeight w:val="253"/>
          <w:jc w:val="center"/>
        </w:trPr>
        <w:tc>
          <w:tcPr>
            <w:tcW w:w="6232" w:type="dxa"/>
            <w:gridSpan w:val="2"/>
            <w:tcBorders>
              <w:top w:val="single" w:sz="4" w:space="0" w:color="auto"/>
            </w:tcBorders>
            <w:shd w:val="clear" w:color="auto" w:fill="auto"/>
            <w:noWrap/>
            <w:vAlign w:val="bottom"/>
          </w:tcPr>
          <w:p w14:paraId="1F57FEBE" w14:textId="77777777" w:rsidR="00EE487F" w:rsidRPr="00EE487F" w:rsidRDefault="00EE487F" w:rsidP="00EE487F">
            <w:pPr>
              <w:rPr>
                <w:rFonts w:ascii="Arial" w:hAnsi="Arial" w:cs="Arial"/>
                <w:lang w:val="en-GB"/>
              </w:rPr>
            </w:pPr>
            <w:r w:rsidRPr="00EE487F">
              <w:rPr>
                <w:rFonts w:ascii="Arial" w:hAnsi="Arial" w:cs="Arial"/>
                <w:b/>
                <w:bCs/>
                <w:lang w:val="en-GB"/>
              </w:rPr>
              <w:t>Channels and Network division (Turner and HBO)</w:t>
            </w:r>
          </w:p>
        </w:tc>
        <w:tc>
          <w:tcPr>
            <w:tcW w:w="1704" w:type="dxa"/>
            <w:tcBorders>
              <w:top w:val="single" w:sz="4" w:space="0" w:color="auto"/>
            </w:tcBorders>
            <w:shd w:val="clear" w:color="auto" w:fill="auto"/>
            <w:noWrap/>
            <w:vAlign w:val="bottom"/>
          </w:tcPr>
          <w:p w14:paraId="0DD47A85" w14:textId="77777777" w:rsidR="00EE487F" w:rsidRPr="00EE487F" w:rsidRDefault="00EE487F" w:rsidP="00EE487F">
            <w:pPr>
              <w:jc w:val="right"/>
              <w:rPr>
                <w:rFonts w:ascii="Arial" w:hAnsi="Arial" w:cs="Arial"/>
                <w:lang w:val="en-GB"/>
              </w:rPr>
            </w:pPr>
          </w:p>
        </w:tc>
      </w:tr>
      <w:tr w:rsidR="00EE487F" w:rsidRPr="00EE487F" w14:paraId="44DDEC7E" w14:textId="77777777" w:rsidTr="00B77C4D">
        <w:trPr>
          <w:trHeight w:val="253"/>
          <w:jc w:val="center"/>
        </w:trPr>
        <w:tc>
          <w:tcPr>
            <w:tcW w:w="4634" w:type="dxa"/>
            <w:shd w:val="clear" w:color="auto" w:fill="auto"/>
            <w:noWrap/>
            <w:vAlign w:val="bottom"/>
          </w:tcPr>
          <w:p w14:paraId="0F1935AE" w14:textId="77777777" w:rsidR="00EE487F" w:rsidRPr="00EE487F" w:rsidRDefault="00EE487F" w:rsidP="00EE487F">
            <w:pPr>
              <w:rPr>
                <w:rFonts w:ascii="Arial" w:hAnsi="Arial" w:cs="Arial"/>
                <w:lang w:val="en-GB"/>
              </w:rPr>
            </w:pPr>
            <w:r w:rsidRPr="00EE487F">
              <w:rPr>
                <w:rFonts w:ascii="Arial" w:hAnsi="Arial" w:cs="Arial"/>
                <w:lang w:val="en-GB"/>
              </w:rPr>
              <w:t>AMC Networks Inc.</w:t>
            </w:r>
          </w:p>
        </w:tc>
        <w:tc>
          <w:tcPr>
            <w:tcW w:w="1598" w:type="dxa"/>
            <w:shd w:val="clear" w:color="auto" w:fill="auto"/>
            <w:noWrap/>
            <w:vAlign w:val="bottom"/>
          </w:tcPr>
          <w:p w14:paraId="552CFDCC" w14:textId="77777777" w:rsidR="00EE487F" w:rsidRPr="00EE487F" w:rsidRDefault="00EE487F" w:rsidP="00EE487F">
            <w:pPr>
              <w:jc w:val="right"/>
              <w:rPr>
                <w:rFonts w:ascii="Arial" w:hAnsi="Arial" w:cs="Arial"/>
                <w:lang w:val="en-GB"/>
              </w:rPr>
            </w:pPr>
            <w:r w:rsidRPr="00EE487F">
              <w:rPr>
                <w:rFonts w:ascii="Arial" w:hAnsi="Arial" w:cs="Arial"/>
                <w:lang w:val="en-GB"/>
              </w:rPr>
              <w:t>12.54</w:t>
            </w:r>
          </w:p>
        </w:tc>
        <w:tc>
          <w:tcPr>
            <w:tcW w:w="1704" w:type="dxa"/>
            <w:shd w:val="clear" w:color="auto" w:fill="auto"/>
            <w:noWrap/>
            <w:vAlign w:val="bottom"/>
          </w:tcPr>
          <w:p w14:paraId="3A114DAE" w14:textId="77777777" w:rsidR="00EE487F" w:rsidRPr="00EE487F" w:rsidRDefault="00EE487F" w:rsidP="00EE487F">
            <w:pPr>
              <w:jc w:val="right"/>
              <w:rPr>
                <w:rFonts w:ascii="Arial" w:hAnsi="Arial" w:cs="Arial"/>
                <w:lang w:val="en-GB"/>
              </w:rPr>
            </w:pPr>
            <w:r w:rsidRPr="00EE487F">
              <w:rPr>
                <w:rFonts w:ascii="Arial" w:hAnsi="Arial" w:cs="Arial"/>
                <w:lang w:val="en-GB"/>
              </w:rPr>
              <w:t>5.93</w:t>
            </w:r>
          </w:p>
        </w:tc>
      </w:tr>
      <w:tr w:rsidR="00EE487F" w:rsidRPr="00EE487F" w14:paraId="5B34B40B" w14:textId="77777777" w:rsidTr="00B77C4D">
        <w:trPr>
          <w:trHeight w:val="253"/>
          <w:jc w:val="center"/>
        </w:trPr>
        <w:tc>
          <w:tcPr>
            <w:tcW w:w="4634" w:type="dxa"/>
            <w:shd w:val="clear" w:color="auto" w:fill="auto"/>
            <w:noWrap/>
            <w:vAlign w:val="bottom"/>
          </w:tcPr>
          <w:p w14:paraId="10C68747" w14:textId="77777777" w:rsidR="00EE487F" w:rsidRPr="00EE487F" w:rsidRDefault="00EE487F" w:rsidP="00EE487F">
            <w:pPr>
              <w:rPr>
                <w:rFonts w:ascii="Arial" w:hAnsi="Arial" w:cs="Arial"/>
                <w:lang w:val="en-GB"/>
              </w:rPr>
            </w:pPr>
            <w:r w:rsidRPr="00EE487F">
              <w:rPr>
                <w:rFonts w:ascii="Arial" w:hAnsi="Arial" w:cs="Arial"/>
                <w:lang w:val="en-GB"/>
              </w:rPr>
              <w:t>Discovery Communications Inc.</w:t>
            </w:r>
          </w:p>
        </w:tc>
        <w:tc>
          <w:tcPr>
            <w:tcW w:w="1598" w:type="dxa"/>
            <w:shd w:val="clear" w:color="auto" w:fill="auto"/>
            <w:noWrap/>
            <w:vAlign w:val="bottom"/>
          </w:tcPr>
          <w:p w14:paraId="2B4058AE" w14:textId="77777777" w:rsidR="00EE487F" w:rsidRPr="00EE487F" w:rsidRDefault="00EE487F" w:rsidP="00EE487F">
            <w:pPr>
              <w:jc w:val="right"/>
              <w:rPr>
                <w:rFonts w:ascii="Arial" w:hAnsi="Arial" w:cs="Arial"/>
                <w:lang w:val="en-GB"/>
              </w:rPr>
            </w:pPr>
            <w:r w:rsidRPr="00EE487F">
              <w:rPr>
                <w:rFonts w:ascii="Arial" w:hAnsi="Arial" w:cs="Arial"/>
                <w:lang w:val="en-GB"/>
              </w:rPr>
              <w:t>13.64</w:t>
            </w:r>
          </w:p>
        </w:tc>
        <w:tc>
          <w:tcPr>
            <w:tcW w:w="1704" w:type="dxa"/>
            <w:shd w:val="clear" w:color="auto" w:fill="auto"/>
            <w:noWrap/>
            <w:vAlign w:val="bottom"/>
          </w:tcPr>
          <w:p w14:paraId="5E96D34A" w14:textId="77777777" w:rsidR="00EE487F" w:rsidRPr="00EE487F" w:rsidRDefault="00EE487F" w:rsidP="00EE487F">
            <w:pPr>
              <w:jc w:val="right"/>
              <w:rPr>
                <w:rFonts w:ascii="Arial" w:hAnsi="Arial" w:cs="Arial"/>
                <w:lang w:val="en-GB"/>
              </w:rPr>
            </w:pPr>
            <w:r w:rsidRPr="00EE487F">
              <w:rPr>
                <w:rFonts w:ascii="Arial" w:hAnsi="Arial" w:cs="Arial"/>
                <w:lang w:val="en-GB"/>
              </w:rPr>
              <w:t>8.75</w:t>
            </w:r>
          </w:p>
        </w:tc>
      </w:tr>
      <w:tr w:rsidR="00EE487F" w:rsidRPr="00EE487F" w14:paraId="346D9D37" w14:textId="77777777" w:rsidTr="00B77C4D">
        <w:trPr>
          <w:trHeight w:val="253"/>
          <w:jc w:val="center"/>
        </w:trPr>
        <w:tc>
          <w:tcPr>
            <w:tcW w:w="4634" w:type="dxa"/>
            <w:shd w:val="clear" w:color="auto" w:fill="auto"/>
            <w:noWrap/>
            <w:vAlign w:val="bottom"/>
          </w:tcPr>
          <w:p w14:paraId="0FEBF4FF" w14:textId="77777777" w:rsidR="00EE487F" w:rsidRPr="00EE487F" w:rsidRDefault="00EE487F" w:rsidP="00EE487F">
            <w:pPr>
              <w:rPr>
                <w:rFonts w:ascii="Arial" w:hAnsi="Arial" w:cs="Arial"/>
                <w:lang w:val="en-GB"/>
              </w:rPr>
            </w:pPr>
            <w:r w:rsidRPr="00EE487F">
              <w:rPr>
                <w:rFonts w:ascii="Arial" w:hAnsi="Arial" w:cs="Arial"/>
                <w:lang w:val="en-GB"/>
              </w:rPr>
              <w:t>Scripps Networks Interactive Inc.</w:t>
            </w:r>
          </w:p>
        </w:tc>
        <w:tc>
          <w:tcPr>
            <w:tcW w:w="1598" w:type="dxa"/>
            <w:shd w:val="clear" w:color="auto" w:fill="auto"/>
            <w:noWrap/>
            <w:vAlign w:val="bottom"/>
          </w:tcPr>
          <w:p w14:paraId="6A229CCC" w14:textId="77777777" w:rsidR="00EE487F" w:rsidRPr="00EE487F" w:rsidRDefault="00EE487F" w:rsidP="00EE487F">
            <w:pPr>
              <w:jc w:val="right"/>
              <w:rPr>
                <w:rFonts w:ascii="Arial" w:hAnsi="Arial" w:cs="Arial"/>
                <w:lang w:val="en-GB"/>
              </w:rPr>
            </w:pPr>
            <w:r w:rsidRPr="00EE487F">
              <w:rPr>
                <w:rFonts w:ascii="Arial" w:hAnsi="Arial" w:cs="Arial"/>
                <w:lang w:val="en-GB"/>
              </w:rPr>
              <w:t>10.57</w:t>
            </w:r>
          </w:p>
        </w:tc>
        <w:tc>
          <w:tcPr>
            <w:tcW w:w="1704" w:type="dxa"/>
            <w:shd w:val="clear" w:color="auto" w:fill="auto"/>
            <w:noWrap/>
            <w:vAlign w:val="bottom"/>
          </w:tcPr>
          <w:p w14:paraId="4CE626DC" w14:textId="77777777" w:rsidR="00EE487F" w:rsidRPr="00EE487F" w:rsidRDefault="00EE487F" w:rsidP="00EE487F">
            <w:pPr>
              <w:jc w:val="right"/>
              <w:rPr>
                <w:rFonts w:ascii="Arial" w:hAnsi="Arial" w:cs="Arial"/>
                <w:lang w:val="en-GB"/>
              </w:rPr>
            </w:pPr>
            <w:r w:rsidRPr="00EE487F">
              <w:rPr>
                <w:rFonts w:ascii="Arial" w:hAnsi="Arial" w:cs="Arial"/>
                <w:lang w:val="en-GB"/>
              </w:rPr>
              <w:t>4.74</w:t>
            </w:r>
          </w:p>
        </w:tc>
      </w:tr>
    </w:tbl>
    <w:p w14:paraId="6C3511E8" w14:textId="77777777" w:rsidR="00EE487F" w:rsidRPr="00EE487F" w:rsidRDefault="00EE487F" w:rsidP="0011091B">
      <w:pPr>
        <w:pStyle w:val="FootnoteText1"/>
        <w:rPr>
          <w:lang w:val="en-GB"/>
        </w:rPr>
      </w:pPr>
    </w:p>
    <w:p w14:paraId="4AFCE3B2" w14:textId="73C4B8CA" w:rsidR="00EE487F" w:rsidRPr="00EE487F" w:rsidRDefault="00EE487F" w:rsidP="0011091B">
      <w:pPr>
        <w:pStyle w:val="FootnoteText1"/>
        <w:rPr>
          <w:lang w:val="en-GB"/>
        </w:rPr>
      </w:pPr>
      <w:r w:rsidRPr="00EE487F">
        <w:rPr>
          <w:lang w:val="en-GB"/>
        </w:rPr>
        <w:t>Note: P/E = price-to-earnings; EV/EBITDA = enterprise value–to–earnings before interest, taxes, depreciation, and amortization</w:t>
      </w:r>
    </w:p>
    <w:p w14:paraId="62B80B96" w14:textId="77777777" w:rsidR="00EE487F" w:rsidRPr="00EE487F" w:rsidRDefault="00EE487F" w:rsidP="0011091B">
      <w:pPr>
        <w:pStyle w:val="FootnoteText1"/>
      </w:pPr>
      <w:r w:rsidRPr="00EE487F">
        <w:t xml:space="preserve">Source: Created </w:t>
      </w:r>
      <w:r w:rsidRPr="00EE487F">
        <w:rPr>
          <w:rFonts w:eastAsia="SimSun" w:hint="eastAsia"/>
        </w:rPr>
        <w:t>by the case authors</w:t>
      </w:r>
      <w:r w:rsidRPr="00EE487F">
        <w:rPr>
          <w:rFonts w:eastAsia="SimSun"/>
        </w:rPr>
        <w:t xml:space="preserve"> using data </w:t>
      </w:r>
      <w:r w:rsidRPr="00EE487F">
        <w:rPr>
          <w:rFonts w:eastAsia="SimSun" w:hint="eastAsia"/>
        </w:rPr>
        <w:t xml:space="preserve">from </w:t>
      </w:r>
      <w:r w:rsidRPr="00EE487F">
        <w:t>D&amp;B Hoovers database.</w:t>
      </w:r>
    </w:p>
    <w:p w14:paraId="49A17739" w14:textId="77777777" w:rsidR="00EE487F" w:rsidRPr="00EE487F" w:rsidRDefault="00EE487F" w:rsidP="00B77C4D">
      <w:pPr>
        <w:pStyle w:val="BodyTextMain"/>
        <w:rPr>
          <w:lang w:val="en-GB"/>
        </w:rPr>
      </w:pPr>
    </w:p>
    <w:p w14:paraId="5267979A" w14:textId="77777777" w:rsidR="00EE487F" w:rsidRPr="00EE487F" w:rsidRDefault="00EE487F" w:rsidP="00B77C4D">
      <w:pPr>
        <w:pStyle w:val="BodyTextMain"/>
        <w:rPr>
          <w:lang w:val="en-GB"/>
        </w:rPr>
      </w:pPr>
    </w:p>
    <w:p w14:paraId="6B2FDD3D" w14:textId="77777777" w:rsidR="00EE487F" w:rsidRPr="00EE487F" w:rsidRDefault="00EE487F" w:rsidP="00B77C4D">
      <w:pPr>
        <w:pStyle w:val="Casehead1"/>
        <w:jc w:val="center"/>
      </w:pPr>
      <w:r w:rsidRPr="00EE487F">
        <w:t>Exhibit 8: Discounted Cash flow Model Inputs for Time Warner</w:t>
      </w:r>
    </w:p>
    <w:p w14:paraId="26475563" w14:textId="77777777" w:rsidR="00EE487F" w:rsidRPr="00EE487F" w:rsidRDefault="00EE487F" w:rsidP="00B77C4D">
      <w:pPr>
        <w:pStyle w:val="BodyTextMain"/>
        <w:rPr>
          <w:lang w:val="en-GB"/>
        </w:rPr>
      </w:pPr>
    </w:p>
    <w:tbl>
      <w:tblPr>
        <w:tblW w:w="7867" w:type="dxa"/>
        <w:jc w:val="center"/>
        <w:tblLayout w:type="fixed"/>
        <w:tblLook w:val="04A0" w:firstRow="1" w:lastRow="0" w:firstColumn="1" w:lastColumn="0" w:noHBand="0" w:noVBand="1"/>
        <w:tblCaption w:val="EXHIBIT 8"/>
        <w:tblDescription w:val="DISCOUNTED CASH FLOW MODEL INPUTS FOR TIME WARNER"/>
      </w:tblPr>
      <w:tblGrid>
        <w:gridCol w:w="2291"/>
        <w:gridCol w:w="1059"/>
        <w:gridCol w:w="259"/>
        <w:gridCol w:w="4258"/>
      </w:tblGrid>
      <w:tr w:rsidR="00EE487F" w:rsidRPr="00EE487F" w14:paraId="3ACFB569" w14:textId="77777777" w:rsidTr="00B77C4D">
        <w:trPr>
          <w:trHeight w:val="206"/>
          <w:jc w:val="center"/>
        </w:trPr>
        <w:tc>
          <w:tcPr>
            <w:tcW w:w="2291" w:type="dxa"/>
            <w:tcBorders>
              <w:top w:val="single" w:sz="4" w:space="0" w:color="auto"/>
              <w:left w:val="nil"/>
              <w:bottom w:val="single" w:sz="4" w:space="0" w:color="auto"/>
              <w:right w:val="nil"/>
            </w:tcBorders>
            <w:shd w:val="clear" w:color="auto" w:fill="auto"/>
            <w:noWrap/>
            <w:vAlign w:val="center"/>
          </w:tcPr>
          <w:p w14:paraId="19A383EB" w14:textId="77777777" w:rsidR="00EE487F" w:rsidRPr="00EE487F" w:rsidRDefault="00EE487F" w:rsidP="00EE487F">
            <w:pPr>
              <w:keepNext/>
              <w:keepLines/>
              <w:rPr>
                <w:rFonts w:ascii="Arial" w:hAnsi="Arial" w:cs="Arial"/>
                <w:b/>
                <w:bCs/>
                <w:color w:val="000000"/>
                <w:lang w:val="en-GB"/>
              </w:rPr>
            </w:pPr>
            <w:r w:rsidRPr="00EE487F">
              <w:rPr>
                <w:rFonts w:ascii="Arial" w:hAnsi="Arial" w:cs="Arial"/>
                <w:b/>
                <w:bCs/>
                <w:color w:val="000000"/>
                <w:lang w:val="en-GB"/>
              </w:rPr>
              <w:t>WACC Inputs</w:t>
            </w:r>
          </w:p>
        </w:tc>
        <w:tc>
          <w:tcPr>
            <w:tcW w:w="1059" w:type="dxa"/>
            <w:tcBorders>
              <w:top w:val="single" w:sz="4" w:space="0" w:color="auto"/>
              <w:left w:val="nil"/>
              <w:bottom w:val="single" w:sz="4" w:space="0" w:color="auto"/>
              <w:right w:val="nil"/>
            </w:tcBorders>
            <w:shd w:val="clear" w:color="auto" w:fill="auto"/>
            <w:noWrap/>
            <w:vAlign w:val="center"/>
          </w:tcPr>
          <w:p w14:paraId="310896C1" w14:textId="77777777" w:rsidR="00EE487F" w:rsidRPr="00EE487F" w:rsidRDefault="00EE487F" w:rsidP="00EE487F">
            <w:pPr>
              <w:keepNext/>
              <w:keepLines/>
              <w:rPr>
                <w:rFonts w:ascii="Arial" w:hAnsi="Arial" w:cs="Arial"/>
                <w:b/>
                <w:bCs/>
                <w:color w:val="000000"/>
                <w:lang w:val="en-GB"/>
              </w:rPr>
            </w:pPr>
            <w:r w:rsidRPr="00EE487F">
              <w:rPr>
                <w:rFonts w:ascii="Arial" w:hAnsi="Arial" w:cs="Arial"/>
                <w:b/>
                <w:bCs/>
                <w:color w:val="000000"/>
                <w:lang w:val="en-GB"/>
              </w:rPr>
              <w:t> </w:t>
            </w:r>
          </w:p>
        </w:tc>
        <w:tc>
          <w:tcPr>
            <w:tcW w:w="259" w:type="dxa"/>
            <w:tcBorders>
              <w:top w:val="single" w:sz="4" w:space="0" w:color="auto"/>
              <w:left w:val="nil"/>
              <w:bottom w:val="single" w:sz="4" w:space="0" w:color="auto"/>
              <w:right w:val="nil"/>
            </w:tcBorders>
          </w:tcPr>
          <w:p w14:paraId="318C2F6C" w14:textId="77777777" w:rsidR="00EE487F" w:rsidRPr="00EE487F" w:rsidRDefault="00EE487F" w:rsidP="00EE487F">
            <w:pPr>
              <w:keepNext/>
              <w:keepLines/>
              <w:ind w:left="-30" w:firstLine="30"/>
              <w:rPr>
                <w:rFonts w:ascii="Arial" w:hAnsi="Arial" w:cs="Arial"/>
                <w:b/>
                <w:bCs/>
                <w:color w:val="000000"/>
                <w:lang w:val="en-GB"/>
              </w:rPr>
            </w:pPr>
          </w:p>
        </w:tc>
        <w:tc>
          <w:tcPr>
            <w:tcW w:w="4258" w:type="dxa"/>
            <w:tcBorders>
              <w:top w:val="single" w:sz="4" w:space="0" w:color="auto"/>
              <w:left w:val="nil"/>
              <w:bottom w:val="single" w:sz="4" w:space="0" w:color="auto"/>
              <w:right w:val="nil"/>
            </w:tcBorders>
            <w:shd w:val="clear" w:color="auto" w:fill="auto"/>
            <w:noWrap/>
            <w:vAlign w:val="center"/>
          </w:tcPr>
          <w:p w14:paraId="6A041CBF" w14:textId="10755CC7" w:rsidR="00EE487F" w:rsidRPr="00EE487F" w:rsidRDefault="0032058C" w:rsidP="00EE487F">
            <w:pPr>
              <w:keepNext/>
              <w:keepLines/>
              <w:rPr>
                <w:rFonts w:ascii="Arial" w:hAnsi="Arial" w:cs="Arial"/>
                <w:b/>
                <w:bCs/>
                <w:color w:val="000000"/>
                <w:lang w:val="en-GB"/>
              </w:rPr>
            </w:pPr>
            <w:r>
              <w:rPr>
                <w:rFonts w:ascii="Arial" w:hAnsi="Arial" w:cs="Arial"/>
                <w:b/>
                <w:bCs/>
                <w:color w:val="000000"/>
                <w:lang w:val="en-GB"/>
              </w:rPr>
              <w:t>Description</w:t>
            </w:r>
          </w:p>
        </w:tc>
      </w:tr>
      <w:tr w:rsidR="00EE487F" w:rsidRPr="00EE487F" w14:paraId="6AA2F77D" w14:textId="77777777" w:rsidTr="00B77C4D">
        <w:trPr>
          <w:trHeight w:val="206"/>
          <w:jc w:val="center"/>
        </w:trPr>
        <w:tc>
          <w:tcPr>
            <w:tcW w:w="2291" w:type="dxa"/>
            <w:tcBorders>
              <w:top w:val="nil"/>
              <w:left w:val="nil"/>
              <w:bottom w:val="nil"/>
              <w:right w:val="nil"/>
            </w:tcBorders>
            <w:shd w:val="clear" w:color="auto" w:fill="auto"/>
            <w:noWrap/>
          </w:tcPr>
          <w:p w14:paraId="4D6F57CF"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Weight of Debt</w:t>
            </w:r>
          </w:p>
        </w:tc>
        <w:tc>
          <w:tcPr>
            <w:tcW w:w="1059" w:type="dxa"/>
            <w:tcBorders>
              <w:top w:val="nil"/>
              <w:left w:val="nil"/>
              <w:bottom w:val="nil"/>
              <w:right w:val="nil"/>
            </w:tcBorders>
            <w:shd w:val="clear" w:color="auto" w:fill="auto"/>
            <w:noWrap/>
          </w:tcPr>
          <w:p w14:paraId="438871CC"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21.00%</w:t>
            </w:r>
          </w:p>
        </w:tc>
        <w:tc>
          <w:tcPr>
            <w:tcW w:w="259" w:type="dxa"/>
            <w:tcBorders>
              <w:top w:val="nil"/>
              <w:left w:val="nil"/>
              <w:bottom w:val="nil"/>
              <w:right w:val="nil"/>
            </w:tcBorders>
          </w:tcPr>
          <w:p w14:paraId="64827187"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bottom w:val="nil"/>
              <w:right w:val="nil"/>
            </w:tcBorders>
            <w:shd w:val="clear" w:color="auto" w:fill="auto"/>
            <w:noWrap/>
          </w:tcPr>
          <w:p w14:paraId="7B4A40C0" w14:textId="77777777"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 23.3 ÷ (23.3 + 85.4)</w:t>
            </w:r>
          </w:p>
        </w:tc>
      </w:tr>
      <w:tr w:rsidR="00EE487F" w:rsidRPr="00EE487F" w14:paraId="46ABC590" w14:textId="77777777" w:rsidTr="00B77C4D">
        <w:trPr>
          <w:trHeight w:val="206"/>
          <w:jc w:val="center"/>
        </w:trPr>
        <w:tc>
          <w:tcPr>
            <w:tcW w:w="2291" w:type="dxa"/>
            <w:tcBorders>
              <w:top w:val="nil"/>
              <w:left w:val="nil"/>
              <w:bottom w:val="nil"/>
              <w:right w:val="nil"/>
            </w:tcBorders>
            <w:shd w:val="clear" w:color="auto" w:fill="auto"/>
            <w:noWrap/>
          </w:tcPr>
          <w:p w14:paraId="08FD6C6D"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Weight of Equity</w:t>
            </w:r>
          </w:p>
        </w:tc>
        <w:tc>
          <w:tcPr>
            <w:tcW w:w="1059" w:type="dxa"/>
            <w:tcBorders>
              <w:top w:val="nil"/>
              <w:left w:val="nil"/>
              <w:bottom w:val="nil"/>
              <w:right w:val="nil"/>
            </w:tcBorders>
            <w:shd w:val="clear" w:color="auto" w:fill="auto"/>
            <w:noWrap/>
          </w:tcPr>
          <w:p w14:paraId="7D35484B"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79.00%</w:t>
            </w:r>
          </w:p>
        </w:tc>
        <w:tc>
          <w:tcPr>
            <w:tcW w:w="259" w:type="dxa"/>
            <w:tcBorders>
              <w:top w:val="nil"/>
              <w:left w:val="nil"/>
              <w:bottom w:val="nil"/>
              <w:right w:val="nil"/>
            </w:tcBorders>
          </w:tcPr>
          <w:p w14:paraId="00235604"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bottom w:val="nil"/>
              <w:right w:val="nil"/>
            </w:tcBorders>
            <w:shd w:val="clear" w:color="auto" w:fill="auto"/>
            <w:noWrap/>
          </w:tcPr>
          <w:p w14:paraId="66A7992A" w14:textId="77777777"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 100% − Weight of Debt</w:t>
            </w:r>
          </w:p>
        </w:tc>
      </w:tr>
      <w:tr w:rsidR="00EE487F" w:rsidRPr="00EE487F" w14:paraId="7ABF1DAE" w14:textId="77777777" w:rsidTr="00B77C4D">
        <w:trPr>
          <w:trHeight w:val="206"/>
          <w:jc w:val="center"/>
        </w:trPr>
        <w:tc>
          <w:tcPr>
            <w:tcW w:w="2291" w:type="dxa"/>
            <w:tcBorders>
              <w:top w:val="nil"/>
              <w:left w:val="nil"/>
              <w:bottom w:val="nil"/>
              <w:right w:val="nil"/>
            </w:tcBorders>
            <w:shd w:val="clear" w:color="auto" w:fill="auto"/>
            <w:noWrap/>
          </w:tcPr>
          <w:p w14:paraId="46C6FD5A"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Cost of Debt</w:t>
            </w:r>
          </w:p>
        </w:tc>
        <w:tc>
          <w:tcPr>
            <w:tcW w:w="1059" w:type="dxa"/>
            <w:tcBorders>
              <w:top w:val="nil"/>
              <w:left w:val="nil"/>
              <w:bottom w:val="nil"/>
              <w:right w:val="nil"/>
            </w:tcBorders>
            <w:shd w:val="clear" w:color="auto" w:fill="auto"/>
            <w:noWrap/>
          </w:tcPr>
          <w:p w14:paraId="5AF24FF1"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3.50%</w:t>
            </w:r>
          </w:p>
        </w:tc>
        <w:tc>
          <w:tcPr>
            <w:tcW w:w="259" w:type="dxa"/>
            <w:tcBorders>
              <w:top w:val="nil"/>
              <w:left w:val="nil"/>
              <w:bottom w:val="nil"/>
              <w:right w:val="nil"/>
            </w:tcBorders>
          </w:tcPr>
          <w:p w14:paraId="1CF1C01F"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bottom w:val="nil"/>
              <w:right w:val="nil"/>
            </w:tcBorders>
            <w:shd w:val="clear" w:color="auto" w:fill="auto"/>
            <w:noWrap/>
          </w:tcPr>
          <w:p w14:paraId="01642A80" w14:textId="55C0A8D2"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 xml:space="preserve">Most Recent Bank Loan Interest Rate </w:t>
            </w:r>
          </w:p>
        </w:tc>
      </w:tr>
      <w:tr w:rsidR="00EE487F" w:rsidRPr="00EE487F" w14:paraId="0702268A" w14:textId="77777777" w:rsidTr="00B77C4D">
        <w:trPr>
          <w:trHeight w:val="206"/>
          <w:jc w:val="center"/>
        </w:trPr>
        <w:tc>
          <w:tcPr>
            <w:tcW w:w="2291" w:type="dxa"/>
            <w:tcBorders>
              <w:top w:val="nil"/>
              <w:left w:val="nil"/>
              <w:bottom w:val="nil"/>
              <w:right w:val="nil"/>
            </w:tcBorders>
            <w:shd w:val="clear" w:color="auto" w:fill="auto"/>
            <w:noWrap/>
          </w:tcPr>
          <w:p w14:paraId="10E28A5C"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Risk-Free Rate</w:t>
            </w:r>
          </w:p>
        </w:tc>
        <w:tc>
          <w:tcPr>
            <w:tcW w:w="1059" w:type="dxa"/>
            <w:tcBorders>
              <w:top w:val="nil"/>
              <w:left w:val="nil"/>
              <w:bottom w:val="nil"/>
              <w:right w:val="nil"/>
            </w:tcBorders>
            <w:shd w:val="clear" w:color="auto" w:fill="auto"/>
            <w:noWrap/>
          </w:tcPr>
          <w:p w14:paraId="5DE2AAE2"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2.31%</w:t>
            </w:r>
          </w:p>
        </w:tc>
        <w:tc>
          <w:tcPr>
            <w:tcW w:w="259" w:type="dxa"/>
            <w:tcBorders>
              <w:top w:val="nil"/>
              <w:left w:val="nil"/>
              <w:bottom w:val="nil"/>
              <w:right w:val="nil"/>
            </w:tcBorders>
          </w:tcPr>
          <w:p w14:paraId="5BC29A88"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bottom w:val="nil"/>
              <w:right w:val="nil"/>
            </w:tcBorders>
            <w:shd w:val="clear" w:color="auto" w:fill="auto"/>
            <w:noWrap/>
          </w:tcPr>
          <w:p w14:paraId="53AF4BF7" w14:textId="5B19643E"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Long-Term Governance Bond Yield</w:t>
            </w:r>
          </w:p>
        </w:tc>
      </w:tr>
      <w:tr w:rsidR="00EE487F" w:rsidRPr="00EE487F" w14:paraId="5E353681" w14:textId="77777777" w:rsidTr="00B77C4D">
        <w:trPr>
          <w:trHeight w:val="206"/>
          <w:jc w:val="center"/>
        </w:trPr>
        <w:tc>
          <w:tcPr>
            <w:tcW w:w="2291" w:type="dxa"/>
            <w:tcBorders>
              <w:top w:val="nil"/>
              <w:left w:val="nil"/>
              <w:bottom w:val="nil"/>
              <w:right w:val="nil"/>
            </w:tcBorders>
            <w:shd w:val="clear" w:color="auto" w:fill="auto"/>
            <w:noWrap/>
          </w:tcPr>
          <w:p w14:paraId="788D2D82"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Beta</w:t>
            </w:r>
          </w:p>
        </w:tc>
        <w:tc>
          <w:tcPr>
            <w:tcW w:w="1059" w:type="dxa"/>
            <w:tcBorders>
              <w:top w:val="nil"/>
              <w:left w:val="nil"/>
              <w:bottom w:val="nil"/>
              <w:right w:val="nil"/>
            </w:tcBorders>
            <w:shd w:val="clear" w:color="auto" w:fill="auto"/>
            <w:noWrap/>
          </w:tcPr>
          <w:p w14:paraId="5B17C8F7"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1.9</w:t>
            </w:r>
          </w:p>
        </w:tc>
        <w:tc>
          <w:tcPr>
            <w:tcW w:w="259" w:type="dxa"/>
            <w:tcBorders>
              <w:top w:val="nil"/>
              <w:left w:val="nil"/>
              <w:bottom w:val="nil"/>
              <w:right w:val="nil"/>
            </w:tcBorders>
          </w:tcPr>
          <w:p w14:paraId="3A858592"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bottom w:val="nil"/>
              <w:right w:val="nil"/>
            </w:tcBorders>
            <w:shd w:val="clear" w:color="auto" w:fill="auto"/>
            <w:noWrap/>
          </w:tcPr>
          <w:p w14:paraId="2F6203B6" w14:textId="78278433"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From Bloomberg</w:t>
            </w:r>
          </w:p>
        </w:tc>
      </w:tr>
      <w:tr w:rsidR="00EE487F" w:rsidRPr="00EE487F" w14:paraId="061C3076" w14:textId="77777777" w:rsidTr="00B77C4D">
        <w:trPr>
          <w:trHeight w:val="206"/>
          <w:jc w:val="center"/>
        </w:trPr>
        <w:tc>
          <w:tcPr>
            <w:tcW w:w="2291" w:type="dxa"/>
            <w:tcBorders>
              <w:top w:val="nil"/>
              <w:left w:val="nil"/>
              <w:right w:val="nil"/>
            </w:tcBorders>
            <w:shd w:val="clear" w:color="auto" w:fill="auto"/>
            <w:noWrap/>
          </w:tcPr>
          <w:p w14:paraId="3A78E774"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Market Risk Premium</w:t>
            </w:r>
          </w:p>
        </w:tc>
        <w:tc>
          <w:tcPr>
            <w:tcW w:w="1059" w:type="dxa"/>
            <w:tcBorders>
              <w:top w:val="nil"/>
              <w:left w:val="nil"/>
              <w:right w:val="nil"/>
            </w:tcBorders>
            <w:shd w:val="clear" w:color="auto" w:fill="auto"/>
            <w:noWrap/>
          </w:tcPr>
          <w:p w14:paraId="4B5418E5"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5.00%</w:t>
            </w:r>
          </w:p>
        </w:tc>
        <w:tc>
          <w:tcPr>
            <w:tcW w:w="259" w:type="dxa"/>
            <w:tcBorders>
              <w:top w:val="nil"/>
              <w:left w:val="nil"/>
              <w:right w:val="nil"/>
            </w:tcBorders>
          </w:tcPr>
          <w:p w14:paraId="744BD52A"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right w:val="nil"/>
            </w:tcBorders>
            <w:shd w:val="clear" w:color="auto" w:fill="auto"/>
            <w:noWrap/>
          </w:tcPr>
          <w:p w14:paraId="1C3DB382" w14:textId="1F078507"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Common Practice for North America</w:t>
            </w:r>
          </w:p>
        </w:tc>
      </w:tr>
      <w:tr w:rsidR="00EE487F" w:rsidRPr="00EE487F" w14:paraId="28BE097E" w14:textId="77777777" w:rsidTr="00B77C4D">
        <w:trPr>
          <w:trHeight w:val="206"/>
          <w:jc w:val="center"/>
        </w:trPr>
        <w:tc>
          <w:tcPr>
            <w:tcW w:w="2291" w:type="dxa"/>
            <w:tcBorders>
              <w:top w:val="nil"/>
              <w:left w:val="nil"/>
              <w:bottom w:val="single" w:sz="4" w:space="0" w:color="auto"/>
              <w:right w:val="nil"/>
            </w:tcBorders>
            <w:shd w:val="clear" w:color="auto" w:fill="auto"/>
            <w:noWrap/>
          </w:tcPr>
          <w:p w14:paraId="027BD51F"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Tax Rate</w:t>
            </w:r>
          </w:p>
        </w:tc>
        <w:tc>
          <w:tcPr>
            <w:tcW w:w="1059" w:type="dxa"/>
            <w:tcBorders>
              <w:top w:val="nil"/>
              <w:left w:val="nil"/>
              <w:bottom w:val="single" w:sz="4" w:space="0" w:color="auto"/>
              <w:right w:val="nil"/>
            </w:tcBorders>
            <w:shd w:val="clear" w:color="auto" w:fill="auto"/>
            <w:noWrap/>
          </w:tcPr>
          <w:p w14:paraId="63ABA6DB"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35.00%</w:t>
            </w:r>
          </w:p>
        </w:tc>
        <w:tc>
          <w:tcPr>
            <w:tcW w:w="259" w:type="dxa"/>
            <w:tcBorders>
              <w:top w:val="nil"/>
              <w:left w:val="nil"/>
              <w:bottom w:val="single" w:sz="4" w:space="0" w:color="auto"/>
              <w:right w:val="nil"/>
            </w:tcBorders>
          </w:tcPr>
          <w:p w14:paraId="4B2CF9ED" w14:textId="77777777" w:rsidR="00EE487F" w:rsidRPr="00EE487F" w:rsidRDefault="00EE487F" w:rsidP="00EE487F">
            <w:pPr>
              <w:keepNext/>
              <w:keepLines/>
              <w:ind w:left="-30" w:firstLine="30"/>
              <w:rPr>
                <w:rFonts w:ascii="Arial" w:hAnsi="Arial" w:cs="Arial"/>
                <w:color w:val="000000"/>
                <w:lang w:val="en-GB"/>
              </w:rPr>
            </w:pPr>
          </w:p>
        </w:tc>
        <w:tc>
          <w:tcPr>
            <w:tcW w:w="4258" w:type="dxa"/>
            <w:tcBorders>
              <w:top w:val="nil"/>
              <w:left w:val="nil"/>
              <w:bottom w:val="single" w:sz="4" w:space="0" w:color="auto"/>
              <w:right w:val="nil"/>
            </w:tcBorders>
            <w:shd w:val="clear" w:color="auto" w:fill="auto"/>
            <w:noWrap/>
          </w:tcPr>
          <w:p w14:paraId="177CC5D4" w14:textId="7E87119D" w:rsidR="00EE487F" w:rsidRPr="00EE487F" w:rsidRDefault="00EE487F" w:rsidP="00EE487F">
            <w:pPr>
              <w:keepNext/>
              <w:keepLines/>
              <w:ind w:left="236" w:hanging="180"/>
              <w:rPr>
                <w:rFonts w:ascii="Arial" w:hAnsi="Arial" w:cs="Arial"/>
                <w:color w:val="000000"/>
                <w:lang w:val="en-GB"/>
              </w:rPr>
            </w:pPr>
            <w:r w:rsidRPr="00EE487F">
              <w:rPr>
                <w:rFonts w:ascii="Arial" w:hAnsi="Arial" w:cs="Arial"/>
                <w:color w:val="000000"/>
                <w:lang w:val="en-GB"/>
              </w:rPr>
              <w:t>Marginal Tax Rate</w:t>
            </w:r>
          </w:p>
        </w:tc>
      </w:tr>
    </w:tbl>
    <w:p w14:paraId="1D7EF873" w14:textId="77777777" w:rsidR="00EE487F" w:rsidRPr="00EE487F" w:rsidRDefault="00EE487F" w:rsidP="00B77C4D">
      <w:pPr>
        <w:pStyle w:val="BodyTextMain"/>
      </w:pPr>
    </w:p>
    <w:tbl>
      <w:tblPr>
        <w:tblW w:w="7890" w:type="dxa"/>
        <w:jc w:val="center"/>
        <w:tblBorders>
          <w:top w:val="single" w:sz="4" w:space="0" w:color="auto"/>
          <w:bottom w:val="single" w:sz="4" w:space="0" w:color="auto"/>
        </w:tblBorders>
        <w:tblLayout w:type="fixed"/>
        <w:tblLook w:val="04A0" w:firstRow="1" w:lastRow="0" w:firstColumn="1" w:lastColumn="0" w:noHBand="0" w:noVBand="1"/>
        <w:tblCaption w:val="EXHIBIT 8 (CONTINUED)"/>
        <w:tblDescription w:val="DISCOUNTED CASH FLOW MODEL INPUTS FOR TIME WARNER"/>
      </w:tblPr>
      <w:tblGrid>
        <w:gridCol w:w="5472"/>
        <w:gridCol w:w="2418"/>
      </w:tblGrid>
      <w:tr w:rsidR="00EE487F" w:rsidRPr="00EE487F" w14:paraId="5427DB0F" w14:textId="77777777" w:rsidTr="00B77C4D">
        <w:trPr>
          <w:trHeight w:val="251"/>
          <w:jc w:val="center"/>
        </w:trPr>
        <w:tc>
          <w:tcPr>
            <w:tcW w:w="7890" w:type="dxa"/>
            <w:gridSpan w:val="2"/>
            <w:tcBorders>
              <w:top w:val="single" w:sz="4" w:space="0" w:color="auto"/>
              <w:bottom w:val="single" w:sz="4" w:space="0" w:color="auto"/>
            </w:tcBorders>
            <w:shd w:val="clear" w:color="auto" w:fill="auto"/>
            <w:noWrap/>
            <w:vAlign w:val="center"/>
          </w:tcPr>
          <w:p w14:paraId="2B0E06CE" w14:textId="77777777" w:rsidR="00EE487F" w:rsidRPr="00EE487F" w:rsidRDefault="00EE487F" w:rsidP="00EE487F">
            <w:pPr>
              <w:keepNext/>
              <w:keepLines/>
              <w:rPr>
                <w:rFonts w:ascii="Arial" w:hAnsi="Arial" w:cs="Arial"/>
                <w:b/>
                <w:bCs/>
                <w:color w:val="000000"/>
                <w:lang w:val="en-GB"/>
              </w:rPr>
            </w:pPr>
            <w:bookmarkStart w:id="9" w:name="_GoBack"/>
            <w:r w:rsidRPr="00EE487F">
              <w:rPr>
                <w:rFonts w:ascii="Arial" w:hAnsi="Arial" w:cs="Arial"/>
                <w:b/>
                <w:bCs/>
                <w:color w:val="000000"/>
                <w:lang w:val="en-GB"/>
              </w:rPr>
              <w:t>Free Cash Flow (2016) Inputs (in US$ millions)</w:t>
            </w:r>
          </w:p>
        </w:tc>
      </w:tr>
      <w:tr w:rsidR="00EE487F" w:rsidRPr="00EE487F" w14:paraId="648E558C" w14:textId="77777777" w:rsidTr="00B77C4D">
        <w:trPr>
          <w:trHeight w:val="251"/>
          <w:jc w:val="center"/>
        </w:trPr>
        <w:tc>
          <w:tcPr>
            <w:tcW w:w="5472" w:type="dxa"/>
            <w:tcBorders>
              <w:top w:val="nil"/>
            </w:tcBorders>
            <w:shd w:val="clear" w:color="auto" w:fill="auto"/>
            <w:noWrap/>
            <w:vAlign w:val="center"/>
          </w:tcPr>
          <w:p w14:paraId="180BC091"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EBIT</w:t>
            </w:r>
          </w:p>
        </w:tc>
        <w:tc>
          <w:tcPr>
            <w:tcW w:w="2418" w:type="dxa"/>
            <w:tcBorders>
              <w:top w:val="nil"/>
            </w:tcBorders>
            <w:shd w:val="clear" w:color="auto" w:fill="auto"/>
            <w:noWrap/>
            <w:vAlign w:val="center"/>
          </w:tcPr>
          <w:p w14:paraId="15E746A8"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 xml:space="preserve">6,583 </w:t>
            </w:r>
          </w:p>
        </w:tc>
      </w:tr>
      <w:tr w:rsidR="00EE487F" w:rsidRPr="00EE487F" w14:paraId="7D75C732" w14:textId="77777777" w:rsidTr="00B77C4D">
        <w:trPr>
          <w:trHeight w:val="265"/>
          <w:jc w:val="center"/>
        </w:trPr>
        <w:tc>
          <w:tcPr>
            <w:tcW w:w="5472" w:type="dxa"/>
            <w:shd w:val="clear" w:color="auto" w:fill="auto"/>
            <w:noWrap/>
            <w:vAlign w:val="center"/>
          </w:tcPr>
          <w:p w14:paraId="4374D6BE"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Depreciation and Amortization</w:t>
            </w:r>
          </w:p>
        </w:tc>
        <w:tc>
          <w:tcPr>
            <w:tcW w:w="2418" w:type="dxa"/>
            <w:shd w:val="clear" w:color="auto" w:fill="auto"/>
            <w:noWrap/>
            <w:vAlign w:val="center"/>
          </w:tcPr>
          <w:p w14:paraId="745F0CAA"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 xml:space="preserve">669 </w:t>
            </w:r>
          </w:p>
        </w:tc>
      </w:tr>
      <w:tr w:rsidR="00EE487F" w:rsidRPr="00EE487F" w14:paraId="0D3A951E" w14:textId="77777777" w:rsidTr="00B77C4D">
        <w:trPr>
          <w:trHeight w:val="251"/>
          <w:jc w:val="center"/>
        </w:trPr>
        <w:tc>
          <w:tcPr>
            <w:tcW w:w="5472" w:type="dxa"/>
            <w:shd w:val="clear" w:color="auto" w:fill="auto"/>
            <w:noWrap/>
            <w:vAlign w:val="center"/>
          </w:tcPr>
          <w:p w14:paraId="2A67C9AB"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Capital Expenditure</w:t>
            </w:r>
          </w:p>
        </w:tc>
        <w:tc>
          <w:tcPr>
            <w:tcW w:w="2418" w:type="dxa"/>
            <w:shd w:val="clear" w:color="auto" w:fill="auto"/>
            <w:noWrap/>
            <w:vAlign w:val="center"/>
          </w:tcPr>
          <w:p w14:paraId="6AB06C60"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 xml:space="preserve">432 </w:t>
            </w:r>
          </w:p>
        </w:tc>
      </w:tr>
      <w:tr w:rsidR="00EE487F" w:rsidRPr="00EE487F" w14:paraId="3B704C06" w14:textId="77777777" w:rsidTr="00B77C4D">
        <w:trPr>
          <w:trHeight w:val="251"/>
          <w:jc w:val="center"/>
        </w:trPr>
        <w:tc>
          <w:tcPr>
            <w:tcW w:w="5472" w:type="dxa"/>
            <w:shd w:val="clear" w:color="auto" w:fill="auto"/>
            <w:noWrap/>
            <w:vAlign w:val="center"/>
          </w:tcPr>
          <w:p w14:paraId="1B774524"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Working Capital 2016</w:t>
            </w:r>
          </w:p>
        </w:tc>
        <w:tc>
          <w:tcPr>
            <w:tcW w:w="2418" w:type="dxa"/>
            <w:shd w:val="clear" w:color="auto" w:fill="auto"/>
            <w:noWrap/>
            <w:vAlign w:val="center"/>
          </w:tcPr>
          <w:p w14:paraId="49A4341E"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 xml:space="preserve">3,782 </w:t>
            </w:r>
          </w:p>
        </w:tc>
      </w:tr>
      <w:tr w:rsidR="00EE487F" w:rsidRPr="00EE487F" w14:paraId="3B68FCA8" w14:textId="77777777" w:rsidTr="00B77C4D">
        <w:trPr>
          <w:trHeight w:val="251"/>
          <w:jc w:val="center"/>
        </w:trPr>
        <w:tc>
          <w:tcPr>
            <w:tcW w:w="5472" w:type="dxa"/>
            <w:shd w:val="clear" w:color="auto" w:fill="auto"/>
            <w:noWrap/>
            <w:vAlign w:val="center"/>
          </w:tcPr>
          <w:p w14:paraId="5E2155F3" w14:textId="77777777" w:rsidR="00EE487F" w:rsidRPr="00EE487F" w:rsidRDefault="00EE487F" w:rsidP="00EE487F">
            <w:pPr>
              <w:keepNext/>
              <w:keepLines/>
              <w:rPr>
                <w:rFonts w:ascii="Arial" w:hAnsi="Arial" w:cs="Arial"/>
                <w:color w:val="000000"/>
                <w:lang w:val="en-GB"/>
              </w:rPr>
            </w:pPr>
            <w:r w:rsidRPr="00EE487F">
              <w:rPr>
                <w:rFonts w:ascii="Arial" w:hAnsi="Arial" w:cs="Arial"/>
                <w:color w:val="000000"/>
                <w:lang w:val="en-GB"/>
              </w:rPr>
              <w:t>Working Capital 2015</w:t>
            </w:r>
          </w:p>
        </w:tc>
        <w:tc>
          <w:tcPr>
            <w:tcW w:w="2418" w:type="dxa"/>
            <w:shd w:val="clear" w:color="auto" w:fill="auto"/>
            <w:noWrap/>
            <w:vAlign w:val="center"/>
          </w:tcPr>
          <w:p w14:paraId="3FEB27F7" w14:textId="77777777" w:rsidR="00EE487F" w:rsidRPr="00EE487F" w:rsidRDefault="00EE487F" w:rsidP="00EE487F">
            <w:pPr>
              <w:keepNext/>
              <w:keepLines/>
              <w:jc w:val="right"/>
              <w:rPr>
                <w:rFonts w:ascii="Arial" w:hAnsi="Arial" w:cs="Arial"/>
                <w:color w:val="000000"/>
                <w:lang w:val="en-GB"/>
              </w:rPr>
            </w:pPr>
            <w:r w:rsidRPr="00EE487F">
              <w:rPr>
                <w:rFonts w:ascii="Arial" w:hAnsi="Arial" w:cs="Arial"/>
                <w:color w:val="000000"/>
                <w:lang w:val="en-GB"/>
              </w:rPr>
              <w:t xml:space="preserve">4,511 </w:t>
            </w:r>
          </w:p>
        </w:tc>
      </w:tr>
      <w:bookmarkEnd w:id="9"/>
    </w:tbl>
    <w:p w14:paraId="45B18F46" w14:textId="77777777" w:rsidR="00EE487F" w:rsidRPr="00EE487F" w:rsidRDefault="00EE487F" w:rsidP="0011091B">
      <w:pPr>
        <w:pStyle w:val="FootnoteText1"/>
      </w:pPr>
    </w:p>
    <w:p w14:paraId="47D24CE4" w14:textId="77777777" w:rsidR="00EE487F" w:rsidRPr="00EE487F" w:rsidRDefault="00EE487F" w:rsidP="0011091B">
      <w:pPr>
        <w:pStyle w:val="FootnoteText1"/>
      </w:pPr>
      <w:r w:rsidRPr="00EE487F">
        <w:t>Notes: WACC = weighted average cost of capital; EBIT = earnings before interest and taxes.</w:t>
      </w:r>
    </w:p>
    <w:p w14:paraId="69DCA636" w14:textId="77777777" w:rsidR="00EE487F" w:rsidRPr="00EE487F" w:rsidRDefault="00EE487F" w:rsidP="0011091B">
      <w:pPr>
        <w:pStyle w:val="FootnoteText1"/>
      </w:pPr>
      <w:r w:rsidRPr="00EE487F">
        <w:t>Source: Created by the case authors.</w:t>
      </w:r>
    </w:p>
    <w:p w14:paraId="50E14839" w14:textId="77777777" w:rsidR="00EE487F" w:rsidRPr="00EE487F" w:rsidRDefault="00EE487F" w:rsidP="00B77C4D">
      <w:pPr>
        <w:pStyle w:val="BodyTextMain"/>
      </w:pPr>
    </w:p>
    <w:p w14:paraId="2C183161" w14:textId="77777777" w:rsidR="00B87DC0" w:rsidRDefault="00B87DC0" w:rsidP="00B77C4D">
      <w:pPr>
        <w:pStyle w:val="BodyTextMain"/>
      </w:pPr>
    </w:p>
    <w:sectPr w:rsidR="00B87DC0"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4E0EBF" w:rsidRDefault="004E0EBF" w:rsidP="00D75295">
      <w:r>
        <w:separator/>
      </w:r>
    </w:p>
  </w:endnote>
  <w:endnote w:type="continuationSeparator" w:id="0">
    <w:p w14:paraId="6B71D05B" w14:textId="77777777" w:rsidR="004E0EBF" w:rsidRDefault="004E0EB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default"/>
    <w:sig w:usb0="00000000" w:usb1="00000000" w:usb2="00000000" w:usb3="00000000" w:csb0="00000001" w:csb1="00000000"/>
  </w:font>
  <w:font w:name="YouYuan">
    <w:altName w:val="Times New Roman"/>
    <w:charset w:val="86"/>
    <w:family w:val="modern"/>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4E0EBF" w:rsidRDefault="004E0EBF" w:rsidP="00D75295">
      <w:r>
        <w:separator/>
      </w:r>
    </w:p>
  </w:footnote>
  <w:footnote w:type="continuationSeparator" w:id="0">
    <w:p w14:paraId="31BC9002" w14:textId="77777777" w:rsidR="004E0EBF" w:rsidRDefault="004E0EBF" w:rsidP="00D75295">
      <w:r>
        <w:continuationSeparator/>
      </w:r>
    </w:p>
  </w:footnote>
  <w:footnote w:id="1">
    <w:p w14:paraId="092AB89D" w14:textId="0420686E" w:rsidR="004E0EBF" w:rsidRDefault="004E0EBF" w:rsidP="00EE487F">
      <w:pPr>
        <w:pStyle w:val="FootnoteText1"/>
      </w:pPr>
      <w:r>
        <w:rPr>
          <w:rStyle w:val="FootnoteReference"/>
        </w:rPr>
        <w:footnoteRef/>
      </w:r>
      <w:r>
        <w:t xml:space="preserve"> </w:t>
      </w:r>
      <w:r w:rsidRPr="004C6AE2">
        <w:t>This case has been written on the basis of published sources only. Consequently, the interpretation and perspectives presented in this case are not necessarily those of AT&amp;T Inc. or Time Warner Group, or any of the employees.</w:t>
      </w:r>
    </w:p>
  </w:footnote>
  <w:footnote w:id="2">
    <w:p w14:paraId="45AAF896" w14:textId="77777777" w:rsidR="004E0EBF" w:rsidRPr="00B77C4D" w:rsidRDefault="004E0EBF" w:rsidP="00EE487F">
      <w:pPr>
        <w:pStyle w:val="FootnoteText"/>
        <w:rPr>
          <w:rFonts w:ascii="Arial" w:hAnsi="Arial" w:cs="Arial"/>
          <w:sz w:val="17"/>
          <w:szCs w:val="17"/>
          <w:lang w:val="en-CA"/>
        </w:rPr>
      </w:pPr>
      <w:r w:rsidRPr="004C6AE2">
        <w:rPr>
          <w:rStyle w:val="FootnoteReference"/>
          <w:rFonts w:ascii="Arial" w:hAnsi="Arial" w:cs="Arial"/>
          <w:sz w:val="17"/>
          <w:szCs w:val="17"/>
        </w:rPr>
        <w:footnoteRef/>
      </w:r>
      <w:r w:rsidRPr="004C6AE2">
        <w:rPr>
          <w:rFonts w:ascii="Arial" w:hAnsi="Arial" w:cs="Arial"/>
          <w:sz w:val="17"/>
          <w:szCs w:val="17"/>
        </w:rPr>
        <w:t xml:space="preserve"> </w:t>
      </w:r>
      <w:r w:rsidRPr="004C6AE2">
        <w:rPr>
          <w:rFonts w:ascii="Arial" w:hAnsi="Arial" w:cs="Arial"/>
          <w:sz w:val="17"/>
          <w:szCs w:val="17"/>
          <w:lang w:val="en-CA"/>
        </w:rPr>
        <w:t>All currency amounts are in US$ unless otherwise specified.</w:t>
      </w:r>
    </w:p>
  </w:footnote>
  <w:footnote w:id="3">
    <w:p w14:paraId="4B0F7D31" w14:textId="6B99C7A6" w:rsidR="004E0EBF" w:rsidRPr="004C6AE2" w:rsidRDefault="004E0EBF" w:rsidP="00EE487F">
      <w:pPr>
        <w:pStyle w:val="FootnoteText1"/>
      </w:pPr>
      <w:r w:rsidRPr="004C6AE2">
        <w:rPr>
          <w:rStyle w:val="FootnoteReference"/>
        </w:rPr>
        <w:footnoteRef/>
      </w:r>
      <w:r w:rsidRPr="004C6AE2">
        <w:t xml:space="preserve"> “AT&amp;T to Acquire Time Warner,” news release, AT&amp;T, October 22, 2016, accessed March 27, 2019, http://about.att.com/story/att_to_acquire_time_warner.html.</w:t>
      </w:r>
    </w:p>
  </w:footnote>
  <w:footnote w:id="4">
    <w:p w14:paraId="2C428D74" w14:textId="4C475D94" w:rsidR="004E0EBF" w:rsidRPr="004C6AE2" w:rsidRDefault="004E0EBF" w:rsidP="00EE487F">
      <w:pPr>
        <w:pStyle w:val="FootnoteText1"/>
      </w:pPr>
      <w:r w:rsidRPr="004C6AE2">
        <w:rPr>
          <w:rStyle w:val="FootnoteReference"/>
        </w:rPr>
        <w:footnoteRef/>
      </w:r>
      <w:r w:rsidRPr="004C6AE2">
        <w:t xml:space="preserve"> </w:t>
      </w:r>
      <w:bookmarkStart w:id="0" w:name="_Hlk12358161"/>
      <w:r w:rsidRPr="004C6AE2">
        <w:t xml:space="preserve">Time Warner Inc., “Form 425, Pursuant to Rule 425 under the </w:t>
      </w:r>
      <w:r w:rsidRPr="004C6AE2">
        <w:rPr>
          <w:i/>
        </w:rPr>
        <w:t>Securities Act of 1933</w:t>
      </w:r>
      <w:r w:rsidRPr="004C6AE2">
        <w:t xml:space="preserve"> and Deemed Filed Pursuant to Rule 14a-12 under the </w:t>
      </w:r>
      <w:r w:rsidRPr="004C6AE2">
        <w:rPr>
          <w:i/>
        </w:rPr>
        <w:t>Securities Exchange Act of 1934</w:t>
      </w:r>
      <w:r w:rsidRPr="004C6AE2">
        <w:t xml:space="preserve">,” </w:t>
      </w:r>
      <w:r>
        <w:t xml:space="preserve">US </w:t>
      </w:r>
      <w:r w:rsidRPr="004C6AE2">
        <w:t>Securities and Exchange Commission, 2016, accessed February 26, 2019</w:t>
      </w:r>
      <w:bookmarkEnd w:id="0"/>
      <w:r w:rsidRPr="004C6AE2">
        <w:t>, www.sec.gov/Archives/edgar/data/1105705/000110570516000031/form425.htm.</w:t>
      </w:r>
    </w:p>
  </w:footnote>
  <w:footnote w:id="5">
    <w:p w14:paraId="10396E04" w14:textId="27616F62" w:rsidR="004E0EBF" w:rsidRPr="004C6AE2" w:rsidRDefault="004E0EBF" w:rsidP="00EE487F">
      <w:pPr>
        <w:pStyle w:val="FootnoteText1"/>
        <w:rPr>
          <w:rFonts w:eastAsiaTheme="minorEastAsia"/>
          <w:lang w:eastAsia="zh-CN"/>
        </w:rPr>
      </w:pPr>
      <w:r w:rsidRPr="004C6AE2">
        <w:rPr>
          <w:rStyle w:val="FootnoteReference"/>
        </w:rPr>
        <w:footnoteRef/>
      </w:r>
      <w:r w:rsidRPr="004C6AE2">
        <w:t xml:space="preserve"> Roger Yu, “AT&amp;T Agrees to Buy Time Warner for More than $80B,” </w:t>
      </w:r>
      <w:r w:rsidRPr="004C6AE2">
        <w:rPr>
          <w:i/>
        </w:rPr>
        <w:t>USA Today,</w:t>
      </w:r>
      <w:r w:rsidRPr="004C6AE2">
        <w:t xml:space="preserve"> October 22, 2016, </w:t>
      </w:r>
      <w:bookmarkStart w:id="1" w:name="_Hlk12354084"/>
      <w:r w:rsidRPr="004C6AE2">
        <w:t xml:space="preserve">accessed June 25, 2019. </w:t>
      </w:r>
      <w:bookmarkEnd w:id="1"/>
      <w:r w:rsidRPr="004C6AE2">
        <w:t>www.usatoday.com/story/money/2016/10/22/reports-t-agrees-buy-time-warner-more-than-80b/92589816/.</w:t>
      </w:r>
    </w:p>
  </w:footnote>
  <w:footnote w:id="6">
    <w:p w14:paraId="0C636E55" w14:textId="16B9C59A" w:rsidR="004E0EBF" w:rsidRDefault="004E0EBF" w:rsidP="00D07BE1">
      <w:pPr>
        <w:pStyle w:val="FootnoteText1"/>
      </w:pPr>
      <w:r>
        <w:rPr>
          <w:rStyle w:val="FootnoteReference"/>
        </w:rPr>
        <w:footnoteRef/>
      </w:r>
      <w:r>
        <w:t xml:space="preserve"> </w:t>
      </w:r>
      <w:r w:rsidRPr="004C6AE2">
        <w:t>Time Warner Inc.,</w:t>
      </w:r>
      <w:r>
        <w:t xml:space="preserve"> op. cit.</w:t>
      </w:r>
    </w:p>
  </w:footnote>
  <w:footnote w:id="7">
    <w:p w14:paraId="063E3EE3" w14:textId="5FFAD326" w:rsidR="004E0EBF" w:rsidRPr="004C6AE2" w:rsidRDefault="004E0EBF" w:rsidP="00EE487F">
      <w:pPr>
        <w:pStyle w:val="FootnoteText1"/>
      </w:pPr>
      <w:r w:rsidRPr="004C6AE2">
        <w:rPr>
          <w:rStyle w:val="FootnoteReference"/>
        </w:rPr>
        <w:footnoteRef/>
      </w:r>
      <w:r w:rsidRPr="004C6AE2">
        <w:t xml:space="preserve"> Todd Spangler, “Time Warner Would Pay AT&amp;T $1.73 Billion Breakup Fee </w:t>
      </w:r>
      <w:r>
        <w:t>i</w:t>
      </w:r>
      <w:r w:rsidRPr="004C6AE2">
        <w:t xml:space="preserve">f Merger Is Pulled,” </w:t>
      </w:r>
      <w:r w:rsidRPr="004C6AE2">
        <w:rPr>
          <w:i/>
        </w:rPr>
        <w:t>Variety</w:t>
      </w:r>
      <w:r w:rsidRPr="004C6AE2">
        <w:t>, October 24, 2016, accessed March 27, 2019, https://variety.com/2016/biz/news/time-warner-att-breakup-fee-merger-1201898492.</w:t>
      </w:r>
    </w:p>
  </w:footnote>
  <w:footnote w:id="8">
    <w:p w14:paraId="1CFF3D1E" w14:textId="138B6C33" w:rsidR="004E0EBF" w:rsidRPr="004C6AE2" w:rsidRDefault="004E0EBF" w:rsidP="00EE487F">
      <w:pPr>
        <w:pStyle w:val="FootnoteText1"/>
        <w:rPr>
          <w:rFonts w:eastAsiaTheme="minorEastAsia"/>
          <w:lang w:eastAsia="zh-CN"/>
        </w:rPr>
      </w:pPr>
      <w:r w:rsidRPr="004C6AE2">
        <w:rPr>
          <w:rStyle w:val="FootnoteReference"/>
        </w:rPr>
        <w:footnoteRef/>
      </w:r>
      <w:r w:rsidRPr="004C6AE2">
        <w:t xml:space="preserve"> David Trainer, “AT&amp;T Time Warner Acquisition </w:t>
      </w:r>
      <w:r>
        <w:t>a</w:t>
      </w:r>
      <w:r w:rsidRPr="004C6AE2">
        <w:t xml:space="preserve"> Rare Deal </w:t>
      </w:r>
      <w:r>
        <w:t>t</w:t>
      </w:r>
      <w:r w:rsidRPr="004C6AE2">
        <w:t>hat Makes Economic Sense</w:t>
      </w:r>
      <w:r>
        <w:t>,</w:t>
      </w:r>
      <w:r w:rsidRPr="004C6AE2">
        <w:t xml:space="preserve">” </w:t>
      </w:r>
      <w:r w:rsidRPr="004C6AE2">
        <w:rPr>
          <w:i/>
        </w:rPr>
        <w:t>Forbes</w:t>
      </w:r>
      <w:r w:rsidRPr="004C6AE2">
        <w:t>, November, 15, 2016</w:t>
      </w:r>
      <w:r>
        <w:t>,</w:t>
      </w:r>
      <w:r w:rsidRPr="004C6AE2">
        <w:t xml:space="preserve"> accessed June 25, 2019, www.forbes.com/sites/greatspeculations/2016/11/15/att-time-warner-acquisition-a-rare-deal-that-makes-economic-sense/#7e7270cb11fa.</w:t>
      </w:r>
    </w:p>
  </w:footnote>
  <w:footnote w:id="9">
    <w:p w14:paraId="06D879A6" w14:textId="20761D89" w:rsidR="004E0EBF" w:rsidRPr="004C6AE2" w:rsidRDefault="004E0EBF" w:rsidP="00EE487F">
      <w:pPr>
        <w:pStyle w:val="FootnoteText1"/>
      </w:pPr>
      <w:r w:rsidRPr="004C6AE2">
        <w:rPr>
          <w:rStyle w:val="FootnoteReference"/>
        </w:rPr>
        <w:footnoteRef/>
      </w:r>
      <w:r w:rsidRPr="004C6AE2">
        <w:t xml:space="preserve"> </w:t>
      </w:r>
      <w:bookmarkStart w:id="2" w:name="_Hlk12003084"/>
      <w:r w:rsidRPr="004C6AE2">
        <w:t xml:space="preserve">Time Warner Inc., “Form 8-k, Pursuant to Section 13 or 15(d) of the Securities Exchange Act of 1934,” </w:t>
      </w:r>
      <w:r>
        <w:t xml:space="preserve">US </w:t>
      </w:r>
      <w:r w:rsidRPr="004C6AE2">
        <w:t>Securities and Exchange Commission, October</w:t>
      </w:r>
      <w:r>
        <w:t xml:space="preserve"> </w:t>
      </w:r>
      <w:r w:rsidRPr="004C6AE2">
        <w:t>22, 2016, accessed June 25, 2019, www.sec.gov/Archives/edgar/data/1105705/000095015716002366/form8k.htm.</w:t>
      </w:r>
    </w:p>
    <w:bookmarkEnd w:id="2"/>
  </w:footnote>
  <w:footnote w:id="10">
    <w:p w14:paraId="39BF8F4D" w14:textId="19735F37" w:rsidR="004E0EBF" w:rsidRPr="004C6AE2" w:rsidRDefault="004E0EBF" w:rsidP="00EE487F">
      <w:pPr>
        <w:pStyle w:val="FootnoteText1"/>
        <w:rPr>
          <w:spacing w:val="-2"/>
        </w:rPr>
      </w:pPr>
      <w:r w:rsidRPr="004C6AE2">
        <w:rPr>
          <w:rStyle w:val="FootnoteReference"/>
          <w:spacing w:val="-2"/>
        </w:rPr>
        <w:footnoteRef/>
      </w:r>
      <w:r w:rsidRPr="004C6AE2">
        <w:rPr>
          <w:spacing w:val="-2"/>
        </w:rPr>
        <w:t xml:space="preserve"> Thomas </w:t>
      </w:r>
      <w:proofErr w:type="spellStart"/>
      <w:r w:rsidRPr="004C6AE2">
        <w:rPr>
          <w:spacing w:val="-2"/>
        </w:rPr>
        <w:t>Gryta</w:t>
      </w:r>
      <w:proofErr w:type="spellEnd"/>
      <w:r w:rsidRPr="004C6AE2">
        <w:rPr>
          <w:spacing w:val="-2"/>
        </w:rPr>
        <w:t xml:space="preserve">, </w:t>
      </w:r>
      <w:proofErr w:type="spellStart"/>
      <w:r w:rsidRPr="004C6AE2">
        <w:rPr>
          <w:spacing w:val="-2"/>
        </w:rPr>
        <w:t>Keach</w:t>
      </w:r>
      <w:proofErr w:type="spellEnd"/>
      <w:r w:rsidRPr="004C6AE2">
        <w:rPr>
          <w:spacing w:val="-2"/>
        </w:rPr>
        <w:t xml:space="preserve"> </w:t>
      </w:r>
      <w:proofErr w:type="spellStart"/>
      <w:r w:rsidRPr="004C6AE2">
        <w:rPr>
          <w:spacing w:val="-2"/>
        </w:rPr>
        <w:t>Hagey</w:t>
      </w:r>
      <w:proofErr w:type="spellEnd"/>
      <w:r w:rsidRPr="004C6AE2">
        <w:rPr>
          <w:spacing w:val="-2"/>
        </w:rPr>
        <w:t xml:space="preserve">, Dana </w:t>
      </w:r>
      <w:proofErr w:type="spellStart"/>
      <w:r w:rsidRPr="004C6AE2">
        <w:rPr>
          <w:spacing w:val="-2"/>
        </w:rPr>
        <w:t>Cimilluca</w:t>
      </w:r>
      <w:proofErr w:type="spellEnd"/>
      <w:r>
        <w:rPr>
          <w:spacing w:val="-2"/>
        </w:rPr>
        <w:t>,</w:t>
      </w:r>
      <w:r w:rsidRPr="004C6AE2">
        <w:rPr>
          <w:spacing w:val="-2"/>
        </w:rPr>
        <w:t xml:space="preserve"> and Dana Mattioli</w:t>
      </w:r>
      <w:r w:rsidRPr="004C6AE2">
        <w:rPr>
          <w:rFonts w:eastAsia="SimSun"/>
          <w:spacing w:val="-2"/>
          <w:lang w:eastAsia="zh-CN"/>
        </w:rPr>
        <w:t>,</w:t>
      </w:r>
      <w:r w:rsidRPr="004C6AE2">
        <w:rPr>
          <w:spacing w:val="-2"/>
        </w:rPr>
        <w:t xml:space="preserve"> “AT&amp;T: Reaches Deal to Buy Time Warner for More </w:t>
      </w:r>
      <w:r>
        <w:rPr>
          <w:spacing w:val="-2"/>
        </w:rPr>
        <w:t>t</w:t>
      </w:r>
      <w:r w:rsidRPr="004C6AE2">
        <w:rPr>
          <w:spacing w:val="-2"/>
        </w:rPr>
        <w:t>han $80 Billion</w:t>
      </w:r>
      <w:r>
        <w:rPr>
          <w:spacing w:val="-2"/>
        </w:rPr>
        <w:t>—</w:t>
      </w:r>
      <w:r w:rsidRPr="004C6AE2">
        <w:rPr>
          <w:spacing w:val="-2"/>
        </w:rPr>
        <w:t>3rd Update</w:t>
      </w:r>
      <w:r w:rsidRPr="004C6AE2">
        <w:rPr>
          <w:rFonts w:eastAsia="SimSun"/>
          <w:spacing w:val="-2"/>
          <w:lang w:eastAsia="zh-CN"/>
        </w:rPr>
        <w:t xml:space="preserve">,” </w:t>
      </w:r>
      <w:proofErr w:type="spellStart"/>
      <w:r w:rsidRPr="004C6AE2">
        <w:rPr>
          <w:rFonts w:eastAsia="SimSun"/>
          <w:i/>
          <w:spacing w:val="-2"/>
          <w:lang w:eastAsia="zh-CN"/>
        </w:rPr>
        <w:t>M</w:t>
      </w:r>
      <w:r w:rsidRPr="004C6AE2">
        <w:rPr>
          <w:i/>
          <w:spacing w:val="-2"/>
        </w:rPr>
        <w:t>arketscreener</w:t>
      </w:r>
      <w:proofErr w:type="spellEnd"/>
      <w:r w:rsidRPr="004C6AE2">
        <w:rPr>
          <w:rFonts w:eastAsia="MS Gothic"/>
          <w:spacing w:val="-2"/>
        </w:rPr>
        <w:t>，</w:t>
      </w:r>
      <w:r w:rsidRPr="004C6AE2">
        <w:rPr>
          <w:rFonts w:eastAsia="MS Gothic"/>
          <w:spacing w:val="-2"/>
        </w:rPr>
        <w:t xml:space="preserve"> </w:t>
      </w:r>
      <w:r w:rsidRPr="004C6AE2">
        <w:rPr>
          <w:spacing w:val="-2"/>
        </w:rPr>
        <w:t>October 22</w:t>
      </w:r>
      <w:r w:rsidRPr="004C6AE2">
        <w:rPr>
          <w:rFonts w:eastAsia="MS Gothic"/>
          <w:spacing w:val="-2"/>
        </w:rPr>
        <w:t>，</w:t>
      </w:r>
      <w:r w:rsidRPr="004C6AE2">
        <w:rPr>
          <w:spacing w:val="-2"/>
        </w:rPr>
        <w:t>2016</w:t>
      </w:r>
      <w:r w:rsidRPr="004C6AE2">
        <w:rPr>
          <w:rFonts w:eastAsia="MS Gothic"/>
          <w:spacing w:val="-2"/>
        </w:rPr>
        <w:t>，</w:t>
      </w:r>
      <w:r w:rsidRPr="004C6AE2">
        <w:rPr>
          <w:spacing w:val="-2"/>
        </w:rPr>
        <w:t xml:space="preserve"> accessed June 26, 2019,</w:t>
      </w:r>
      <w:r w:rsidRPr="004C6AE2">
        <w:rPr>
          <w:rFonts w:eastAsia="SimSun"/>
          <w:spacing w:val="-2"/>
          <w:lang w:eastAsia="zh-CN"/>
        </w:rPr>
        <w:t xml:space="preserve"> </w:t>
      </w:r>
      <w:r w:rsidRPr="004C6AE2">
        <w:rPr>
          <w:spacing w:val="-2"/>
        </w:rPr>
        <w:t>www.marketscreener.com/AT-T-INC-14324/news/AT-T-Reaches-Deal-to-Buy-Time-Warner-for-More-Than-80-Billion-3rd-Update-23257264/.</w:t>
      </w:r>
    </w:p>
  </w:footnote>
  <w:footnote w:id="11">
    <w:p w14:paraId="0763B4A5" w14:textId="559BC120" w:rsidR="004E0EBF" w:rsidRPr="00D07BE1" w:rsidRDefault="004E0EBF" w:rsidP="00D07BE1">
      <w:pPr>
        <w:pStyle w:val="FootnoteText1"/>
      </w:pPr>
      <w:r w:rsidRPr="00D07BE1">
        <w:rPr>
          <w:rStyle w:val="FootnoteReference"/>
        </w:rPr>
        <w:footnoteRef/>
      </w:r>
      <w:r w:rsidRPr="00D07BE1">
        <w:t xml:space="preserve"> AT&amp;T, “Brand-Licensing, Evolution and Doman Names,” accessed June 25, 2019, </w:t>
      </w:r>
      <w:hyperlink r:id="rId1" w:history="1">
        <w:r w:rsidRPr="00D07BE1">
          <w:t>https://about.att.com/innovation/ip/brands/history</w:t>
        </w:r>
      </w:hyperlink>
    </w:p>
  </w:footnote>
  <w:footnote w:id="12">
    <w:p w14:paraId="04E94715" w14:textId="7A18708F" w:rsidR="004E0EBF" w:rsidRPr="004C6AE2" w:rsidRDefault="004E0EBF" w:rsidP="00EE487F">
      <w:pPr>
        <w:pStyle w:val="FootnoteText1"/>
        <w:rPr>
          <w:lang w:eastAsia="zh-CN"/>
        </w:rPr>
      </w:pPr>
      <w:r w:rsidRPr="004C6AE2">
        <w:rPr>
          <w:rStyle w:val="FootnoteReference"/>
        </w:rPr>
        <w:footnoteRef/>
      </w:r>
      <w:r w:rsidRPr="004C6AE2">
        <w:t xml:space="preserve"> </w:t>
      </w:r>
      <w:r w:rsidRPr="004C6AE2">
        <w:rPr>
          <w:lang w:eastAsia="zh-CN"/>
        </w:rPr>
        <w:t>Staff member of National Telecommunications and Information Administration (NTIA), “</w:t>
      </w:r>
      <w:r w:rsidRPr="004C6AE2">
        <w:t>The United States Telecommunications Act of 1996</w:t>
      </w:r>
      <w:r w:rsidRPr="004C6AE2">
        <w:rPr>
          <w:rFonts w:eastAsia="SimSun"/>
          <w:lang w:eastAsia="zh-CN"/>
        </w:rPr>
        <w:t xml:space="preserve">, </w:t>
      </w:r>
      <w:r w:rsidRPr="004C6AE2">
        <w:t xml:space="preserve">Global Communications Interactive </w:t>
      </w:r>
      <w:r>
        <w:t>‘</w:t>
      </w:r>
      <w:r w:rsidRPr="004C6AE2">
        <w:t>98</w:t>
      </w:r>
      <w:r w:rsidRPr="004C6AE2">
        <w:rPr>
          <w:rFonts w:eastAsia="SimSun"/>
          <w:lang w:eastAsia="zh-CN"/>
        </w:rPr>
        <w:t>,” accessed July 11, 2019,</w:t>
      </w:r>
      <w:r w:rsidRPr="004C6AE2">
        <w:t xml:space="preserve"> www.ntia.doc.gov/legacy/opadhome/overview.htm.</w:t>
      </w:r>
    </w:p>
  </w:footnote>
  <w:footnote w:id="13">
    <w:p w14:paraId="04589666" w14:textId="06FFDB94" w:rsidR="004E0EBF" w:rsidRPr="004C6AE2" w:rsidRDefault="004E0EBF" w:rsidP="00EE487F">
      <w:pPr>
        <w:pStyle w:val="FootnoteText1"/>
        <w:rPr>
          <w:lang w:eastAsia="zh-CN"/>
        </w:rPr>
      </w:pPr>
      <w:r w:rsidRPr="004C6AE2">
        <w:rPr>
          <w:rStyle w:val="FootnoteReference"/>
        </w:rPr>
        <w:footnoteRef/>
      </w:r>
      <w:r w:rsidRPr="004C6AE2">
        <w:t xml:space="preserve"> “SBC </w:t>
      </w:r>
      <w:r>
        <w:t>C</w:t>
      </w:r>
      <w:r w:rsidRPr="004C6AE2">
        <w:t xml:space="preserve">ompletes </w:t>
      </w:r>
      <w:r>
        <w:t>P</w:t>
      </w:r>
      <w:r w:rsidRPr="004C6AE2">
        <w:t>urchase of AT&amp;T”</w:t>
      </w:r>
      <w:r w:rsidRPr="004C6AE2">
        <w:rPr>
          <w:rFonts w:eastAsia="SimSun"/>
          <w:lang w:eastAsia="zh-CN"/>
        </w:rPr>
        <w:t>, NBC News, accessed August 22, 2019,</w:t>
      </w:r>
      <w:r w:rsidRPr="004C6AE2">
        <w:t xml:space="preserve"> www.nbcnews.com/id/10100350/ns/business-us_business/t/sbc-completes-purchase-att/#.XV7ulehKg0I.</w:t>
      </w:r>
    </w:p>
  </w:footnote>
  <w:footnote w:id="14">
    <w:p w14:paraId="558E6925" w14:textId="6A2789CF" w:rsidR="004E0EBF" w:rsidRPr="004C6AE2" w:rsidRDefault="004E0EBF" w:rsidP="00EE487F">
      <w:pPr>
        <w:pStyle w:val="FootnoteText1"/>
        <w:rPr>
          <w:lang w:eastAsia="zh-CN"/>
        </w:rPr>
      </w:pPr>
      <w:r w:rsidRPr="004C6AE2">
        <w:rPr>
          <w:rStyle w:val="FootnoteReference"/>
        </w:rPr>
        <w:footnoteRef/>
      </w:r>
      <w:r w:rsidRPr="004C6AE2">
        <w:t xml:space="preserve"> </w:t>
      </w:r>
      <w:r w:rsidRPr="004C6AE2">
        <w:rPr>
          <w:rFonts w:eastAsia="SimSun"/>
          <w:lang w:eastAsia="zh-CN"/>
        </w:rPr>
        <w:t xml:space="preserve">AT&amp;T Inc., </w:t>
      </w:r>
      <w:r w:rsidRPr="00B77C4D">
        <w:rPr>
          <w:i/>
        </w:rPr>
        <w:t>AT&amp;T I</w:t>
      </w:r>
      <w:r w:rsidRPr="00B77C4D">
        <w:rPr>
          <w:rFonts w:eastAsia="SimSun"/>
          <w:i/>
          <w:lang w:eastAsia="zh-CN"/>
        </w:rPr>
        <w:t>nc</w:t>
      </w:r>
      <w:r w:rsidRPr="00B77C4D">
        <w:rPr>
          <w:i/>
        </w:rPr>
        <w:t>. F</w:t>
      </w:r>
      <w:r w:rsidRPr="00B77C4D">
        <w:rPr>
          <w:rFonts w:eastAsia="SimSun"/>
          <w:i/>
          <w:lang w:eastAsia="zh-CN"/>
        </w:rPr>
        <w:t>inancial</w:t>
      </w:r>
      <w:r w:rsidRPr="00B77C4D">
        <w:rPr>
          <w:i/>
        </w:rPr>
        <w:t xml:space="preserve"> R</w:t>
      </w:r>
      <w:r w:rsidRPr="00B77C4D">
        <w:rPr>
          <w:rFonts w:eastAsia="SimSun"/>
          <w:i/>
          <w:lang w:eastAsia="zh-CN"/>
        </w:rPr>
        <w:t xml:space="preserve">eview </w:t>
      </w:r>
      <w:r w:rsidRPr="00B77C4D">
        <w:rPr>
          <w:i/>
        </w:rPr>
        <w:t>2016</w:t>
      </w:r>
      <w:r w:rsidRPr="004C6AE2">
        <w:rPr>
          <w:rFonts w:eastAsia="SimSun"/>
          <w:lang w:eastAsia="zh-CN"/>
        </w:rPr>
        <w:t xml:space="preserve">, accessed July 11, 2019, </w:t>
      </w:r>
      <w:r w:rsidRPr="004C6AE2">
        <w:t>www.att.com/Investor/ATT_Annual/2016/downloads/att_ar2016_mda_consolidatedtables.pdf.</w:t>
      </w:r>
    </w:p>
  </w:footnote>
  <w:footnote w:id="15">
    <w:p w14:paraId="4AB0969C" w14:textId="2E420904" w:rsidR="004E0EBF" w:rsidRDefault="004E0EBF" w:rsidP="00EE487F">
      <w:pPr>
        <w:pStyle w:val="FootnoteText1"/>
        <w:rPr>
          <w:spacing w:val="-4"/>
        </w:rPr>
      </w:pPr>
      <w:r w:rsidRPr="004C6AE2">
        <w:rPr>
          <w:rStyle w:val="FootnoteReference"/>
        </w:rPr>
        <w:footnoteRef/>
      </w:r>
      <w:r w:rsidRPr="004C6AE2">
        <w:t xml:space="preserve"> </w:t>
      </w:r>
      <w:r w:rsidRPr="007A1E6A">
        <w:rPr>
          <w:spacing w:val="-4"/>
        </w:rPr>
        <w:t xml:space="preserve">“NII Holdings agrees to sell operations in Mexico to AT&amp;T for $1.88 billion” </w:t>
      </w:r>
      <w:r w:rsidRPr="007A1E6A">
        <w:rPr>
          <w:i/>
          <w:spacing w:val="-4"/>
        </w:rPr>
        <w:t>Washington Post</w:t>
      </w:r>
      <w:r w:rsidRPr="007A1E6A">
        <w:rPr>
          <w:spacing w:val="-4"/>
        </w:rPr>
        <w:t>, accessed August 22, 2019, www.washingtonpost.com/business/capitalbusiness/nii-holdings-agrees-to-sell-operations-in-mexico-to-atandt-for-188-b/2015/01/</w:t>
      </w:r>
    </w:p>
    <w:p w14:paraId="5364A315" w14:textId="7C1756B0" w:rsidR="004E0EBF" w:rsidRPr="004C6AE2" w:rsidRDefault="004E0EBF" w:rsidP="00EE487F">
      <w:pPr>
        <w:pStyle w:val="FootnoteText1"/>
        <w:rPr>
          <w:lang w:eastAsia="zh-CN"/>
        </w:rPr>
      </w:pPr>
      <w:r w:rsidRPr="007A1E6A">
        <w:rPr>
          <w:spacing w:val="-4"/>
        </w:rPr>
        <w:t>26/eb68ab00-a574-11e4-a7c2-03d37af98440_story.html?noredirect=on.</w:t>
      </w:r>
    </w:p>
  </w:footnote>
  <w:footnote w:id="16">
    <w:p w14:paraId="56D13305" w14:textId="736A1A36" w:rsidR="004E0EBF" w:rsidRPr="004C6AE2" w:rsidRDefault="004E0EBF" w:rsidP="00EE487F">
      <w:pPr>
        <w:pStyle w:val="FootnoteText1"/>
      </w:pPr>
      <w:r w:rsidRPr="004C6AE2">
        <w:rPr>
          <w:rStyle w:val="FootnoteReference"/>
        </w:rPr>
        <w:footnoteRef/>
      </w:r>
      <w:r w:rsidRPr="004C6AE2">
        <w:t xml:space="preserve"> </w:t>
      </w:r>
      <w:r w:rsidRPr="007A1E6A">
        <w:rPr>
          <w:spacing w:val="-4"/>
        </w:rPr>
        <w:t>“AT&amp;T-</w:t>
      </w:r>
      <w:proofErr w:type="spellStart"/>
      <w:r w:rsidRPr="007A1E6A">
        <w:rPr>
          <w:spacing w:val="-4"/>
        </w:rPr>
        <w:t>Chernin</w:t>
      </w:r>
      <w:proofErr w:type="spellEnd"/>
      <w:r w:rsidRPr="007A1E6A">
        <w:rPr>
          <w:spacing w:val="-4"/>
        </w:rPr>
        <w:t xml:space="preserve"> J.V. Otter Media Buys Out Remaining Fullscreen, Crunchyroll Owners,” </w:t>
      </w:r>
      <w:r w:rsidRPr="007A1E6A">
        <w:rPr>
          <w:i/>
          <w:spacing w:val="-4"/>
        </w:rPr>
        <w:t>Variety</w:t>
      </w:r>
      <w:r w:rsidRPr="007A1E6A">
        <w:rPr>
          <w:spacing w:val="-4"/>
        </w:rPr>
        <w:t>, accessed July 11, 2019, https://variety.com/2018/digital/news/att-chernin-j-v-otter-media-buys-out-remaining-fullscreen-crunchyroll-owners-1202675621/.</w:t>
      </w:r>
    </w:p>
  </w:footnote>
  <w:footnote w:id="17">
    <w:p w14:paraId="329F3137" w14:textId="77777777" w:rsidR="004E0EBF" w:rsidRPr="004C6AE2" w:rsidRDefault="004E0EBF" w:rsidP="00EE487F">
      <w:pPr>
        <w:pStyle w:val="FootnoteText1"/>
      </w:pPr>
      <w:r w:rsidRPr="004C6AE2">
        <w:rPr>
          <w:rStyle w:val="FootnoteReference"/>
        </w:rPr>
        <w:footnoteRef/>
      </w:r>
      <w:r w:rsidRPr="004C6AE2">
        <w:t xml:space="preserve"> “AT&amp;T to Buy DirecTV for $48.5 Billion in Move to Expand Clout,” </w:t>
      </w:r>
      <w:r w:rsidRPr="004C6AE2">
        <w:rPr>
          <w:i/>
        </w:rPr>
        <w:t>New York Times</w:t>
      </w:r>
      <w:r w:rsidRPr="004C6AE2">
        <w:t>, accessed July 11, 2019, https://dealbook.nytimes.com/2014/05/18/att-to-buy-directv-for-48-5-billion/.</w:t>
      </w:r>
    </w:p>
  </w:footnote>
  <w:footnote w:id="18">
    <w:p w14:paraId="154506B7" w14:textId="563CF888" w:rsidR="004E0EBF" w:rsidRDefault="004E0EBF" w:rsidP="00E239EC">
      <w:pPr>
        <w:pStyle w:val="FootnoteText1"/>
      </w:pPr>
      <w:r w:rsidRPr="004C6AE2">
        <w:rPr>
          <w:rStyle w:val="FootnoteReference"/>
        </w:rPr>
        <w:footnoteRef/>
      </w:r>
      <w:r w:rsidRPr="004C6AE2">
        <w:t xml:space="preserve"> </w:t>
      </w:r>
      <w:r w:rsidRPr="00E239EC">
        <w:t xml:space="preserve">Steven </w:t>
      </w:r>
      <w:proofErr w:type="spellStart"/>
      <w:r w:rsidRPr="00E239EC">
        <w:t>Mufson</w:t>
      </w:r>
      <w:proofErr w:type="spellEnd"/>
      <w:r w:rsidRPr="00E239EC">
        <w:t>, “Time Buys Warner for $14 Billion,” Washington Post, July 25, 1989, accessed July 11, 2019, www.washingtonpost.com/archive/politics/1989/07/25/time-buys-warner-for-14-billion/3db3e59f-4e1d-4000-aa2b-33e12d97</w:t>
      </w:r>
    </w:p>
    <w:p w14:paraId="202FE220" w14:textId="2E31B8E4" w:rsidR="004E0EBF" w:rsidRPr="00E239EC" w:rsidRDefault="004E0EBF" w:rsidP="00E239EC">
      <w:pPr>
        <w:pStyle w:val="FootnoteText1"/>
      </w:pPr>
      <w:r w:rsidRPr="00E239EC">
        <w:t>d027/?</w:t>
      </w:r>
      <w:proofErr w:type="spellStart"/>
      <w:r w:rsidRPr="00E239EC">
        <w:t>noredirect</w:t>
      </w:r>
      <w:proofErr w:type="spellEnd"/>
      <w:r w:rsidRPr="00E239EC">
        <w:t xml:space="preserve">=on; Time Warner Inc., “Company Profile, Information, Business Description, History, Background Information on Time Warner Inc.,” accessed July 11, 2019, </w:t>
      </w:r>
      <w:hyperlink r:id="rId2" w:history="1">
        <w:r w:rsidRPr="00E239EC">
          <w:t>www.referenceforbusiness.com/history2/83/Time-Warner-Inc.html</w:t>
        </w:r>
      </w:hyperlink>
      <w:r w:rsidRPr="00E239EC">
        <w:t>; Warner Bros., “Company History,” accessed July 11, 2019, www.warnerbros.com/studio/about-studio/company-history.</w:t>
      </w:r>
    </w:p>
  </w:footnote>
  <w:footnote w:id="19">
    <w:p w14:paraId="03FB30DD" w14:textId="4D7E760A" w:rsidR="004E0EBF" w:rsidRPr="00A31A79" w:rsidRDefault="004E0EBF" w:rsidP="00A31A79">
      <w:pPr>
        <w:pStyle w:val="FootnoteText1"/>
      </w:pPr>
      <w:r>
        <w:rPr>
          <w:rStyle w:val="FootnoteReference"/>
        </w:rPr>
        <w:footnoteRef/>
      </w:r>
      <w:r>
        <w:t xml:space="preserve"> </w:t>
      </w:r>
      <w:r w:rsidRPr="00A31A79">
        <w:t xml:space="preserve">Thomas S. Mulligan, “Turner-Time Warner Merger Approved by Shareholder,” </w:t>
      </w:r>
      <w:r w:rsidRPr="00A31A79">
        <w:rPr>
          <w:i/>
        </w:rPr>
        <w:t>Los Angeles Times</w:t>
      </w:r>
      <w:r w:rsidRPr="00A31A79">
        <w:t xml:space="preserve">, October 11, 1996, accessed July 11, 2019, www.latimes.com/archives/la-xpm-1996-10-11-fi-52676-story.html. </w:t>
      </w:r>
    </w:p>
  </w:footnote>
  <w:footnote w:id="20">
    <w:p w14:paraId="6802A29D" w14:textId="0DB953EC" w:rsidR="004E0EBF" w:rsidRPr="004C6AE2" w:rsidRDefault="004E0EBF" w:rsidP="00EE487F">
      <w:pPr>
        <w:pStyle w:val="FootnoteText1"/>
      </w:pPr>
      <w:r w:rsidRPr="004C6AE2">
        <w:rPr>
          <w:rStyle w:val="FootnoteReference"/>
        </w:rPr>
        <w:footnoteRef/>
      </w:r>
      <w:r w:rsidRPr="004C6AE2">
        <w:t xml:space="preserve"> Sam </w:t>
      </w:r>
      <w:proofErr w:type="spellStart"/>
      <w:r w:rsidRPr="004C6AE2">
        <w:t>Gustin</w:t>
      </w:r>
      <w:proofErr w:type="spellEnd"/>
      <w:r w:rsidRPr="004C6AE2">
        <w:t xml:space="preserve">, “Comcast Set to Buy Time Warner Cable for $45 Billion,” </w:t>
      </w:r>
      <w:r w:rsidRPr="004C6AE2">
        <w:rPr>
          <w:i/>
        </w:rPr>
        <w:t>Time</w:t>
      </w:r>
      <w:r w:rsidRPr="004C6AE2">
        <w:t xml:space="preserve">, February 12, 2014, accessed July 11, 2019, </w:t>
      </w:r>
      <w:r w:rsidRPr="0092145F">
        <w:t>http://business.time.com/2014/02/12/comcast-time-warner-cable/</w:t>
      </w:r>
      <w:r w:rsidRPr="004C6AE2">
        <w:t>.</w:t>
      </w:r>
    </w:p>
  </w:footnote>
  <w:footnote w:id="21">
    <w:p w14:paraId="48255BB1" w14:textId="77777777" w:rsidR="004E0EBF" w:rsidRPr="004C6AE2" w:rsidRDefault="004E0EBF" w:rsidP="00EE487F">
      <w:pPr>
        <w:pStyle w:val="FootnoteText1"/>
      </w:pPr>
      <w:r w:rsidRPr="004C6AE2">
        <w:rPr>
          <w:rStyle w:val="FootnoteReference"/>
        </w:rPr>
        <w:footnoteRef/>
      </w:r>
      <w:r w:rsidRPr="004C6AE2">
        <w:rPr>
          <w:rStyle w:val="FootnoteReference"/>
        </w:rPr>
        <w:t xml:space="preserve"> </w:t>
      </w:r>
      <w:r w:rsidRPr="004C6AE2">
        <w:t>Andrew Ross Sorkin, “Time Warner Rejected $80 Billion Offer from 21st Century Fox: Sources,” CNBC, July 16, 2014, accessed July 11, 2019, www.cnbc.com/2014/07/16/time-warner-rejected-80b-offer-from-21st-century-fox-sources.html.</w:t>
      </w:r>
    </w:p>
  </w:footnote>
  <w:footnote w:id="22">
    <w:p w14:paraId="7962CD72" w14:textId="10801B86" w:rsidR="004E0EBF" w:rsidRPr="00C96871" w:rsidRDefault="004E0EBF" w:rsidP="00C96871">
      <w:pPr>
        <w:pStyle w:val="FootnoteText1"/>
      </w:pPr>
      <w:r w:rsidRPr="00C96871">
        <w:rPr>
          <w:rStyle w:val="FootnoteReference"/>
        </w:rPr>
        <w:footnoteRef/>
      </w:r>
      <w:r w:rsidRPr="00C96871">
        <w:t xml:space="preserve"> Jurgen </w:t>
      </w:r>
      <w:proofErr w:type="spellStart"/>
      <w:r w:rsidRPr="00C96871">
        <w:t>Meffert</w:t>
      </w:r>
      <w:proofErr w:type="spellEnd"/>
      <w:r w:rsidRPr="00C96871">
        <w:t xml:space="preserve"> and Niko Mohr, “Overwhelming OTT: </w:t>
      </w:r>
      <w:proofErr w:type="spellStart"/>
      <w:r w:rsidRPr="00C96871">
        <w:t>Telcos</w:t>
      </w:r>
      <w:proofErr w:type="spellEnd"/>
      <w:r w:rsidRPr="00C96871">
        <w:t xml:space="preserve">’ </w:t>
      </w:r>
      <w:r>
        <w:t>G</w:t>
      </w:r>
      <w:r w:rsidRPr="00C96871">
        <w:t xml:space="preserve">rowth </w:t>
      </w:r>
      <w:r>
        <w:t>S</w:t>
      </w:r>
      <w:r w:rsidRPr="00C96871">
        <w:t xml:space="preserve">trategy in a </w:t>
      </w:r>
      <w:r>
        <w:t>D</w:t>
      </w:r>
      <w:r w:rsidRPr="00C96871">
        <w:t xml:space="preserve">igital </w:t>
      </w:r>
      <w:r>
        <w:t>W</w:t>
      </w:r>
      <w:r w:rsidRPr="00C96871">
        <w:t>orld,” McKinsey &amp; Company, January 2017, accessed November 26, 2019</w:t>
      </w:r>
      <w:r>
        <w:t xml:space="preserve">, </w:t>
      </w:r>
      <w:r w:rsidRPr="00C96871">
        <w:t xml:space="preserve">www.mckinsey.com/industries/technology-media-and-telecommunications/our-insights/overwhelming-ott-telcos-growth-strategy-in-a-digital-world </w:t>
      </w:r>
    </w:p>
  </w:footnote>
  <w:footnote w:id="23">
    <w:p w14:paraId="5C3B7C67" w14:textId="29F9D51A" w:rsidR="004E0EBF" w:rsidRPr="004C6AE2" w:rsidRDefault="004E0EBF" w:rsidP="00EE487F">
      <w:pPr>
        <w:pStyle w:val="FootnoteText1"/>
      </w:pPr>
      <w:r w:rsidRPr="004C6AE2">
        <w:rPr>
          <w:rStyle w:val="FootnoteReference"/>
        </w:rPr>
        <w:footnoteRef/>
      </w:r>
      <w:r w:rsidRPr="004C6AE2">
        <w:t xml:space="preserve"> </w:t>
      </w:r>
      <w:r w:rsidRPr="004C6AE2">
        <w:rPr>
          <w:rStyle w:val="FootnoteChar"/>
          <w:lang w:eastAsia="zh-CN"/>
        </w:rPr>
        <w:t xml:space="preserve">Lara </w:t>
      </w:r>
      <w:proofErr w:type="spellStart"/>
      <w:r w:rsidRPr="004C6AE2">
        <w:rPr>
          <w:rStyle w:val="FootnoteChar"/>
          <w:lang w:eastAsia="zh-CN"/>
        </w:rPr>
        <w:t>O’Rellly</w:t>
      </w:r>
      <w:proofErr w:type="spellEnd"/>
      <w:r w:rsidRPr="004C6AE2">
        <w:rPr>
          <w:rStyle w:val="FootnoteChar"/>
          <w:lang w:eastAsia="zh-CN"/>
        </w:rPr>
        <w:t xml:space="preserve">, </w:t>
      </w:r>
      <w:r w:rsidRPr="004C6AE2">
        <w:rPr>
          <w:rFonts w:eastAsia="SimSun"/>
          <w:lang w:eastAsia="zh-CN"/>
        </w:rPr>
        <w:t>“</w:t>
      </w:r>
      <w:r w:rsidRPr="004C6AE2">
        <w:rPr>
          <w:rStyle w:val="FootnoteChar"/>
        </w:rPr>
        <w:t xml:space="preserve">Verizon </w:t>
      </w:r>
      <w:r>
        <w:rPr>
          <w:rStyle w:val="FootnoteChar"/>
        </w:rPr>
        <w:t>W</w:t>
      </w:r>
      <w:r w:rsidRPr="004C6AE2">
        <w:rPr>
          <w:rStyle w:val="FootnoteChar"/>
        </w:rPr>
        <w:t xml:space="preserve">ill </w:t>
      </w:r>
      <w:r>
        <w:rPr>
          <w:rStyle w:val="FootnoteChar"/>
        </w:rPr>
        <w:t>A</w:t>
      </w:r>
      <w:r w:rsidRPr="004C6AE2">
        <w:rPr>
          <w:rStyle w:val="FootnoteChar"/>
        </w:rPr>
        <w:t xml:space="preserve">cquire Yahoo for $4.8 </w:t>
      </w:r>
      <w:r>
        <w:rPr>
          <w:rStyle w:val="FootnoteChar"/>
        </w:rPr>
        <w:t>B</w:t>
      </w:r>
      <w:r w:rsidRPr="004C6AE2">
        <w:rPr>
          <w:rStyle w:val="FootnoteChar"/>
        </w:rPr>
        <w:t>illion</w:t>
      </w:r>
      <w:r>
        <w:rPr>
          <w:rStyle w:val="FootnoteChar"/>
        </w:rPr>
        <w:t>,</w:t>
      </w:r>
      <w:r w:rsidRPr="004C6AE2">
        <w:rPr>
          <w:rFonts w:eastAsia="SimSun"/>
          <w:lang w:eastAsia="zh-CN"/>
        </w:rPr>
        <w:t>”</w:t>
      </w:r>
      <w:r w:rsidRPr="004C6AE2">
        <w:t xml:space="preserve"> </w:t>
      </w:r>
      <w:r w:rsidRPr="00B77C4D">
        <w:rPr>
          <w:i/>
          <w:iCs w:val="0"/>
        </w:rPr>
        <w:t>Business Insider</w:t>
      </w:r>
      <w:r w:rsidRPr="004C6AE2">
        <w:rPr>
          <w:rFonts w:eastAsia="SimSun"/>
          <w:lang w:eastAsia="zh-CN"/>
        </w:rPr>
        <w:t>, accessed July 11, 2019,</w:t>
      </w:r>
      <w:r w:rsidRPr="004C6AE2">
        <w:t xml:space="preserve"> www.businessinsider.sg/verizon-acquires-yahoo-2016-7/?r=US&amp;IR=T.</w:t>
      </w:r>
    </w:p>
  </w:footnote>
  <w:footnote w:id="24">
    <w:p w14:paraId="712052DB" w14:textId="602C8FEF" w:rsidR="004E0EBF" w:rsidRPr="004C6AE2" w:rsidRDefault="004E0EBF" w:rsidP="00EE487F">
      <w:pPr>
        <w:pStyle w:val="FootnoteText1"/>
      </w:pPr>
      <w:r w:rsidRPr="004C6AE2">
        <w:rPr>
          <w:rStyle w:val="FootnoteReference"/>
        </w:rPr>
        <w:footnoteRef/>
      </w:r>
      <w:r w:rsidRPr="004C6AE2">
        <w:t xml:space="preserve"> </w:t>
      </w:r>
      <w:r w:rsidRPr="004C6AE2">
        <w:rPr>
          <w:rFonts w:eastAsia="SimSun"/>
          <w:lang w:eastAsia="zh-CN"/>
        </w:rPr>
        <w:t>“</w:t>
      </w:r>
      <w:r w:rsidRPr="004C6AE2">
        <w:t>US Online and Traditional Media Advertising Outlook, 2016</w:t>
      </w:r>
      <w:r>
        <w:t>–</w:t>
      </w:r>
      <w:r w:rsidRPr="004C6AE2">
        <w:t>2020</w:t>
      </w:r>
      <w:r w:rsidRPr="004C6AE2">
        <w:rPr>
          <w:rFonts w:eastAsia="SimSun"/>
          <w:lang w:eastAsia="zh-CN"/>
        </w:rPr>
        <w:t xml:space="preserve">,” </w:t>
      </w:r>
      <w:r w:rsidRPr="004C6AE2">
        <w:t>Marketing Charts</w:t>
      </w:r>
      <w:r w:rsidRPr="004C6AE2">
        <w:rPr>
          <w:rFonts w:eastAsia="SimSun"/>
          <w:lang w:eastAsia="zh-CN"/>
        </w:rPr>
        <w:t>, accessed July 11, 2019,</w:t>
      </w:r>
      <w:r w:rsidRPr="004C6AE2">
        <w:t xml:space="preserve"> www.marketingcharts.com/featured-68214.</w:t>
      </w:r>
    </w:p>
  </w:footnote>
  <w:footnote w:id="25">
    <w:p w14:paraId="00179ACB" w14:textId="3015F855" w:rsidR="004E0EBF" w:rsidRPr="004C6AE2" w:rsidRDefault="004E0EBF" w:rsidP="00EE487F">
      <w:pPr>
        <w:pStyle w:val="FootnoteText1"/>
      </w:pPr>
      <w:r w:rsidRPr="004C6AE2">
        <w:rPr>
          <w:rStyle w:val="FootnoteReference"/>
        </w:rPr>
        <w:footnoteRef/>
      </w:r>
      <w:r w:rsidRPr="004C6AE2">
        <w:t xml:space="preserve"> Time Warner Inc., “Pursuant to Rule 425 under the Securities Act of 1933</w:t>
      </w:r>
      <w:r w:rsidRPr="004C6AE2">
        <w:rPr>
          <w:rFonts w:eastAsia="SimSun"/>
          <w:lang w:eastAsia="zh-CN"/>
        </w:rPr>
        <w:t xml:space="preserve"> </w:t>
      </w:r>
      <w:r w:rsidRPr="004C6AE2">
        <w:t xml:space="preserve">and </w:t>
      </w:r>
      <w:r>
        <w:t>D</w:t>
      </w:r>
      <w:r w:rsidRPr="004C6AE2">
        <w:t xml:space="preserve">eemed </w:t>
      </w:r>
      <w:r>
        <w:t>F</w:t>
      </w:r>
      <w:r w:rsidRPr="004C6AE2">
        <w:t xml:space="preserve">iled </w:t>
      </w:r>
      <w:r>
        <w:t>P</w:t>
      </w:r>
      <w:r w:rsidRPr="004C6AE2">
        <w:t>ursuant to Rule 14a-12</w:t>
      </w:r>
      <w:r w:rsidRPr="004C6AE2">
        <w:rPr>
          <w:rFonts w:eastAsia="SimSun"/>
          <w:lang w:eastAsia="zh-CN"/>
        </w:rPr>
        <w:t xml:space="preserve"> </w:t>
      </w:r>
      <w:r w:rsidRPr="004C6AE2">
        <w:t>under the Securities Exchange Act of 1934</w:t>
      </w:r>
      <w:r>
        <w:t>,</w:t>
      </w:r>
      <w:r w:rsidRPr="004C6AE2">
        <w:rPr>
          <w:rFonts w:eastAsia="SimSun"/>
          <w:lang w:eastAsia="zh-CN"/>
        </w:rPr>
        <w:t xml:space="preserve">” </w:t>
      </w:r>
      <w:r>
        <w:rPr>
          <w:rFonts w:eastAsia="SimSun"/>
          <w:lang w:eastAsia="zh-CN"/>
        </w:rPr>
        <w:t xml:space="preserve">US </w:t>
      </w:r>
      <w:r w:rsidRPr="004C6AE2">
        <w:t xml:space="preserve">Securities </w:t>
      </w:r>
      <w:r>
        <w:t xml:space="preserve">and </w:t>
      </w:r>
      <w:r w:rsidRPr="004C6AE2">
        <w:t>Exchange</w:t>
      </w:r>
      <w:r>
        <w:t xml:space="preserve"> Commission, </w:t>
      </w:r>
      <w:r w:rsidRPr="004C6AE2">
        <w:rPr>
          <w:rFonts w:eastAsia="SimSun"/>
          <w:lang w:eastAsia="zh-CN"/>
        </w:rPr>
        <w:t xml:space="preserve">accessed July 11, 2019, </w:t>
      </w:r>
      <w:r w:rsidRPr="004C6AE2">
        <w:t>www.sec.gov/Archives/edgar/data/1105705/000095015716002368/form_425.htm.</w:t>
      </w:r>
    </w:p>
  </w:footnote>
  <w:footnote w:id="26">
    <w:p w14:paraId="2499FB58" w14:textId="77777777" w:rsidR="004E0EBF" w:rsidRPr="00956069" w:rsidRDefault="004E0EBF" w:rsidP="00EE487F">
      <w:pPr>
        <w:pStyle w:val="FootnoteText1"/>
      </w:pPr>
      <w:r w:rsidRPr="004C6AE2">
        <w:rPr>
          <w:rStyle w:val="FootnoteReference"/>
        </w:rPr>
        <w:footnoteRef/>
      </w:r>
      <w:r w:rsidRPr="004C6AE2">
        <w:rPr>
          <w:rStyle w:val="Hyperlink"/>
        </w:rPr>
        <w:t xml:space="preserve"> </w:t>
      </w:r>
      <w:r w:rsidRPr="00956069">
        <w:t>Ed Hammond, Alex Sherman, and Scott Moritz, “AT&amp;T Discussed Idea of Takeover in Time Warner Meetings,” Bloomberg, October 20, 2016, accessed April 5, 2019, www.bloomberg.com/news/articles/2016-10-20/at-t-said-to-discuss-idea-of-takeover-in-time-warner-meetings.</w:t>
      </w:r>
    </w:p>
  </w:footnote>
  <w:footnote w:id="27">
    <w:p w14:paraId="424C2F25" w14:textId="19D52B66" w:rsidR="004E0EBF" w:rsidRPr="00956069" w:rsidRDefault="004E0EBF" w:rsidP="00EE487F">
      <w:pPr>
        <w:pStyle w:val="FootnoteText1"/>
      </w:pPr>
      <w:r w:rsidRPr="004C6AE2">
        <w:rPr>
          <w:rStyle w:val="FootnoteReference"/>
        </w:rPr>
        <w:footnoteRef/>
      </w:r>
      <w:r w:rsidRPr="004C6AE2">
        <w:t xml:space="preserve"> </w:t>
      </w:r>
      <w:r w:rsidRPr="00956069">
        <w:t>Stephen Gandel, “AT&amp;T’s Time Warner Deal Comes at a Huge Cost,” Fortune, October 24, 2016, accessed April 6, 2019, http//fortune.com/2016/10/24/</w:t>
      </w:r>
      <w:proofErr w:type="spellStart"/>
      <w:r w:rsidRPr="00956069">
        <w:t>att</w:t>
      </w:r>
      <w:proofErr w:type="spellEnd"/>
      <w:r w:rsidRPr="00956069">
        <w:t>-time-warner-deal-share-price.</w:t>
      </w:r>
    </w:p>
  </w:footnote>
  <w:footnote w:id="28">
    <w:p w14:paraId="7FB96D30" w14:textId="77777777" w:rsidR="004E0EBF" w:rsidRPr="004C6AE2" w:rsidRDefault="004E0EBF" w:rsidP="00EE487F">
      <w:pPr>
        <w:pStyle w:val="FootnoteText1"/>
      </w:pPr>
      <w:r w:rsidRPr="004C6AE2">
        <w:rPr>
          <w:rStyle w:val="FootnoteReference"/>
        </w:rPr>
        <w:footnoteRef/>
      </w:r>
      <w:r w:rsidRPr="004C6AE2">
        <w:t xml:space="preserve"> Tara Lachapelle, “AT&amp;T–Time Warner: Rethink Possible. Buying Time Warner Is Risky, But It also May Be Necessary,” Bloomberg, October 23, 2016, accessed April 6, 2019, www.bloomberg.com/opinion/articles/2016-10-24/at-t-time-warner-deal-is-risky-but-may-be-necessary.</w:t>
      </w:r>
    </w:p>
  </w:footnote>
  <w:footnote w:id="29">
    <w:p w14:paraId="079EC6F9" w14:textId="375868FE" w:rsidR="004E0EBF" w:rsidRPr="004C6AE2" w:rsidRDefault="004E0EBF" w:rsidP="00EE487F">
      <w:pPr>
        <w:pStyle w:val="FootnoteText1"/>
        <w:rPr>
          <w:lang w:val="en-CA"/>
        </w:rPr>
      </w:pPr>
      <w:r w:rsidRPr="004C6AE2">
        <w:rPr>
          <w:rStyle w:val="FootnoteReference"/>
        </w:rPr>
        <w:footnoteRef/>
      </w:r>
      <w:r w:rsidRPr="004C6AE2">
        <w:t xml:space="preserve"> David Trainer, “AT&amp;T Time Warner Acquisition a Rare Deal </w:t>
      </w:r>
      <w:r>
        <w:t>t</w:t>
      </w:r>
      <w:r w:rsidRPr="004C6AE2">
        <w:t xml:space="preserve">hat Makes Economic Sense,” </w:t>
      </w:r>
      <w:r w:rsidRPr="004C6AE2">
        <w:rPr>
          <w:i/>
        </w:rPr>
        <w:t>Forbes</w:t>
      </w:r>
      <w:r w:rsidRPr="004C6AE2">
        <w:t>, November 15, 2016, accessed April 6, 2019, www.forbes.com/sites/greatspeculations/2016/11/15/att-time-warner-acquisition-a-rare-deal-that-makes-economic-sense/#7122464911fa.</w:t>
      </w:r>
    </w:p>
  </w:footnote>
  <w:footnote w:id="30">
    <w:p w14:paraId="7143EDBC" w14:textId="77777777" w:rsidR="004E0EBF" w:rsidRPr="004C6AE2" w:rsidRDefault="004E0EBF" w:rsidP="00EE487F">
      <w:pPr>
        <w:pStyle w:val="FootnoteText1"/>
      </w:pPr>
      <w:r w:rsidRPr="004C6AE2">
        <w:rPr>
          <w:rStyle w:val="FootnoteReference"/>
        </w:rPr>
        <w:footnoteRef/>
      </w:r>
      <w:r w:rsidRPr="004C6AE2">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2CCEF3E" w:rsidR="004E0EBF" w:rsidRPr="00C92CC4" w:rsidRDefault="004E0EB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9B19N022</w:t>
    </w:r>
  </w:p>
  <w:p w14:paraId="2B53C0A0" w14:textId="77777777" w:rsidR="004E0EBF" w:rsidRDefault="004E0EBF" w:rsidP="00D13667">
    <w:pPr>
      <w:pStyle w:val="Header"/>
      <w:tabs>
        <w:tab w:val="clear" w:pos="4680"/>
      </w:tabs>
      <w:rPr>
        <w:sz w:val="18"/>
        <w:szCs w:val="18"/>
      </w:rPr>
    </w:pPr>
  </w:p>
  <w:p w14:paraId="47119730" w14:textId="77777777" w:rsidR="004E0EBF" w:rsidRPr="00C92CC4" w:rsidRDefault="004E0EB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5A07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4A1D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E47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3461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08C0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5C64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6CB7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0081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1A73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02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C846D0"/>
    <w:multiLevelType w:val="multilevel"/>
    <w:tmpl w:val="4DC846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5F0623"/>
    <w:multiLevelType w:val="multilevel"/>
    <w:tmpl w:val="5F5F0623"/>
    <w:lvl w:ilvl="0">
      <w:start w:val="1"/>
      <w:numFmt w:val="ideographDigital"/>
      <w:suff w:val="space"/>
      <w:lvlText w:val="第%1章"/>
      <w:lvlJc w:val="left"/>
      <w:pPr>
        <w:ind w:left="8352" w:hanging="432"/>
      </w:pPr>
      <w:rPr>
        <w:rFonts w:cs="Times New Roman" w:hint="eastAsia"/>
      </w:rPr>
    </w:lvl>
    <w:lvl w:ilvl="1">
      <w:start w:val="1"/>
      <w:numFmt w:val="decimal"/>
      <w:suff w:val="space"/>
      <w:lvlText w:val="%2"/>
      <w:lvlJc w:val="left"/>
      <w:pPr>
        <w:ind w:left="576" w:hanging="576"/>
      </w:pPr>
      <w:rPr>
        <w:rFonts w:cs="Times New Roman" w:hint="eastAsia"/>
      </w:rPr>
    </w:lvl>
    <w:lvl w:ilvl="2">
      <w:start w:val="1"/>
      <w:numFmt w:val="decimal"/>
      <w:suff w:val="space"/>
      <w:lvlText w:val="%2.%3"/>
      <w:lvlJc w:val="left"/>
      <w:pPr>
        <w:ind w:left="720" w:hanging="720"/>
      </w:pPr>
      <w:rPr>
        <w:rFonts w:cs="Times New Roman" w:hint="eastAsia"/>
      </w:rPr>
    </w:lvl>
    <w:lvl w:ilvl="3">
      <w:start w:val="1"/>
      <w:numFmt w:val="decimal"/>
      <w:suff w:val="space"/>
      <w:lvlText w:val="%2.%3.%4"/>
      <w:lvlJc w:val="left"/>
      <w:pPr>
        <w:ind w:left="104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2"/>
  </w:num>
  <w:num w:numId="4">
    <w:abstractNumId w:val="21"/>
  </w:num>
  <w:num w:numId="5">
    <w:abstractNumId w:val="13"/>
  </w:num>
  <w:num w:numId="6">
    <w:abstractNumId w:val="19"/>
  </w:num>
  <w:num w:numId="7">
    <w:abstractNumId w:val="10"/>
  </w:num>
  <w:num w:numId="8">
    <w:abstractNumId w:val="23"/>
  </w:num>
  <w:num w:numId="9">
    <w:abstractNumId w:val="20"/>
  </w:num>
  <w:num w:numId="10">
    <w:abstractNumId w:val="11"/>
  </w:num>
  <w:num w:numId="11">
    <w:abstractNumId w:val="17"/>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254A"/>
    <w:rsid w:val="00044ECC"/>
    <w:rsid w:val="000531D3"/>
    <w:rsid w:val="0005646B"/>
    <w:rsid w:val="000615D1"/>
    <w:rsid w:val="0008102D"/>
    <w:rsid w:val="00086B26"/>
    <w:rsid w:val="00094C0E"/>
    <w:rsid w:val="000A146D"/>
    <w:rsid w:val="000A267C"/>
    <w:rsid w:val="000D2A2F"/>
    <w:rsid w:val="000D7091"/>
    <w:rsid w:val="000F0C22"/>
    <w:rsid w:val="000F6B09"/>
    <w:rsid w:val="000F6FDC"/>
    <w:rsid w:val="0010422C"/>
    <w:rsid w:val="00104567"/>
    <w:rsid w:val="00104916"/>
    <w:rsid w:val="00104AA7"/>
    <w:rsid w:val="0011091B"/>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0525"/>
    <w:rsid w:val="002C4E29"/>
    <w:rsid w:val="002F460C"/>
    <w:rsid w:val="002F48D6"/>
    <w:rsid w:val="00317391"/>
    <w:rsid w:val="0032058C"/>
    <w:rsid w:val="00326216"/>
    <w:rsid w:val="00330046"/>
    <w:rsid w:val="00336580"/>
    <w:rsid w:val="00354899"/>
    <w:rsid w:val="00355FD6"/>
    <w:rsid w:val="00364A5C"/>
    <w:rsid w:val="00373FB1"/>
    <w:rsid w:val="00396C76"/>
    <w:rsid w:val="003A618C"/>
    <w:rsid w:val="003B30D8"/>
    <w:rsid w:val="003B7EF2"/>
    <w:rsid w:val="003C3FA4"/>
    <w:rsid w:val="003C6432"/>
    <w:rsid w:val="003D0BA1"/>
    <w:rsid w:val="003F2B0C"/>
    <w:rsid w:val="004105B2"/>
    <w:rsid w:val="0041145A"/>
    <w:rsid w:val="00412900"/>
    <w:rsid w:val="00413763"/>
    <w:rsid w:val="004221E4"/>
    <w:rsid w:val="004273F8"/>
    <w:rsid w:val="004355A3"/>
    <w:rsid w:val="00446546"/>
    <w:rsid w:val="00452769"/>
    <w:rsid w:val="00454FA7"/>
    <w:rsid w:val="00465348"/>
    <w:rsid w:val="004979A5"/>
    <w:rsid w:val="004A25E0"/>
    <w:rsid w:val="004B1CCB"/>
    <w:rsid w:val="004B28A1"/>
    <w:rsid w:val="004B632F"/>
    <w:rsid w:val="004D3FB1"/>
    <w:rsid w:val="004D6F21"/>
    <w:rsid w:val="004D73A5"/>
    <w:rsid w:val="004E0EBF"/>
    <w:rsid w:val="005160F1"/>
    <w:rsid w:val="00524F2F"/>
    <w:rsid w:val="00527E5C"/>
    <w:rsid w:val="00532CF5"/>
    <w:rsid w:val="00546B6D"/>
    <w:rsid w:val="005528CB"/>
    <w:rsid w:val="00566771"/>
    <w:rsid w:val="00581E2E"/>
    <w:rsid w:val="00584F15"/>
    <w:rsid w:val="0059514B"/>
    <w:rsid w:val="005A1B0F"/>
    <w:rsid w:val="005B4CE6"/>
    <w:rsid w:val="005B5EFE"/>
    <w:rsid w:val="006163F7"/>
    <w:rsid w:val="00627C63"/>
    <w:rsid w:val="0063350B"/>
    <w:rsid w:val="00651AA3"/>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A1E6A"/>
    <w:rsid w:val="007B04C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20E4B"/>
    <w:rsid w:val="0092145F"/>
    <w:rsid w:val="00930885"/>
    <w:rsid w:val="00933D68"/>
    <w:rsid w:val="009340DB"/>
    <w:rsid w:val="0094618C"/>
    <w:rsid w:val="00956069"/>
    <w:rsid w:val="0095684B"/>
    <w:rsid w:val="00972498"/>
    <w:rsid w:val="0097481F"/>
    <w:rsid w:val="00974CC6"/>
    <w:rsid w:val="00976AD4"/>
    <w:rsid w:val="00982B92"/>
    <w:rsid w:val="00995547"/>
    <w:rsid w:val="009A312F"/>
    <w:rsid w:val="009A5348"/>
    <w:rsid w:val="009B0AB7"/>
    <w:rsid w:val="009C76D5"/>
    <w:rsid w:val="009F7AA4"/>
    <w:rsid w:val="00A10AD7"/>
    <w:rsid w:val="00A31A79"/>
    <w:rsid w:val="00A323B0"/>
    <w:rsid w:val="00A559DB"/>
    <w:rsid w:val="00A569EA"/>
    <w:rsid w:val="00A676A0"/>
    <w:rsid w:val="00AF35FC"/>
    <w:rsid w:val="00AF5556"/>
    <w:rsid w:val="00B03639"/>
    <w:rsid w:val="00B0652A"/>
    <w:rsid w:val="00B40937"/>
    <w:rsid w:val="00B423EF"/>
    <w:rsid w:val="00B453DE"/>
    <w:rsid w:val="00B62497"/>
    <w:rsid w:val="00B72597"/>
    <w:rsid w:val="00B77C4D"/>
    <w:rsid w:val="00B87DC0"/>
    <w:rsid w:val="00B901F9"/>
    <w:rsid w:val="00BC4D98"/>
    <w:rsid w:val="00BD6EFB"/>
    <w:rsid w:val="00BE3DF5"/>
    <w:rsid w:val="00BF5EAB"/>
    <w:rsid w:val="00C02410"/>
    <w:rsid w:val="00C1584D"/>
    <w:rsid w:val="00C15BE2"/>
    <w:rsid w:val="00C3447F"/>
    <w:rsid w:val="00C44714"/>
    <w:rsid w:val="00C55AD1"/>
    <w:rsid w:val="00C67102"/>
    <w:rsid w:val="00C81491"/>
    <w:rsid w:val="00C81676"/>
    <w:rsid w:val="00C85C5D"/>
    <w:rsid w:val="00C92CC4"/>
    <w:rsid w:val="00C96871"/>
    <w:rsid w:val="00CA0AFB"/>
    <w:rsid w:val="00CA2CE1"/>
    <w:rsid w:val="00CA3976"/>
    <w:rsid w:val="00CA50E3"/>
    <w:rsid w:val="00CA757B"/>
    <w:rsid w:val="00CC1787"/>
    <w:rsid w:val="00CC182C"/>
    <w:rsid w:val="00CD0824"/>
    <w:rsid w:val="00CD2908"/>
    <w:rsid w:val="00D03A82"/>
    <w:rsid w:val="00D07BE1"/>
    <w:rsid w:val="00D13667"/>
    <w:rsid w:val="00D15344"/>
    <w:rsid w:val="00D23F57"/>
    <w:rsid w:val="00D31BEC"/>
    <w:rsid w:val="00D63150"/>
    <w:rsid w:val="00D636BA"/>
    <w:rsid w:val="00D64A32"/>
    <w:rsid w:val="00D64EFC"/>
    <w:rsid w:val="00D75295"/>
    <w:rsid w:val="00D76815"/>
    <w:rsid w:val="00D76CE9"/>
    <w:rsid w:val="00D97F12"/>
    <w:rsid w:val="00DA6095"/>
    <w:rsid w:val="00DB42E7"/>
    <w:rsid w:val="00DC09D8"/>
    <w:rsid w:val="00DE0067"/>
    <w:rsid w:val="00DE01A6"/>
    <w:rsid w:val="00DE7A98"/>
    <w:rsid w:val="00DF32C2"/>
    <w:rsid w:val="00E239EC"/>
    <w:rsid w:val="00E471A7"/>
    <w:rsid w:val="00E635CF"/>
    <w:rsid w:val="00EB1E3B"/>
    <w:rsid w:val="00EC6E0A"/>
    <w:rsid w:val="00ED4E18"/>
    <w:rsid w:val="00ED7922"/>
    <w:rsid w:val="00EE02C4"/>
    <w:rsid w:val="00EE1F37"/>
    <w:rsid w:val="00EE487F"/>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iPriority="0" w:unhideWhenUsed="1" w:qFormat="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qFormat/>
    <w:rsid w:val="008467D5"/>
    <w:rPr>
      <w:rFonts w:ascii="Tahoma" w:hAnsi="Tahoma" w:cs="Tahoma"/>
      <w:sz w:val="16"/>
      <w:szCs w:val="16"/>
    </w:rPr>
  </w:style>
  <w:style w:type="character" w:customStyle="1" w:styleId="BalloonTextChar">
    <w:name w:val="Balloon Text Char"/>
    <w:basedOn w:val="DefaultParagraphFont"/>
    <w:link w:val="BalloonText"/>
    <w:qFormat/>
    <w:rsid w:val="008467D5"/>
    <w:rPr>
      <w:rFonts w:ascii="Tahoma" w:hAnsi="Tahoma" w:cs="Tahoma"/>
      <w:sz w:val="16"/>
      <w:szCs w:val="16"/>
    </w:rPr>
  </w:style>
  <w:style w:type="paragraph" w:customStyle="1" w:styleId="MainTitle">
    <w:name w:val="MainTitle"/>
    <w:basedOn w:val="Normal"/>
    <w:link w:val="MainTitleChar"/>
    <w:uiPriority w:val="99"/>
    <w:qFormat/>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qFormat/>
    <w:rsid w:val="00752BCD"/>
    <w:rPr>
      <w:rFonts w:ascii="Arial" w:hAnsi="Arial" w:cs="Arial"/>
      <w:b/>
      <w:bCs/>
      <w:caps/>
      <w:color w:val="000000"/>
      <w:sz w:val="28"/>
      <w:szCs w:val="28"/>
    </w:rPr>
  </w:style>
  <w:style w:type="paragraph" w:customStyle="1" w:styleId="CopyrightStatement">
    <w:name w:val="CopyrightStatement"/>
    <w:basedOn w:val="Normal"/>
    <w:uiPriority w:val="99"/>
    <w:qFormat/>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qFormat/>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qFormat/>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qFormat/>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qFormat/>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qFormat/>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qFormat/>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qFormat/>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qFormat/>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qFormat/>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qFormat/>
    <w:rsid w:val="00F105B7"/>
    <w:rPr>
      <w:rFonts w:ascii="Arial" w:eastAsia="Times New Roman" w:hAnsi="Arial" w:cs="Arial"/>
      <w:sz w:val="20"/>
      <w:szCs w:val="20"/>
    </w:rPr>
  </w:style>
  <w:style w:type="paragraph" w:styleId="Header">
    <w:name w:val="header"/>
    <w:basedOn w:val="Normal"/>
    <w:link w:val="HeaderChar"/>
    <w:unhideWhenUsed/>
    <w:qFormat/>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rsid w:val="00F105B7"/>
    <w:rPr>
      <w:rFonts w:ascii="Times New Roman" w:eastAsia="Times New Roman" w:hAnsi="Times New Roman" w:cs="Times New Roman"/>
      <w:sz w:val="20"/>
      <w:szCs w:val="20"/>
    </w:rPr>
  </w:style>
  <w:style w:type="character" w:styleId="Hyperlink">
    <w:name w:val="Hyperlink"/>
    <w:basedOn w:val="DefaultParagraphFont"/>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qForma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qFormat/>
    <w:rsid w:val="00CA3976"/>
    <w:pPr>
      <w:spacing w:after="120"/>
    </w:pPr>
  </w:style>
  <w:style w:type="character" w:customStyle="1" w:styleId="BodyTextChar">
    <w:name w:val="Body Text Char"/>
    <w:basedOn w:val="DefaultParagraphFont"/>
    <w:link w:val="BodyText"/>
    <w:qFormat/>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rPr>
  </w:style>
  <w:style w:type="character" w:styleId="CommentReference">
    <w:name w:val="annotation reference"/>
    <w:uiPriority w:val="99"/>
    <w:semiHidden/>
    <w:unhideWhenUsed/>
    <w:qFormat/>
    <w:rsid w:val="009A5348"/>
    <w:rPr>
      <w:sz w:val="16"/>
      <w:szCs w:val="16"/>
    </w:rPr>
  </w:style>
  <w:style w:type="paragraph" w:styleId="CommentText">
    <w:name w:val="annotation text"/>
    <w:basedOn w:val="Normal"/>
    <w:link w:val="CommentTextChar"/>
    <w:uiPriority w:val="99"/>
    <w:unhideWhenUsed/>
    <w:qFormat/>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qFormat/>
    <w:rsid w:val="009A5348"/>
    <w:rPr>
      <w:b/>
      <w:bCs/>
    </w:rPr>
  </w:style>
  <w:style w:type="character" w:customStyle="1" w:styleId="CommentSubjectChar">
    <w:name w:val="Comment Subject Char"/>
    <w:basedOn w:val="CommentTextChar"/>
    <w:link w:val="CommentSubject"/>
    <w:qForma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qFormat/>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qFormat/>
    <w:rsid w:val="004273F8"/>
  </w:style>
  <w:style w:type="character" w:customStyle="1" w:styleId="apple-converted-space">
    <w:name w:val="apple-converted-space"/>
    <w:basedOn w:val="DefaultParagraphFont"/>
    <w:qForma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qForma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qFormat/>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qFormat/>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BodyTextFirstIndent">
    <w:name w:val="Body Text First Indent"/>
    <w:basedOn w:val="BodyText"/>
    <w:link w:val="BodyTextFirstIndentChar"/>
    <w:unhideWhenUsed/>
    <w:qFormat/>
    <w:rsid w:val="00EE487F"/>
    <w:pPr>
      <w:spacing w:after="0"/>
      <w:ind w:firstLine="360"/>
    </w:pPr>
  </w:style>
  <w:style w:type="character" w:customStyle="1" w:styleId="BodyTextFirstIndentChar">
    <w:name w:val="Body Text First Indent Char"/>
    <w:basedOn w:val="BodyTextChar"/>
    <w:link w:val="BodyTextFirstIndent"/>
    <w:uiPriority w:val="99"/>
    <w:semiHidden/>
    <w:qFormat/>
    <w:rsid w:val="00EE487F"/>
    <w:rPr>
      <w:rFonts w:ascii="Times New Roman" w:eastAsia="Times New Roman" w:hAnsi="Times New Roman" w:cs="Times New Roman"/>
      <w:sz w:val="20"/>
      <w:szCs w:val="20"/>
    </w:rPr>
  </w:style>
  <w:style w:type="numbering" w:customStyle="1" w:styleId="NoList1">
    <w:name w:val="No List1"/>
    <w:next w:val="NoList"/>
    <w:uiPriority w:val="99"/>
    <w:semiHidden/>
    <w:unhideWhenUsed/>
    <w:rsid w:val="00EE487F"/>
  </w:style>
  <w:style w:type="paragraph" w:styleId="PlainText">
    <w:name w:val="Plain Text"/>
    <w:basedOn w:val="Normal"/>
    <w:link w:val="PlainTextChar"/>
    <w:uiPriority w:val="99"/>
    <w:qFormat/>
    <w:rsid w:val="00EE487F"/>
    <w:pPr>
      <w:spacing w:after="160" w:line="259" w:lineRule="auto"/>
    </w:pPr>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qFormat/>
    <w:rsid w:val="00EE487F"/>
    <w:rPr>
      <w:rFonts w:ascii="Consolas" w:eastAsiaTheme="minorEastAsia" w:hAnsi="Consolas" w:cs="Consolas"/>
      <w:sz w:val="21"/>
      <w:szCs w:val="21"/>
      <w:lang w:eastAsia="zh-CN"/>
    </w:rPr>
  </w:style>
  <w:style w:type="paragraph" w:styleId="HTMLPreformatted">
    <w:name w:val="HTML Preformatted"/>
    <w:basedOn w:val="Normal"/>
    <w:link w:val="HTMLPreformattedChar"/>
    <w:uiPriority w:val="99"/>
    <w:semiHidden/>
    <w:unhideWhenUsed/>
    <w:rsid w:val="00EE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w:eastAsiaTheme="minorEastAsia" w:hAnsi="Courier" w:cs="Courier"/>
      <w:lang w:eastAsia="zh-CN"/>
    </w:rPr>
  </w:style>
  <w:style w:type="character" w:customStyle="1" w:styleId="HTMLPreformattedChar">
    <w:name w:val="HTML Preformatted Char"/>
    <w:basedOn w:val="DefaultParagraphFont"/>
    <w:link w:val="HTMLPreformatted"/>
    <w:uiPriority w:val="99"/>
    <w:semiHidden/>
    <w:qFormat/>
    <w:rsid w:val="00EE487F"/>
    <w:rPr>
      <w:rFonts w:ascii="Courier" w:eastAsiaTheme="minorEastAsia" w:hAnsi="Courier" w:cs="Courier"/>
      <w:sz w:val="20"/>
      <w:szCs w:val="20"/>
      <w:lang w:eastAsia="zh-CN"/>
    </w:rPr>
  </w:style>
  <w:style w:type="table" w:customStyle="1" w:styleId="TableGrid1">
    <w:name w:val="Table Grid1"/>
    <w:basedOn w:val="TableNormal"/>
    <w:next w:val="TableGrid"/>
    <w:qFormat/>
    <w:rsid w:val="00EE487F"/>
    <w:pPr>
      <w:spacing w:after="160" w:line="259" w:lineRule="auto"/>
    </w:pPr>
    <w:rPr>
      <w:rFonts w:ascii="Calibri" w:eastAsia="SimSun" w:hAnsi="Calibri" w:cs="Calibri"/>
      <w:sz w:val="20"/>
      <w:szCs w:val="20"/>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uiPriority w:val="99"/>
    <w:qFormat/>
    <w:rsid w:val="00EE487F"/>
  </w:style>
  <w:style w:type="paragraph" w:customStyle="1" w:styleId="1">
    <w:name w:val="修订1"/>
    <w:hidden/>
    <w:uiPriority w:val="99"/>
    <w:semiHidden/>
    <w:qFormat/>
    <w:rsid w:val="00EE487F"/>
    <w:pPr>
      <w:spacing w:after="160" w:line="259" w:lineRule="auto"/>
    </w:pPr>
    <w:rPr>
      <w:rFonts w:ascii="Calibri" w:eastAsiaTheme="minorEastAsia" w:hAnsi="Calibri" w:cs="Calibri"/>
      <w:lang w:eastAsia="zh-CN"/>
    </w:rPr>
  </w:style>
  <w:style w:type="character" w:customStyle="1" w:styleId="SubtleEmphasis1">
    <w:name w:val="Subtle Emphasis1"/>
    <w:basedOn w:val="DefaultParagraphFont"/>
    <w:uiPriority w:val="99"/>
    <w:qFormat/>
    <w:rsid w:val="00EE487F"/>
    <w:rPr>
      <w:rFonts w:cs="Times New Roman"/>
      <w:i/>
      <w:iCs/>
    </w:rPr>
  </w:style>
  <w:style w:type="character" w:customStyle="1" w:styleId="UnresolvedMention1">
    <w:name w:val="Unresolved Mention1"/>
    <w:basedOn w:val="DefaultParagraphFont"/>
    <w:uiPriority w:val="99"/>
    <w:semiHidden/>
    <w:unhideWhenUsed/>
    <w:qFormat/>
    <w:rsid w:val="00EE487F"/>
    <w:rPr>
      <w:color w:val="605E5C"/>
      <w:shd w:val="clear" w:color="auto" w:fill="E1DFDD"/>
    </w:rPr>
  </w:style>
  <w:style w:type="paragraph" w:customStyle="1" w:styleId="Revision1">
    <w:name w:val="Revision1"/>
    <w:hidden/>
    <w:uiPriority w:val="99"/>
    <w:semiHidden/>
    <w:qFormat/>
    <w:rsid w:val="00EE487F"/>
    <w:pPr>
      <w:spacing w:after="160" w:line="259" w:lineRule="auto"/>
    </w:pPr>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EE4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24974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constructs.com/companies-overpay-acquisi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constructs.com/salesforce-com-significantly-overpays-demandwa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ewconstructs.com/dreamworks-animation-worth-comcast-will-pa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referenceforbusiness.com/history2/83/Time-Warner-Inc.html" TargetMode="External"/><Relationship Id="rId1" Type="http://schemas.openxmlformats.org/officeDocument/2006/relationships/hyperlink" Target="https://about.att.com/innovation/ip/brand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1205D-85F5-4983-AD9E-1C4B7C93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3941</Words>
  <Characters>22467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2021-04-25T10:39:00Z</cp:lastPrinted>
  <dcterms:created xsi:type="dcterms:W3CDTF">2021-04-25T10:38:00Z</dcterms:created>
  <dcterms:modified xsi:type="dcterms:W3CDTF">2021-04-25T10:52:00Z</dcterms:modified>
</cp:coreProperties>
</file>