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95C48" w14:textId="77777777" w:rsidR="007F3737" w:rsidRDefault="007F3737" w:rsidP="007F3737">
      <w:pPr>
        <w:pBdr>
          <w:bottom w:val="single" w:sz="18" w:space="1" w:color="auto"/>
        </w:pBdr>
        <w:tabs>
          <w:tab w:val="left" w:pos="-1440"/>
          <w:tab w:val="left" w:pos="-720"/>
          <w:tab w:val="left" w:pos="1"/>
        </w:tabs>
        <w:jc w:val="both"/>
        <w:rPr>
          <w:rFonts w:ascii="Arial" w:hAnsi="Arial"/>
          <w:b/>
          <w:sz w:val="24"/>
        </w:rPr>
      </w:pPr>
      <w:bookmarkStart w:id="0" w:name="_Hlk55985178"/>
      <w:r w:rsidRPr="00A569EA">
        <w:rPr>
          <w:rFonts w:ascii="Arial" w:hAnsi="Arial"/>
          <w:b/>
          <w:noProof/>
          <w:sz w:val="24"/>
          <w:lang w:val="en-CA" w:eastAsia="en-CA"/>
        </w:rPr>
        <w:drawing>
          <wp:inline distT="0" distB="0" distL="0" distR="0" wp14:anchorId="6859AE01" wp14:editId="0C7D0E59">
            <wp:extent cx="2613804" cy="551245"/>
            <wp:effectExtent l="0" t="0" r="0" b="1270"/>
            <wp:docPr id="4" name="Picture 4"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BA5F2A0" w14:textId="16B29BEA" w:rsidR="007F3737" w:rsidRDefault="007F3737" w:rsidP="007F3737">
      <w:pPr>
        <w:pStyle w:val="ProductNumber"/>
      </w:pPr>
      <w:r>
        <w:t>9B21A002</w:t>
      </w:r>
    </w:p>
    <w:p w14:paraId="4E057522" w14:textId="7A113CB1" w:rsidR="00D75295" w:rsidRPr="004A6259" w:rsidRDefault="00D75295" w:rsidP="00D75295">
      <w:pPr>
        <w:jc w:val="right"/>
        <w:rPr>
          <w:rFonts w:ascii="Arial" w:hAnsi="Arial"/>
          <w:b/>
          <w:lang w:val="en-GB"/>
        </w:rPr>
      </w:pPr>
    </w:p>
    <w:p w14:paraId="02524312" w14:textId="77777777" w:rsidR="001901C0" w:rsidRPr="004A6259" w:rsidRDefault="001901C0" w:rsidP="00D75295">
      <w:pPr>
        <w:jc w:val="right"/>
        <w:rPr>
          <w:rFonts w:ascii="Arial" w:hAnsi="Arial"/>
          <w:b/>
          <w:lang w:val="en-GB"/>
        </w:rPr>
      </w:pPr>
    </w:p>
    <w:p w14:paraId="2F03D26A" w14:textId="6FE19B48" w:rsidR="00013360" w:rsidRPr="004A6259" w:rsidRDefault="00882701" w:rsidP="00013360">
      <w:pPr>
        <w:pStyle w:val="CaseTitle"/>
        <w:spacing w:after="0" w:line="240" w:lineRule="auto"/>
        <w:rPr>
          <w:sz w:val="20"/>
          <w:szCs w:val="20"/>
          <w:lang w:val="en-GB"/>
        </w:rPr>
      </w:pPr>
      <w:r w:rsidRPr="004A6259">
        <w:rPr>
          <w:lang w:val="en-GB"/>
        </w:rPr>
        <w:t>Sirona Hygiene Private Limited: Branding in an Intimate Hygiene Space</w:t>
      </w:r>
    </w:p>
    <w:p w14:paraId="40ABF6FD" w14:textId="77777777" w:rsidR="00CA3976" w:rsidRPr="004A6259" w:rsidRDefault="00CA3976" w:rsidP="00013360">
      <w:pPr>
        <w:pStyle w:val="CaseTitle"/>
        <w:spacing w:after="0" w:line="240" w:lineRule="auto"/>
        <w:rPr>
          <w:sz w:val="20"/>
          <w:szCs w:val="20"/>
          <w:lang w:val="en-GB"/>
        </w:rPr>
      </w:pPr>
    </w:p>
    <w:p w14:paraId="202F1085" w14:textId="77777777" w:rsidR="00013360" w:rsidRPr="004A6259" w:rsidRDefault="00013360" w:rsidP="00013360">
      <w:pPr>
        <w:pStyle w:val="CaseTitle"/>
        <w:spacing w:after="0" w:line="240" w:lineRule="auto"/>
        <w:rPr>
          <w:sz w:val="20"/>
          <w:szCs w:val="20"/>
          <w:lang w:val="en-GB"/>
        </w:rPr>
      </w:pPr>
    </w:p>
    <w:p w14:paraId="58B0C73F" w14:textId="29A1EFEB" w:rsidR="00086B26" w:rsidRPr="004A6259" w:rsidRDefault="00882701" w:rsidP="00086B26">
      <w:pPr>
        <w:pStyle w:val="StyleCopyrightStatementAfter0ptBottomSinglesolidline1"/>
        <w:rPr>
          <w:lang w:val="en-GB"/>
        </w:rPr>
      </w:pPr>
      <w:r w:rsidRPr="004A6259">
        <w:rPr>
          <w:lang w:val="en-GB"/>
        </w:rPr>
        <w:t>Rituparna Basu and Neena Sondhi</w:t>
      </w:r>
      <w:r w:rsidR="00ED7922" w:rsidRPr="004A6259">
        <w:rPr>
          <w:rFonts w:cs="Arial"/>
          <w:szCs w:val="16"/>
          <w:lang w:val="en-GB"/>
        </w:rPr>
        <w:t xml:space="preserve"> </w:t>
      </w:r>
      <w:r w:rsidR="00086B26" w:rsidRPr="004A6259">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4A6259" w:rsidRDefault="00086B26" w:rsidP="00086B26">
      <w:pPr>
        <w:pStyle w:val="StyleCopyrightStatementAfter0ptBottomSinglesolidline1"/>
        <w:rPr>
          <w:lang w:val="en-GB"/>
        </w:rPr>
      </w:pPr>
    </w:p>
    <w:p w14:paraId="2F46921C" w14:textId="77777777" w:rsidR="007F3737" w:rsidRPr="00A323B0" w:rsidRDefault="007F3737" w:rsidP="007F3737">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1600647" w14:textId="77777777" w:rsidR="007F3737" w:rsidRPr="00A323B0" w:rsidRDefault="007F3737" w:rsidP="007F3737">
      <w:pPr>
        <w:pStyle w:val="StyleStyleCopyrightStatementAfter0ptBottomSinglesolid"/>
        <w:rPr>
          <w:rFonts w:cs="Arial"/>
          <w:szCs w:val="16"/>
        </w:rPr>
      </w:pPr>
    </w:p>
    <w:p w14:paraId="3922E14F" w14:textId="62417365" w:rsidR="00751E0B" w:rsidRPr="004A6259" w:rsidRDefault="007F3737" w:rsidP="007F3737">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2020-02-10</w:t>
      </w:r>
    </w:p>
    <w:p w14:paraId="0A2A54E4" w14:textId="77777777" w:rsidR="00751E0B" w:rsidRPr="004A6259" w:rsidRDefault="00751E0B" w:rsidP="00751E0B">
      <w:pPr>
        <w:pStyle w:val="StyleCopyrightStatementAfter0ptBottomSinglesolidline1"/>
        <w:rPr>
          <w:rFonts w:ascii="Times New Roman" w:hAnsi="Times New Roman"/>
          <w:sz w:val="20"/>
          <w:lang w:val="en-GB"/>
        </w:rPr>
      </w:pPr>
    </w:p>
    <w:p w14:paraId="2C183161" w14:textId="5B0C80E6" w:rsidR="00B87DC0" w:rsidRPr="004A6259" w:rsidRDefault="00B87DC0" w:rsidP="00882701">
      <w:pPr>
        <w:pStyle w:val="BodyTextMain"/>
        <w:rPr>
          <w:lang w:val="en-GB"/>
        </w:rPr>
      </w:pPr>
    </w:p>
    <w:p w14:paraId="6E7FD447" w14:textId="49FD4B68" w:rsidR="006E7D76" w:rsidRDefault="006E7D76" w:rsidP="00882701">
      <w:pPr>
        <w:pStyle w:val="BodyTextMain"/>
        <w:rPr>
          <w:color w:val="000000"/>
          <w:lang w:val="en-GB"/>
        </w:rPr>
      </w:pPr>
      <w:r w:rsidRPr="004A6259">
        <w:rPr>
          <w:color w:val="000000"/>
          <w:lang w:val="en-GB"/>
        </w:rPr>
        <w:t>Sirona Hygiene</w:t>
      </w:r>
      <w:r w:rsidR="007E6B20">
        <w:rPr>
          <w:color w:val="000000"/>
          <w:lang w:val="en-GB"/>
        </w:rPr>
        <w:t xml:space="preserve"> Private Limited</w:t>
      </w:r>
      <w:r w:rsidRPr="004A6259">
        <w:rPr>
          <w:color w:val="000000"/>
          <w:lang w:val="en-GB"/>
        </w:rPr>
        <w:t xml:space="preserve"> (</w:t>
      </w:r>
      <w:r w:rsidR="007E6B20">
        <w:rPr>
          <w:color w:val="000000"/>
          <w:lang w:val="en-GB"/>
        </w:rPr>
        <w:t xml:space="preserve">Sirona Hygiene; </w:t>
      </w:r>
      <w:r w:rsidRPr="004A6259">
        <w:rPr>
          <w:color w:val="000000"/>
          <w:lang w:val="en-GB"/>
        </w:rPr>
        <w:t xml:space="preserve">formerly First Step Digital Private Limited) started operations in 2015. </w:t>
      </w:r>
      <w:r>
        <w:rPr>
          <w:color w:val="000000"/>
          <w:lang w:val="en-GB"/>
        </w:rPr>
        <w:t>Deep Bajaj</w:t>
      </w:r>
      <w:r w:rsidRPr="004A6259">
        <w:rPr>
          <w:color w:val="000000"/>
          <w:lang w:val="en-GB"/>
        </w:rPr>
        <w:t xml:space="preserve">, </w:t>
      </w:r>
      <w:r w:rsidR="007E6B20">
        <w:rPr>
          <w:color w:val="000000"/>
          <w:lang w:val="en-GB"/>
        </w:rPr>
        <w:t>a</w:t>
      </w:r>
      <w:r w:rsidRPr="004A6259">
        <w:rPr>
          <w:color w:val="000000"/>
          <w:lang w:val="en-GB"/>
        </w:rPr>
        <w:t xml:space="preserve"> 37-year-old entrepreneur</w:t>
      </w:r>
      <w:r>
        <w:rPr>
          <w:color w:val="000000"/>
          <w:lang w:val="en-GB"/>
        </w:rPr>
        <w:t xml:space="preserve">, along </w:t>
      </w:r>
      <w:r w:rsidRPr="004A6259">
        <w:rPr>
          <w:color w:val="000000"/>
          <w:lang w:val="en-GB"/>
        </w:rPr>
        <w:t>with his brother Mohit had launched the company with an innovative product</w:t>
      </w:r>
      <w:r>
        <w:rPr>
          <w:color w:val="000000"/>
          <w:lang w:val="en-GB"/>
        </w:rPr>
        <w:t xml:space="preserve">, </w:t>
      </w:r>
      <w:r w:rsidRPr="004A6259">
        <w:rPr>
          <w:color w:val="000000"/>
          <w:lang w:val="en-GB"/>
        </w:rPr>
        <w:t>PeeBuddy</w:t>
      </w:r>
      <w:r>
        <w:rPr>
          <w:color w:val="000000"/>
          <w:lang w:val="en-GB"/>
        </w:rPr>
        <w:t>—</w:t>
      </w:r>
      <w:r w:rsidRPr="004A6259">
        <w:rPr>
          <w:color w:val="000000"/>
          <w:lang w:val="en-GB"/>
        </w:rPr>
        <w:t>India’s first portable female urination device</w:t>
      </w:r>
      <w:r>
        <w:rPr>
          <w:color w:val="000000"/>
          <w:lang w:val="en-GB"/>
        </w:rPr>
        <w:t>—</w:t>
      </w:r>
      <w:r w:rsidRPr="004A6259">
        <w:rPr>
          <w:color w:val="000000"/>
          <w:lang w:val="en-GB"/>
        </w:rPr>
        <w:t xml:space="preserve">which </w:t>
      </w:r>
      <w:r>
        <w:rPr>
          <w:color w:val="000000"/>
          <w:lang w:val="en-GB"/>
        </w:rPr>
        <w:t>enabled women to</w:t>
      </w:r>
      <w:r w:rsidRPr="004A6259">
        <w:rPr>
          <w:color w:val="000000"/>
          <w:lang w:val="en-GB"/>
        </w:rPr>
        <w:t xml:space="preserve"> </w:t>
      </w:r>
      <w:r w:rsidRPr="00CA2239">
        <w:rPr>
          <w:iCs/>
          <w:color w:val="000000"/>
          <w:lang w:val="en-GB"/>
        </w:rPr>
        <w:t xml:space="preserve">stand </w:t>
      </w:r>
      <w:r>
        <w:rPr>
          <w:iCs/>
          <w:color w:val="000000"/>
          <w:lang w:val="en-GB"/>
        </w:rPr>
        <w:t>to urinate,</w:t>
      </w:r>
      <w:r w:rsidRPr="004A6259">
        <w:rPr>
          <w:color w:val="000000"/>
          <w:lang w:val="en-GB"/>
        </w:rPr>
        <w:t xml:space="preserve"> </w:t>
      </w:r>
      <w:r>
        <w:rPr>
          <w:color w:val="000000"/>
          <w:lang w:val="en-GB"/>
        </w:rPr>
        <w:t>such as when they were confronted with</w:t>
      </w:r>
      <w:r w:rsidRPr="004A6259">
        <w:rPr>
          <w:color w:val="000000"/>
          <w:lang w:val="en-GB"/>
        </w:rPr>
        <w:t xml:space="preserve"> unhygienic toilets. The product was the </w:t>
      </w:r>
      <w:r>
        <w:rPr>
          <w:color w:val="000000"/>
          <w:lang w:val="en-GB"/>
        </w:rPr>
        <w:t>solution</w:t>
      </w:r>
      <w:r w:rsidRPr="004A6259">
        <w:rPr>
          <w:color w:val="000000"/>
          <w:lang w:val="en-GB"/>
        </w:rPr>
        <w:t xml:space="preserve"> </w:t>
      </w:r>
      <w:r>
        <w:rPr>
          <w:color w:val="000000"/>
          <w:lang w:val="en-GB"/>
        </w:rPr>
        <w:t xml:space="preserve">to the problem of </w:t>
      </w:r>
      <w:r w:rsidR="00EA261E">
        <w:rPr>
          <w:color w:val="000000"/>
          <w:lang w:val="en-GB"/>
        </w:rPr>
        <w:t xml:space="preserve">having to </w:t>
      </w:r>
      <w:r>
        <w:rPr>
          <w:color w:val="000000"/>
          <w:lang w:val="en-GB"/>
        </w:rPr>
        <w:t>us</w:t>
      </w:r>
      <w:r w:rsidR="00EA261E">
        <w:rPr>
          <w:color w:val="000000"/>
          <w:lang w:val="en-GB"/>
        </w:rPr>
        <w:t>e</w:t>
      </w:r>
      <w:r>
        <w:rPr>
          <w:color w:val="000000"/>
          <w:lang w:val="en-GB"/>
        </w:rPr>
        <w:t xml:space="preserve"> dirty public toilets </w:t>
      </w:r>
      <w:r w:rsidR="00EA261E">
        <w:rPr>
          <w:color w:val="000000"/>
          <w:lang w:val="en-GB"/>
        </w:rPr>
        <w:t>encountered by</w:t>
      </w:r>
      <w:r>
        <w:rPr>
          <w:color w:val="000000"/>
          <w:lang w:val="en-GB"/>
        </w:rPr>
        <w:t xml:space="preserve"> Deep’s</w:t>
      </w:r>
      <w:r w:rsidRPr="004A6259">
        <w:rPr>
          <w:color w:val="000000"/>
          <w:lang w:val="en-GB"/>
        </w:rPr>
        <w:t xml:space="preserve"> </w:t>
      </w:r>
      <w:r>
        <w:rPr>
          <w:color w:val="000000"/>
          <w:lang w:val="en-GB"/>
        </w:rPr>
        <w:t xml:space="preserve">wife Rashi </w:t>
      </w:r>
      <w:r w:rsidRPr="004A6259">
        <w:rPr>
          <w:color w:val="000000"/>
          <w:lang w:val="en-GB"/>
        </w:rPr>
        <w:t xml:space="preserve">during a road trip to Rajasthan. Following the successful launch of PeeBuddy, </w:t>
      </w:r>
      <w:r>
        <w:rPr>
          <w:color w:val="000000"/>
          <w:lang w:val="en-GB"/>
        </w:rPr>
        <w:t>Deep</w:t>
      </w:r>
      <w:r w:rsidRPr="004A6259">
        <w:rPr>
          <w:color w:val="000000"/>
          <w:lang w:val="en-GB"/>
        </w:rPr>
        <w:t xml:space="preserve"> had launched several innovative and differentiated products </w:t>
      </w:r>
      <w:r w:rsidR="00EA261E">
        <w:rPr>
          <w:color w:val="000000"/>
          <w:lang w:val="en-GB"/>
        </w:rPr>
        <w:t>over</w:t>
      </w:r>
      <w:r w:rsidRPr="004A6259">
        <w:rPr>
          <w:color w:val="000000"/>
          <w:lang w:val="en-GB"/>
        </w:rPr>
        <w:t xml:space="preserve"> the last f</w:t>
      </w:r>
      <w:r>
        <w:rPr>
          <w:color w:val="000000"/>
          <w:lang w:val="en-GB"/>
        </w:rPr>
        <w:t>ive</w:t>
      </w:r>
      <w:r w:rsidRPr="004A6259">
        <w:rPr>
          <w:color w:val="000000"/>
          <w:lang w:val="en-GB"/>
        </w:rPr>
        <w:t xml:space="preserve"> years. </w:t>
      </w:r>
      <w:r>
        <w:rPr>
          <w:color w:val="000000"/>
          <w:lang w:val="en-GB"/>
        </w:rPr>
        <w:t>Deep</w:t>
      </w:r>
      <w:r w:rsidRPr="004A6259">
        <w:rPr>
          <w:color w:val="000000"/>
          <w:lang w:val="en-GB"/>
        </w:rPr>
        <w:t xml:space="preserve"> summarized </w:t>
      </w:r>
      <w:r>
        <w:rPr>
          <w:color w:val="000000"/>
          <w:lang w:val="en-GB"/>
        </w:rPr>
        <w:t xml:space="preserve">Sirona Hygiene’s </w:t>
      </w:r>
      <w:r w:rsidRPr="004A6259">
        <w:rPr>
          <w:color w:val="000000"/>
          <w:lang w:val="en-GB"/>
        </w:rPr>
        <w:t>accomplishments</w:t>
      </w:r>
      <w:r>
        <w:rPr>
          <w:color w:val="000000"/>
          <w:lang w:val="en-GB"/>
        </w:rPr>
        <w:t>:</w:t>
      </w:r>
    </w:p>
    <w:p w14:paraId="3DF48BF9" w14:textId="77777777" w:rsidR="006E7D76" w:rsidRDefault="006E7D76" w:rsidP="00882701">
      <w:pPr>
        <w:pStyle w:val="BodyTextMain"/>
        <w:rPr>
          <w:color w:val="000000"/>
          <w:lang w:val="en-GB"/>
        </w:rPr>
      </w:pPr>
    </w:p>
    <w:p w14:paraId="47DF3028" w14:textId="6886C115" w:rsidR="006E7D76" w:rsidRPr="004A6259" w:rsidRDefault="006E7D76" w:rsidP="00CA2239">
      <w:pPr>
        <w:pStyle w:val="BodyTextMain"/>
        <w:ind w:left="720"/>
        <w:rPr>
          <w:color w:val="000000"/>
          <w:lang w:val="en-GB"/>
        </w:rPr>
      </w:pPr>
      <w:r w:rsidRPr="004A6259">
        <w:rPr>
          <w:color w:val="000000"/>
          <w:lang w:val="en-GB"/>
        </w:rPr>
        <w:t>Today, w</w:t>
      </w:r>
      <w:r w:rsidRPr="004A6259">
        <w:rPr>
          <w:iCs/>
          <w:color w:val="000000"/>
          <w:lang w:val="en-GB"/>
        </w:rPr>
        <w:t xml:space="preserve">e have </w:t>
      </w:r>
      <w:r>
        <w:rPr>
          <w:iCs/>
          <w:color w:val="000000"/>
          <w:lang w:val="en-GB"/>
        </w:rPr>
        <w:t>20</w:t>
      </w:r>
      <w:r w:rsidRPr="004A6259">
        <w:rPr>
          <w:iCs/>
          <w:color w:val="000000"/>
          <w:lang w:val="en-GB"/>
        </w:rPr>
        <w:t xml:space="preserve"> products. Five products are unique</w:t>
      </w:r>
      <w:r>
        <w:rPr>
          <w:iCs/>
          <w:color w:val="000000"/>
          <w:lang w:val="en-GB"/>
        </w:rPr>
        <w:t>,</w:t>
      </w:r>
      <w:r w:rsidRPr="004A6259">
        <w:rPr>
          <w:iCs/>
          <w:color w:val="000000"/>
          <w:lang w:val="en-GB"/>
        </w:rPr>
        <w:t xml:space="preserve"> as</w:t>
      </w:r>
      <w:r>
        <w:rPr>
          <w:iCs/>
          <w:color w:val="000000"/>
          <w:lang w:val="en-GB"/>
        </w:rPr>
        <w:t xml:space="preserve"> [the]</w:t>
      </w:r>
      <w:r w:rsidRPr="004A6259">
        <w:rPr>
          <w:iCs/>
          <w:color w:val="000000"/>
          <w:lang w:val="en-GB"/>
        </w:rPr>
        <w:t xml:space="preserve"> first of their kind in India</w:t>
      </w:r>
      <w:r>
        <w:rPr>
          <w:iCs/>
          <w:color w:val="000000"/>
          <w:lang w:val="en-GB"/>
        </w:rPr>
        <w:t>,</w:t>
      </w:r>
      <w:r w:rsidRPr="004A6259">
        <w:rPr>
          <w:iCs/>
          <w:color w:val="000000"/>
          <w:lang w:val="en-GB"/>
        </w:rPr>
        <w:t xml:space="preserve"> and the other </w:t>
      </w:r>
      <w:r>
        <w:rPr>
          <w:iCs/>
          <w:color w:val="000000"/>
          <w:lang w:val="en-GB"/>
        </w:rPr>
        <w:t>15</w:t>
      </w:r>
      <w:r w:rsidRPr="004A6259">
        <w:rPr>
          <w:iCs/>
          <w:color w:val="000000"/>
          <w:lang w:val="en-GB"/>
        </w:rPr>
        <w:t xml:space="preserve"> had some differentiation than the regular ones available elsewhere. I believe that this is not a </w:t>
      </w:r>
      <w:r>
        <w:rPr>
          <w:iCs/>
          <w:color w:val="000000"/>
          <w:lang w:val="en-GB"/>
        </w:rPr>
        <w:t>“</w:t>
      </w:r>
      <w:r w:rsidRPr="004A6259">
        <w:rPr>
          <w:iCs/>
          <w:color w:val="000000"/>
          <w:lang w:val="en-GB"/>
        </w:rPr>
        <w:t>winner takes it all</w:t>
      </w:r>
      <w:r>
        <w:rPr>
          <w:iCs/>
          <w:color w:val="000000"/>
          <w:lang w:val="en-GB"/>
        </w:rPr>
        <w:t>”</w:t>
      </w:r>
      <w:r w:rsidRPr="004A6259">
        <w:rPr>
          <w:iCs/>
          <w:color w:val="000000"/>
          <w:lang w:val="en-GB"/>
        </w:rPr>
        <w:t xml:space="preserve"> market, so it will be a fight that will be won by persistence and constant innovation</w:t>
      </w:r>
      <w:r>
        <w:rPr>
          <w:iCs/>
          <w:color w:val="000000"/>
          <w:lang w:val="en-GB"/>
        </w:rPr>
        <w:t>—</w:t>
      </w:r>
      <w:r w:rsidRPr="004A6259">
        <w:rPr>
          <w:iCs/>
          <w:color w:val="000000"/>
          <w:lang w:val="en-GB"/>
        </w:rPr>
        <w:t>both in creating unique products and innovating the way you are selling them. And, that is not easy to replicate.</w:t>
      </w:r>
    </w:p>
    <w:p w14:paraId="584754BB" w14:textId="77777777" w:rsidR="006E7D76" w:rsidRPr="004A6259" w:rsidRDefault="006E7D76" w:rsidP="00882701">
      <w:pPr>
        <w:pStyle w:val="BodyTextMain"/>
        <w:rPr>
          <w:color w:val="000000"/>
          <w:lang w:val="en-GB"/>
        </w:rPr>
      </w:pPr>
    </w:p>
    <w:p w14:paraId="438A80D8" w14:textId="2221673A" w:rsidR="003434E6" w:rsidRPr="004A6259" w:rsidRDefault="006E7D76" w:rsidP="00882701">
      <w:pPr>
        <w:pStyle w:val="BodyTextMain"/>
        <w:rPr>
          <w:color w:val="000000"/>
          <w:lang w:val="en-GB" w:eastAsia="en-IN"/>
        </w:rPr>
      </w:pPr>
      <w:r>
        <w:rPr>
          <w:color w:val="000000"/>
          <w:lang w:val="en-GB"/>
        </w:rPr>
        <w:t>Sirona Hygiene’s</w:t>
      </w:r>
      <w:r w:rsidRPr="004A6259">
        <w:rPr>
          <w:color w:val="000000"/>
          <w:lang w:val="en-GB"/>
        </w:rPr>
        <w:t xml:space="preserve"> success had been well paced</w:t>
      </w:r>
      <w:r>
        <w:rPr>
          <w:color w:val="000000"/>
          <w:lang w:val="en-GB"/>
        </w:rPr>
        <w:t>; it had received</w:t>
      </w:r>
      <w:r w:rsidRPr="004A6259">
        <w:rPr>
          <w:color w:val="000000"/>
          <w:lang w:val="en-GB"/>
        </w:rPr>
        <w:t xml:space="preserve"> </w:t>
      </w:r>
      <w:r>
        <w:rPr>
          <w:color w:val="000000"/>
          <w:lang w:val="en-GB"/>
        </w:rPr>
        <w:t xml:space="preserve">one round of funding </w:t>
      </w:r>
      <w:r w:rsidRPr="004A6259">
        <w:rPr>
          <w:color w:val="000000"/>
          <w:lang w:val="en-GB"/>
        </w:rPr>
        <w:t>in 2017 and</w:t>
      </w:r>
      <w:r>
        <w:rPr>
          <w:color w:val="000000"/>
          <w:lang w:val="en-GB"/>
        </w:rPr>
        <w:t xml:space="preserve"> another in</w:t>
      </w:r>
      <w:r w:rsidRPr="004A6259">
        <w:rPr>
          <w:color w:val="000000"/>
          <w:lang w:val="en-GB"/>
        </w:rPr>
        <w:t xml:space="preserve"> 2019</w:t>
      </w:r>
      <w:r>
        <w:rPr>
          <w:color w:val="000000"/>
          <w:lang w:val="en-GB"/>
        </w:rPr>
        <w:t>, which had</w:t>
      </w:r>
      <w:r w:rsidRPr="004A6259">
        <w:rPr>
          <w:color w:val="000000"/>
          <w:lang w:val="en-GB"/>
        </w:rPr>
        <w:t xml:space="preserve"> put the company in good stead. </w:t>
      </w:r>
      <w:r>
        <w:rPr>
          <w:color w:val="000000"/>
          <w:lang w:val="en-GB"/>
        </w:rPr>
        <w:t>After initial years of losses, by</w:t>
      </w:r>
      <w:r w:rsidRPr="004A6259">
        <w:rPr>
          <w:color w:val="000000"/>
          <w:lang w:val="en-GB"/>
        </w:rPr>
        <w:t xml:space="preserve"> 2019</w:t>
      </w:r>
      <w:r>
        <w:rPr>
          <w:color w:val="000000"/>
          <w:lang w:val="en-GB"/>
        </w:rPr>
        <w:t>,</w:t>
      </w:r>
      <w:r w:rsidRPr="004A6259">
        <w:rPr>
          <w:color w:val="000000"/>
          <w:lang w:val="en-GB"/>
        </w:rPr>
        <w:t xml:space="preserve"> the company impressively </w:t>
      </w:r>
      <w:r>
        <w:rPr>
          <w:color w:val="000000"/>
          <w:lang w:val="en-GB"/>
        </w:rPr>
        <w:t>reached</w:t>
      </w:r>
      <w:r w:rsidRPr="004A6259">
        <w:rPr>
          <w:color w:val="000000"/>
          <w:lang w:val="en-GB"/>
        </w:rPr>
        <w:t xml:space="preserve"> </w:t>
      </w:r>
      <w:r>
        <w:rPr>
          <w:rFonts w:ascii="Arial" w:hAnsi="Arial" w:cs="Arial"/>
          <w:color w:val="000000"/>
          <w:lang w:val="en-GB"/>
        </w:rPr>
        <w:t>₹</w:t>
      </w:r>
      <w:r w:rsidRPr="004A6259">
        <w:rPr>
          <w:color w:val="000000"/>
          <w:lang w:val="en-GB"/>
        </w:rPr>
        <w:t>70 million</w:t>
      </w:r>
      <w:r w:rsidR="003434E6">
        <w:rPr>
          <w:rStyle w:val="EndnoteReference"/>
          <w:color w:val="000000"/>
          <w:lang w:val="en-GB"/>
        </w:rPr>
        <w:endnoteReference w:id="1"/>
      </w:r>
      <w:r w:rsidR="003434E6" w:rsidRPr="004A6259">
        <w:rPr>
          <w:color w:val="000000"/>
          <w:lang w:val="en-GB"/>
        </w:rPr>
        <w:t xml:space="preserve"> in sales</w:t>
      </w:r>
      <w:r w:rsidR="003434E6">
        <w:rPr>
          <w:color w:val="000000"/>
          <w:lang w:val="en-GB"/>
        </w:rPr>
        <w:t>,</w:t>
      </w:r>
      <w:r w:rsidR="003434E6" w:rsidRPr="004A6259">
        <w:rPr>
          <w:color w:val="000000"/>
          <w:lang w:val="en-GB"/>
        </w:rPr>
        <w:t xml:space="preserve"> </w:t>
      </w:r>
      <w:r w:rsidR="003434E6">
        <w:rPr>
          <w:color w:val="000000"/>
          <w:lang w:val="en-GB"/>
        </w:rPr>
        <w:t>earning</w:t>
      </w:r>
      <w:r w:rsidR="003434E6" w:rsidRPr="004A6259">
        <w:rPr>
          <w:color w:val="000000"/>
          <w:lang w:val="en-GB"/>
        </w:rPr>
        <w:t xml:space="preserve"> a net profit of </w:t>
      </w:r>
      <w:r w:rsidR="003434E6">
        <w:rPr>
          <w:rFonts w:ascii="Arial" w:hAnsi="Arial" w:cs="Arial"/>
          <w:color w:val="000000"/>
          <w:lang w:val="en-GB"/>
        </w:rPr>
        <w:t>₹</w:t>
      </w:r>
      <w:r w:rsidR="003434E6" w:rsidRPr="004A6259">
        <w:rPr>
          <w:color w:val="000000"/>
          <w:lang w:val="en-GB"/>
        </w:rPr>
        <w:t xml:space="preserve">1.8 million. </w:t>
      </w:r>
      <w:r w:rsidR="003434E6">
        <w:rPr>
          <w:color w:val="000000"/>
          <w:lang w:val="en-GB"/>
        </w:rPr>
        <w:t>In February 2020, as</w:t>
      </w:r>
      <w:r w:rsidR="003434E6" w:rsidRPr="004A6259">
        <w:rPr>
          <w:color w:val="000000"/>
          <w:lang w:val="en-GB"/>
        </w:rPr>
        <w:t xml:space="preserve"> the firm entered its fifth year, </w:t>
      </w:r>
      <w:r w:rsidR="003434E6">
        <w:rPr>
          <w:color w:val="000000"/>
          <w:lang w:val="en-GB"/>
        </w:rPr>
        <w:t>Deep’s</w:t>
      </w:r>
      <w:r w:rsidR="003434E6" w:rsidRPr="004A6259">
        <w:rPr>
          <w:color w:val="000000"/>
          <w:lang w:val="en-GB"/>
        </w:rPr>
        <w:t xml:space="preserve"> goal </w:t>
      </w:r>
      <w:r w:rsidR="003434E6">
        <w:rPr>
          <w:color w:val="000000"/>
          <w:lang w:val="en-GB"/>
        </w:rPr>
        <w:t xml:space="preserve">was to triple the company’s sales </w:t>
      </w:r>
      <w:r w:rsidR="003434E6" w:rsidRPr="004A6259">
        <w:rPr>
          <w:color w:val="000000"/>
          <w:lang w:val="en-GB"/>
        </w:rPr>
        <w:t xml:space="preserve">by 2022. This was an aggressive target that </w:t>
      </w:r>
      <w:r w:rsidR="003434E6">
        <w:rPr>
          <w:color w:val="000000"/>
          <w:lang w:val="en-GB"/>
        </w:rPr>
        <w:t>necessitated</w:t>
      </w:r>
      <w:r w:rsidR="003434E6" w:rsidRPr="004A6259">
        <w:rPr>
          <w:color w:val="000000"/>
          <w:lang w:val="en-GB"/>
        </w:rPr>
        <w:t xml:space="preserve"> important strategic decisions and substantial funding. </w:t>
      </w:r>
      <w:r w:rsidR="003434E6">
        <w:rPr>
          <w:color w:val="000000"/>
          <w:lang w:val="en-GB"/>
        </w:rPr>
        <w:t>Deep</w:t>
      </w:r>
      <w:r w:rsidR="003434E6" w:rsidRPr="004A6259">
        <w:rPr>
          <w:color w:val="000000"/>
          <w:lang w:val="en-GB"/>
        </w:rPr>
        <w:t xml:space="preserve"> shared</w:t>
      </w:r>
      <w:r w:rsidR="003434E6">
        <w:rPr>
          <w:color w:val="000000"/>
          <w:lang w:val="en-GB"/>
        </w:rPr>
        <w:t>:</w:t>
      </w:r>
      <w:r w:rsidR="003434E6" w:rsidRPr="004A6259">
        <w:rPr>
          <w:color w:val="000000"/>
          <w:lang w:val="en-GB"/>
        </w:rPr>
        <w:t xml:space="preserve"> “Any angel investor needs to see hard-core go-to-market strategy of the firm and visible signs that it is going to rake in the dollars. And, this is where we are getting stuck. As we have three different brands</w:t>
      </w:r>
      <w:r w:rsidR="003434E6">
        <w:rPr>
          <w:color w:val="000000"/>
          <w:lang w:val="en-GB"/>
        </w:rPr>
        <w:t>—</w:t>
      </w:r>
      <w:r w:rsidR="003434E6" w:rsidRPr="004A6259">
        <w:rPr>
          <w:color w:val="000000"/>
          <w:lang w:val="en-GB"/>
        </w:rPr>
        <w:t>Sirona, PeeBuddy</w:t>
      </w:r>
      <w:r w:rsidR="003434E6">
        <w:rPr>
          <w:color w:val="000000"/>
          <w:lang w:val="en-GB"/>
        </w:rPr>
        <w:t>,</w:t>
      </w:r>
      <w:r w:rsidR="003434E6" w:rsidRPr="004A6259">
        <w:rPr>
          <w:color w:val="000000"/>
          <w:lang w:val="en-GB"/>
        </w:rPr>
        <w:t xml:space="preserve"> and BodyGuard</w:t>
      </w:r>
      <w:r w:rsidR="003434E6">
        <w:rPr>
          <w:color w:val="000000"/>
          <w:lang w:val="en-GB"/>
        </w:rPr>
        <w:t>—</w:t>
      </w:r>
      <w:r w:rsidR="003434E6" w:rsidRPr="004A6259">
        <w:rPr>
          <w:color w:val="000000"/>
          <w:lang w:val="en-GB"/>
        </w:rPr>
        <w:t xml:space="preserve">in our kitty, there is an urgent need to get our house in shape.” </w:t>
      </w:r>
      <w:r w:rsidR="003434E6">
        <w:rPr>
          <w:color w:val="000000"/>
          <w:lang w:val="en-GB"/>
        </w:rPr>
        <w:t>Deep</w:t>
      </w:r>
      <w:r w:rsidR="003434E6" w:rsidRPr="004A6259">
        <w:rPr>
          <w:color w:val="000000"/>
          <w:lang w:val="en-GB"/>
        </w:rPr>
        <w:t xml:space="preserve"> needed to clearly articulate his branding strategy</w:t>
      </w:r>
      <w:r w:rsidR="003434E6">
        <w:rPr>
          <w:color w:val="000000"/>
          <w:lang w:val="en-GB"/>
        </w:rPr>
        <w:t>,</w:t>
      </w:r>
      <w:r w:rsidR="003434E6" w:rsidRPr="004A6259">
        <w:rPr>
          <w:color w:val="000000"/>
          <w:lang w:val="en-GB"/>
        </w:rPr>
        <w:t xml:space="preserve"> as </w:t>
      </w:r>
      <w:r w:rsidR="003434E6">
        <w:rPr>
          <w:color w:val="000000"/>
          <w:lang w:val="en-GB"/>
        </w:rPr>
        <w:t>this</w:t>
      </w:r>
      <w:r w:rsidR="003434E6" w:rsidRPr="004A6259">
        <w:rPr>
          <w:color w:val="000000"/>
          <w:lang w:val="en-GB"/>
        </w:rPr>
        <w:t xml:space="preserve"> would </w:t>
      </w:r>
      <w:r w:rsidR="003434E6">
        <w:rPr>
          <w:color w:val="000000"/>
          <w:lang w:val="en-GB"/>
        </w:rPr>
        <w:t>shape</w:t>
      </w:r>
      <w:r w:rsidR="003434E6" w:rsidRPr="004A6259">
        <w:rPr>
          <w:color w:val="000000"/>
          <w:lang w:val="en-GB"/>
        </w:rPr>
        <w:t xml:space="preserve"> the road map necessary to achieve the </w:t>
      </w:r>
      <w:r w:rsidR="003434E6">
        <w:rPr>
          <w:color w:val="000000"/>
          <w:lang w:val="en-GB"/>
        </w:rPr>
        <w:t xml:space="preserve">company’s </w:t>
      </w:r>
      <w:r w:rsidR="003434E6" w:rsidRPr="004A6259">
        <w:rPr>
          <w:color w:val="000000"/>
          <w:lang w:val="en-GB"/>
        </w:rPr>
        <w:t xml:space="preserve">overall goal. </w:t>
      </w:r>
      <w:r w:rsidR="003434E6">
        <w:rPr>
          <w:color w:val="000000"/>
          <w:lang w:val="en-GB"/>
        </w:rPr>
        <w:t>Deep</w:t>
      </w:r>
      <w:r w:rsidR="003434E6" w:rsidRPr="004A6259">
        <w:rPr>
          <w:color w:val="000000"/>
          <w:lang w:val="en-GB"/>
        </w:rPr>
        <w:t xml:space="preserve"> had envisioned Sirona </w:t>
      </w:r>
      <w:r w:rsidR="003434E6">
        <w:rPr>
          <w:color w:val="000000"/>
          <w:lang w:val="en-GB"/>
        </w:rPr>
        <w:t xml:space="preserve">Hygiene </w:t>
      </w:r>
      <w:r w:rsidR="003434E6" w:rsidRPr="004A6259">
        <w:rPr>
          <w:color w:val="000000"/>
          <w:lang w:val="en-GB"/>
        </w:rPr>
        <w:t xml:space="preserve">as a </w:t>
      </w:r>
      <w:r w:rsidR="003434E6">
        <w:rPr>
          <w:color w:val="000000"/>
          <w:lang w:val="en-GB"/>
        </w:rPr>
        <w:t>“</w:t>
      </w:r>
      <w:r w:rsidR="003434E6" w:rsidRPr="004A6259">
        <w:rPr>
          <w:color w:val="000000"/>
          <w:lang w:val="en-GB"/>
        </w:rPr>
        <w:t>female hygiene solution provider</w:t>
      </w:r>
      <w:r w:rsidR="003434E6">
        <w:rPr>
          <w:color w:val="000000"/>
          <w:lang w:val="en-GB"/>
        </w:rPr>
        <w:t>”</w:t>
      </w:r>
      <w:r w:rsidR="003434E6" w:rsidRPr="004A6259">
        <w:rPr>
          <w:color w:val="000000"/>
          <w:lang w:val="en-GB"/>
        </w:rPr>
        <w:t xml:space="preserve"> that attempted to solve several unaddressed intimate hygiene issues for women. However, his passion was to focus on new-to-the-market products</w:t>
      </w:r>
      <w:r w:rsidR="003434E6">
        <w:rPr>
          <w:color w:val="000000"/>
          <w:lang w:val="en-GB"/>
        </w:rPr>
        <w:t>,</w:t>
      </w:r>
      <w:r w:rsidR="003434E6" w:rsidRPr="004A6259">
        <w:rPr>
          <w:color w:val="000000"/>
          <w:lang w:val="en-GB"/>
        </w:rPr>
        <w:t xml:space="preserve"> and he wondered whether </w:t>
      </w:r>
      <w:r w:rsidR="003434E6">
        <w:rPr>
          <w:color w:val="000000"/>
          <w:lang w:val="en-GB"/>
        </w:rPr>
        <w:t>focusing</w:t>
      </w:r>
      <w:r w:rsidR="003434E6" w:rsidRPr="004A6259">
        <w:rPr>
          <w:color w:val="000000"/>
          <w:lang w:val="en-GB"/>
        </w:rPr>
        <w:t xml:space="preserve"> on innovation as the brand’s core was a better idea</w:t>
      </w:r>
      <w:r w:rsidR="003434E6">
        <w:rPr>
          <w:color w:val="000000"/>
          <w:lang w:val="en-GB"/>
        </w:rPr>
        <w:t>.</w:t>
      </w:r>
      <w:r w:rsidR="003434E6" w:rsidRPr="004A6259">
        <w:rPr>
          <w:color w:val="000000"/>
          <w:lang w:val="en-GB"/>
        </w:rPr>
        <w:t xml:space="preserve"> Secondly, while PeeBuddy</w:t>
      </w:r>
      <w:r w:rsidR="003434E6">
        <w:rPr>
          <w:color w:val="000000"/>
          <w:lang w:val="en-GB" w:eastAsia="en-IN"/>
        </w:rPr>
        <w:t xml:space="preserve">, which focused on female </w:t>
      </w:r>
      <w:r w:rsidR="003434E6" w:rsidRPr="004A6259">
        <w:rPr>
          <w:color w:val="000000"/>
          <w:lang w:val="en-GB" w:eastAsia="en-IN"/>
        </w:rPr>
        <w:t>toilet hygiene</w:t>
      </w:r>
      <w:r w:rsidR="003434E6">
        <w:rPr>
          <w:color w:val="000000"/>
          <w:lang w:val="en-GB" w:eastAsia="en-IN"/>
        </w:rPr>
        <w:t>,</w:t>
      </w:r>
      <w:r w:rsidR="003434E6" w:rsidRPr="004A6259">
        <w:rPr>
          <w:color w:val="000000"/>
          <w:lang w:val="en-GB" w:eastAsia="en-IN"/>
        </w:rPr>
        <w:t xml:space="preserve"> and Sirona</w:t>
      </w:r>
      <w:r w:rsidR="003434E6">
        <w:rPr>
          <w:color w:val="000000"/>
          <w:lang w:val="en-GB" w:eastAsia="en-IN"/>
        </w:rPr>
        <w:t xml:space="preserve">, which focused on </w:t>
      </w:r>
      <w:r w:rsidR="003434E6" w:rsidRPr="004A6259">
        <w:rPr>
          <w:color w:val="000000"/>
          <w:lang w:val="en-GB" w:eastAsia="en-IN"/>
        </w:rPr>
        <w:t>menstrual hygiene</w:t>
      </w:r>
      <w:r w:rsidR="003434E6">
        <w:rPr>
          <w:color w:val="000000"/>
          <w:lang w:val="en-GB" w:eastAsia="en-IN"/>
        </w:rPr>
        <w:t>,</w:t>
      </w:r>
      <w:r w:rsidR="003434E6" w:rsidRPr="004A6259">
        <w:rPr>
          <w:color w:val="000000"/>
          <w:lang w:val="en-GB" w:eastAsia="en-IN"/>
        </w:rPr>
        <w:t xml:space="preserve"> fit well with his vision</w:t>
      </w:r>
      <w:r w:rsidR="003434E6">
        <w:rPr>
          <w:color w:val="000000"/>
          <w:lang w:val="en-GB" w:eastAsia="en-IN"/>
        </w:rPr>
        <w:t>,</w:t>
      </w:r>
      <w:r w:rsidR="003434E6" w:rsidRPr="004A6259">
        <w:rPr>
          <w:color w:val="000000"/>
          <w:lang w:val="en-GB" w:eastAsia="en-IN"/>
        </w:rPr>
        <w:t xml:space="preserve"> BodyGuard</w:t>
      </w:r>
      <w:r w:rsidR="003434E6">
        <w:rPr>
          <w:color w:val="000000"/>
          <w:lang w:val="en-GB" w:eastAsia="en-IN"/>
        </w:rPr>
        <w:t xml:space="preserve">, </w:t>
      </w:r>
      <w:r w:rsidR="003434E6" w:rsidRPr="00E273B3">
        <w:rPr>
          <w:color w:val="000000"/>
          <w:lang w:val="en-GB" w:eastAsia="en-IN"/>
        </w:rPr>
        <w:t xml:space="preserve">which focused on providing hygiene and protection solutions for the whole family </w:t>
      </w:r>
      <w:r w:rsidR="003434E6">
        <w:rPr>
          <w:color w:val="000000"/>
          <w:lang w:val="en-GB" w:eastAsia="en-IN"/>
        </w:rPr>
        <w:t>,</w:t>
      </w:r>
      <w:r w:rsidR="003434E6" w:rsidRPr="004A6259">
        <w:rPr>
          <w:color w:val="000000"/>
          <w:lang w:val="en-GB" w:eastAsia="en-IN"/>
        </w:rPr>
        <w:t xml:space="preserve"> did not share the same conviction</w:t>
      </w:r>
      <w:r w:rsidR="003434E6">
        <w:rPr>
          <w:color w:val="000000"/>
          <w:lang w:val="en-GB" w:eastAsia="en-IN"/>
        </w:rPr>
        <w:t xml:space="preserve"> that this was an exclusively </w:t>
      </w:r>
      <w:r w:rsidR="003434E6">
        <w:rPr>
          <w:color w:val="000000"/>
          <w:lang w:val="en-GB" w:eastAsia="en-IN"/>
        </w:rPr>
        <w:lastRenderedPageBreak/>
        <w:t>female-centric product</w:t>
      </w:r>
      <w:r w:rsidR="003434E6" w:rsidRPr="004A6259">
        <w:rPr>
          <w:color w:val="000000"/>
          <w:lang w:val="en-GB" w:eastAsia="en-IN"/>
        </w:rPr>
        <w:t xml:space="preserve">. </w:t>
      </w:r>
      <w:r w:rsidR="003434E6">
        <w:rPr>
          <w:color w:val="000000"/>
          <w:lang w:val="en-GB" w:eastAsia="en-IN"/>
        </w:rPr>
        <w:t>Therefore</w:t>
      </w:r>
      <w:r w:rsidR="003434E6" w:rsidRPr="004A6259">
        <w:rPr>
          <w:color w:val="000000"/>
          <w:lang w:val="en-GB" w:eastAsia="en-IN"/>
        </w:rPr>
        <w:t>, the question was</w:t>
      </w:r>
      <w:r w:rsidR="003434E6">
        <w:rPr>
          <w:color w:val="000000"/>
          <w:lang w:val="en-GB" w:eastAsia="en-IN"/>
        </w:rPr>
        <w:t xml:space="preserve"> whether</w:t>
      </w:r>
      <w:r w:rsidR="003434E6" w:rsidRPr="004A6259">
        <w:rPr>
          <w:color w:val="000000"/>
          <w:lang w:val="en-GB" w:eastAsia="en-IN"/>
        </w:rPr>
        <w:t xml:space="preserve"> all offerings </w:t>
      </w:r>
      <w:r w:rsidR="003434E6">
        <w:rPr>
          <w:color w:val="000000"/>
          <w:lang w:val="en-GB" w:eastAsia="en-IN"/>
        </w:rPr>
        <w:t xml:space="preserve">should </w:t>
      </w:r>
      <w:r w:rsidR="003434E6" w:rsidRPr="004A6259">
        <w:rPr>
          <w:color w:val="000000"/>
          <w:lang w:val="en-GB" w:eastAsia="en-IN"/>
        </w:rPr>
        <w:t xml:space="preserve">be unified under the Sirona umbrella, or </w:t>
      </w:r>
      <w:r w:rsidR="003434E6">
        <w:rPr>
          <w:color w:val="000000"/>
          <w:lang w:val="en-GB" w:eastAsia="en-IN"/>
        </w:rPr>
        <w:t xml:space="preserve">whether it </w:t>
      </w:r>
      <w:r w:rsidR="003434E6" w:rsidRPr="004A6259">
        <w:rPr>
          <w:color w:val="000000"/>
          <w:lang w:val="en-GB" w:eastAsia="en-IN"/>
        </w:rPr>
        <w:t>would make more sense to let each of the sub-brands create their own brand space</w:t>
      </w:r>
      <w:r w:rsidR="003434E6">
        <w:rPr>
          <w:color w:val="000000"/>
          <w:lang w:val="en-GB" w:eastAsia="en-IN"/>
        </w:rPr>
        <w:t>.</w:t>
      </w:r>
      <w:r w:rsidR="003434E6" w:rsidRPr="004A6259">
        <w:rPr>
          <w:color w:val="000000"/>
          <w:lang w:val="en-GB" w:eastAsia="en-IN"/>
        </w:rPr>
        <w:t xml:space="preserve"> </w:t>
      </w:r>
      <w:r w:rsidR="003434E6">
        <w:rPr>
          <w:color w:val="000000"/>
          <w:lang w:val="en-GB" w:eastAsia="en-IN"/>
        </w:rPr>
        <w:t>Competing</w:t>
      </w:r>
      <w:r w:rsidR="003434E6" w:rsidRPr="004A6259">
        <w:rPr>
          <w:color w:val="000000"/>
          <w:lang w:val="en-GB" w:eastAsia="en-IN"/>
        </w:rPr>
        <w:t xml:space="preserve"> brands in the sector had an established lineage in the market </w:t>
      </w:r>
      <w:r w:rsidR="003434E6">
        <w:rPr>
          <w:color w:val="000000"/>
          <w:lang w:val="en-GB" w:eastAsia="en-IN"/>
        </w:rPr>
        <w:t>or</w:t>
      </w:r>
      <w:r w:rsidR="003434E6" w:rsidRPr="004A6259">
        <w:rPr>
          <w:color w:val="000000"/>
          <w:lang w:val="en-GB" w:eastAsia="en-IN"/>
        </w:rPr>
        <w:t xml:space="preserve"> were backed by a pharmaceutical parent brand</w:t>
      </w:r>
      <w:r w:rsidR="003434E6">
        <w:rPr>
          <w:color w:val="000000"/>
          <w:lang w:val="en-GB" w:eastAsia="en-IN"/>
        </w:rPr>
        <w:t xml:space="preserve"> (or both)</w:t>
      </w:r>
      <w:r w:rsidR="003434E6" w:rsidRPr="004A6259">
        <w:rPr>
          <w:color w:val="000000"/>
          <w:lang w:val="en-GB" w:eastAsia="en-IN"/>
        </w:rPr>
        <w:t xml:space="preserve">, so how </w:t>
      </w:r>
      <w:r w:rsidR="003434E6">
        <w:rPr>
          <w:color w:val="000000"/>
          <w:lang w:val="en-GB" w:eastAsia="en-IN"/>
        </w:rPr>
        <w:t>could</w:t>
      </w:r>
      <w:r w:rsidR="003434E6" w:rsidRPr="004A6259">
        <w:rPr>
          <w:color w:val="000000"/>
          <w:lang w:val="en-GB" w:eastAsia="en-IN"/>
        </w:rPr>
        <w:t xml:space="preserve"> </w:t>
      </w:r>
      <w:r w:rsidR="003434E6">
        <w:rPr>
          <w:color w:val="000000"/>
          <w:lang w:val="en-GB" w:eastAsia="en-IN"/>
        </w:rPr>
        <w:t xml:space="preserve">a young firm </w:t>
      </w:r>
      <w:r w:rsidR="003434E6" w:rsidRPr="004A6259">
        <w:rPr>
          <w:color w:val="000000"/>
          <w:lang w:val="en-GB" w:eastAsia="en-IN"/>
        </w:rPr>
        <w:t xml:space="preserve">simultaneously differentiate </w:t>
      </w:r>
      <w:r w:rsidR="003434E6">
        <w:rPr>
          <w:color w:val="000000"/>
          <w:lang w:val="en-GB" w:eastAsia="en-IN"/>
        </w:rPr>
        <w:t xml:space="preserve">its product </w:t>
      </w:r>
      <w:r w:rsidR="003434E6" w:rsidRPr="004A6259">
        <w:rPr>
          <w:color w:val="000000"/>
          <w:lang w:val="en-GB" w:eastAsia="en-IN"/>
        </w:rPr>
        <w:t xml:space="preserve">and </w:t>
      </w:r>
      <w:r w:rsidR="003434E6">
        <w:rPr>
          <w:color w:val="000000"/>
          <w:lang w:val="en-GB" w:eastAsia="en-IN"/>
        </w:rPr>
        <w:t xml:space="preserve">create a brand that </w:t>
      </w:r>
      <w:r w:rsidR="003434E6" w:rsidRPr="004A6259">
        <w:rPr>
          <w:color w:val="000000"/>
          <w:lang w:val="en-GB" w:eastAsia="en-IN"/>
        </w:rPr>
        <w:t>resonate</w:t>
      </w:r>
      <w:r w:rsidR="003434E6">
        <w:rPr>
          <w:color w:val="000000"/>
          <w:lang w:val="en-GB" w:eastAsia="en-IN"/>
        </w:rPr>
        <w:t>d</w:t>
      </w:r>
      <w:r w:rsidR="003434E6" w:rsidRPr="004A6259">
        <w:rPr>
          <w:color w:val="000000"/>
          <w:lang w:val="en-GB" w:eastAsia="en-IN"/>
        </w:rPr>
        <w:t xml:space="preserve"> with the customer in </w:t>
      </w:r>
      <w:r w:rsidR="003434E6">
        <w:rPr>
          <w:color w:val="000000"/>
          <w:lang w:val="en-GB" w:eastAsia="en-IN"/>
        </w:rPr>
        <w:t>a</w:t>
      </w:r>
      <w:r w:rsidR="003434E6" w:rsidRPr="004A6259">
        <w:rPr>
          <w:color w:val="000000"/>
          <w:lang w:val="en-GB" w:eastAsia="en-IN"/>
        </w:rPr>
        <w:t xml:space="preserve"> cluttered </w:t>
      </w:r>
      <w:r w:rsidR="003434E6">
        <w:rPr>
          <w:color w:val="000000"/>
          <w:lang w:val="en-GB" w:eastAsia="en-IN"/>
        </w:rPr>
        <w:t>marketplace</w:t>
      </w:r>
      <w:r w:rsidR="003434E6" w:rsidRPr="004A6259">
        <w:rPr>
          <w:color w:val="000000"/>
          <w:lang w:val="en-GB" w:eastAsia="en-IN"/>
        </w:rPr>
        <w:t>?</w:t>
      </w:r>
    </w:p>
    <w:p w14:paraId="337DC26D" w14:textId="45B389F3" w:rsidR="003434E6" w:rsidRPr="004A6259" w:rsidRDefault="003434E6" w:rsidP="00882701">
      <w:pPr>
        <w:pStyle w:val="BodyTextMain"/>
        <w:rPr>
          <w:lang w:val="en-GB"/>
        </w:rPr>
      </w:pPr>
    </w:p>
    <w:p w14:paraId="13C00BF7" w14:textId="77777777" w:rsidR="003434E6" w:rsidRPr="004A6259" w:rsidRDefault="003434E6" w:rsidP="00882701">
      <w:pPr>
        <w:pStyle w:val="BodyTextMain"/>
        <w:rPr>
          <w:lang w:val="en-GB"/>
        </w:rPr>
      </w:pPr>
    </w:p>
    <w:p w14:paraId="7A988EE9" w14:textId="7F3D5511" w:rsidR="003434E6" w:rsidRPr="004A6259" w:rsidRDefault="003434E6" w:rsidP="00B955A7">
      <w:pPr>
        <w:pStyle w:val="Casehead1"/>
        <w:rPr>
          <w:lang w:val="en-GB"/>
        </w:rPr>
      </w:pPr>
      <w:r w:rsidRPr="004A6259">
        <w:rPr>
          <w:lang w:val="en-GB"/>
        </w:rPr>
        <w:t xml:space="preserve">feminine hygiene </w:t>
      </w:r>
      <w:r>
        <w:rPr>
          <w:lang w:val="en-GB"/>
        </w:rPr>
        <w:t xml:space="preserve">Products </w:t>
      </w:r>
      <w:r w:rsidRPr="004A6259">
        <w:rPr>
          <w:lang w:val="en-GB"/>
        </w:rPr>
        <w:t>market: opportunities and challenges</w:t>
      </w:r>
    </w:p>
    <w:p w14:paraId="49AF6D24" w14:textId="77777777" w:rsidR="003434E6" w:rsidRPr="004A6259" w:rsidRDefault="003434E6" w:rsidP="00882701">
      <w:pPr>
        <w:pStyle w:val="BodyTextMain"/>
        <w:rPr>
          <w:b/>
          <w:caps/>
          <w:lang w:val="en-GB"/>
        </w:rPr>
      </w:pPr>
    </w:p>
    <w:p w14:paraId="69FAD884" w14:textId="4E559339" w:rsidR="003434E6" w:rsidRPr="004A6259" w:rsidRDefault="003434E6" w:rsidP="00882701">
      <w:pPr>
        <w:pStyle w:val="BodyTextMain"/>
        <w:rPr>
          <w:lang w:val="en-GB"/>
        </w:rPr>
      </w:pPr>
      <w:r w:rsidRPr="004A6259">
        <w:rPr>
          <w:lang w:val="en-GB"/>
        </w:rPr>
        <w:t>Globally</w:t>
      </w:r>
      <w:r>
        <w:rPr>
          <w:lang w:val="en-GB"/>
        </w:rPr>
        <w:t>,</w:t>
      </w:r>
      <w:r w:rsidRPr="004A6259">
        <w:rPr>
          <w:lang w:val="en-GB"/>
        </w:rPr>
        <w:t xml:space="preserve"> the feminine hygiene </w:t>
      </w:r>
      <w:r>
        <w:rPr>
          <w:lang w:val="en-GB"/>
        </w:rPr>
        <w:t>products</w:t>
      </w:r>
      <w:r w:rsidRPr="004A6259">
        <w:rPr>
          <w:lang w:val="en-GB"/>
        </w:rPr>
        <w:t xml:space="preserve"> market was </w:t>
      </w:r>
      <w:r>
        <w:rPr>
          <w:lang w:val="en-GB"/>
        </w:rPr>
        <w:t>characterized</w:t>
      </w:r>
      <w:r w:rsidRPr="004A6259">
        <w:rPr>
          <w:lang w:val="en-GB"/>
        </w:rPr>
        <w:t xml:space="preserve"> by personal care products for women. Products played an important role in maintaining </w:t>
      </w:r>
      <w:r>
        <w:rPr>
          <w:lang w:val="en-GB"/>
        </w:rPr>
        <w:t>women’s</w:t>
      </w:r>
      <w:r w:rsidRPr="004A6259">
        <w:rPr>
          <w:lang w:val="en-GB"/>
        </w:rPr>
        <w:t xml:space="preserve"> reproductive health, </w:t>
      </w:r>
      <w:r>
        <w:rPr>
          <w:lang w:val="en-GB"/>
        </w:rPr>
        <w:t>including preventing</w:t>
      </w:r>
      <w:r w:rsidRPr="004A6259">
        <w:rPr>
          <w:lang w:val="en-GB"/>
        </w:rPr>
        <w:t xml:space="preserve"> infections and </w:t>
      </w:r>
      <w:r>
        <w:rPr>
          <w:lang w:val="en-GB"/>
        </w:rPr>
        <w:t>supporting</w:t>
      </w:r>
      <w:r w:rsidRPr="004A6259">
        <w:rPr>
          <w:lang w:val="en-GB"/>
        </w:rPr>
        <w:t xml:space="preserve"> intimate menstrual and hygiene needs. The rise </w:t>
      </w:r>
      <w:r>
        <w:rPr>
          <w:lang w:val="en-GB"/>
        </w:rPr>
        <w:t>of women’s</w:t>
      </w:r>
      <w:r w:rsidRPr="004A6259">
        <w:rPr>
          <w:lang w:val="en-GB"/>
        </w:rPr>
        <w:t xml:space="preserve"> </w:t>
      </w:r>
      <w:r>
        <w:rPr>
          <w:lang w:val="en-GB"/>
        </w:rPr>
        <w:t xml:space="preserve">financial independence </w:t>
      </w:r>
      <w:r w:rsidRPr="004A6259">
        <w:rPr>
          <w:lang w:val="en-GB"/>
        </w:rPr>
        <w:t xml:space="preserve">in modern societies had led to growing consciousness </w:t>
      </w:r>
      <w:r>
        <w:rPr>
          <w:lang w:val="en-GB"/>
        </w:rPr>
        <w:t>among</w:t>
      </w:r>
      <w:r w:rsidRPr="004A6259">
        <w:rPr>
          <w:lang w:val="en-GB"/>
        </w:rPr>
        <w:t xml:space="preserve"> women </w:t>
      </w:r>
      <w:r>
        <w:rPr>
          <w:lang w:val="en-GB"/>
        </w:rPr>
        <w:t>regarding</w:t>
      </w:r>
      <w:r w:rsidRPr="004A6259">
        <w:rPr>
          <w:lang w:val="en-GB"/>
        </w:rPr>
        <w:t xml:space="preserve"> their health and hygiene. This, in turn</w:t>
      </w:r>
      <w:r>
        <w:rPr>
          <w:lang w:val="en-GB"/>
        </w:rPr>
        <w:t>,</w:t>
      </w:r>
      <w:r w:rsidRPr="004A6259">
        <w:rPr>
          <w:lang w:val="en-GB"/>
        </w:rPr>
        <w:t xml:space="preserve"> </w:t>
      </w:r>
      <w:r>
        <w:rPr>
          <w:lang w:val="en-GB"/>
        </w:rPr>
        <w:t>had pushed</w:t>
      </w:r>
      <w:r w:rsidRPr="004A6259">
        <w:rPr>
          <w:lang w:val="en-GB"/>
        </w:rPr>
        <w:t xml:space="preserve"> the 2019 US$26 billion</w:t>
      </w:r>
      <w:r>
        <w:rPr>
          <w:rStyle w:val="EndnoteReference"/>
          <w:lang w:val="en-GB"/>
        </w:rPr>
        <w:endnoteReference w:id="2"/>
      </w:r>
      <w:r w:rsidRPr="004A6259">
        <w:rPr>
          <w:lang w:val="en-GB"/>
        </w:rPr>
        <w:t xml:space="preserve"> worldwide </w:t>
      </w:r>
      <w:r>
        <w:rPr>
          <w:lang w:val="en-GB"/>
        </w:rPr>
        <w:t xml:space="preserve">feminine hygiene </w:t>
      </w:r>
      <w:r w:rsidRPr="004A6259">
        <w:rPr>
          <w:lang w:val="en-GB"/>
        </w:rPr>
        <w:t xml:space="preserve">market to grow at a </w:t>
      </w:r>
      <w:r>
        <w:rPr>
          <w:lang w:val="en-GB"/>
        </w:rPr>
        <w:t>compound annual growth rate (</w:t>
      </w:r>
      <w:r w:rsidRPr="004A6259">
        <w:rPr>
          <w:lang w:val="en-GB"/>
        </w:rPr>
        <w:t>CAGR</w:t>
      </w:r>
      <w:r>
        <w:rPr>
          <w:lang w:val="en-GB"/>
        </w:rPr>
        <w:t>)</w:t>
      </w:r>
      <w:r w:rsidRPr="004A6259">
        <w:rPr>
          <w:lang w:val="en-GB"/>
        </w:rPr>
        <w:t xml:space="preserve"> of 6.2</w:t>
      </w:r>
      <w:r>
        <w:rPr>
          <w:lang w:val="en-GB"/>
        </w:rPr>
        <w:t xml:space="preserve"> per cent,</w:t>
      </w:r>
      <w:r w:rsidRPr="004A6259">
        <w:rPr>
          <w:lang w:val="en-GB"/>
        </w:rPr>
        <w:t xml:space="preserve"> </w:t>
      </w:r>
      <w:r>
        <w:rPr>
          <w:lang w:val="en-GB"/>
        </w:rPr>
        <w:t xml:space="preserve">and was </w:t>
      </w:r>
      <w:r w:rsidRPr="004A6259">
        <w:rPr>
          <w:lang w:val="en-GB"/>
        </w:rPr>
        <w:t>expected to reach $37 billion by 2025.</w:t>
      </w:r>
      <w:r w:rsidRPr="004A6259">
        <w:rPr>
          <w:vertAlign w:val="superscript"/>
          <w:lang w:val="en-GB"/>
        </w:rPr>
        <w:endnoteReference w:id="3"/>
      </w:r>
      <w:r w:rsidRPr="004A6259">
        <w:rPr>
          <w:lang w:val="en-GB"/>
        </w:rPr>
        <w:t xml:space="preserve"> </w:t>
      </w:r>
      <w:r w:rsidRPr="00EC25CD">
        <w:rPr>
          <w:lang w:val="en-GB"/>
        </w:rPr>
        <w:t>Procter &amp; Gamble Company</w:t>
      </w:r>
      <w:r w:rsidRPr="00EC25CD" w:rsidDel="00EC25CD">
        <w:rPr>
          <w:lang w:val="en-GB"/>
        </w:rPr>
        <w:t xml:space="preserve"> </w:t>
      </w:r>
      <w:r>
        <w:rPr>
          <w:lang w:val="en-GB"/>
        </w:rPr>
        <w:t>(P&amp;G)</w:t>
      </w:r>
      <w:r w:rsidRPr="004A6259">
        <w:rPr>
          <w:lang w:val="en-GB"/>
        </w:rPr>
        <w:t>, Edgewell Personal Care, Unicharm</w:t>
      </w:r>
      <w:r>
        <w:rPr>
          <w:lang w:val="en-GB"/>
        </w:rPr>
        <w:t xml:space="preserve"> Corporation (Unicharm)</w:t>
      </w:r>
      <w:r w:rsidRPr="004A6259">
        <w:rPr>
          <w:lang w:val="en-GB"/>
        </w:rPr>
        <w:t xml:space="preserve">, Johnson &amp; Johnson, </w:t>
      </w:r>
      <w:r>
        <w:rPr>
          <w:lang w:val="en-GB"/>
        </w:rPr>
        <w:t>Kimberley-Clark</w:t>
      </w:r>
      <w:r w:rsidRPr="004A6259">
        <w:rPr>
          <w:lang w:val="en-GB"/>
        </w:rPr>
        <w:t xml:space="preserve"> Corporation </w:t>
      </w:r>
      <w:r>
        <w:rPr>
          <w:lang w:val="en-GB"/>
        </w:rPr>
        <w:t xml:space="preserve">(Kimberley-Clark), </w:t>
      </w:r>
      <w:r w:rsidRPr="004A6259">
        <w:rPr>
          <w:lang w:val="en-GB"/>
        </w:rPr>
        <w:t xml:space="preserve">and Kao </w:t>
      </w:r>
      <w:r>
        <w:rPr>
          <w:lang w:val="en-GB"/>
        </w:rPr>
        <w:t>Corporation</w:t>
      </w:r>
      <w:r w:rsidRPr="004A6259">
        <w:rPr>
          <w:lang w:val="en-GB"/>
        </w:rPr>
        <w:t xml:space="preserve"> were leading players in the global </w:t>
      </w:r>
      <w:r>
        <w:rPr>
          <w:lang w:val="en-GB"/>
        </w:rPr>
        <w:t>feminine hygiene market, with product ranges including</w:t>
      </w:r>
      <w:r w:rsidRPr="004A6259">
        <w:rPr>
          <w:lang w:val="en-GB"/>
        </w:rPr>
        <w:t xml:space="preserve"> </w:t>
      </w:r>
      <w:r w:rsidRPr="004A6259">
        <w:rPr>
          <w:shd w:val="clear" w:color="auto" w:fill="FFFFFF"/>
          <w:lang w:val="en-GB"/>
        </w:rPr>
        <w:t>sanitary napkins, tampons, panty liners, menstrual cups, and feminine hygiene wash.</w:t>
      </w:r>
      <w:r w:rsidRPr="004A6259">
        <w:rPr>
          <w:shd w:val="clear" w:color="auto" w:fill="FFFFFF"/>
          <w:vertAlign w:val="superscript"/>
          <w:lang w:val="en-GB"/>
        </w:rPr>
        <w:endnoteReference w:id="4"/>
      </w:r>
    </w:p>
    <w:p w14:paraId="57512302" w14:textId="77777777" w:rsidR="003434E6" w:rsidRPr="004A6259" w:rsidRDefault="003434E6" w:rsidP="00882701">
      <w:pPr>
        <w:pStyle w:val="BodyTextMain"/>
        <w:rPr>
          <w:lang w:val="en-GB"/>
        </w:rPr>
      </w:pPr>
    </w:p>
    <w:p w14:paraId="5EB8E282" w14:textId="1D7D0FAE" w:rsidR="003434E6" w:rsidRPr="004A6259" w:rsidRDefault="003434E6" w:rsidP="00882701">
      <w:pPr>
        <w:pStyle w:val="BodyTextMain"/>
        <w:rPr>
          <w:lang w:val="en-GB"/>
        </w:rPr>
      </w:pPr>
      <w:r w:rsidRPr="004A6259">
        <w:rPr>
          <w:lang w:val="en-GB"/>
        </w:rPr>
        <w:t>According to a report by IMARC</w:t>
      </w:r>
      <w:r>
        <w:rPr>
          <w:lang w:val="en-GB"/>
        </w:rPr>
        <w:t xml:space="preserve"> Services Private Limited, </w:t>
      </w:r>
      <w:r w:rsidRPr="004A6259">
        <w:rPr>
          <w:lang w:val="en-GB"/>
        </w:rPr>
        <w:t>a leading market research company</w:t>
      </w:r>
      <w:r>
        <w:rPr>
          <w:lang w:val="en-GB"/>
        </w:rPr>
        <w:t>, the Asia-Pacific region was</w:t>
      </w:r>
      <w:r w:rsidRPr="004A6259">
        <w:rPr>
          <w:lang w:val="en-GB"/>
        </w:rPr>
        <w:t xml:space="preserve"> the leading market for feminine hygiene products when compared to other major markets in North America, Europe, the Middle East, Africa</w:t>
      </w:r>
      <w:r>
        <w:rPr>
          <w:lang w:val="en-GB"/>
        </w:rPr>
        <w:t>,</w:t>
      </w:r>
      <w:r w:rsidRPr="004A6259">
        <w:rPr>
          <w:lang w:val="en-GB"/>
        </w:rPr>
        <w:t xml:space="preserve"> and Latin America.</w:t>
      </w:r>
      <w:r w:rsidRPr="004A6259">
        <w:rPr>
          <w:vertAlign w:val="superscript"/>
          <w:lang w:val="en-GB"/>
        </w:rPr>
        <w:endnoteReference w:id="5"/>
      </w:r>
      <w:r w:rsidRPr="004A6259">
        <w:rPr>
          <w:lang w:val="en-GB"/>
        </w:rPr>
        <w:t xml:space="preserve"> The large and growing </w:t>
      </w:r>
      <w:r>
        <w:rPr>
          <w:lang w:val="en-GB"/>
        </w:rPr>
        <w:t>populations</w:t>
      </w:r>
      <w:r w:rsidRPr="004A6259">
        <w:rPr>
          <w:lang w:val="en-GB"/>
        </w:rPr>
        <w:t xml:space="preserve"> in China and India drove the growth of the market in this region. </w:t>
      </w:r>
      <w:r>
        <w:rPr>
          <w:lang w:val="en-GB"/>
        </w:rPr>
        <w:t xml:space="preserve">In 2019, </w:t>
      </w:r>
      <w:r w:rsidRPr="004A6259">
        <w:rPr>
          <w:lang w:val="en-GB"/>
        </w:rPr>
        <w:t>China accounted for $</w:t>
      </w:r>
      <w:r w:rsidRPr="0080187E">
        <w:rPr>
          <w:lang w:val="en-GB"/>
        </w:rPr>
        <w:t>8.424</w:t>
      </w:r>
      <w:r>
        <w:rPr>
          <w:lang w:val="en-GB"/>
        </w:rPr>
        <w:t xml:space="preserve"> billion</w:t>
      </w:r>
      <w:r w:rsidRPr="004A6259">
        <w:rPr>
          <w:lang w:val="en-GB"/>
        </w:rPr>
        <w:t xml:space="preserve"> </w:t>
      </w:r>
      <w:r>
        <w:rPr>
          <w:lang w:val="en-GB"/>
        </w:rPr>
        <w:t>in revenue and</w:t>
      </w:r>
      <w:r w:rsidRPr="004A6259">
        <w:rPr>
          <w:lang w:val="en-GB"/>
        </w:rPr>
        <w:t xml:space="preserve"> India accounted for $</w:t>
      </w:r>
      <w:r w:rsidRPr="00221324">
        <w:rPr>
          <w:lang w:val="en-GB"/>
        </w:rPr>
        <w:t>4.589</w:t>
      </w:r>
      <w:r>
        <w:rPr>
          <w:lang w:val="en-GB"/>
        </w:rPr>
        <w:t xml:space="preserve"> billion</w:t>
      </w:r>
      <w:r w:rsidRPr="004A6259">
        <w:rPr>
          <w:lang w:val="en-GB"/>
        </w:rPr>
        <w:t>.</w:t>
      </w:r>
      <w:r w:rsidRPr="004A6259">
        <w:rPr>
          <w:vertAlign w:val="superscript"/>
          <w:lang w:val="en-GB"/>
        </w:rPr>
        <w:endnoteReference w:id="6"/>
      </w:r>
      <w:r w:rsidRPr="004A6259">
        <w:rPr>
          <w:lang w:val="en-GB"/>
        </w:rPr>
        <w:t xml:space="preserve"> Against an estimated global CAGR of 3</w:t>
      </w:r>
      <w:r>
        <w:rPr>
          <w:lang w:val="en-GB"/>
        </w:rPr>
        <w:t xml:space="preserve"> per cent</w:t>
      </w:r>
      <w:r w:rsidRPr="004A6259">
        <w:rPr>
          <w:lang w:val="en-GB"/>
        </w:rPr>
        <w:t>, both China and India were expected to record an annual CAGR of 4.5</w:t>
      </w:r>
      <w:r>
        <w:rPr>
          <w:lang w:val="en-GB"/>
        </w:rPr>
        <w:t xml:space="preserve"> per cent</w:t>
      </w:r>
      <w:r w:rsidRPr="004A6259">
        <w:rPr>
          <w:lang w:val="en-GB"/>
        </w:rPr>
        <w:t xml:space="preserve"> and 4.1</w:t>
      </w:r>
      <w:r>
        <w:rPr>
          <w:lang w:val="en-GB"/>
        </w:rPr>
        <w:t xml:space="preserve"> per cent,</w:t>
      </w:r>
      <w:r w:rsidRPr="004A6259">
        <w:rPr>
          <w:lang w:val="en-GB"/>
        </w:rPr>
        <w:t xml:space="preserve"> respectively</w:t>
      </w:r>
      <w:r>
        <w:rPr>
          <w:lang w:val="en-GB"/>
        </w:rPr>
        <w:t>,</w:t>
      </w:r>
      <w:r w:rsidRPr="004A6259">
        <w:rPr>
          <w:lang w:val="en-GB"/>
        </w:rPr>
        <w:t xml:space="preserve"> </w:t>
      </w:r>
      <w:r>
        <w:rPr>
          <w:lang w:val="en-GB"/>
        </w:rPr>
        <w:t>during</w:t>
      </w:r>
      <w:r w:rsidRPr="004A6259">
        <w:rPr>
          <w:lang w:val="en-GB"/>
        </w:rPr>
        <w:t xml:space="preserve"> 2020</w:t>
      </w:r>
      <w:r>
        <w:rPr>
          <w:lang w:val="en-GB"/>
        </w:rPr>
        <w:t>–2</w:t>
      </w:r>
      <w:r w:rsidRPr="004A6259">
        <w:rPr>
          <w:lang w:val="en-GB"/>
        </w:rPr>
        <w:t>023.</w:t>
      </w:r>
      <w:r w:rsidRPr="004A6259">
        <w:rPr>
          <w:vertAlign w:val="superscript"/>
          <w:lang w:val="en-GB"/>
        </w:rPr>
        <w:endnoteReference w:id="7"/>
      </w:r>
      <w:r w:rsidRPr="004A6259">
        <w:rPr>
          <w:lang w:val="en-GB"/>
        </w:rPr>
        <w:t xml:space="preserve"> However, a closer look at the Indian market revealed a much larger scope that had thus far remained suppressed due to overpowering social hindrances. Despite the presence of a large population of 336 million menstruating women in India,</w:t>
      </w:r>
      <w:r>
        <w:rPr>
          <w:rStyle w:val="EndnoteReference"/>
          <w:lang w:val="en-GB"/>
        </w:rPr>
        <w:endnoteReference w:id="8"/>
      </w:r>
      <w:r w:rsidRPr="004A6259">
        <w:rPr>
          <w:lang w:val="en-GB"/>
        </w:rPr>
        <w:t xml:space="preserve"> as estimated by the </w:t>
      </w:r>
      <w:r w:rsidRPr="00CA2239">
        <w:rPr>
          <w:i/>
          <w:iCs/>
          <w:lang w:val="en-GB"/>
        </w:rPr>
        <w:t>National Family Health Survey (NFHS-4), 2015-16: India</w:t>
      </w:r>
      <w:r w:rsidRPr="004A6259">
        <w:rPr>
          <w:lang w:val="en-GB"/>
        </w:rPr>
        <w:t>, the per capita consumption of sanitary protection remained abysmal.</w:t>
      </w:r>
      <w:r w:rsidRPr="004A6259">
        <w:rPr>
          <w:vertAlign w:val="superscript"/>
          <w:lang w:val="en-GB"/>
        </w:rPr>
        <w:endnoteReference w:id="9"/>
      </w:r>
      <w:r w:rsidRPr="004A6259">
        <w:rPr>
          <w:lang w:val="en-GB"/>
        </w:rPr>
        <w:t xml:space="preserve"> In a country where 63 million adolescent girls lived in households without toilets</w:t>
      </w:r>
      <w:r>
        <w:rPr>
          <w:lang w:val="en-GB"/>
        </w:rPr>
        <w:t>,</w:t>
      </w:r>
      <w:r w:rsidRPr="004A6259">
        <w:rPr>
          <w:vertAlign w:val="superscript"/>
          <w:lang w:val="en-GB"/>
        </w:rPr>
        <w:endnoteReference w:id="10"/>
      </w:r>
      <w:r w:rsidRPr="004A6259">
        <w:rPr>
          <w:lang w:val="en-GB"/>
        </w:rPr>
        <w:t xml:space="preserve"> only about 18</w:t>
      </w:r>
      <w:r>
        <w:rPr>
          <w:lang w:val="en-GB"/>
        </w:rPr>
        <w:t xml:space="preserve"> per cent of</w:t>
      </w:r>
      <w:r w:rsidRPr="004A6259">
        <w:rPr>
          <w:lang w:val="en-GB"/>
        </w:rPr>
        <w:t xml:space="preserve"> women knew how to use a sanitary napkin</w:t>
      </w:r>
      <w:r>
        <w:rPr>
          <w:lang w:val="en-GB"/>
        </w:rPr>
        <w:t xml:space="preserve"> (see Exhibit 1)</w:t>
      </w:r>
      <w:r w:rsidRPr="004A6259">
        <w:rPr>
          <w:lang w:val="en-GB"/>
        </w:rPr>
        <w:t>.</w:t>
      </w:r>
      <w:r w:rsidRPr="004A6259">
        <w:rPr>
          <w:vertAlign w:val="superscript"/>
          <w:lang w:val="en-GB"/>
        </w:rPr>
        <w:endnoteReference w:id="11"/>
      </w:r>
    </w:p>
    <w:p w14:paraId="75D68CCF" w14:textId="77777777" w:rsidR="003434E6" w:rsidRPr="004A6259" w:rsidRDefault="003434E6" w:rsidP="00882701">
      <w:pPr>
        <w:pStyle w:val="BodyTextMain"/>
        <w:rPr>
          <w:rFonts w:ascii="Arial" w:hAnsi="Arial" w:cs="Arial"/>
          <w:color w:val="222222"/>
          <w:sz w:val="23"/>
          <w:szCs w:val="23"/>
          <w:shd w:val="clear" w:color="auto" w:fill="FFFFFF"/>
          <w:lang w:val="en-GB"/>
        </w:rPr>
      </w:pPr>
    </w:p>
    <w:p w14:paraId="42E4DD81" w14:textId="7C2F3525" w:rsidR="003434E6" w:rsidRPr="004A6259" w:rsidRDefault="003434E6" w:rsidP="00882701">
      <w:pPr>
        <w:pStyle w:val="BodyTextMain"/>
        <w:rPr>
          <w:lang w:val="en-GB"/>
        </w:rPr>
      </w:pPr>
      <w:r w:rsidRPr="004A6259">
        <w:rPr>
          <w:lang w:val="en-GB"/>
        </w:rPr>
        <w:t>Lack of awareness, availability</w:t>
      </w:r>
      <w:r>
        <w:rPr>
          <w:lang w:val="en-GB"/>
        </w:rPr>
        <w:t>,</w:t>
      </w:r>
      <w:r w:rsidRPr="004A6259">
        <w:rPr>
          <w:lang w:val="en-GB"/>
        </w:rPr>
        <w:t xml:space="preserve"> and affordability among a large portion of under</w:t>
      </w:r>
      <w:r>
        <w:rPr>
          <w:lang w:val="en-GB"/>
        </w:rPr>
        <w:t>educated</w:t>
      </w:r>
      <w:r w:rsidRPr="004A6259">
        <w:rPr>
          <w:lang w:val="en-GB"/>
        </w:rPr>
        <w:t xml:space="preserve"> and uneducated women in rural, semi-urban</w:t>
      </w:r>
      <w:r>
        <w:rPr>
          <w:lang w:val="en-GB"/>
        </w:rPr>
        <w:t>,</w:t>
      </w:r>
      <w:r w:rsidRPr="004A6259">
        <w:rPr>
          <w:lang w:val="en-GB"/>
        </w:rPr>
        <w:t xml:space="preserve"> and urban areas</w:t>
      </w:r>
      <w:r>
        <w:rPr>
          <w:lang w:val="en-GB"/>
        </w:rPr>
        <w:t>,</w:t>
      </w:r>
      <w:r w:rsidRPr="004A6259">
        <w:rPr>
          <w:lang w:val="en-GB"/>
        </w:rPr>
        <w:t xml:space="preserve"> coupled with cultural myths around female menstruation</w:t>
      </w:r>
      <w:r>
        <w:rPr>
          <w:lang w:val="en-GB"/>
        </w:rPr>
        <w:t>,</w:t>
      </w:r>
      <w:r w:rsidRPr="004A6259">
        <w:rPr>
          <w:lang w:val="en-GB"/>
        </w:rPr>
        <w:t xml:space="preserve"> were the root </w:t>
      </w:r>
      <w:r>
        <w:rPr>
          <w:lang w:val="en-GB"/>
        </w:rPr>
        <w:t>causes</w:t>
      </w:r>
      <w:r w:rsidRPr="004A6259">
        <w:rPr>
          <w:lang w:val="en-GB"/>
        </w:rPr>
        <w:t xml:space="preserve"> of the problem.</w:t>
      </w:r>
      <w:r w:rsidRPr="004A6259">
        <w:rPr>
          <w:vertAlign w:val="superscript"/>
          <w:lang w:val="en-GB"/>
        </w:rPr>
        <w:endnoteReference w:id="12"/>
      </w:r>
      <w:r w:rsidRPr="004A6259">
        <w:rPr>
          <w:lang w:val="en-GB"/>
        </w:rPr>
        <w:t xml:space="preserve"> In rural areas,</w:t>
      </w:r>
      <w:r w:rsidRPr="008B1196">
        <w:rPr>
          <w:lang w:val="en-GB"/>
        </w:rPr>
        <w:t xml:space="preserve"> </w:t>
      </w:r>
      <w:r>
        <w:rPr>
          <w:lang w:val="en-GB"/>
        </w:rPr>
        <w:t>where</w:t>
      </w:r>
      <w:r w:rsidRPr="004A6259">
        <w:rPr>
          <w:lang w:val="en-GB"/>
        </w:rPr>
        <w:t xml:space="preserve"> discussions on </w:t>
      </w:r>
      <w:r>
        <w:rPr>
          <w:lang w:val="en-GB"/>
        </w:rPr>
        <w:t xml:space="preserve">female menstruation and hygiene </w:t>
      </w:r>
      <w:r w:rsidRPr="004A6259">
        <w:rPr>
          <w:lang w:val="en-GB"/>
        </w:rPr>
        <w:t>were taboo</w:t>
      </w:r>
      <w:r>
        <w:rPr>
          <w:lang w:val="en-GB"/>
        </w:rPr>
        <w:t>,</w:t>
      </w:r>
      <w:r w:rsidRPr="004A6259">
        <w:rPr>
          <w:lang w:val="en-GB"/>
        </w:rPr>
        <w:t xml:space="preserve"> </w:t>
      </w:r>
      <w:r>
        <w:rPr>
          <w:lang w:val="en-GB"/>
        </w:rPr>
        <w:t xml:space="preserve">many </w:t>
      </w:r>
      <w:r w:rsidRPr="004A6259">
        <w:rPr>
          <w:lang w:val="en-GB"/>
        </w:rPr>
        <w:t>women continued to reuse unsterilized washable cotton cloth</w:t>
      </w:r>
      <w:r>
        <w:rPr>
          <w:lang w:val="en-GB"/>
        </w:rPr>
        <w:t xml:space="preserve"> napkins</w:t>
      </w:r>
      <w:r w:rsidRPr="004A6259">
        <w:rPr>
          <w:lang w:val="en-GB"/>
        </w:rPr>
        <w:t xml:space="preserve"> or </w:t>
      </w:r>
      <w:r>
        <w:rPr>
          <w:lang w:val="en-GB"/>
        </w:rPr>
        <w:t xml:space="preserve">used </w:t>
      </w:r>
      <w:r w:rsidRPr="004A6259">
        <w:rPr>
          <w:lang w:val="en-GB"/>
        </w:rPr>
        <w:t xml:space="preserve">alternatives </w:t>
      </w:r>
      <w:r>
        <w:rPr>
          <w:lang w:val="en-GB"/>
        </w:rPr>
        <w:t>such</w:t>
      </w:r>
      <w:r w:rsidRPr="004A6259">
        <w:rPr>
          <w:lang w:val="en-GB"/>
        </w:rPr>
        <w:t xml:space="preserve"> </w:t>
      </w:r>
      <w:r>
        <w:rPr>
          <w:lang w:val="en-GB"/>
        </w:rPr>
        <w:t xml:space="preserve">as </w:t>
      </w:r>
      <w:r w:rsidRPr="004A6259">
        <w:rPr>
          <w:lang w:val="en-GB"/>
        </w:rPr>
        <w:t xml:space="preserve">rags, sand, ash, newspapers, plastics, </w:t>
      </w:r>
      <w:r>
        <w:rPr>
          <w:lang w:val="en-GB"/>
        </w:rPr>
        <w:t xml:space="preserve">and </w:t>
      </w:r>
      <w:r w:rsidRPr="004A6259">
        <w:rPr>
          <w:lang w:val="en-GB"/>
        </w:rPr>
        <w:t>dried leaves</w:t>
      </w:r>
      <w:r>
        <w:rPr>
          <w:lang w:val="en-GB"/>
        </w:rPr>
        <w:t>.</w:t>
      </w:r>
      <w:r w:rsidRPr="004A6259">
        <w:rPr>
          <w:vertAlign w:val="superscript"/>
          <w:lang w:val="en-GB"/>
        </w:rPr>
        <w:endnoteReference w:id="13"/>
      </w:r>
      <w:r w:rsidRPr="004A6259">
        <w:rPr>
          <w:lang w:val="en-GB"/>
        </w:rPr>
        <w:t xml:space="preserve"> </w:t>
      </w:r>
      <w:r>
        <w:rPr>
          <w:lang w:val="en-GB"/>
        </w:rPr>
        <w:t xml:space="preserve">Thus, lack of awareness and prevailing unhygienic practices by </w:t>
      </w:r>
      <w:r w:rsidRPr="004A6259">
        <w:rPr>
          <w:lang w:val="en-GB"/>
        </w:rPr>
        <w:t>women</w:t>
      </w:r>
      <w:r>
        <w:rPr>
          <w:lang w:val="en-GB"/>
        </w:rPr>
        <w:t xml:space="preserve"> living in rural areas made them</w:t>
      </w:r>
      <w:r w:rsidRPr="004A6259">
        <w:rPr>
          <w:lang w:val="en-GB"/>
        </w:rPr>
        <w:t xml:space="preserve"> vulnerable to cervical cancer</w:t>
      </w:r>
      <w:r>
        <w:rPr>
          <w:lang w:val="en-GB"/>
        </w:rPr>
        <w:t xml:space="preserve">; </w:t>
      </w:r>
      <w:r w:rsidRPr="004A6259">
        <w:rPr>
          <w:lang w:val="en-GB"/>
        </w:rPr>
        <w:t>hepatitis B</w:t>
      </w:r>
      <w:r>
        <w:rPr>
          <w:lang w:val="en-GB"/>
        </w:rPr>
        <w:t>; and</w:t>
      </w:r>
      <w:r w:rsidRPr="004A6259">
        <w:rPr>
          <w:lang w:val="en-GB"/>
        </w:rPr>
        <w:t xml:space="preserve"> various types of yeast</w:t>
      </w:r>
      <w:r>
        <w:rPr>
          <w:lang w:val="en-GB"/>
        </w:rPr>
        <w:t xml:space="preserve">, </w:t>
      </w:r>
      <w:r w:rsidRPr="004A6259">
        <w:rPr>
          <w:lang w:val="en-GB"/>
        </w:rPr>
        <w:t xml:space="preserve">reproductive tract, </w:t>
      </w:r>
      <w:r>
        <w:rPr>
          <w:lang w:val="en-GB"/>
        </w:rPr>
        <w:t>and</w:t>
      </w:r>
      <w:r w:rsidRPr="004A6259">
        <w:rPr>
          <w:lang w:val="en-GB"/>
        </w:rPr>
        <w:t xml:space="preserve"> urinary tract </w:t>
      </w:r>
      <w:r>
        <w:rPr>
          <w:lang w:val="en-GB"/>
        </w:rPr>
        <w:t>infections</w:t>
      </w:r>
      <w:r w:rsidRPr="004A6259">
        <w:rPr>
          <w:lang w:val="en-GB"/>
        </w:rPr>
        <w:t>.</w:t>
      </w:r>
      <w:r w:rsidRPr="004A6259">
        <w:rPr>
          <w:vertAlign w:val="superscript"/>
          <w:lang w:val="en-GB"/>
        </w:rPr>
        <w:endnoteReference w:id="14"/>
      </w:r>
      <w:r w:rsidRPr="004A6259">
        <w:rPr>
          <w:lang w:val="en-GB"/>
        </w:rPr>
        <w:t xml:space="preserve"> </w:t>
      </w:r>
      <w:r>
        <w:rPr>
          <w:lang w:val="en-GB"/>
        </w:rPr>
        <w:t xml:space="preserve">Due </w:t>
      </w:r>
      <w:r w:rsidRPr="004A6259">
        <w:rPr>
          <w:lang w:val="en-GB"/>
        </w:rPr>
        <w:t>to prevalent societal norms</w:t>
      </w:r>
      <w:r>
        <w:rPr>
          <w:lang w:val="en-GB"/>
        </w:rPr>
        <w:t>, even</w:t>
      </w:r>
      <w:r w:rsidRPr="004A6259">
        <w:rPr>
          <w:lang w:val="en-GB"/>
        </w:rPr>
        <w:t xml:space="preserve"> in urban areas, women found it embarrassing to ask for or </w:t>
      </w:r>
      <w:r>
        <w:rPr>
          <w:lang w:val="en-GB"/>
        </w:rPr>
        <w:t>to purchase</w:t>
      </w:r>
      <w:r w:rsidRPr="004A6259">
        <w:rPr>
          <w:lang w:val="en-GB"/>
        </w:rPr>
        <w:t xml:space="preserve"> sanitary pads. </w:t>
      </w:r>
      <w:r>
        <w:rPr>
          <w:lang w:val="en-GB"/>
        </w:rPr>
        <w:t>As such, sellers</w:t>
      </w:r>
      <w:r w:rsidRPr="004A6259">
        <w:rPr>
          <w:lang w:val="en-GB"/>
        </w:rPr>
        <w:t xml:space="preserve"> typically packed </w:t>
      </w:r>
      <w:r>
        <w:rPr>
          <w:lang w:val="en-GB"/>
        </w:rPr>
        <w:t xml:space="preserve">feminine hygiene products </w:t>
      </w:r>
      <w:r w:rsidRPr="004A6259">
        <w:rPr>
          <w:lang w:val="en-GB"/>
        </w:rPr>
        <w:t>in black plastic bags or brown paper bags.</w:t>
      </w:r>
      <w:r w:rsidRPr="004A6259">
        <w:rPr>
          <w:vertAlign w:val="superscript"/>
          <w:lang w:val="en-GB"/>
        </w:rPr>
        <w:endnoteReference w:id="15"/>
      </w:r>
    </w:p>
    <w:p w14:paraId="611284E3" w14:textId="77777777" w:rsidR="003434E6" w:rsidRPr="004A6259" w:rsidRDefault="003434E6" w:rsidP="00882701">
      <w:pPr>
        <w:pStyle w:val="BodyTextMain"/>
        <w:rPr>
          <w:lang w:val="en-GB"/>
        </w:rPr>
      </w:pPr>
    </w:p>
    <w:p w14:paraId="59FAFAF7" w14:textId="05F9EC3D" w:rsidR="003434E6" w:rsidRPr="006E7D76" w:rsidRDefault="003434E6" w:rsidP="00882701">
      <w:pPr>
        <w:pStyle w:val="BodyTextMain"/>
      </w:pPr>
      <w:r w:rsidRPr="004A6259">
        <w:rPr>
          <w:lang w:val="en-GB"/>
        </w:rPr>
        <w:t>However, in the last decade</w:t>
      </w:r>
      <w:r>
        <w:rPr>
          <w:lang w:val="en-GB"/>
        </w:rPr>
        <w:t>,</w:t>
      </w:r>
      <w:r w:rsidRPr="004A6259">
        <w:rPr>
          <w:lang w:val="en-GB"/>
        </w:rPr>
        <w:t xml:space="preserve"> the </w:t>
      </w:r>
      <w:r>
        <w:rPr>
          <w:lang w:val="en-GB"/>
        </w:rPr>
        <w:t>Indian government,</w:t>
      </w:r>
      <w:r w:rsidRPr="004A6259">
        <w:rPr>
          <w:lang w:val="en-GB"/>
        </w:rPr>
        <w:t xml:space="preserve"> as well as several non-governmental organizations and women’s self-help groups across India</w:t>
      </w:r>
      <w:r>
        <w:rPr>
          <w:lang w:val="en-GB"/>
        </w:rPr>
        <w:t>,</w:t>
      </w:r>
      <w:r w:rsidRPr="004A6259">
        <w:rPr>
          <w:lang w:val="en-GB"/>
        </w:rPr>
        <w:t xml:space="preserve"> had carried out widespread awareness and education campaigns.</w:t>
      </w:r>
      <w:r w:rsidRPr="004A6259">
        <w:rPr>
          <w:vertAlign w:val="superscript"/>
          <w:lang w:val="en-GB"/>
        </w:rPr>
        <w:endnoteReference w:id="16"/>
      </w:r>
      <w:r w:rsidRPr="004A6259">
        <w:rPr>
          <w:lang w:val="en-GB"/>
        </w:rPr>
        <w:t xml:space="preserve"> In 2019</w:t>
      </w:r>
      <w:r>
        <w:rPr>
          <w:lang w:val="en-GB"/>
        </w:rPr>
        <w:t>,</w:t>
      </w:r>
      <w:r w:rsidRPr="004A6259">
        <w:rPr>
          <w:lang w:val="en-GB"/>
        </w:rPr>
        <w:t xml:space="preserve"> </w:t>
      </w:r>
      <w:r>
        <w:rPr>
          <w:lang w:val="en-GB"/>
        </w:rPr>
        <w:t>government</w:t>
      </w:r>
      <w:r w:rsidRPr="004A6259">
        <w:rPr>
          <w:lang w:val="en-GB"/>
        </w:rPr>
        <w:t xml:space="preserve"> of India campaigns </w:t>
      </w:r>
      <w:r>
        <w:rPr>
          <w:lang w:val="en-GB"/>
        </w:rPr>
        <w:t>such as</w:t>
      </w:r>
      <w:r w:rsidRPr="004A6259">
        <w:rPr>
          <w:lang w:val="en-GB"/>
        </w:rPr>
        <w:t xml:space="preserve"> </w:t>
      </w:r>
      <w:r>
        <w:rPr>
          <w:lang w:val="en-GB"/>
        </w:rPr>
        <w:t>“</w:t>
      </w:r>
      <w:r w:rsidRPr="004A6259">
        <w:rPr>
          <w:lang w:val="en-GB"/>
        </w:rPr>
        <w:t>Swachh India, Swasth India</w:t>
      </w:r>
      <w:r>
        <w:rPr>
          <w:lang w:val="en-GB"/>
        </w:rPr>
        <w:t>,”</w:t>
      </w:r>
      <w:r w:rsidRPr="004A6259">
        <w:rPr>
          <w:shd w:val="clear" w:color="auto" w:fill="FFFFFF"/>
          <w:vertAlign w:val="superscript"/>
          <w:lang w:val="en-GB" w:eastAsia="en-IN"/>
        </w:rPr>
        <w:endnoteReference w:id="17"/>
      </w:r>
      <w:r>
        <w:rPr>
          <w:shd w:val="clear" w:color="auto" w:fill="FFFFFF"/>
          <w:lang w:val="en-GB" w:eastAsia="en-IN"/>
        </w:rPr>
        <w:t xml:space="preserve"> </w:t>
      </w:r>
      <w:r w:rsidRPr="004A6259">
        <w:rPr>
          <w:lang w:val="en-GB" w:eastAsia="en-IN"/>
        </w:rPr>
        <w:t>supported by initiatives under the National Institute of Rural Development and Panchayati Raj (NIRDPR)</w:t>
      </w:r>
      <w:r>
        <w:rPr>
          <w:lang w:val="en-GB" w:eastAsia="en-IN"/>
        </w:rPr>
        <w:t>,</w:t>
      </w:r>
      <w:r w:rsidRPr="004A6259">
        <w:rPr>
          <w:lang w:val="en-GB" w:eastAsia="en-IN"/>
        </w:rPr>
        <w:t xml:space="preserve"> in partnership with </w:t>
      </w:r>
      <w:r>
        <w:rPr>
          <w:lang w:val="en-GB" w:eastAsia="en-IN"/>
        </w:rPr>
        <w:t xml:space="preserve">the </w:t>
      </w:r>
      <w:r w:rsidRPr="004A6259">
        <w:rPr>
          <w:lang w:val="en-GB" w:eastAsia="en-IN"/>
        </w:rPr>
        <w:t>public sector enterprise Bharat Dynamics Limited</w:t>
      </w:r>
      <w:r>
        <w:rPr>
          <w:lang w:val="en-GB" w:eastAsia="en-IN"/>
        </w:rPr>
        <w:t>,</w:t>
      </w:r>
      <w:r w:rsidRPr="004A6259">
        <w:rPr>
          <w:lang w:val="en-GB" w:eastAsia="en-IN"/>
        </w:rPr>
        <w:t xml:space="preserve"> were started to create awareness </w:t>
      </w:r>
      <w:r>
        <w:rPr>
          <w:lang w:val="en-GB" w:eastAsia="en-IN"/>
        </w:rPr>
        <w:t xml:space="preserve">of </w:t>
      </w:r>
      <w:r w:rsidRPr="004A6259">
        <w:rPr>
          <w:lang w:val="en-GB" w:eastAsia="en-IN"/>
        </w:rPr>
        <w:t>menstruation and menstrual hygiene among school-going female students attending government schools in India</w:t>
      </w:r>
      <w:r>
        <w:rPr>
          <w:lang w:val="en-GB" w:eastAsia="en-IN"/>
        </w:rPr>
        <w:t>.</w:t>
      </w:r>
      <w:r w:rsidRPr="004A6259">
        <w:rPr>
          <w:lang w:val="en-GB" w:eastAsia="en-IN"/>
        </w:rPr>
        <w:t xml:space="preserve"> </w:t>
      </w:r>
      <w:r>
        <w:rPr>
          <w:lang w:val="en-GB" w:eastAsia="en-IN"/>
        </w:rPr>
        <w:t>The</w:t>
      </w:r>
      <w:r w:rsidRPr="004A6259">
        <w:rPr>
          <w:lang w:val="en-GB" w:eastAsia="en-IN"/>
        </w:rPr>
        <w:t xml:space="preserve"> pilot </w:t>
      </w:r>
      <w:r w:rsidRPr="004A6259">
        <w:rPr>
          <w:lang w:val="en-GB" w:eastAsia="en-IN"/>
        </w:rPr>
        <w:lastRenderedPageBreak/>
        <w:t xml:space="preserve">project was rolled </w:t>
      </w:r>
      <w:r>
        <w:rPr>
          <w:lang w:val="en-GB" w:eastAsia="en-IN"/>
        </w:rPr>
        <w:t xml:space="preserve">out </w:t>
      </w:r>
      <w:r w:rsidRPr="004A6259">
        <w:rPr>
          <w:lang w:val="en-GB" w:eastAsia="en-IN"/>
        </w:rPr>
        <w:t>to benefit 11,516 students on a test basis.</w:t>
      </w:r>
      <w:r w:rsidRPr="004A6259">
        <w:rPr>
          <w:vertAlign w:val="superscript"/>
          <w:lang w:val="en-GB" w:eastAsia="en-IN"/>
        </w:rPr>
        <w:endnoteReference w:id="18"/>
      </w:r>
      <w:r>
        <w:rPr>
          <w:lang w:val="en-GB" w:eastAsia="en-IN"/>
        </w:rPr>
        <w:t xml:space="preserve"> </w:t>
      </w:r>
      <w:r>
        <w:rPr>
          <w:lang w:val="en-GB"/>
        </w:rPr>
        <w:t>A</w:t>
      </w:r>
      <w:r w:rsidRPr="004A6259">
        <w:rPr>
          <w:lang w:val="en-GB"/>
        </w:rPr>
        <w:t xml:space="preserve"> host of related activities</w:t>
      </w:r>
      <w:r>
        <w:rPr>
          <w:lang w:val="en-GB"/>
        </w:rPr>
        <w:t>, such as</w:t>
      </w:r>
      <w:r w:rsidRPr="004A6259">
        <w:rPr>
          <w:lang w:val="en-GB"/>
        </w:rPr>
        <w:t xml:space="preserve"> </w:t>
      </w:r>
      <w:r>
        <w:rPr>
          <w:lang w:val="en-GB"/>
        </w:rPr>
        <w:t>the</w:t>
      </w:r>
      <w:r w:rsidRPr="004A6259">
        <w:rPr>
          <w:lang w:val="en-GB"/>
        </w:rPr>
        <w:t xml:space="preserve"> free distribution of sanitary pads</w:t>
      </w:r>
      <w:r>
        <w:rPr>
          <w:lang w:val="en-GB"/>
        </w:rPr>
        <w:t>,</w:t>
      </w:r>
      <w:r w:rsidRPr="004A6259">
        <w:rPr>
          <w:lang w:val="en-GB"/>
        </w:rPr>
        <w:t xml:space="preserve"> were additionally used to inculcate usage. The release of popular commercial films</w:t>
      </w:r>
      <w:r>
        <w:rPr>
          <w:lang w:val="en-GB"/>
        </w:rPr>
        <w:t>,</w:t>
      </w:r>
      <w:r w:rsidRPr="004A6259">
        <w:rPr>
          <w:lang w:val="en-GB"/>
        </w:rPr>
        <w:t xml:space="preserve"> </w:t>
      </w:r>
      <w:r>
        <w:rPr>
          <w:lang w:val="en-GB"/>
        </w:rPr>
        <w:t>such as the 2018 film</w:t>
      </w:r>
      <w:r w:rsidRPr="004A6259">
        <w:rPr>
          <w:lang w:val="en-GB"/>
        </w:rPr>
        <w:t xml:space="preserve"> </w:t>
      </w:r>
      <w:r w:rsidRPr="00CA2239">
        <w:rPr>
          <w:i/>
          <w:iCs/>
          <w:lang w:val="en-GB"/>
        </w:rPr>
        <w:t>Pad Man</w:t>
      </w:r>
      <w:r w:rsidRPr="004A6259">
        <w:rPr>
          <w:lang w:val="en-GB"/>
        </w:rPr>
        <w:t xml:space="preserve">, encouraged a host of private players and self-help groups to start manufacturing </w:t>
      </w:r>
      <w:r>
        <w:rPr>
          <w:lang w:val="en-GB"/>
        </w:rPr>
        <w:t>low-cost</w:t>
      </w:r>
      <w:r w:rsidRPr="004A6259">
        <w:rPr>
          <w:lang w:val="en-GB"/>
        </w:rPr>
        <w:t xml:space="preserve"> sanitary napkins</w:t>
      </w:r>
      <w:r w:rsidRPr="006E7D76">
        <w:rPr>
          <w:sz w:val="20"/>
          <w:szCs w:val="20"/>
          <w:lang w:val="en-GB"/>
        </w:rPr>
        <w:t>.</w:t>
      </w:r>
      <w:r w:rsidRPr="006E7D76">
        <w:rPr>
          <w:sz w:val="20"/>
          <w:szCs w:val="20"/>
          <w:vertAlign w:val="superscript"/>
          <w:lang w:val="en-GB"/>
        </w:rPr>
        <w:endnoteReference w:id="19"/>
      </w:r>
      <w:r w:rsidRPr="006E7D76">
        <w:rPr>
          <w:sz w:val="20"/>
          <w:szCs w:val="20"/>
          <w:lang w:val="en-GB"/>
        </w:rPr>
        <w:t xml:space="preserve"> </w:t>
      </w:r>
      <w:r w:rsidRPr="006E7D76">
        <w:t>In 2019, the Centre for Corporate Social Responsibility, Public Private Partnership and People’s Action, NIRDPR</w:t>
      </w:r>
      <w:r>
        <w:t>,</w:t>
      </w:r>
      <w:r w:rsidRPr="006E7D76">
        <w:t xml:space="preserve"> received funding worth ₹7.182 million from Bharat Dynamics Limited. Murugesan</w:t>
      </w:r>
      <w:r>
        <w:t xml:space="preserve"> Ramasamy</w:t>
      </w:r>
      <w:r w:rsidRPr="006E7D76">
        <w:t>, head of the centre, said,</w:t>
      </w:r>
    </w:p>
    <w:p w14:paraId="5C93E458" w14:textId="77777777" w:rsidR="003434E6" w:rsidRDefault="003434E6" w:rsidP="00882701">
      <w:pPr>
        <w:pStyle w:val="BodyTextMain"/>
        <w:rPr>
          <w:lang w:val="en-GB" w:eastAsia="en-IN"/>
        </w:rPr>
      </w:pPr>
    </w:p>
    <w:p w14:paraId="4DFB8DC4" w14:textId="5FE88D44" w:rsidR="003434E6" w:rsidRPr="007F3737" w:rsidRDefault="003434E6" w:rsidP="00635388">
      <w:pPr>
        <w:pStyle w:val="BodyTextMain"/>
        <w:ind w:left="720"/>
        <w:rPr>
          <w:spacing w:val="-2"/>
          <w:lang w:val="en-GB" w:eastAsia="en-IN"/>
        </w:rPr>
      </w:pPr>
      <w:r w:rsidRPr="007F3737">
        <w:rPr>
          <w:spacing w:val="-2"/>
          <w:lang w:val="en-GB" w:eastAsia="en-IN"/>
        </w:rPr>
        <w:t>We have prepared information, education and communication material in both Telugu</w:t>
      </w:r>
      <w:r w:rsidRPr="007F3737">
        <w:rPr>
          <w:spacing w:val="-2"/>
          <w:vertAlign w:val="superscript"/>
          <w:lang w:val="en-GB" w:eastAsia="en-IN"/>
        </w:rPr>
        <w:endnoteReference w:id="20"/>
      </w:r>
      <w:r w:rsidRPr="007F3737">
        <w:rPr>
          <w:spacing w:val="-2"/>
          <w:lang w:val="en-GB" w:eastAsia="en-IN"/>
        </w:rPr>
        <w:t xml:space="preserve"> and English languages which may be useful not only for the students but also for other women in the villages. For procuring the sanitary napkins, we are giving importance to Self Help Group entrepreneurs who produce them and also call for open tenders for meeting additional requirements if any.</w:t>
      </w:r>
      <w:r w:rsidRPr="007F3737">
        <w:rPr>
          <w:spacing w:val="-2"/>
          <w:vertAlign w:val="superscript"/>
          <w:lang w:val="en-GB" w:eastAsia="en-IN"/>
        </w:rPr>
        <w:endnoteReference w:id="21"/>
      </w:r>
      <w:r w:rsidRPr="007F3737">
        <w:rPr>
          <w:spacing w:val="-2"/>
          <w:lang w:val="en-GB" w:eastAsia="en-IN"/>
        </w:rPr>
        <w:t xml:space="preserve"> </w:t>
      </w:r>
    </w:p>
    <w:p w14:paraId="44AB451E" w14:textId="77777777" w:rsidR="003434E6" w:rsidRDefault="003434E6" w:rsidP="00635388">
      <w:pPr>
        <w:pStyle w:val="BodyTextMain"/>
        <w:rPr>
          <w:lang w:val="en-GB" w:eastAsia="en-IN"/>
        </w:rPr>
      </w:pPr>
    </w:p>
    <w:p w14:paraId="1E80EF4E" w14:textId="21B8DF1F" w:rsidR="003434E6" w:rsidRPr="004A6259" w:rsidRDefault="003434E6" w:rsidP="00D03D97">
      <w:pPr>
        <w:pStyle w:val="BodyTextMain"/>
        <w:rPr>
          <w:lang w:val="en-GB" w:eastAsia="en-IN"/>
        </w:rPr>
      </w:pPr>
      <w:r w:rsidRPr="004A6259">
        <w:rPr>
          <w:lang w:val="en-GB" w:eastAsia="en-IN"/>
        </w:rPr>
        <w:t>T</w:t>
      </w:r>
      <w:r w:rsidRPr="004A6259">
        <w:rPr>
          <w:lang w:val="en-GB"/>
        </w:rPr>
        <w:t xml:space="preserve">hese initiatives were supported by </w:t>
      </w:r>
      <w:r>
        <w:rPr>
          <w:lang w:val="en-GB"/>
        </w:rPr>
        <w:t>g</w:t>
      </w:r>
      <w:r w:rsidRPr="004A6259">
        <w:rPr>
          <w:lang w:val="en-GB"/>
        </w:rPr>
        <w:t xml:space="preserve">overnment measures that exempted female hygiene products </w:t>
      </w:r>
      <w:r>
        <w:rPr>
          <w:lang w:val="en-GB"/>
        </w:rPr>
        <w:t xml:space="preserve">such as </w:t>
      </w:r>
      <w:r w:rsidRPr="004A6259">
        <w:rPr>
          <w:lang w:val="en-GB"/>
        </w:rPr>
        <w:t xml:space="preserve">tampons and sanitary napkins </w:t>
      </w:r>
      <w:r>
        <w:rPr>
          <w:lang w:val="en-GB"/>
        </w:rPr>
        <w:t>from goods and services tax</w:t>
      </w:r>
      <w:r w:rsidRPr="004A6259">
        <w:rPr>
          <w:lang w:val="en-GB"/>
        </w:rPr>
        <w:t xml:space="preserve"> in 2018.</w:t>
      </w:r>
      <w:r w:rsidRPr="004A6259">
        <w:rPr>
          <w:vertAlign w:val="superscript"/>
          <w:lang w:val="en-GB"/>
        </w:rPr>
        <w:endnoteReference w:id="22"/>
      </w:r>
    </w:p>
    <w:p w14:paraId="536939F5" w14:textId="77777777" w:rsidR="003434E6" w:rsidRPr="004A6259" w:rsidRDefault="003434E6" w:rsidP="00B955A7">
      <w:pPr>
        <w:pStyle w:val="BodyTextMain"/>
        <w:rPr>
          <w:lang w:val="en-GB"/>
        </w:rPr>
      </w:pPr>
    </w:p>
    <w:p w14:paraId="06E155CE" w14:textId="77777777" w:rsidR="003434E6" w:rsidRPr="004A6259" w:rsidRDefault="003434E6" w:rsidP="00B955A7">
      <w:pPr>
        <w:pStyle w:val="BodyTextMain"/>
        <w:rPr>
          <w:lang w:val="en-GB"/>
        </w:rPr>
      </w:pPr>
    </w:p>
    <w:p w14:paraId="0DA58599" w14:textId="77777777" w:rsidR="003434E6" w:rsidRPr="004A6259" w:rsidRDefault="003434E6" w:rsidP="007F3737">
      <w:pPr>
        <w:pStyle w:val="Casehead1"/>
        <w:keepNext/>
        <w:rPr>
          <w:lang w:val="en-GB"/>
        </w:rPr>
      </w:pPr>
      <w:r w:rsidRPr="004A6259">
        <w:rPr>
          <w:lang w:val="en-GB"/>
        </w:rPr>
        <w:t>Sirona HygiEne Private Limited</w:t>
      </w:r>
    </w:p>
    <w:p w14:paraId="2202F62E" w14:textId="77777777" w:rsidR="003434E6" w:rsidRPr="004A6259" w:rsidRDefault="003434E6" w:rsidP="007F3737">
      <w:pPr>
        <w:pStyle w:val="BodyTextMain"/>
        <w:keepNext/>
        <w:rPr>
          <w:lang w:val="en-GB"/>
        </w:rPr>
      </w:pPr>
    </w:p>
    <w:p w14:paraId="66AB1402" w14:textId="3B491609" w:rsidR="003434E6" w:rsidRPr="007F3737" w:rsidRDefault="003434E6" w:rsidP="007F3737">
      <w:pPr>
        <w:pStyle w:val="BodyTextMain"/>
        <w:keepNext/>
        <w:rPr>
          <w:spacing w:val="-2"/>
          <w:lang w:val="en-GB"/>
        </w:rPr>
      </w:pPr>
      <w:r w:rsidRPr="007F3737">
        <w:rPr>
          <w:spacing w:val="-2"/>
          <w:lang w:val="en-GB"/>
        </w:rPr>
        <w:t>After completing his master’s degree in marketing in Australia, Deep had made up his mind to become an entrepreneur. In 2006, he started an event management company with his friend, managing mega-events, concerts with international artists, and fashion shows. However, by the end of 2010, the partners decided to part ways, and Deep joined Rashi’s handmade carpets business. In 2013, while on a road trip with Rashi, Deep realized the difficulties that unhygienic toilets created for women. After multiple iterations, he came up with a prototype for a foldable funnel-like product made of paper, which enabled women to stand while they urinated. PeeBuddy was born, and after acquiring a design patent in 2015,</w:t>
      </w:r>
      <w:r w:rsidRPr="007F3737">
        <w:rPr>
          <w:spacing w:val="-2"/>
          <w:vertAlign w:val="superscript"/>
          <w:lang w:val="en-GB"/>
        </w:rPr>
        <w:t xml:space="preserve"> </w:t>
      </w:r>
      <w:r w:rsidRPr="007F3737">
        <w:rPr>
          <w:spacing w:val="-2"/>
          <w:lang w:val="en-GB"/>
        </w:rPr>
        <w:t>Deep launched the product under his newly founded company—</w:t>
      </w:r>
      <w:bookmarkStart w:id="10" w:name="_Hlk58918451"/>
      <w:r w:rsidRPr="007F3737">
        <w:rPr>
          <w:spacing w:val="-2"/>
          <w:lang w:val="en-GB"/>
        </w:rPr>
        <w:t>First Step Digital Private Limited</w:t>
      </w:r>
      <w:bookmarkEnd w:id="10"/>
      <w:r w:rsidRPr="007F3737">
        <w:rPr>
          <w:spacing w:val="-2"/>
          <w:lang w:val="en-GB"/>
        </w:rPr>
        <w:t>, registered in Gurgaon and situated in the National Capital Region (NCR) of India.</w:t>
      </w:r>
      <w:r w:rsidRPr="007F3737">
        <w:rPr>
          <w:spacing w:val="-2"/>
          <w:vertAlign w:val="superscript"/>
          <w:lang w:val="en-GB"/>
        </w:rPr>
        <w:endnoteReference w:id="23"/>
      </w:r>
      <w:r w:rsidRPr="007F3737">
        <w:rPr>
          <w:spacing w:val="-2"/>
          <w:lang w:val="en-GB"/>
        </w:rPr>
        <w:t xml:space="preserve"> Deep handled sales, marketing, and public relations, while his brother Mohit handled accounts, finance, and production. Deep said, “Initially, the company remained only about PeeBuddy, and we continued to operate in a bootstrap mode for two years, till I realized that there was a much larger problem of women’s hygiene.”</w:t>
      </w:r>
      <w:r w:rsidRPr="007F3737">
        <w:rPr>
          <w:spacing w:val="-2"/>
          <w:vertAlign w:val="superscript"/>
          <w:lang w:val="en-GB"/>
        </w:rPr>
        <w:endnoteReference w:id="24"/>
      </w:r>
      <w:r w:rsidRPr="007F3737">
        <w:rPr>
          <w:spacing w:val="-2"/>
          <w:lang w:val="en-GB" w:eastAsia="en-IN"/>
        </w:rPr>
        <w:t xml:space="preserve"> During this time, </w:t>
      </w:r>
      <w:r w:rsidRPr="007F3737">
        <w:rPr>
          <w:spacing w:val="-2"/>
          <w:lang w:val="en-GB"/>
        </w:rPr>
        <w:t>Deep</w:t>
      </w:r>
      <w:r w:rsidRPr="007F3737">
        <w:rPr>
          <w:spacing w:val="-2"/>
          <w:lang w:val="en-GB" w:eastAsia="en-IN"/>
        </w:rPr>
        <w:t xml:space="preserve"> invested </w:t>
      </w:r>
      <w:r w:rsidRPr="007F3737">
        <w:rPr>
          <w:rFonts w:ascii="Arial" w:hAnsi="Arial" w:cs="Arial"/>
          <w:spacing w:val="-2"/>
          <w:lang w:val="en-GB" w:eastAsia="en-IN"/>
        </w:rPr>
        <w:t>₹</w:t>
      </w:r>
      <w:r w:rsidRPr="007F3737">
        <w:rPr>
          <w:spacing w:val="-2"/>
          <w:lang w:val="en-GB" w:eastAsia="en-IN"/>
        </w:rPr>
        <w:t>8 million</w:t>
      </w:r>
      <w:r w:rsidRPr="007F3737">
        <w:rPr>
          <w:spacing w:val="-2"/>
          <w:lang w:val="en-GB" w:eastAsia="en-IN"/>
        </w:rPr>
        <w:sym w:font="Symbol" w:char="F02D"/>
      </w:r>
      <w:r w:rsidRPr="007F3737">
        <w:rPr>
          <w:rFonts w:ascii="Arial" w:hAnsi="Arial" w:cs="Arial"/>
          <w:spacing w:val="-2"/>
          <w:lang w:val="en-GB" w:eastAsia="en-IN"/>
        </w:rPr>
        <w:t>₹</w:t>
      </w:r>
      <w:r w:rsidRPr="007F3737">
        <w:rPr>
          <w:spacing w:val="-2"/>
          <w:lang w:val="en-GB" w:eastAsia="en-IN"/>
        </w:rPr>
        <w:t>9 million in the company, with some of his friends also providing some funding, as they saw great potential in the product.</w:t>
      </w:r>
    </w:p>
    <w:p w14:paraId="4C2B6DA3" w14:textId="77777777" w:rsidR="003434E6" w:rsidRPr="004A6259" w:rsidRDefault="003434E6" w:rsidP="00882701">
      <w:pPr>
        <w:pStyle w:val="BodyTextMain"/>
        <w:rPr>
          <w:lang w:val="en-GB"/>
        </w:rPr>
      </w:pPr>
    </w:p>
    <w:p w14:paraId="3919E90C" w14:textId="5B589852" w:rsidR="003434E6" w:rsidRPr="004A6259" w:rsidRDefault="003434E6" w:rsidP="00882701">
      <w:pPr>
        <w:pStyle w:val="BodyTextMain"/>
        <w:rPr>
          <w:lang w:val="en-GB"/>
        </w:rPr>
      </w:pPr>
      <w:r w:rsidRPr="004A6259">
        <w:rPr>
          <w:lang w:val="en-GB" w:eastAsia="en-IN"/>
        </w:rPr>
        <w:t xml:space="preserve">In 2017, </w:t>
      </w:r>
      <w:r>
        <w:rPr>
          <w:lang w:val="en-GB"/>
        </w:rPr>
        <w:t>Deep</w:t>
      </w:r>
      <w:r w:rsidRPr="004A6259">
        <w:rPr>
          <w:lang w:val="en-GB" w:eastAsia="en-IN"/>
        </w:rPr>
        <w:t xml:space="preserve"> garnered considerable publicity when he won the CNBC</w:t>
      </w:r>
      <w:r>
        <w:rPr>
          <w:lang w:val="en-GB" w:eastAsia="en-IN"/>
        </w:rPr>
        <w:t>-TB18’s</w:t>
      </w:r>
      <w:r w:rsidRPr="004A6259">
        <w:rPr>
          <w:lang w:val="en-GB" w:eastAsia="en-IN"/>
        </w:rPr>
        <w:t xml:space="preserve"> </w:t>
      </w:r>
      <w:r w:rsidRPr="00CA2239">
        <w:rPr>
          <w:i/>
          <w:iCs/>
          <w:lang w:val="en-GB" w:eastAsia="en-IN"/>
        </w:rPr>
        <w:t>Young Turks</w:t>
      </w:r>
      <w:r w:rsidRPr="004A6259">
        <w:rPr>
          <w:lang w:val="en-GB" w:eastAsia="en-IN"/>
        </w:rPr>
        <w:t xml:space="preserve"> competition for start-ups. In March 2017</w:t>
      </w:r>
      <w:r>
        <w:rPr>
          <w:lang w:val="en-GB" w:eastAsia="en-IN"/>
        </w:rPr>
        <w:t>,</w:t>
      </w:r>
      <w:r w:rsidRPr="004A6259">
        <w:rPr>
          <w:lang w:val="en-GB" w:eastAsia="en-IN"/>
        </w:rPr>
        <w:t xml:space="preserve"> India Angel Network invested </w:t>
      </w:r>
      <w:r>
        <w:rPr>
          <w:rFonts w:ascii="Arial" w:hAnsi="Arial" w:cs="Arial"/>
          <w:lang w:val="en-GB" w:eastAsia="en-IN"/>
        </w:rPr>
        <w:t>₹</w:t>
      </w:r>
      <w:r w:rsidRPr="004A6259">
        <w:rPr>
          <w:lang w:val="en-GB" w:eastAsia="en-IN"/>
        </w:rPr>
        <w:t>29.6 million in the business</w:t>
      </w:r>
      <w:r>
        <w:rPr>
          <w:lang w:val="en-GB" w:eastAsia="en-IN"/>
        </w:rPr>
        <w:t>,</w:t>
      </w:r>
      <w:r w:rsidRPr="004A6259">
        <w:rPr>
          <w:lang w:val="en-GB" w:eastAsia="en-IN"/>
        </w:rPr>
        <w:t xml:space="preserve"> based on </w:t>
      </w:r>
      <w:r>
        <w:rPr>
          <w:lang w:val="en-GB" w:eastAsia="en-IN"/>
        </w:rPr>
        <w:t>its</w:t>
      </w:r>
      <w:r w:rsidRPr="004A6259">
        <w:rPr>
          <w:lang w:val="en-GB" w:eastAsia="en-IN"/>
        </w:rPr>
        <w:t xml:space="preserve"> evaluation of </w:t>
      </w:r>
      <w:r>
        <w:rPr>
          <w:lang w:val="en-GB" w:eastAsia="en-IN"/>
        </w:rPr>
        <w:t>the worth of Deep’s</w:t>
      </w:r>
      <w:r w:rsidRPr="004A6259">
        <w:rPr>
          <w:lang w:val="en-GB" w:eastAsia="en-IN"/>
        </w:rPr>
        <w:t xml:space="preserve"> business (</w:t>
      </w:r>
      <w:r>
        <w:rPr>
          <w:rFonts w:ascii="Arial" w:hAnsi="Arial" w:cs="Arial"/>
          <w:lang w:val="en-GB" w:eastAsia="en-IN"/>
        </w:rPr>
        <w:t>₹</w:t>
      </w:r>
      <w:r w:rsidRPr="004A6259">
        <w:rPr>
          <w:lang w:val="en-GB" w:eastAsia="en-IN"/>
        </w:rPr>
        <w:t>150 million). This enabled the firm to introduce a host of products.</w:t>
      </w:r>
      <w:r w:rsidRPr="004A6259">
        <w:rPr>
          <w:vertAlign w:val="superscript"/>
          <w:lang w:val="en-GB" w:eastAsia="en-IN"/>
        </w:rPr>
        <w:endnoteReference w:id="25"/>
      </w:r>
      <w:r w:rsidRPr="004A6259">
        <w:rPr>
          <w:lang w:val="en-GB" w:eastAsia="en-IN"/>
        </w:rPr>
        <w:t xml:space="preserve"> The company reported a </w:t>
      </w:r>
      <w:r w:rsidRPr="004A6259">
        <w:rPr>
          <w:shd w:val="clear" w:color="auto" w:fill="FFFFFF"/>
          <w:lang w:val="en-GB"/>
        </w:rPr>
        <w:t xml:space="preserve">turnover of </w:t>
      </w:r>
      <w:r>
        <w:rPr>
          <w:rFonts w:ascii="Arial" w:hAnsi="Arial" w:cs="Arial"/>
          <w:shd w:val="clear" w:color="auto" w:fill="FFFFFF"/>
          <w:lang w:val="en-GB"/>
        </w:rPr>
        <w:t>₹</w:t>
      </w:r>
      <w:r w:rsidRPr="004A6259">
        <w:rPr>
          <w:shd w:val="clear" w:color="auto" w:fill="FFFFFF"/>
          <w:lang w:val="en-GB"/>
        </w:rPr>
        <w:t>10 million in</w:t>
      </w:r>
      <w:r>
        <w:rPr>
          <w:shd w:val="clear" w:color="auto" w:fill="FFFFFF"/>
          <w:lang w:val="en-GB"/>
        </w:rPr>
        <w:t xml:space="preserve"> fiscal year (FY) </w:t>
      </w:r>
      <w:r w:rsidRPr="004A6259">
        <w:rPr>
          <w:shd w:val="clear" w:color="auto" w:fill="FFFFFF"/>
          <w:lang w:val="en-GB"/>
        </w:rPr>
        <w:t>2016</w:t>
      </w:r>
      <w:r>
        <w:rPr>
          <w:shd w:val="clear" w:color="auto" w:fill="FFFFFF"/>
          <w:lang w:val="en-GB"/>
        </w:rPr>
        <w:t>–</w:t>
      </w:r>
      <w:r w:rsidRPr="004A6259">
        <w:rPr>
          <w:shd w:val="clear" w:color="auto" w:fill="FFFFFF"/>
          <w:lang w:val="en-GB"/>
        </w:rPr>
        <w:t xml:space="preserve">17 and </w:t>
      </w:r>
      <w:r>
        <w:rPr>
          <w:shd w:val="clear" w:color="auto" w:fill="FFFFFF"/>
          <w:lang w:val="en-GB"/>
        </w:rPr>
        <w:t>reached about</w:t>
      </w:r>
      <w:r w:rsidRPr="004A6259">
        <w:rPr>
          <w:shd w:val="clear" w:color="auto" w:fill="FFFFFF"/>
          <w:lang w:val="en-GB"/>
        </w:rPr>
        <w:t xml:space="preserve"> </w:t>
      </w:r>
      <w:r>
        <w:rPr>
          <w:rFonts w:ascii="Arial" w:hAnsi="Arial" w:cs="Arial"/>
          <w:shd w:val="clear" w:color="auto" w:fill="FFFFFF"/>
          <w:lang w:val="en-GB"/>
        </w:rPr>
        <w:t>₹</w:t>
      </w:r>
      <w:r>
        <w:rPr>
          <w:shd w:val="clear" w:color="auto" w:fill="FFFFFF"/>
          <w:lang w:val="en-GB"/>
        </w:rPr>
        <w:t>2</w:t>
      </w:r>
      <w:r w:rsidRPr="004A6259">
        <w:rPr>
          <w:shd w:val="clear" w:color="auto" w:fill="FFFFFF"/>
          <w:lang w:val="en-GB"/>
        </w:rPr>
        <w:t>5 million in</w:t>
      </w:r>
      <w:r>
        <w:rPr>
          <w:shd w:val="clear" w:color="auto" w:fill="FFFFFF"/>
          <w:lang w:val="en-GB"/>
        </w:rPr>
        <w:t xml:space="preserve"> FY</w:t>
      </w:r>
      <w:r w:rsidRPr="004A6259">
        <w:rPr>
          <w:shd w:val="clear" w:color="auto" w:fill="FFFFFF"/>
          <w:lang w:val="en-GB"/>
        </w:rPr>
        <w:t xml:space="preserve"> 2017</w:t>
      </w:r>
      <w:r>
        <w:rPr>
          <w:shd w:val="clear" w:color="auto" w:fill="FFFFFF"/>
          <w:lang w:val="en-GB"/>
        </w:rPr>
        <w:t>–</w:t>
      </w:r>
      <w:r w:rsidRPr="004A6259">
        <w:rPr>
          <w:shd w:val="clear" w:color="auto" w:fill="FFFFFF"/>
          <w:lang w:val="en-GB"/>
        </w:rPr>
        <w:t xml:space="preserve">18 (see </w:t>
      </w:r>
      <w:r>
        <w:rPr>
          <w:bCs/>
          <w:shd w:val="clear" w:color="auto" w:fill="FFFFFF"/>
          <w:lang w:val="en-GB"/>
        </w:rPr>
        <w:t>Exhibits 2 and 3</w:t>
      </w:r>
      <w:r w:rsidRPr="004A6259">
        <w:rPr>
          <w:shd w:val="clear" w:color="auto" w:fill="FFFFFF"/>
          <w:lang w:val="en-GB"/>
        </w:rPr>
        <w:t>).</w:t>
      </w:r>
      <w:r w:rsidRPr="004A6259">
        <w:rPr>
          <w:shd w:val="clear" w:color="auto" w:fill="FFFFFF"/>
          <w:vertAlign w:val="superscript"/>
          <w:lang w:val="en-GB"/>
        </w:rPr>
        <w:endnoteReference w:id="26"/>
      </w:r>
      <w:r w:rsidRPr="004A6259">
        <w:rPr>
          <w:shd w:val="clear" w:color="auto" w:fill="FFFFFF"/>
          <w:lang w:val="en-GB"/>
        </w:rPr>
        <w:t xml:space="preserve"> </w:t>
      </w:r>
      <w:r w:rsidRPr="004A6259">
        <w:rPr>
          <w:lang w:val="en-GB" w:eastAsia="en-IN"/>
        </w:rPr>
        <w:t xml:space="preserve">By April 2018, </w:t>
      </w:r>
      <w:r>
        <w:rPr>
          <w:lang w:val="en-GB" w:eastAsia="en-IN"/>
        </w:rPr>
        <w:t>1</w:t>
      </w:r>
      <w:r w:rsidRPr="004A6259">
        <w:rPr>
          <w:lang w:val="en-GB" w:eastAsia="en-IN"/>
        </w:rPr>
        <w:t xml:space="preserve"> million units of PeeBuddy </w:t>
      </w:r>
      <w:r>
        <w:rPr>
          <w:lang w:val="en-GB" w:eastAsia="en-IN"/>
        </w:rPr>
        <w:t>had been</w:t>
      </w:r>
      <w:r w:rsidRPr="004A6259">
        <w:rPr>
          <w:lang w:val="en-GB" w:eastAsia="en-IN"/>
        </w:rPr>
        <w:t xml:space="preserve"> sold.</w:t>
      </w:r>
      <w:r w:rsidRPr="004A6259">
        <w:rPr>
          <w:vertAlign w:val="superscript"/>
          <w:lang w:val="en-GB" w:eastAsia="en-IN"/>
        </w:rPr>
        <w:endnoteReference w:id="27"/>
      </w:r>
      <w:r w:rsidRPr="004A6259">
        <w:rPr>
          <w:lang w:val="en-GB" w:eastAsia="en-IN"/>
        </w:rPr>
        <w:t xml:space="preserve"> In 2019, the company managed a </w:t>
      </w:r>
      <w:r>
        <w:rPr>
          <w:lang w:val="en-GB" w:eastAsia="en-IN"/>
        </w:rPr>
        <w:t>follow-up</w:t>
      </w:r>
      <w:r w:rsidRPr="004A6259">
        <w:rPr>
          <w:lang w:val="en-GB" w:eastAsia="en-IN"/>
        </w:rPr>
        <w:t xml:space="preserve"> on investment from I</w:t>
      </w:r>
      <w:r>
        <w:rPr>
          <w:lang w:val="en-GB" w:eastAsia="en-IN"/>
        </w:rPr>
        <w:t xml:space="preserve">ndia </w:t>
      </w:r>
      <w:r w:rsidRPr="004A6259">
        <w:rPr>
          <w:lang w:val="en-GB" w:eastAsia="en-IN"/>
        </w:rPr>
        <w:t>A</w:t>
      </w:r>
      <w:r>
        <w:rPr>
          <w:lang w:val="en-GB" w:eastAsia="en-IN"/>
        </w:rPr>
        <w:t xml:space="preserve">ngel </w:t>
      </w:r>
      <w:r w:rsidRPr="004A6259">
        <w:rPr>
          <w:lang w:val="en-GB" w:eastAsia="en-IN"/>
        </w:rPr>
        <w:t>N</w:t>
      </w:r>
      <w:r>
        <w:rPr>
          <w:lang w:val="en-GB" w:eastAsia="en-IN"/>
        </w:rPr>
        <w:t>etwork</w:t>
      </w:r>
      <w:r w:rsidRPr="004A6259">
        <w:rPr>
          <w:lang w:val="en-GB" w:eastAsia="en-IN"/>
        </w:rPr>
        <w:t xml:space="preserve"> by provisioning 20 per cent of </w:t>
      </w:r>
      <w:r w:rsidRPr="004A6259">
        <w:rPr>
          <w:lang w:val="en-GB"/>
        </w:rPr>
        <w:t>First Step Digital Private Limited</w:t>
      </w:r>
      <w:r w:rsidRPr="004A6259">
        <w:rPr>
          <w:lang w:val="en-GB" w:eastAsia="en-IN"/>
        </w:rPr>
        <w:t>’s stocks.</w:t>
      </w:r>
      <w:r w:rsidRPr="004A6259">
        <w:rPr>
          <w:vertAlign w:val="superscript"/>
          <w:lang w:val="en-GB" w:eastAsia="en-IN"/>
        </w:rPr>
        <w:endnoteReference w:id="28"/>
      </w:r>
      <w:r w:rsidRPr="004A6259">
        <w:rPr>
          <w:lang w:val="en-GB" w:eastAsia="en-IN"/>
        </w:rPr>
        <w:t xml:space="preserve"> The remaining shares were held by the Bajaj brothers</w:t>
      </w:r>
      <w:r>
        <w:rPr>
          <w:lang w:val="en-GB" w:eastAsia="en-IN"/>
        </w:rPr>
        <w:t>,</w:t>
      </w:r>
      <w:r w:rsidRPr="004A6259">
        <w:rPr>
          <w:lang w:val="en-GB" w:eastAsia="en-IN"/>
        </w:rPr>
        <w:t xml:space="preserve"> with stock options for employees, friends</w:t>
      </w:r>
      <w:r>
        <w:rPr>
          <w:lang w:val="en-GB" w:eastAsia="en-IN"/>
        </w:rPr>
        <w:t>,</w:t>
      </w:r>
      <w:r w:rsidRPr="004A6259">
        <w:rPr>
          <w:lang w:val="en-GB" w:eastAsia="en-IN"/>
        </w:rPr>
        <w:t xml:space="preserve"> and </w:t>
      </w:r>
      <w:r>
        <w:rPr>
          <w:lang w:val="en-GB" w:eastAsia="en-IN"/>
        </w:rPr>
        <w:t>advisers</w:t>
      </w:r>
      <w:r w:rsidRPr="004A6259">
        <w:rPr>
          <w:lang w:val="en-GB" w:eastAsia="en-IN"/>
        </w:rPr>
        <w:t xml:space="preserve"> who had </w:t>
      </w:r>
      <w:r>
        <w:rPr>
          <w:lang w:val="en-GB" w:eastAsia="en-IN"/>
        </w:rPr>
        <w:t>invested in the company</w:t>
      </w:r>
      <w:r w:rsidRPr="004A6259">
        <w:rPr>
          <w:lang w:val="en-GB" w:eastAsia="en-IN"/>
        </w:rPr>
        <w:t>. In 2019,</w:t>
      </w:r>
      <w:r w:rsidRPr="004A6259">
        <w:rPr>
          <w:lang w:val="en-GB"/>
        </w:rPr>
        <w:t xml:space="preserve"> First Step Digital Private Limited</w:t>
      </w:r>
      <w:r w:rsidRPr="004A6259" w:rsidDel="00F42B3D">
        <w:rPr>
          <w:lang w:val="en-GB"/>
        </w:rPr>
        <w:t xml:space="preserve"> </w:t>
      </w:r>
      <w:r w:rsidRPr="004A6259">
        <w:rPr>
          <w:lang w:val="en-GB"/>
        </w:rPr>
        <w:t xml:space="preserve">was </w:t>
      </w:r>
      <w:r>
        <w:rPr>
          <w:lang w:val="en-GB"/>
        </w:rPr>
        <w:t>renamed</w:t>
      </w:r>
      <w:r w:rsidRPr="004A6259">
        <w:rPr>
          <w:lang w:val="en-GB"/>
        </w:rPr>
        <w:t xml:space="preserve"> Sirona Hygiene </w:t>
      </w:r>
      <w:r>
        <w:rPr>
          <w:lang w:val="en-GB"/>
        </w:rPr>
        <w:t>Private Limited.</w:t>
      </w:r>
      <w:r w:rsidRPr="004A6259">
        <w:rPr>
          <w:lang w:val="en-GB"/>
        </w:rPr>
        <w:t xml:space="preserve"> </w:t>
      </w:r>
      <w:r w:rsidRPr="00CA2239">
        <w:rPr>
          <w:i/>
          <w:iCs/>
          <w:lang w:val="en-GB"/>
        </w:rPr>
        <w:t>Sirona</w:t>
      </w:r>
      <w:r>
        <w:rPr>
          <w:lang w:val="en-GB"/>
        </w:rPr>
        <w:t>, chosen by Rashi,</w:t>
      </w:r>
      <w:r w:rsidRPr="004A6259">
        <w:rPr>
          <w:lang w:val="en-GB"/>
        </w:rPr>
        <w:t xml:space="preserve"> was the name of the Greek goddess of healing</w:t>
      </w:r>
      <w:r>
        <w:rPr>
          <w:lang w:val="en-GB"/>
        </w:rPr>
        <w:t>. As Deep recounted,</w:t>
      </w:r>
      <w:r w:rsidRPr="004A6259">
        <w:rPr>
          <w:lang w:val="en-GB"/>
        </w:rPr>
        <w:t xml:space="preserve"> “I wanted a name that was synonymous with hygiene.”</w:t>
      </w:r>
      <w:r w:rsidRPr="00267524">
        <w:rPr>
          <w:color w:val="000000"/>
          <w:lang w:val="en-GB"/>
        </w:rPr>
        <w:t xml:space="preserve"> </w:t>
      </w:r>
    </w:p>
    <w:p w14:paraId="320E3B3D" w14:textId="60EB9FB4" w:rsidR="003434E6" w:rsidRDefault="003434E6" w:rsidP="00882701">
      <w:pPr>
        <w:pStyle w:val="BodyTextMain"/>
        <w:rPr>
          <w:lang w:val="en-GB"/>
        </w:rPr>
      </w:pPr>
    </w:p>
    <w:p w14:paraId="68C274D3" w14:textId="77777777" w:rsidR="003434E6" w:rsidRPr="004A6259" w:rsidRDefault="003434E6" w:rsidP="00882701">
      <w:pPr>
        <w:pStyle w:val="BodyTextMain"/>
        <w:rPr>
          <w:lang w:val="en-GB"/>
        </w:rPr>
      </w:pPr>
    </w:p>
    <w:p w14:paraId="44C8C62D" w14:textId="2FC2E038" w:rsidR="003434E6" w:rsidRDefault="003434E6" w:rsidP="00CA2239">
      <w:pPr>
        <w:pStyle w:val="Casehead1"/>
        <w:rPr>
          <w:lang w:val="en-GB"/>
        </w:rPr>
      </w:pPr>
      <w:r w:rsidRPr="004A6259">
        <w:rPr>
          <w:lang w:val="en-GB"/>
        </w:rPr>
        <w:t>Business Philosophy</w:t>
      </w:r>
      <w:r>
        <w:rPr>
          <w:lang w:val="en-GB"/>
        </w:rPr>
        <w:t xml:space="preserve">: </w:t>
      </w:r>
      <w:r w:rsidRPr="004A6259">
        <w:rPr>
          <w:lang w:val="en-GB"/>
        </w:rPr>
        <w:t>Product Innovation</w:t>
      </w:r>
    </w:p>
    <w:p w14:paraId="50CA2324" w14:textId="77777777" w:rsidR="003434E6" w:rsidRDefault="003434E6" w:rsidP="00882701">
      <w:pPr>
        <w:pStyle w:val="BodyTextMain"/>
        <w:rPr>
          <w:lang w:val="en-GB"/>
        </w:rPr>
      </w:pPr>
    </w:p>
    <w:p w14:paraId="2589ACA7" w14:textId="6DD5619F" w:rsidR="003434E6" w:rsidRDefault="003434E6" w:rsidP="00882701">
      <w:pPr>
        <w:pStyle w:val="BodyTextMain"/>
        <w:rPr>
          <w:bCs/>
          <w:lang w:val="en-GB"/>
        </w:rPr>
      </w:pPr>
      <w:r>
        <w:rPr>
          <w:lang w:val="en-GB"/>
        </w:rPr>
        <w:t>Deep</w:t>
      </w:r>
      <w:r w:rsidRPr="004A6259">
        <w:rPr>
          <w:lang w:val="en-GB"/>
        </w:rPr>
        <w:t xml:space="preserve"> had a well-articulated business philosophy (see Exhibit</w:t>
      </w:r>
      <w:r w:rsidRPr="004A6259">
        <w:rPr>
          <w:caps/>
          <w:lang w:val="en-GB"/>
        </w:rPr>
        <w:t xml:space="preserve"> </w:t>
      </w:r>
      <w:r>
        <w:rPr>
          <w:caps/>
          <w:lang w:val="en-GB"/>
        </w:rPr>
        <w:t>4</w:t>
      </w:r>
      <w:r w:rsidRPr="004A6259">
        <w:rPr>
          <w:lang w:val="en-GB"/>
        </w:rPr>
        <w:t>)</w:t>
      </w:r>
      <w:r>
        <w:rPr>
          <w:bCs/>
          <w:lang w:val="en-GB"/>
        </w:rPr>
        <w:t>:</w:t>
      </w:r>
    </w:p>
    <w:p w14:paraId="04C4409B" w14:textId="77777777" w:rsidR="003434E6" w:rsidRDefault="003434E6" w:rsidP="00882701">
      <w:pPr>
        <w:pStyle w:val="BodyTextMain"/>
        <w:rPr>
          <w:bCs/>
          <w:lang w:val="en-GB"/>
        </w:rPr>
      </w:pPr>
    </w:p>
    <w:p w14:paraId="2D8B6BE4" w14:textId="21410022" w:rsidR="003434E6" w:rsidRDefault="003434E6" w:rsidP="00C6265B">
      <w:pPr>
        <w:pStyle w:val="BodyTextMain"/>
        <w:ind w:left="720"/>
        <w:rPr>
          <w:color w:val="000000"/>
          <w:lang w:val="en-GB" w:bidi="sa-IN"/>
        </w:rPr>
      </w:pPr>
      <w:r w:rsidRPr="004A6259">
        <w:rPr>
          <w:bCs/>
          <w:lang w:val="en-GB"/>
        </w:rPr>
        <w:lastRenderedPageBreak/>
        <w:t>We recognized that</w:t>
      </w:r>
      <w:r w:rsidRPr="004A6259">
        <w:rPr>
          <w:lang w:val="en-GB"/>
        </w:rPr>
        <w:t xml:space="preserve"> </w:t>
      </w:r>
      <w:r w:rsidRPr="004A6259">
        <w:rPr>
          <w:color w:val="000000"/>
          <w:lang w:val="en-GB" w:bidi="sa-IN"/>
        </w:rPr>
        <w:t xml:space="preserve">there are unaddressed feminine hygiene issues in India, which means uncomfortable living. So, we </w:t>
      </w:r>
      <w:r>
        <w:rPr>
          <w:color w:val="000000"/>
          <w:lang w:val="en-GB" w:bidi="sa-IN"/>
        </w:rPr>
        <w:t>focused</w:t>
      </w:r>
      <w:r w:rsidRPr="004A6259">
        <w:rPr>
          <w:color w:val="000000"/>
          <w:lang w:val="en-GB" w:bidi="sa-IN"/>
        </w:rPr>
        <w:t xml:space="preserve"> on providing customized hygiene solutions, convenience</w:t>
      </w:r>
      <w:r>
        <w:rPr>
          <w:color w:val="000000"/>
          <w:lang w:val="en-GB" w:bidi="sa-IN"/>
        </w:rPr>
        <w:t>,</w:t>
      </w:r>
      <w:r w:rsidRPr="004A6259">
        <w:rPr>
          <w:color w:val="000000"/>
          <w:lang w:val="en-GB" w:bidi="sa-IN"/>
        </w:rPr>
        <w:t xml:space="preserve"> and easy accessibility that ultimately translates into confidence </w:t>
      </w:r>
      <w:r>
        <w:rPr>
          <w:color w:val="000000"/>
          <w:lang w:val="en-GB" w:bidi="sa-IN"/>
        </w:rPr>
        <w:t>24-7</w:t>
      </w:r>
      <w:r w:rsidRPr="004A6259">
        <w:rPr>
          <w:color w:val="000000"/>
          <w:lang w:val="en-GB" w:bidi="sa-IN"/>
        </w:rPr>
        <w:t>. Because of our curated content</w:t>
      </w:r>
      <w:r>
        <w:rPr>
          <w:color w:val="000000"/>
          <w:lang w:val="en-GB" w:bidi="sa-IN"/>
        </w:rPr>
        <w:t>,</w:t>
      </w:r>
      <w:r w:rsidRPr="004A6259">
        <w:rPr>
          <w:color w:val="000000"/>
          <w:lang w:val="en-GB" w:bidi="sa-IN"/>
        </w:rPr>
        <w:t xml:space="preserve"> we are recommended by leading doctors and endorsed by loyal users.</w:t>
      </w:r>
    </w:p>
    <w:p w14:paraId="7A3AB4F2" w14:textId="77777777" w:rsidR="003434E6" w:rsidRDefault="003434E6" w:rsidP="00C6265B">
      <w:pPr>
        <w:pStyle w:val="BodyTextMain"/>
        <w:rPr>
          <w:color w:val="000000"/>
          <w:lang w:val="en-GB" w:bidi="sa-IN"/>
        </w:rPr>
      </w:pPr>
    </w:p>
    <w:p w14:paraId="1A2AF742" w14:textId="592BA263" w:rsidR="003434E6" w:rsidRDefault="003434E6" w:rsidP="00C6265B">
      <w:pPr>
        <w:pStyle w:val="BodyTextMain"/>
        <w:rPr>
          <w:color w:val="000000"/>
          <w:lang w:val="en-GB" w:bidi="sa-IN"/>
        </w:rPr>
      </w:pPr>
      <w:r>
        <w:rPr>
          <w:color w:val="000000"/>
          <w:lang w:val="en-GB" w:bidi="sa-IN"/>
        </w:rPr>
        <w:t>Deep added:</w:t>
      </w:r>
    </w:p>
    <w:p w14:paraId="5A35B96A" w14:textId="77777777" w:rsidR="003434E6" w:rsidRDefault="003434E6" w:rsidP="00C6265B">
      <w:pPr>
        <w:pStyle w:val="BodyTextMain"/>
        <w:rPr>
          <w:color w:val="000000"/>
          <w:lang w:val="en-GB" w:bidi="sa-IN"/>
        </w:rPr>
      </w:pPr>
    </w:p>
    <w:p w14:paraId="670370BE" w14:textId="6D6F8908" w:rsidR="003434E6" w:rsidRPr="004A6259" w:rsidRDefault="003434E6" w:rsidP="00CA2239">
      <w:pPr>
        <w:pStyle w:val="BodyTextMain"/>
        <w:ind w:left="720"/>
        <w:rPr>
          <w:lang w:val="en-GB"/>
        </w:rPr>
      </w:pPr>
      <w:r w:rsidRPr="004A6259">
        <w:rPr>
          <w:color w:val="000000"/>
          <w:lang w:val="en-GB" w:bidi="sa-IN"/>
        </w:rPr>
        <w:t xml:space="preserve">Product innovation is our root strength. </w:t>
      </w:r>
      <w:r w:rsidRPr="004A6259">
        <w:rPr>
          <w:lang w:val="en-GB"/>
        </w:rPr>
        <w:t>I always have a problem with status quo; when others are busy asking</w:t>
      </w:r>
      <w:r>
        <w:rPr>
          <w:lang w:val="en-GB"/>
        </w:rPr>
        <w:t>,</w:t>
      </w:r>
      <w:r w:rsidRPr="004A6259">
        <w:rPr>
          <w:lang w:val="en-GB"/>
        </w:rPr>
        <w:t xml:space="preserve"> </w:t>
      </w:r>
      <w:r>
        <w:rPr>
          <w:lang w:val="en-GB"/>
        </w:rPr>
        <w:t>W</w:t>
      </w:r>
      <w:r w:rsidRPr="004A6259">
        <w:rPr>
          <w:lang w:val="en-GB"/>
        </w:rPr>
        <w:t>hy</w:t>
      </w:r>
      <w:r>
        <w:rPr>
          <w:lang w:val="en-GB"/>
        </w:rPr>
        <w:t>?</w:t>
      </w:r>
      <w:r w:rsidRPr="004A6259">
        <w:rPr>
          <w:lang w:val="en-GB"/>
        </w:rPr>
        <w:t xml:space="preserve"> I always counter question and ask</w:t>
      </w:r>
      <w:r>
        <w:rPr>
          <w:lang w:val="en-GB"/>
        </w:rPr>
        <w:t>,</w:t>
      </w:r>
      <w:r w:rsidRPr="004A6259">
        <w:rPr>
          <w:lang w:val="en-GB"/>
        </w:rPr>
        <w:t xml:space="preserve"> Why </w:t>
      </w:r>
      <w:r>
        <w:rPr>
          <w:lang w:val="en-GB"/>
        </w:rPr>
        <w:t>n</w:t>
      </w:r>
      <w:r w:rsidRPr="004A6259">
        <w:rPr>
          <w:lang w:val="en-GB"/>
        </w:rPr>
        <w:t>ot? Unless you question and negate the existing</w:t>
      </w:r>
      <w:r>
        <w:rPr>
          <w:lang w:val="en-GB"/>
        </w:rPr>
        <w:t>,</w:t>
      </w:r>
      <w:r w:rsidRPr="004A6259">
        <w:rPr>
          <w:lang w:val="en-GB"/>
        </w:rPr>
        <w:t xml:space="preserve"> you cannot experiment and come up with the new. So constant innovation and creating what no one thought about is my credo in life as well as when I build Sirona.</w:t>
      </w:r>
    </w:p>
    <w:p w14:paraId="0A092436" w14:textId="77777777" w:rsidR="003434E6" w:rsidRPr="004A6259" w:rsidRDefault="003434E6" w:rsidP="00882701">
      <w:pPr>
        <w:pStyle w:val="BodyTextMain"/>
        <w:rPr>
          <w:color w:val="000000"/>
          <w:lang w:val="en-GB" w:bidi="sa-IN"/>
        </w:rPr>
      </w:pPr>
    </w:p>
    <w:p w14:paraId="38A2781F" w14:textId="6AE8FACE" w:rsidR="003434E6" w:rsidRDefault="003434E6" w:rsidP="00882701">
      <w:pPr>
        <w:pStyle w:val="BodyTextMain"/>
        <w:rPr>
          <w:lang w:val="en-GB"/>
        </w:rPr>
      </w:pPr>
      <w:r>
        <w:rPr>
          <w:lang w:val="en-GB"/>
        </w:rPr>
        <w:t>With regard to</w:t>
      </w:r>
      <w:r w:rsidRPr="004A6259">
        <w:rPr>
          <w:lang w:val="en-GB"/>
        </w:rPr>
        <w:t xml:space="preserve"> PeeBuddy, the first product the company launched, </w:t>
      </w:r>
      <w:r>
        <w:rPr>
          <w:lang w:val="en-GB"/>
        </w:rPr>
        <w:t>Deep</w:t>
      </w:r>
      <w:r w:rsidRPr="004A6259">
        <w:rPr>
          <w:lang w:val="en-GB"/>
        </w:rPr>
        <w:t xml:space="preserve"> </w:t>
      </w:r>
      <w:r>
        <w:rPr>
          <w:lang w:val="en-GB"/>
        </w:rPr>
        <w:t>emphasized</w:t>
      </w:r>
      <w:r w:rsidRPr="004A6259">
        <w:rPr>
          <w:lang w:val="en-GB"/>
        </w:rPr>
        <w:t>,</w:t>
      </w:r>
    </w:p>
    <w:p w14:paraId="7AD5B8F8" w14:textId="77777777" w:rsidR="003434E6" w:rsidRDefault="003434E6" w:rsidP="00882701">
      <w:pPr>
        <w:pStyle w:val="BodyTextMain"/>
        <w:rPr>
          <w:lang w:val="en-GB"/>
        </w:rPr>
      </w:pPr>
    </w:p>
    <w:p w14:paraId="1BBED069" w14:textId="22A88536" w:rsidR="003434E6" w:rsidRPr="004A6259" w:rsidRDefault="003434E6" w:rsidP="00CA2239">
      <w:pPr>
        <w:pStyle w:val="BodyTextMain"/>
        <w:ind w:left="720"/>
        <w:rPr>
          <w:lang w:val="en-GB"/>
        </w:rPr>
      </w:pPr>
      <w:r w:rsidRPr="004A6259">
        <w:rPr>
          <w:lang w:val="en-GB"/>
        </w:rPr>
        <w:t>Here, there was a product which nobody had heard</w:t>
      </w:r>
      <w:r>
        <w:rPr>
          <w:lang w:val="en-GB"/>
        </w:rPr>
        <w:t>;</w:t>
      </w:r>
      <w:r w:rsidRPr="004A6259">
        <w:rPr>
          <w:lang w:val="en-GB"/>
        </w:rPr>
        <w:t xml:space="preserve"> it did not exist, there was no </w:t>
      </w:r>
      <w:r>
        <w:rPr>
          <w:lang w:val="en-GB"/>
        </w:rPr>
        <w:t>Google</w:t>
      </w:r>
      <w:r w:rsidRPr="004A6259">
        <w:rPr>
          <w:lang w:val="en-GB"/>
        </w:rPr>
        <w:t xml:space="preserve"> searches around it</w:t>
      </w:r>
      <w:r>
        <w:rPr>
          <w:lang w:val="en-GB"/>
        </w:rPr>
        <w:t>; so</w:t>
      </w:r>
      <w:r w:rsidRPr="004A6259">
        <w:rPr>
          <w:lang w:val="en-GB"/>
        </w:rPr>
        <w:t xml:space="preserve"> we thought it will be equally challenging for us to market it. Whether it had worked anywhere in the world did not matter. I knew for a fact that in India, our women suffer because of this problem</w:t>
      </w:r>
      <w:r>
        <w:rPr>
          <w:lang w:val="en-GB"/>
        </w:rPr>
        <w:t>,</w:t>
      </w:r>
      <w:r w:rsidRPr="004A6259">
        <w:rPr>
          <w:lang w:val="en-GB"/>
        </w:rPr>
        <w:t xml:space="preserve"> day in and day out. Now, if we give them a solution</w:t>
      </w:r>
      <w:r>
        <w:rPr>
          <w:lang w:val="en-GB"/>
        </w:rPr>
        <w:t>,</w:t>
      </w:r>
      <w:r w:rsidRPr="004A6259">
        <w:rPr>
          <w:lang w:val="en-GB"/>
        </w:rPr>
        <w:t xml:space="preserve"> today’s women will not shy away from experimenting and trying new things. So, we started selling.</w:t>
      </w:r>
    </w:p>
    <w:p w14:paraId="024E06BE" w14:textId="77777777" w:rsidR="003434E6" w:rsidRPr="004A6259" w:rsidRDefault="003434E6" w:rsidP="00882701">
      <w:pPr>
        <w:pStyle w:val="BodyTextMain"/>
        <w:rPr>
          <w:lang w:val="en-GB"/>
        </w:rPr>
      </w:pPr>
    </w:p>
    <w:p w14:paraId="69515024" w14:textId="649A86DF" w:rsidR="003434E6" w:rsidRDefault="003434E6" w:rsidP="00882701">
      <w:pPr>
        <w:pStyle w:val="BodyTextMain"/>
        <w:rPr>
          <w:lang w:val="en-GB"/>
        </w:rPr>
      </w:pPr>
      <w:r w:rsidRPr="004A6259">
        <w:rPr>
          <w:lang w:val="en-GB"/>
        </w:rPr>
        <w:t xml:space="preserve">By 2016, after the successful launch of PeeBuddy, </w:t>
      </w:r>
      <w:r>
        <w:rPr>
          <w:lang w:val="en-GB"/>
        </w:rPr>
        <w:t>Deep</w:t>
      </w:r>
      <w:r w:rsidRPr="004A6259">
        <w:rPr>
          <w:lang w:val="en-GB"/>
        </w:rPr>
        <w:t xml:space="preserve"> explored the female hygiene opportunity further. He </w:t>
      </w:r>
      <w:r>
        <w:rPr>
          <w:lang w:val="en-GB"/>
        </w:rPr>
        <w:t>explained,</w:t>
      </w:r>
    </w:p>
    <w:p w14:paraId="14AC1CD5" w14:textId="77777777" w:rsidR="003434E6" w:rsidRDefault="003434E6" w:rsidP="00882701">
      <w:pPr>
        <w:pStyle w:val="BodyTextMain"/>
        <w:rPr>
          <w:lang w:val="en-GB"/>
        </w:rPr>
      </w:pPr>
    </w:p>
    <w:p w14:paraId="06655C27" w14:textId="6D18F930" w:rsidR="003434E6" w:rsidRPr="004A6259" w:rsidRDefault="003434E6" w:rsidP="00CA2239">
      <w:pPr>
        <w:pStyle w:val="BodyTextMain"/>
        <w:ind w:left="720"/>
        <w:rPr>
          <w:lang w:val="en-GB"/>
        </w:rPr>
      </w:pPr>
      <w:r w:rsidRPr="004A6259">
        <w:rPr>
          <w:lang w:val="en-GB"/>
        </w:rPr>
        <w:t>Once we got into PeeBuddy</w:t>
      </w:r>
      <w:r>
        <w:rPr>
          <w:lang w:val="en-GB"/>
        </w:rPr>
        <w:t>,</w:t>
      </w:r>
      <w:r w:rsidRPr="004A6259">
        <w:rPr>
          <w:lang w:val="en-GB"/>
        </w:rPr>
        <w:t xml:space="preserve"> we realized that the whole problem around peeing and periods is so big that it is just lip service which is being done currently. For periods</w:t>
      </w:r>
      <w:r>
        <w:rPr>
          <w:lang w:val="en-GB"/>
        </w:rPr>
        <w:t>,</w:t>
      </w:r>
      <w:r w:rsidRPr="004A6259">
        <w:rPr>
          <w:lang w:val="en-GB"/>
        </w:rPr>
        <w:t xml:space="preserve"> we were only talking pads. What about the period pain that is there? Why are you suggesting hot water bottle for pain relief of young girls</w:t>
      </w:r>
      <w:r>
        <w:rPr>
          <w:lang w:val="en-GB"/>
        </w:rPr>
        <w:t>,</w:t>
      </w:r>
      <w:r w:rsidRPr="004A6259">
        <w:rPr>
          <w:lang w:val="en-GB"/>
        </w:rPr>
        <w:t xml:space="preserve"> for which they must miss school or office? Similarly, I found disposal of sanitary products a bigger problem than getting the sanitary pads, so we said that we will become synonymous with anything to do with </w:t>
      </w:r>
      <w:r w:rsidRPr="00CA2239">
        <w:rPr>
          <w:i/>
          <w:iCs/>
          <w:lang w:val="en-GB"/>
        </w:rPr>
        <w:t>P</w:t>
      </w:r>
      <w:r w:rsidRPr="004A6259">
        <w:rPr>
          <w:lang w:val="en-GB"/>
        </w:rPr>
        <w:t>; whether it is period or pain, we will try and own every solution around these two</w:t>
      </w:r>
      <w:r>
        <w:rPr>
          <w:lang w:val="en-GB"/>
        </w:rPr>
        <w:t>.</w:t>
      </w:r>
      <w:r w:rsidRPr="004A6259">
        <w:rPr>
          <w:lang w:val="en-GB"/>
        </w:rPr>
        <w:t xml:space="preserve"> </w:t>
      </w:r>
      <w:r>
        <w:rPr>
          <w:lang w:val="en-GB"/>
        </w:rPr>
        <w:t>That’s</w:t>
      </w:r>
      <w:r w:rsidRPr="004A6259">
        <w:rPr>
          <w:lang w:val="en-GB"/>
        </w:rPr>
        <w:t xml:space="preserve"> when we started building the Sirona line of products.</w:t>
      </w:r>
    </w:p>
    <w:p w14:paraId="798CEF53" w14:textId="77777777" w:rsidR="003434E6" w:rsidRPr="004A6259" w:rsidRDefault="003434E6" w:rsidP="00882701">
      <w:pPr>
        <w:pStyle w:val="BodyTextMain"/>
        <w:rPr>
          <w:lang w:val="en-GB"/>
        </w:rPr>
      </w:pPr>
    </w:p>
    <w:p w14:paraId="2EC64BF7" w14:textId="1734F69A" w:rsidR="003434E6" w:rsidRPr="004A6259" w:rsidRDefault="003434E6" w:rsidP="00882701">
      <w:pPr>
        <w:pStyle w:val="BodyTextMain"/>
        <w:rPr>
          <w:lang w:val="en-GB"/>
        </w:rPr>
      </w:pPr>
      <w:r w:rsidRPr="004A6259">
        <w:rPr>
          <w:lang w:val="en-GB"/>
        </w:rPr>
        <w:t>After introducing India’s first 100</w:t>
      </w:r>
      <w:r>
        <w:rPr>
          <w:lang w:val="en-GB"/>
        </w:rPr>
        <w:t xml:space="preserve"> per cent</w:t>
      </w:r>
      <w:r w:rsidRPr="004A6259">
        <w:rPr>
          <w:lang w:val="en-GB"/>
        </w:rPr>
        <w:t xml:space="preserve"> herbal </w:t>
      </w:r>
      <w:r>
        <w:rPr>
          <w:lang w:val="en-GB"/>
        </w:rPr>
        <w:t>feminine-pain-relief</w:t>
      </w:r>
      <w:r w:rsidRPr="004A6259">
        <w:rPr>
          <w:lang w:val="en-GB"/>
        </w:rPr>
        <w:t xml:space="preserve"> patches</w:t>
      </w:r>
      <w:r>
        <w:rPr>
          <w:lang w:val="en-GB"/>
        </w:rPr>
        <w:t>, which contained</w:t>
      </w:r>
      <w:r w:rsidRPr="004A6259">
        <w:rPr>
          <w:lang w:val="en-GB"/>
        </w:rPr>
        <w:t xml:space="preserve"> </w:t>
      </w:r>
      <w:r>
        <w:rPr>
          <w:lang w:val="en-GB"/>
        </w:rPr>
        <w:t>menthol</w:t>
      </w:r>
      <w:r w:rsidRPr="004A6259">
        <w:rPr>
          <w:lang w:val="en-GB"/>
        </w:rPr>
        <w:t xml:space="preserve"> and </w:t>
      </w:r>
      <w:r>
        <w:rPr>
          <w:lang w:val="en-GB"/>
        </w:rPr>
        <w:t>eucalyptus essential oil,</w:t>
      </w:r>
      <w:r w:rsidRPr="004A6259">
        <w:rPr>
          <w:lang w:val="en-GB"/>
        </w:rPr>
        <w:t xml:space="preserve"> the company went on to introduce menstrual cups, tampons</w:t>
      </w:r>
      <w:r>
        <w:rPr>
          <w:lang w:val="en-GB"/>
        </w:rPr>
        <w:t>,</w:t>
      </w:r>
      <w:r w:rsidRPr="004A6259">
        <w:rPr>
          <w:lang w:val="en-GB"/>
        </w:rPr>
        <w:t xml:space="preserve"> and panty liners under the Sirona brand name. The company also launched India’s first disposable oxo-</w:t>
      </w:r>
      <w:r>
        <w:rPr>
          <w:lang w:val="en-GB"/>
        </w:rPr>
        <w:t>bio</w:t>
      </w:r>
      <w:r w:rsidRPr="004A6259">
        <w:rPr>
          <w:lang w:val="en-GB"/>
        </w:rPr>
        <w:t>degradable</w:t>
      </w:r>
      <w:r>
        <w:rPr>
          <w:rStyle w:val="EndnoteReference"/>
          <w:lang w:val="en-GB"/>
        </w:rPr>
        <w:endnoteReference w:id="29"/>
      </w:r>
      <w:r w:rsidRPr="004A6259">
        <w:rPr>
          <w:lang w:val="en-GB"/>
        </w:rPr>
        <w:t xml:space="preserve"> </w:t>
      </w:r>
      <w:r>
        <w:rPr>
          <w:lang w:val="en-GB"/>
        </w:rPr>
        <w:t xml:space="preserve">sanitary </w:t>
      </w:r>
      <w:r w:rsidRPr="004A6259">
        <w:rPr>
          <w:lang w:val="en-GB"/>
        </w:rPr>
        <w:t xml:space="preserve">bags for the eco-conscious urban </w:t>
      </w:r>
      <w:r>
        <w:rPr>
          <w:lang w:val="en-GB"/>
        </w:rPr>
        <w:t>woman</w:t>
      </w:r>
      <w:r w:rsidRPr="004A6259">
        <w:rPr>
          <w:lang w:val="en-GB"/>
        </w:rPr>
        <w:t xml:space="preserve"> who cared for environmentally friendly </w:t>
      </w:r>
      <w:r>
        <w:rPr>
          <w:lang w:val="en-GB"/>
        </w:rPr>
        <w:t xml:space="preserve">and </w:t>
      </w:r>
      <w:r w:rsidRPr="004A6259">
        <w:rPr>
          <w:lang w:val="en-GB"/>
        </w:rPr>
        <w:t xml:space="preserve">hygienic disposal of intimate care products. The packs </w:t>
      </w:r>
      <w:r>
        <w:rPr>
          <w:lang w:val="en-GB"/>
        </w:rPr>
        <w:t>of sanitary disposal bags, tagged “</w:t>
      </w:r>
      <w:r w:rsidRPr="004A6259">
        <w:rPr>
          <w:lang w:val="en-GB"/>
        </w:rPr>
        <w:t xml:space="preserve">I love </w:t>
      </w:r>
      <w:r>
        <w:rPr>
          <w:lang w:val="en-GB"/>
        </w:rPr>
        <w:t>clean,”</w:t>
      </w:r>
      <w:r w:rsidRPr="004A6259">
        <w:rPr>
          <w:lang w:val="en-GB"/>
        </w:rPr>
        <w:t xml:space="preserve"> were appreciated and adopted by Sirona</w:t>
      </w:r>
      <w:r>
        <w:rPr>
          <w:lang w:val="en-GB"/>
        </w:rPr>
        <w:t xml:space="preserve"> Hygiene</w:t>
      </w:r>
      <w:r w:rsidRPr="004A6259">
        <w:rPr>
          <w:lang w:val="en-GB"/>
        </w:rPr>
        <w:t xml:space="preserve">’s niche urban client base. In addition, </w:t>
      </w:r>
      <w:r>
        <w:rPr>
          <w:lang w:val="en-GB"/>
        </w:rPr>
        <w:t xml:space="preserve">such tag lines </w:t>
      </w:r>
      <w:r w:rsidRPr="004A6259">
        <w:rPr>
          <w:lang w:val="en-GB"/>
        </w:rPr>
        <w:t xml:space="preserve">helped to </w:t>
      </w:r>
      <w:r>
        <w:rPr>
          <w:lang w:val="en-GB"/>
        </w:rPr>
        <w:t xml:space="preserve">establish </w:t>
      </w:r>
      <w:r w:rsidRPr="004A6259">
        <w:rPr>
          <w:lang w:val="en-GB"/>
        </w:rPr>
        <w:t xml:space="preserve">the brand as eco-friendly. </w:t>
      </w:r>
      <w:r>
        <w:rPr>
          <w:lang w:val="en-GB"/>
        </w:rPr>
        <w:t>Deep</w:t>
      </w:r>
      <w:r w:rsidRPr="004A6259">
        <w:rPr>
          <w:lang w:val="en-GB"/>
        </w:rPr>
        <w:t xml:space="preserve"> also introduced India’s first natural anti-chafing cream for women</w:t>
      </w:r>
      <w:r>
        <w:rPr>
          <w:lang w:val="en-GB"/>
        </w:rPr>
        <w:t xml:space="preserve">, </w:t>
      </w:r>
      <w:r w:rsidRPr="004A6259">
        <w:rPr>
          <w:lang w:val="en-GB"/>
        </w:rPr>
        <w:t xml:space="preserve">inspired by the diaper rash creams that were already popular in the market. </w:t>
      </w:r>
      <w:r>
        <w:rPr>
          <w:lang w:val="en-GB"/>
        </w:rPr>
        <w:t>Sirona Hygiene</w:t>
      </w:r>
      <w:r w:rsidRPr="004A6259">
        <w:rPr>
          <w:lang w:val="en-GB"/>
        </w:rPr>
        <w:t xml:space="preserve"> made </w:t>
      </w:r>
      <w:r>
        <w:rPr>
          <w:lang w:val="en-GB"/>
        </w:rPr>
        <w:t xml:space="preserve">the anti-chafing cream a more effective solution for adult skin problems </w:t>
      </w:r>
      <w:r w:rsidRPr="004A6259">
        <w:rPr>
          <w:lang w:val="en-GB"/>
        </w:rPr>
        <w:t>than diaper rash cream</w:t>
      </w:r>
      <w:r>
        <w:rPr>
          <w:lang w:val="en-GB"/>
        </w:rPr>
        <w:t>,</w:t>
      </w:r>
      <w:r w:rsidRPr="004A6259">
        <w:rPr>
          <w:lang w:val="en-GB"/>
        </w:rPr>
        <w:t xml:space="preserve"> with </w:t>
      </w:r>
      <w:r>
        <w:rPr>
          <w:lang w:val="en-GB"/>
        </w:rPr>
        <w:t xml:space="preserve">a </w:t>
      </w:r>
      <w:r w:rsidRPr="004A6259">
        <w:rPr>
          <w:lang w:val="en-GB"/>
        </w:rPr>
        <w:t xml:space="preserve">pH </w:t>
      </w:r>
      <w:r>
        <w:rPr>
          <w:lang w:val="en-GB"/>
        </w:rPr>
        <w:t xml:space="preserve">designed </w:t>
      </w:r>
      <w:r w:rsidRPr="004A6259">
        <w:rPr>
          <w:lang w:val="en-GB"/>
        </w:rPr>
        <w:t xml:space="preserve">to treat rashes due to </w:t>
      </w:r>
      <w:r>
        <w:rPr>
          <w:lang w:val="en-GB"/>
        </w:rPr>
        <w:t>sanitary-napkin use</w:t>
      </w:r>
      <w:r w:rsidRPr="004A6259">
        <w:rPr>
          <w:lang w:val="en-GB"/>
        </w:rPr>
        <w:t xml:space="preserve"> among young girls </w:t>
      </w:r>
      <w:r>
        <w:rPr>
          <w:lang w:val="en-GB"/>
        </w:rPr>
        <w:t>as well as</w:t>
      </w:r>
      <w:r w:rsidRPr="004A6259">
        <w:rPr>
          <w:lang w:val="en-GB"/>
        </w:rPr>
        <w:t xml:space="preserve"> for </w:t>
      </w:r>
      <w:r>
        <w:rPr>
          <w:lang w:val="en-GB"/>
        </w:rPr>
        <w:t xml:space="preserve">general use by </w:t>
      </w:r>
      <w:r w:rsidRPr="004A6259">
        <w:rPr>
          <w:lang w:val="en-GB"/>
        </w:rPr>
        <w:t xml:space="preserve">elderly women, who developed rashes due to profuse sweating and chafing. </w:t>
      </w:r>
      <w:r>
        <w:rPr>
          <w:lang w:val="en-GB"/>
        </w:rPr>
        <w:t>Deep</w:t>
      </w:r>
      <w:r w:rsidRPr="004A6259">
        <w:rPr>
          <w:lang w:val="en-GB"/>
        </w:rPr>
        <w:t xml:space="preserve"> </w:t>
      </w:r>
      <w:r>
        <w:rPr>
          <w:lang w:val="en-GB"/>
        </w:rPr>
        <w:t>recalled</w:t>
      </w:r>
      <w:r w:rsidRPr="004A6259">
        <w:rPr>
          <w:lang w:val="en-GB"/>
        </w:rPr>
        <w:t>, “We innovated to introduce the anti-chafing cream in 2018. But we realized that to sell it in isolation was difficult. So, we also came up with a natural intimate wash followed by therapy wash. We said we will do it differently for those with eczema or itching problem.”</w:t>
      </w:r>
    </w:p>
    <w:p w14:paraId="085D0100" w14:textId="77777777" w:rsidR="003434E6" w:rsidRPr="004A6259" w:rsidRDefault="003434E6" w:rsidP="00882701">
      <w:pPr>
        <w:pStyle w:val="BodyTextMain"/>
        <w:rPr>
          <w:lang w:val="en-GB"/>
        </w:rPr>
      </w:pPr>
    </w:p>
    <w:p w14:paraId="72FC0E4D" w14:textId="2E85F3FF" w:rsidR="003434E6" w:rsidRPr="007F3737" w:rsidRDefault="003434E6" w:rsidP="00882701">
      <w:pPr>
        <w:pStyle w:val="BodyTextMain"/>
        <w:rPr>
          <w:spacing w:val="-2"/>
          <w:lang w:val="en-GB"/>
        </w:rPr>
      </w:pPr>
      <w:r w:rsidRPr="007F3737">
        <w:rPr>
          <w:spacing w:val="-2"/>
          <w:lang w:val="en-GB"/>
        </w:rPr>
        <w:t>In 2019, Deep launched another unique product, PregRx, which was the original PeeBuddy with an additional human chorionic gonadotropin</w:t>
      </w:r>
      <w:r w:rsidRPr="007F3737" w:rsidDel="00AD4C57">
        <w:rPr>
          <w:spacing w:val="-2"/>
          <w:lang w:val="en-GB"/>
        </w:rPr>
        <w:t xml:space="preserve"> </w:t>
      </w:r>
      <w:r w:rsidRPr="007F3737">
        <w:rPr>
          <w:spacing w:val="-2"/>
          <w:lang w:val="en-GB"/>
        </w:rPr>
        <w:t>(hCG)</w:t>
      </w:r>
      <w:r w:rsidRPr="007F3737">
        <w:rPr>
          <w:spacing w:val="-2"/>
          <w:vertAlign w:val="superscript"/>
          <w:lang w:val="en-GB"/>
        </w:rPr>
        <w:endnoteReference w:id="30"/>
      </w:r>
      <w:r w:rsidRPr="007F3737">
        <w:rPr>
          <w:spacing w:val="-2"/>
          <w:lang w:val="en-GB"/>
        </w:rPr>
        <w:t xml:space="preserve"> test strip. Deep had the product and design patented as the world’s first paper-based “pee and see” pregnancy-test product.</w:t>
      </w:r>
      <w:r w:rsidRPr="007F3737">
        <w:rPr>
          <w:spacing w:val="-2"/>
          <w:vertAlign w:val="superscript"/>
          <w:lang w:val="en-GB"/>
        </w:rPr>
        <w:endnoteReference w:id="31"/>
      </w:r>
      <w:r w:rsidRPr="007F3737">
        <w:rPr>
          <w:spacing w:val="-2"/>
          <w:lang w:val="en-GB"/>
        </w:rPr>
        <w:t xml:space="preserve"> Deep said, “PregRx was born, again, through my </w:t>
      </w:r>
      <w:r w:rsidRPr="007F3737">
        <w:rPr>
          <w:spacing w:val="-2"/>
          <w:lang w:val="en-GB"/>
        </w:rPr>
        <w:lastRenderedPageBreak/>
        <w:t>wife’s personal experience. Now I am working on another version, which could be used for testing of diabetes.” The product team, headed by Deep, was continuously working to understand the inner unspoken needs of women, who were their customers. Deep opined, “You have to be in the system to be able to change the system. It’s important for us to think about those consumers who need a different solution than the existing ones, and we should introduce such products. So, we thought why pads need to be all white. Why do you want to see the blood? Why not coloured pads?” However, Deep also understood that “[t]here will be two opposing ideologies around this. There will be one who wants to see it [menstrual blood], and the other who does not want to see it. So, we are just opening more and more dialogues. We also asked, why are pads not eco-friendly? And very soon, we are coming up with the first eco-friendly black pads.”</w:t>
      </w:r>
    </w:p>
    <w:p w14:paraId="4ABD8DBE" w14:textId="77777777" w:rsidR="003434E6" w:rsidRPr="004A6259" w:rsidRDefault="003434E6" w:rsidP="00882701">
      <w:pPr>
        <w:pStyle w:val="BodyTextMain"/>
        <w:rPr>
          <w:lang w:val="en-GB"/>
        </w:rPr>
      </w:pPr>
    </w:p>
    <w:p w14:paraId="64F38FE8" w14:textId="11F4820D" w:rsidR="003434E6" w:rsidRPr="004A6259" w:rsidRDefault="003434E6" w:rsidP="00882701">
      <w:pPr>
        <w:pStyle w:val="BodyTextMain"/>
        <w:rPr>
          <w:lang w:val="en-GB"/>
        </w:rPr>
      </w:pPr>
      <w:r w:rsidRPr="004A6259">
        <w:rPr>
          <w:lang w:val="en-GB"/>
        </w:rPr>
        <w:t xml:space="preserve">Thus, the firm </w:t>
      </w:r>
      <w:r>
        <w:rPr>
          <w:lang w:val="en-GB"/>
        </w:rPr>
        <w:t>focused on bringing</w:t>
      </w:r>
      <w:r w:rsidRPr="004A6259">
        <w:rPr>
          <w:lang w:val="en-GB"/>
        </w:rPr>
        <w:t xml:space="preserve"> in existing products with suitable differentiation as well as new products that addressed specific female needs. Among the pioneering products were </w:t>
      </w:r>
      <w:r>
        <w:rPr>
          <w:lang w:val="en-GB"/>
        </w:rPr>
        <w:t>feminine-pain-relief patches</w:t>
      </w:r>
      <w:r w:rsidRPr="004A6259">
        <w:rPr>
          <w:lang w:val="en-GB"/>
        </w:rPr>
        <w:t xml:space="preserve">, </w:t>
      </w:r>
      <w:r>
        <w:rPr>
          <w:lang w:val="en-GB"/>
        </w:rPr>
        <w:t>oxo-biodegradable</w:t>
      </w:r>
      <w:r w:rsidRPr="004A6259">
        <w:rPr>
          <w:lang w:val="en-GB"/>
        </w:rPr>
        <w:t xml:space="preserve"> </w:t>
      </w:r>
      <w:r>
        <w:rPr>
          <w:lang w:val="en-GB"/>
        </w:rPr>
        <w:t>disposal bags</w:t>
      </w:r>
      <w:r w:rsidRPr="004A6259">
        <w:rPr>
          <w:lang w:val="en-GB"/>
        </w:rPr>
        <w:t>, and natural anti-chafing rash cream</w:t>
      </w:r>
      <w:r>
        <w:rPr>
          <w:lang w:val="en-GB"/>
        </w:rPr>
        <w:t>,</w:t>
      </w:r>
      <w:r w:rsidRPr="004A6259">
        <w:rPr>
          <w:lang w:val="en-GB"/>
        </w:rPr>
        <w:t xml:space="preserve"> under the Sirona brand</w:t>
      </w:r>
      <w:r>
        <w:rPr>
          <w:lang w:val="en-GB"/>
        </w:rPr>
        <w:t>,</w:t>
      </w:r>
      <w:r w:rsidRPr="004A6259">
        <w:rPr>
          <w:lang w:val="en-GB"/>
        </w:rPr>
        <w:t xml:space="preserve"> and PeeBuddy</w:t>
      </w:r>
      <w:r>
        <w:rPr>
          <w:lang w:val="en-GB"/>
        </w:rPr>
        <w:t xml:space="preserve"> and</w:t>
      </w:r>
      <w:r w:rsidRPr="004A6259">
        <w:rPr>
          <w:lang w:val="en-GB"/>
        </w:rPr>
        <w:t xml:space="preserve"> PregRx</w:t>
      </w:r>
      <w:r>
        <w:rPr>
          <w:lang w:val="en-GB"/>
        </w:rPr>
        <w:t>,</w:t>
      </w:r>
      <w:r w:rsidRPr="004A6259">
        <w:rPr>
          <w:lang w:val="en-GB"/>
        </w:rPr>
        <w:t xml:space="preserve"> under the PeeBuddy brand. They were India’s first products to be marketed as herbal and environmentally friendly</w:t>
      </w:r>
      <w:r>
        <w:rPr>
          <w:lang w:val="en-GB"/>
        </w:rPr>
        <w:t>.</w:t>
      </w:r>
      <w:r>
        <w:rPr>
          <w:rStyle w:val="EndnoteReference"/>
          <w:lang w:val="en-GB"/>
        </w:rPr>
        <w:endnoteReference w:id="32"/>
      </w:r>
    </w:p>
    <w:p w14:paraId="6EE4A7F9" w14:textId="77777777" w:rsidR="003434E6" w:rsidRPr="004A6259" w:rsidRDefault="003434E6" w:rsidP="00882701">
      <w:pPr>
        <w:pStyle w:val="BodyTextMain"/>
        <w:rPr>
          <w:lang w:val="en-GB"/>
        </w:rPr>
      </w:pPr>
    </w:p>
    <w:p w14:paraId="550CDC7D" w14:textId="63EE591F" w:rsidR="003434E6" w:rsidRPr="00402298" w:rsidRDefault="003434E6" w:rsidP="00882701">
      <w:pPr>
        <w:pStyle w:val="BodyTextMain"/>
        <w:rPr>
          <w:spacing w:val="-2"/>
          <w:lang w:val="en-GB"/>
        </w:rPr>
      </w:pPr>
      <w:r w:rsidRPr="00402298">
        <w:rPr>
          <w:spacing w:val="-2"/>
          <w:lang w:val="en-GB"/>
        </w:rPr>
        <w:t xml:space="preserve">Despite Sirona Hygiene’s innovation, the company’s products, such as its mosquito repellents, sanitary pads, and menstrual cups, were priced in line with existing options in the market. Even PeeBuddy was available at </w:t>
      </w:r>
      <w:r w:rsidRPr="00402298">
        <w:rPr>
          <w:rFonts w:ascii="Arial" w:hAnsi="Arial" w:cs="Arial"/>
          <w:spacing w:val="-2"/>
          <w:lang w:val="en-GB"/>
        </w:rPr>
        <w:t>₹</w:t>
      </w:r>
      <w:r w:rsidRPr="00402298">
        <w:rPr>
          <w:spacing w:val="-2"/>
          <w:lang w:val="en-GB"/>
        </w:rPr>
        <w:t>30 per unit. Deep explained, “The price has been kept really low, and we have added a small margin to the making cost so that we can encourage women to use it and price is not a barrier. Also, the price keeps on decreasing as the pack size increases so that women can see more value in buying more for less.”</w:t>
      </w:r>
    </w:p>
    <w:p w14:paraId="697389F0" w14:textId="77777777" w:rsidR="003434E6" w:rsidRPr="004A6259" w:rsidRDefault="003434E6" w:rsidP="00882701">
      <w:pPr>
        <w:pStyle w:val="BodyTextMain"/>
        <w:rPr>
          <w:lang w:val="en-GB"/>
        </w:rPr>
      </w:pPr>
    </w:p>
    <w:p w14:paraId="107FB6EC" w14:textId="25F9FAF0" w:rsidR="003434E6" w:rsidRPr="004A6259" w:rsidRDefault="003434E6" w:rsidP="00882701">
      <w:pPr>
        <w:pStyle w:val="BodyTextMain"/>
        <w:rPr>
          <w:lang w:val="en-GB"/>
        </w:rPr>
      </w:pPr>
      <w:r w:rsidRPr="004A6259">
        <w:rPr>
          <w:lang w:val="en-GB"/>
        </w:rPr>
        <w:t>As the company increased its product range</w:t>
      </w:r>
      <w:r>
        <w:rPr>
          <w:lang w:val="en-GB"/>
        </w:rPr>
        <w:t>,</w:t>
      </w:r>
      <w:r w:rsidRPr="004A6259">
        <w:rPr>
          <w:lang w:val="en-GB"/>
        </w:rPr>
        <w:t xml:space="preserve"> </w:t>
      </w:r>
      <w:r>
        <w:rPr>
          <w:lang w:val="en-GB"/>
        </w:rPr>
        <w:t>Deep</w:t>
      </w:r>
      <w:r w:rsidRPr="004A6259">
        <w:rPr>
          <w:lang w:val="en-GB"/>
        </w:rPr>
        <w:t xml:space="preserve"> realized the need for professionals. In 2018</w:t>
      </w:r>
      <w:r>
        <w:rPr>
          <w:lang w:val="en-GB"/>
        </w:rPr>
        <w:t>,</w:t>
      </w:r>
      <w:r w:rsidRPr="004A6259">
        <w:rPr>
          <w:lang w:val="en-GB"/>
        </w:rPr>
        <w:t xml:space="preserve"> he recruited two new members, Amit Luthra and Abhijit Saha</w:t>
      </w:r>
      <w:r>
        <w:rPr>
          <w:lang w:val="en-GB"/>
        </w:rPr>
        <w:t>,</w:t>
      </w:r>
      <w:r w:rsidRPr="004A6259">
        <w:rPr>
          <w:lang w:val="en-GB"/>
        </w:rPr>
        <w:t xml:space="preserve"> to the core team</w:t>
      </w:r>
      <w:r>
        <w:rPr>
          <w:lang w:val="en-GB"/>
        </w:rPr>
        <w:t>,</w:t>
      </w:r>
      <w:r w:rsidRPr="004A6259">
        <w:rPr>
          <w:lang w:val="en-GB"/>
        </w:rPr>
        <w:t xml:space="preserve"> followed by Dr. Diksha</w:t>
      </w:r>
      <w:r>
        <w:rPr>
          <w:lang w:val="en-GB"/>
        </w:rPr>
        <w:t>,</w:t>
      </w:r>
      <w:r w:rsidRPr="004A6259">
        <w:rPr>
          <w:lang w:val="en-GB"/>
        </w:rPr>
        <w:t xml:space="preserve"> in 2019, as a medical practitioner for running clinical trials around PregRx and similar products. As the company scaled up, it moved from contracting vendors on an </w:t>
      </w:r>
      <w:r>
        <w:rPr>
          <w:lang w:val="en-GB"/>
        </w:rPr>
        <w:t>as-needed basis</w:t>
      </w:r>
      <w:r w:rsidRPr="004A6259">
        <w:rPr>
          <w:lang w:val="en-GB"/>
        </w:rPr>
        <w:t xml:space="preserve"> to establishing long-term contracts with regular vendors. To ensure product quality, consistency</w:t>
      </w:r>
      <w:r>
        <w:rPr>
          <w:lang w:val="en-GB"/>
        </w:rPr>
        <w:t>,</w:t>
      </w:r>
      <w:r w:rsidRPr="004A6259">
        <w:rPr>
          <w:lang w:val="en-GB"/>
        </w:rPr>
        <w:t xml:space="preserve"> and process control, there was an in-house team of </w:t>
      </w:r>
      <w:r>
        <w:rPr>
          <w:lang w:val="en-GB"/>
        </w:rPr>
        <w:t>10</w:t>
      </w:r>
      <w:r w:rsidRPr="004A6259">
        <w:rPr>
          <w:lang w:val="en-GB"/>
        </w:rPr>
        <w:t xml:space="preserve"> taking care of product in-warding, quality checks</w:t>
      </w:r>
      <w:r>
        <w:rPr>
          <w:lang w:val="en-GB"/>
        </w:rPr>
        <w:t>,</w:t>
      </w:r>
      <w:r w:rsidRPr="004A6259">
        <w:rPr>
          <w:lang w:val="en-GB"/>
        </w:rPr>
        <w:t xml:space="preserve"> and dispatches. Another team of three was put in charge of production</w:t>
      </w:r>
      <w:r>
        <w:rPr>
          <w:lang w:val="en-GB"/>
        </w:rPr>
        <w:t>,</w:t>
      </w:r>
      <w:r w:rsidRPr="004A6259">
        <w:rPr>
          <w:lang w:val="en-GB"/>
        </w:rPr>
        <w:t xml:space="preserve"> to maintain the demand</w:t>
      </w:r>
      <w:r>
        <w:rPr>
          <w:lang w:val="en-GB"/>
        </w:rPr>
        <w:t>–</w:t>
      </w:r>
      <w:r w:rsidRPr="004A6259">
        <w:rPr>
          <w:lang w:val="en-GB"/>
        </w:rPr>
        <w:t>supply balance. A dedicated sales and marketing team was responsible for selling products through retail stores</w:t>
      </w:r>
      <w:r>
        <w:rPr>
          <w:lang w:val="en-GB"/>
        </w:rPr>
        <w:t>; Sirona Hygiene’s</w:t>
      </w:r>
      <w:r w:rsidRPr="004A6259">
        <w:rPr>
          <w:lang w:val="en-GB"/>
        </w:rPr>
        <w:t xml:space="preserve"> online channel</w:t>
      </w:r>
      <w:r>
        <w:rPr>
          <w:lang w:val="en-GB"/>
        </w:rPr>
        <w:t>;</w:t>
      </w:r>
      <w:r w:rsidRPr="004A6259">
        <w:rPr>
          <w:lang w:val="en-GB"/>
        </w:rPr>
        <w:t xml:space="preserve"> </w:t>
      </w:r>
      <w:r>
        <w:rPr>
          <w:lang w:val="en-GB"/>
        </w:rPr>
        <w:t>and third-party</w:t>
      </w:r>
      <w:r w:rsidRPr="004A6259">
        <w:rPr>
          <w:lang w:val="en-GB"/>
        </w:rPr>
        <w:t xml:space="preserve"> e-commerce retail channels </w:t>
      </w:r>
      <w:r>
        <w:rPr>
          <w:lang w:val="en-GB"/>
        </w:rPr>
        <w:t>such as</w:t>
      </w:r>
      <w:r w:rsidRPr="004A6259">
        <w:rPr>
          <w:lang w:val="en-GB"/>
        </w:rPr>
        <w:t xml:space="preserve"> </w:t>
      </w:r>
      <w:r>
        <w:rPr>
          <w:lang w:val="en-GB"/>
        </w:rPr>
        <w:t>Flipkart</w:t>
      </w:r>
      <w:r w:rsidRPr="004A6259">
        <w:rPr>
          <w:lang w:val="en-GB"/>
        </w:rPr>
        <w:t>, Amazon</w:t>
      </w:r>
      <w:r>
        <w:rPr>
          <w:lang w:val="en-GB"/>
        </w:rPr>
        <w:t>.com Inc. (Amazon)</w:t>
      </w:r>
      <w:r w:rsidRPr="004A6259">
        <w:rPr>
          <w:lang w:val="en-GB"/>
        </w:rPr>
        <w:t xml:space="preserve">, </w:t>
      </w:r>
      <w:r>
        <w:rPr>
          <w:lang w:val="en-GB"/>
        </w:rPr>
        <w:t xml:space="preserve">and </w:t>
      </w:r>
      <w:r w:rsidRPr="004A6259">
        <w:rPr>
          <w:lang w:val="en-GB"/>
        </w:rPr>
        <w:t>Seniority.</w:t>
      </w:r>
    </w:p>
    <w:p w14:paraId="0E994372" w14:textId="114D3640" w:rsidR="003434E6" w:rsidRPr="004A6259" w:rsidRDefault="003434E6" w:rsidP="00882701">
      <w:pPr>
        <w:pStyle w:val="BodyTextMain"/>
        <w:rPr>
          <w:lang w:val="en-GB"/>
        </w:rPr>
      </w:pPr>
    </w:p>
    <w:p w14:paraId="5A26E354" w14:textId="77777777" w:rsidR="003434E6" w:rsidRPr="004A6259" w:rsidRDefault="003434E6" w:rsidP="00882701">
      <w:pPr>
        <w:pStyle w:val="BodyTextMain"/>
        <w:rPr>
          <w:lang w:val="en-GB"/>
        </w:rPr>
      </w:pPr>
    </w:p>
    <w:p w14:paraId="28BD195F" w14:textId="2DD2151A" w:rsidR="003434E6" w:rsidRPr="004A6259" w:rsidRDefault="003434E6" w:rsidP="00CA2239">
      <w:pPr>
        <w:pStyle w:val="BodyTextMain"/>
        <w:tabs>
          <w:tab w:val="left" w:pos="8602"/>
        </w:tabs>
        <w:rPr>
          <w:rFonts w:ascii="Arial" w:hAnsi="Arial" w:cs="Arial"/>
          <w:b/>
          <w:caps/>
          <w:lang w:val="en-GB"/>
        </w:rPr>
      </w:pPr>
      <w:r w:rsidRPr="004A6259">
        <w:rPr>
          <w:rFonts w:ascii="Arial" w:hAnsi="Arial" w:cs="Arial"/>
          <w:b/>
          <w:caps/>
          <w:lang w:val="en-GB"/>
        </w:rPr>
        <w:t xml:space="preserve">Sirona </w:t>
      </w:r>
      <w:r>
        <w:rPr>
          <w:rFonts w:ascii="Arial" w:hAnsi="Arial" w:cs="Arial"/>
          <w:b/>
          <w:caps/>
          <w:lang w:val="en-GB"/>
        </w:rPr>
        <w:t xml:space="preserve">Hygiene </w:t>
      </w:r>
      <w:r w:rsidRPr="004A6259">
        <w:rPr>
          <w:rFonts w:ascii="Arial" w:hAnsi="Arial" w:cs="Arial"/>
          <w:b/>
          <w:caps/>
          <w:lang w:val="en-GB"/>
        </w:rPr>
        <w:t xml:space="preserve">PRODUCTS: SERVICING </w:t>
      </w:r>
      <w:r>
        <w:rPr>
          <w:rFonts w:ascii="Arial" w:hAnsi="Arial" w:cs="Arial"/>
          <w:b/>
          <w:caps/>
          <w:lang w:val="en-GB"/>
        </w:rPr>
        <w:t xml:space="preserve">women’s </w:t>
      </w:r>
      <w:r w:rsidRPr="004A6259">
        <w:rPr>
          <w:rFonts w:ascii="Arial" w:hAnsi="Arial" w:cs="Arial"/>
          <w:b/>
          <w:caps/>
          <w:lang w:val="en-GB"/>
        </w:rPr>
        <w:t>NEEDS</w:t>
      </w:r>
      <w:r>
        <w:rPr>
          <w:rFonts w:ascii="Arial" w:hAnsi="Arial" w:cs="Arial"/>
          <w:b/>
          <w:caps/>
          <w:lang w:val="en-GB"/>
        </w:rPr>
        <w:tab/>
      </w:r>
    </w:p>
    <w:p w14:paraId="79832AC0" w14:textId="77777777" w:rsidR="003434E6" w:rsidRPr="004A6259" w:rsidRDefault="003434E6" w:rsidP="00882701">
      <w:pPr>
        <w:pStyle w:val="BodyTextMain"/>
        <w:rPr>
          <w:lang w:val="en-GB"/>
        </w:rPr>
      </w:pPr>
    </w:p>
    <w:p w14:paraId="380BEE67" w14:textId="33C862EB" w:rsidR="003434E6" w:rsidRPr="004A6259" w:rsidRDefault="003434E6" w:rsidP="00882701">
      <w:pPr>
        <w:pStyle w:val="BodyTextMain"/>
        <w:rPr>
          <w:lang w:val="en-GB"/>
        </w:rPr>
      </w:pPr>
      <w:r>
        <w:rPr>
          <w:color w:val="000000"/>
          <w:lang w:val="en-GB"/>
        </w:rPr>
        <w:t>Sirona Hygiene</w:t>
      </w:r>
      <w:r w:rsidRPr="004A6259">
        <w:rPr>
          <w:lang w:val="en-GB"/>
        </w:rPr>
        <w:t xml:space="preserve"> had three product offerings</w:t>
      </w:r>
      <w:r>
        <w:rPr>
          <w:lang w:val="en-GB"/>
        </w:rPr>
        <w:t xml:space="preserve">, which </w:t>
      </w:r>
      <w:r w:rsidRPr="004A6259">
        <w:rPr>
          <w:lang w:val="en-GB"/>
        </w:rPr>
        <w:t xml:space="preserve">serviced </w:t>
      </w:r>
      <w:r>
        <w:rPr>
          <w:lang w:val="en-GB"/>
        </w:rPr>
        <w:t xml:space="preserve">the </w:t>
      </w:r>
      <w:r w:rsidRPr="004A6259">
        <w:rPr>
          <w:lang w:val="en-GB"/>
        </w:rPr>
        <w:t xml:space="preserve">different needs of </w:t>
      </w:r>
      <w:r>
        <w:rPr>
          <w:lang w:val="en-GB"/>
        </w:rPr>
        <w:t>women.</w:t>
      </w:r>
    </w:p>
    <w:p w14:paraId="3CC5B990" w14:textId="43EAE4F8" w:rsidR="003434E6" w:rsidRDefault="003434E6" w:rsidP="00882701">
      <w:pPr>
        <w:pStyle w:val="BodyTextMain"/>
        <w:rPr>
          <w:lang w:val="en-GB"/>
        </w:rPr>
      </w:pPr>
    </w:p>
    <w:p w14:paraId="255ED0BE" w14:textId="77777777" w:rsidR="003434E6" w:rsidRPr="004A6259" w:rsidRDefault="003434E6" w:rsidP="00882701">
      <w:pPr>
        <w:pStyle w:val="BodyTextMain"/>
        <w:rPr>
          <w:lang w:val="en-GB"/>
        </w:rPr>
      </w:pPr>
    </w:p>
    <w:p w14:paraId="1EA0D506" w14:textId="1D83972D" w:rsidR="003434E6" w:rsidRDefault="003434E6" w:rsidP="00CA2239">
      <w:pPr>
        <w:pStyle w:val="Casehead2"/>
        <w:rPr>
          <w:lang w:val="en-GB"/>
        </w:rPr>
      </w:pPr>
      <w:r w:rsidRPr="004A6259">
        <w:rPr>
          <w:lang w:val="en-GB"/>
        </w:rPr>
        <w:t>PeeBuddy</w:t>
      </w:r>
      <w:r>
        <w:rPr>
          <w:lang w:val="en-GB"/>
        </w:rPr>
        <w:t xml:space="preserve">: </w:t>
      </w:r>
      <w:r w:rsidRPr="004A6259">
        <w:rPr>
          <w:lang w:val="en-GB"/>
        </w:rPr>
        <w:t>Intimate Wellness and Hygiene</w:t>
      </w:r>
    </w:p>
    <w:p w14:paraId="2CB2FE66" w14:textId="77777777" w:rsidR="003434E6" w:rsidRDefault="003434E6" w:rsidP="00882701">
      <w:pPr>
        <w:pStyle w:val="BodyTextMain"/>
        <w:rPr>
          <w:lang w:val="en-GB"/>
        </w:rPr>
      </w:pPr>
    </w:p>
    <w:p w14:paraId="086CA27B" w14:textId="18492572" w:rsidR="003434E6" w:rsidRPr="004A6259" w:rsidRDefault="003434E6" w:rsidP="00882701">
      <w:pPr>
        <w:pStyle w:val="BodyTextMain"/>
        <w:rPr>
          <w:lang w:val="en-GB"/>
        </w:rPr>
      </w:pPr>
      <w:r w:rsidRPr="004A6259">
        <w:rPr>
          <w:lang w:val="en-GB"/>
        </w:rPr>
        <w:t xml:space="preserve">PeeBuddy was tailored to support basic hygiene needs, especially the issue of </w:t>
      </w:r>
      <w:r>
        <w:rPr>
          <w:lang w:val="en-GB"/>
        </w:rPr>
        <w:t>unsanitary</w:t>
      </w:r>
      <w:r w:rsidRPr="004A6259">
        <w:rPr>
          <w:lang w:val="en-GB"/>
        </w:rPr>
        <w:t xml:space="preserve"> toilets or </w:t>
      </w:r>
      <w:r>
        <w:rPr>
          <w:lang w:val="en-GB"/>
        </w:rPr>
        <w:t>the physical challenges—</w:t>
      </w:r>
      <w:r w:rsidRPr="004A6259">
        <w:rPr>
          <w:lang w:val="en-GB"/>
        </w:rPr>
        <w:t>due to medical reasons (</w:t>
      </w:r>
      <w:r>
        <w:rPr>
          <w:lang w:val="en-GB"/>
        </w:rPr>
        <w:t xml:space="preserve">e.g., </w:t>
      </w:r>
      <w:r w:rsidRPr="004A6259">
        <w:rPr>
          <w:lang w:val="en-GB"/>
        </w:rPr>
        <w:t>pregnancy, obesity, arthritis, diabetes, etc.)</w:t>
      </w:r>
      <w:r>
        <w:rPr>
          <w:lang w:val="en-GB"/>
        </w:rPr>
        <w:t>—associated with sitting to urinate</w:t>
      </w:r>
      <w:r w:rsidRPr="004A6259">
        <w:rPr>
          <w:lang w:val="en-GB"/>
        </w:rPr>
        <w:t xml:space="preserve">. </w:t>
      </w:r>
      <w:r>
        <w:rPr>
          <w:lang w:val="en-GB"/>
        </w:rPr>
        <w:t>Deep</w:t>
      </w:r>
      <w:r w:rsidRPr="004A6259">
        <w:rPr>
          <w:lang w:val="en-GB"/>
        </w:rPr>
        <w:t xml:space="preserve"> explained</w:t>
      </w:r>
      <w:r>
        <w:rPr>
          <w:lang w:val="en-GB"/>
        </w:rPr>
        <w:t>,</w:t>
      </w:r>
      <w:r w:rsidRPr="004A6259">
        <w:rPr>
          <w:lang w:val="en-GB"/>
        </w:rPr>
        <w:t xml:space="preserve"> “The PeeBuddy girl is </w:t>
      </w:r>
      <w:r>
        <w:rPr>
          <w:lang w:val="en-GB"/>
        </w:rPr>
        <w:t xml:space="preserve">focused </w:t>
      </w:r>
      <w:r w:rsidRPr="004A6259">
        <w:rPr>
          <w:lang w:val="en-GB"/>
        </w:rPr>
        <w:t>on performance, she is adventurous, rebellious, questions stereotypes, is open to trying new things</w:t>
      </w:r>
      <w:r>
        <w:rPr>
          <w:lang w:val="en-GB"/>
        </w:rPr>
        <w:t>,</w:t>
      </w:r>
      <w:r w:rsidRPr="004A6259">
        <w:rPr>
          <w:lang w:val="en-GB"/>
        </w:rPr>
        <w:t xml:space="preserve"> and is young at heart. The PeeBuddy girl is a complete performer</w:t>
      </w:r>
      <w:r>
        <w:rPr>
          <w:lang w:val="en-GB"/>
        </w:rPr>
        <w:t>—</w:t>
      </w:r>
      <w:r w:rsidRPr="004A6259">
        <w:rPr>
          <w:lang w:val="en-GB"/>
        </w:rPr>
        <w:t>you know, like the Nike girl.”</w:t>
      </w:r>
    </w:p>
    <w:p w14:paraId="4AA20201" w14:textId="77777777" w:rsidR="003434E6" w:rsidRPr="004A6259" w:rsidRDefault="003434E6" w:rsidP="00882701">
      <w:pPr>
        <w:pStyle w:val="BodyTextMain"/>
        <w:rPr>
          <w:lang w:val="en-GB"/>
        </w:rPr>
      </w:pPr>
    </w:p>
    <w:p w14:paraId="7CA63FD7" w14:textId="4DDFBA3C" w:rsidR="003434E6" w:rsidRDefault="003434E6" w:rsidP="00882701">
      <w:pPr>
        <w:pStyle w:val="BodyTextMain"/>
        <w:rPr>
          <w:lang w:val="en-GB"/>
        </w:rPr>
      </w:pPr>
      <w:r>
        <w:rPr>
          <w:lang w:val="en-GB"/>
        </w:rPr>
        <w:t>Deep</w:t>
      </w:r>
      <w:r w:rsidRPr="004A6259">
        <w:rPr>
          <w:lang w:val="en-GB"/>
        </w:rPr>
        <w:t xml:space="preserve"> believed that start-ups created their own markets and</w:t>
      </w:r>
      <w:r>
        <w:rPr>
          <w:lang w:val="en-GB"/>
        </w:rPr>
        <w:t xml:space="preserve"> that</w:t>
      </w:r>
      <w:r w:rsidRPr="004A6259">
        <w:rPr>
          <w:lang w:val="en-GB"/>
        </w:rPr>
        <w:t xml:space="preserve"> no market research was necessary for products like PeeBuddy, where the market did not exist. He explained</w:t>
      </w:r>
      <w:r>
        <w:rPr>
          <w:lang w:val="en-GB"/>
        </w:rPr>
        <w:t>:</w:t>
      </w:r>
    </w:p>
    <w:p w14:paraId="1AF86F09" w14:textId="77777777" w:rsidR="003434E6" w:rsidRDefault="003434E6" w:rsidP="00882701">
      <w:pPr>
        <w:pStyle w:val="BodyTextMain"/>
        <w:rPr>
          <w:lang w:val="en-GB"/>
        </w:rPr>
      </w:pPr>
    </w:p>
    <w:p w14:paraId="4433B87B" w14:textId="28C99573" w:rsidR="003434E6" w:rsidRPr="004A6259" w:rsidRDefault="003434E6" w:rsidP="00CA2239">
      <w:pPr>
        <w:pStyle w:val="BodyTextMain"/>
        <w:ind w:left="720"/>
        <w:rPr>
          <w:lang w:val="en-GB"/>
        </w:rPr>
      </w:pPr>
      <w:r w:rsidRPr="004A6259">
        <w:rPr>
          <w:lang w:val="en-GB"/>
        </w:rPr>
        <w:lastRenderedPageBreak/>
        <w:t>I am married, I have a mother and have two daughters</w:t>
      </w:r>
      <w:r>
        <w:rPr>
          <w:lang w:val="en-GB"/>
        </w:rPr>
        <w:t>.</w:t>
      </w:r>
      <w:r w:rsidRPr="004A6259">
        <w:rPr>
          <w:lang w:val="en-GB"/>
        </w:rPr>
        <w:t xml:space="preserve"> I saw their challenges, so I did not have to go too far. Honestly</w:t>
      </w:r>
      <w:r>
        <w:rPr>
          <w:lang w:val="en-GB"/>
        </w:rPr>
        <w:t>,</w:t>
      </w:r>
      <w:r w:rsidRPr="004A6259">
        <w:rPr>
          <w:lang w:val="en-GB"/>
        </w:rPr>
        <w:t xml:space="preserve"> these market research studies are done after start-ups like us create a market</w:t>
      </w:r>
      <w:r>
        <w:rPr>
          <w:lang w:val="en-GB"/>
        </w:rPr>
        <w:t>,</w:t>
      </w:r>
      <w:r w:rsidRPr="004A6259">
        <w:rPr>
          <w:lang w:val="en-GB"/>
        </w:rPr>
        <w:t xml:space="preserve"> and then they hire a BCG </w:t>
      </w:r>
      <w:r>
        <w:rPr>
          <w:lang w:val="en-GB"/>
        </w:rPr>
        <w:t xml:space="preserve">[Boston Consulting Group] </w:t>
      </w:r>
      <w:r w:rsidRPr="004A6259">
        <w:rPr>
          <w:lang w:val="en-GB"/>
        </w:rPr>
        <w:t xml:space="preserve">or AC Nielsen </w:t>
      </w:r>
      <w:r>
        <w:rPr>
          <w:lang w:val="en-GB"/>
        </w:rPr>
        <w:t>[</w:t>
      </w:r>
      <w:r w:rsidRPr="007A1C2A">
        <w:rPr>
          <w:lang w:val="en-GB"/>
        </w:rPr>
        <w:t>Nielsen Corporation</w:t>
      </w:r>
      <w:r>
        <w:rPr>
          <w:lang w:val="en-GB"/>
        </w:rPr>
        <w:t>]</w:t>
      </w:r>
      <w:r w:rsidRPr="007A1C2A">
        <w:rPr>
          <w:lang w:val="en-GB"/>
        </w:rPr>
        <w:t xml:space="preserve"> </w:t>
      </w:r>
      <w:r w:rsidRPr="004A6259">
        <w:rPr>
          <w:lang w:val="en-GB"/>
        </w:rPr>
        <w:t>to extrapolate the data and make some projections on the market size. There is nobody who can understand the market better than my core team and our customers. The first girl who used PeeBuddy is bigger than any market research</w:t>
      </w:r>
      <w:r>
        <w:rPr>
          <w:lang w:val="en-GB"/>
        </w:rPr>
        <w:t>,</w:t>
      </w:r>
      <w:r w:rsidRPr="004A6259">
        <w:rPr>
          <w:lang w:val="en-GB"/>
        </w:rPr>
        <w:t xml:space="preserve"> as she put to rest all the speculations and apprehensions that everybody else around me kept telling. Having said that, we do go back to our own customers for feedback on new </w:t>
      </w:r>
      <w:r>
        <w:rPr>
          <w:lang w:val="en-GB"/>
        </w:rPr>
        <w:t>ideas and products</w:t>
      </w:r>
      <w:r w:rsidRPr="004A6259">
        <w:rPr>
          <w:lang w:val="en-GB"/>
        </w:rPr>
        <w:t xml:space="preserve"> because our customers represent that strata which are the early adopters of any concept. We present our radical solution to their problem; if they say yes, we assume others will also say yes.</w:t>
      </w:r>
    </w:p>
    <w:p w14:paraId="0F39118A" w14:textId="77777777" w:rsidR="003434E6" w:rsidRPr="004A6259" w:rsidRDefault="003434E6" w:rsidP="00882701">
      <w:pPr>
        <w:pStyle w:val="BodyTextMain"/>
        <w:rPr>
          <w:lang w:val="en-GB"/>
        </w:rPr>
      </w:pPr>
    </w:p>
    <w:p w14:paraId="1B62A038" w14:textId="492E516B" w:rsidR="003434E6" w:rsidRPr="004A6259" w:rsidRDefault="003434E6" w:rsidP="00882701">
      <w:pPr>
        <w:pStyle w:val="BodyTextMain"/>
        <w:rPr>
          <w:lang w:val="en-GB"/>
        </w:rPr>
      </w:pPr>
      <w:r w:rsidRPr="004A6259">
        <w:rPr>
          <w:lang w:val="en-GB"/>
        </w:rPr>
        <w:t>Once the possible product idea or customer need was evident</w:t>
      </w:r>
      <w:r>
        <w:rPr>
          <w:lang w:val="en-GB"/>
        </w:rPr>
        <w:t>, Deep</w:t>
      </w:r>
      <w:r w:rsidRPr="004A6259">
        <w:rPr>
          <w:lang w:val="en-GB"/>
        </w:rPr>
        <w:t xml:space="preserve"> went about checking the possibility of manufacturing it. He would meet several vendors to discuss the design and determine whether the product could be manufactured in large numbers. For instance, </w:t>
      </w:r>
      <w:r>
        <w:rPr>
          <w:lang w:val="en-GB"/>
        </w:rPr>
        <w:t>for his first prototype design of PeeBuddy, Deep</w:t>
      </w:r>
      <w:r w:rsidRPr="004A6259">
        <w:rPr>
          <w:lang w:val="en-GB"/>
        </w:rPr>
        <w:t xml:space="preserve"> contacted a printing press </w:t>
      </w:r>
      <w:r>
        <w:rPr>
          <w:lang w:val="en-GB"/>
        </w:rPr>
        <w:t>that</w:t>
      </w:r>
      <w:r w:rsidRPr="004A6259">
        <w:rPr>
          <w:lang w:val="en-GB"/>
        </w:rPr>
        <w:t xml:space="preserve"> made cardboard boxes. For PregRx, </w:t>
      </w:r>
      <w:r>
        <w:rPr>
          <w:lang w:val="en-GB"/>
        </w:rPr>
        <w:t>Deep</w:t>
      </w:r>
      <w:r w:rsidRPr="004A6259">
        <w:rPr>
          <w:lang w:val="en-GB"/>
        </w:rPr>
        <w:t xml:space="preserve"> went to a vendor who made </w:t>
      </w:r>
      <w:r>
        <w:rPr>
          <w:lang w:val="en-GB"/>
        </w:rPr>
        <w:t>hCG</w:t>
      </w:r>
      <w:r w:rsidRPr="004A6259">
        <w:rPr>
          <w:lang w:val="en-GB"/>
        </w:rPr>
        <w:t xml:space="preserve"> strips and asked the manufacturing team to integrate the strip </w:t>
      </w:r>
      <w:r>
        <w:rPr>
          <w:lang w:val="en-GB"/>
        </w:rPr>
        <w:t>into</w:t>
      </w:r>
      <w:r w:rsidRPr="004A6259">
        <w:rPr>
          <w:lang w:val="en-GB"/>
        </w:rPr>
        <w:t xml:space="preserve"> </w:t>
      </w:r>
      <w:r>
        <w:rPr>
          <w:lang w:val="en-GB"/>
        </w:rPr>
        <w:t>Deep’s</w:t>
      </w:r>
      <w:r w:rsidRPr="004A6259">
        <w:rPr>
          <w:lang w:val="en-GB"/>
        </w:rPr>
        <w:t xml:space="preserve"> PeeBuddy</w:t>
      </w:r>
      <w:r>
        <w:rPr>
          <w:lang w:val="en-GB"/>
        </w:rPr>
        <w:t xml:space="preserve"> design (see </w:t>
      </w:r>
      <w:r w:rsidRPr="004A6259">
        <w:rPr>
          <w:lang w:val="en-GB"/>
        </w:rPr>
        <w:t xml:space="preserve">Exhibit </w:t>
      </w:r>
      <w:r>
        <w:rPr>
          <w:lang w:val="en-GB"/>
        </w:rPr>
        <w:t>5 for the PeeBuddy range</w:t>
      </w:r>
      <w:r w:rsidRPr="004A6259">
        <w:rPr>
          <w:lang w:val="en-GB"/>
        </w:rPr>
        <w:t>)</w:t>
      </w:r>
      <w:r>
        <w:rPr>
          <w:lang w:val="en-GB"/>
        </w:rPr>
        <w:t>.</w:t>
      </w:r>
    </w:p>
    <w:p w14:paraId="31A949F4" w14:textId="77777777" w:rsidR="003434E6" w:rsidRPr="004A6259" w:rsidRDefault="003434E6" w:rsidP="00882701">
      <w:pPr>
        <w:pStyle w:val="BodyTextMain"/>
        <w:rPr>
          <w:lang w:val="en-GB"/>
        </w:rPr>
      </w:pPr>
    </w:p>
    <w:p w14:paraId="4100690B" w14:textId="701DCDD2" w:rsidR="003434E6" w:rsidRDefault="003434E6" w:rsidP="00882701">
      <w:pPr>
        <w:pStyle w:val="BodyTextMain"/>
        <w:rPr>
          <w:lang w:val="en-GB"/>
        </w:rPr>
      </w:pPr>
      <w:r>
        <w:rPr>
          <w:lang w:val="en-GB"/>
        </w:rPr>
        <w:t>Deep</w:t>
      </w:r>
      <w:r w:rsidRPr="004A6259">
        <w:rPr>
          <w:lang w:val="en-GB"/>
        </w:rPr>
        <w:t xml:space="preserve"> relied less on the physical retail format and more on online distribution channels. He confessed,</w:t>
      </w:r>
    </w:p>
    <w:p w14:paraId="42734AD0" w14:textId="77777777" w:rsidR="003434E6" w:rsidRDefault="003434E6" w:rsidP="00882701">
      <w:pPr>
        <w:pStyle w:val="BodyTextMain"/>
        <w:rPr>
          <w:lang w:val="en-GB"/>
        </w:rPr>
      </w:pPr>
    </w:p>
    <w:p w14:paraId="60B27235" w14:textId="44057C93" w:rsidR="003434E6" w:rsidRDefault="003434E6" w:rsidP="00115A43">
      <w:pPr>
        <w:pStyle w:val="BodyTextMain"/>
        <w:ind w:left="720"/>
        <w:rPr>
          <w:lang w:val="en-GB"/>
        </w:rPr>
      </w:pPr>
      <w:r w:rsidRPr="004A6259">
        <w:rPr>
          <w:lang w:val="en-GB"/>
        </w:rPr>
        <w:t xml:space="preserve">We have not gone too aggressive with the </w:t>
      </w:r>
      <w:r>
        <w:rPr>
          <w:lang w:val="en-GB"/>
        </w:rPr>
        <w:t>off-line</w:t>
      </w:r>
      <w:r w:rsidRPr="004A6259">
        <w:rPr>
          <w:lang w:val="en-GB"/>
        </w:rPr>
        <w:t xml:space="preserve"> channels in other cities</w:t>
      </w:r>
      <w:r>
        <w:rPr>
          <w:lang w:val="en-GB"/>
        </w:rPr>
        <w:t>,</w:t>
      </w:r>
      <w:r w:rsidRPr="004A6259">
        <w:rPr>
          <w:lang w:val="en-GB"/>
        </w:rPr>
        <w:t xml:space="preserve"> as it is very expensive. It also needs a lot of time. I would wait till the next round of funding to take care of other cities. However, we need to be different. To give you a sense of what I think will be different is, we came up with a vending machine which was digitally enabled. Something like a </w:t>
      </w:r>
      <w:r>
        <w:rPr>
          <w:lang w:val="en-GB"/>
        </w:rPr>
        <w:t>Coke</w:t>
      </w:r>
      <w:r w:rsidRPr="004A6259">
        <w:rPr>
          <w:lang w:val="en-GB"/>
        </w:rPr>
        <w:t xml:space="preserve"> vending machine</w:t>
      </w:r>
      <w:r>
        <w:rPr>
          <w:lang w:val="en-GB"/>
        </w:rPr>
        <w:t>.</w:t>
      </w:r>
      <w:r w:rsidRPr="004A6259">
        <w:rPr>
          <w:lang w:val="en-GB"/>
        </w:rPr>
        <w:t xml:space="preserve"> </w:t>
      </w:r>
      <w:r>
        <w:rPr>
          <w:lang w:val="en-GB"/>
        </w:rPr>
        <w:t>So</w:t>
      </w:r>
      <w:r w:rsidRPr="004A6259">
        <w:rPr>
          <w:lang w:val="en-GB"/>
        </w:rPr>
        <w:t xml:space="preserve"> we are thinking on those lines, where if she runs out of pads, she could easily get it from the vending machine in her office, or the mall, </w:t>
      </w:r>
      <w:r>
        <w:rPr>
          <w:lang w:val="en-GB"/>
        </w:rPr>
        <w:t>et cetera.</w:t>
      </w:r>
    </w:p>
    <w:p w14:paraId="1D9E5BD6" w14:textId="77777777" w:rsidR="003434E6" w:rsidRDefault="003434E6" w:rsidP="00772914">
      <w:pPr>
        <w:pStyle w:val="BodyTextMain"/>
        <w:rPr>
          <w:lang w:val="en-GB"/>
        </w:rPr>
      </w:pPr>
    </w:p>
    <w:p w14:paraId="4686E5AA" w14:textId="7C829A15" w:rsidR="003434E6" w:rsidRPr="004A6259" w:rsidRDefault="003434E6" w:rsidP="00D00C0C">
      <w:pPr>
        <w:pStyle w:val="BodyTextMain"/>
        <w:rPr>
          <w:lang w:val="en-GB"/>
        </w:rPr>
      </w:pPr>
      <w:r w:rsidRPr="004A6259">
        <w:rPr>
          <w:lang w:val="en-GB"/>
        </w:rPr>
        <w:t xml:space="preserve">Though </w:t>
      </w:r>
      <w:r>
        <w:rPr>
          <w:lang w:val="en-GB"/>
        </w:rPr>
        <w:t>Deep</w:t>
      </w:r>
      <w:r w:rsidRPr="004A6259">
        <w:rPr>
          <w:lang w:val="en-GB"/>
        </w:rPr>
        <w:t xml:space="preserve"> preferred the online distribution channels and sold through the company</w:t>
      </w:r>
      <w:r>
        <w:rPr>
          <w:lang w:val="en-GB"/>
        </w:rPr>
        <w:t>’s</w:t>
      </w:r>
      <w:r w:rsidRPr="004A6259">
        <w:rPr>
          <w:lang w:val="en-GB"/>
        </w:rPr>
        <w:t xml:space="preserve"> website as well as </w:t>
      </w:r>
      <w:r>
        <w:rPr>
          <w:lang w:val="en-GB"/>
        </w:rPr>
        <w:t xml:space="preserve">through </w:t>
      </w:r>
      <w:r w:rsidRPr="004A6259">
        <w:rPr>
          <w:lang w:val="en-GB"/>
        </w:rPr>
        <w:t xml:space="preserve">aggregators </w:t>
      </w:r>
      <w:r>
        <w:rPr>
          <w:lang w:val="en-GB"/>
        </w:rPr>
        <w:t>such as</w:t>
      </w:r>
      <w:r w:rsidRPr="004A6259">
        <w:rPr>
          <w:lang w:val="en-GB"/>
        </w:rPr>
        <w:t xml:space="preserve"> Amazon, Myntra</w:t>
      </w:r>
      <w:r>
        <w:rPr>
          <w:lang w:val="en-GB"/>
        </w:rPr>
        <w:t>,</w:t>
      </w:r>
      <w:r w:rsidRPr="004A6259">
        <w:rPr>
          <w:lang w:val="en-GB"/>
        </w:rPr>
        <w:t xml:space="preserve"> Nykaa</w:t>
      </w:r>
      <w:r>
        <w:rPr>
          <w:lang w:val="en-GB"/>
        </w:rPr>
        <w:t>,</w:t>
      </w:r>
      <w:r w:rsidRPr="004A6259">
        <w:rPr>
          <w:lang w:val="en-GB"/>
        </w:rPr>
        <w:t xml:space="preserve"> and others</w:t>
      </w:r>
      <w:r>
        <w:rPr>
          <w:lang w:val="en-GB"/>
        </w:rPr>
        <w:t>,</w:t>
      </w:r>
      <w:r w:rsidRPr="004A6259">
        <w:rPr>
          <w:lang w:val="en-GB"/>
        </w:rPr>
        <w:t xml:space="preserve"> PeeBuddy was also available through </w:t>
      </w:r>
      <w:r>
        <w:rPr>
          <w:lang w:val="en-GB"/>
        </w:rPr>
        <w:t>high-end</w:t>
      </w:r>
      <w:r w:rsidRPr="004A6259">
        <w:rPr>
          <w:lang w:val="en-GB"/>
        </w:rPr>
        <w:t xml:space="preserve"> </w:t>
      </w:r>
      <w:r>
        <w:rPr>
          <w:lang w:val="en-GB"/>
        </w:rPr>
        <w:t>department</w:t>
      </w:r>
      <w:r w:rsidRPr="004A6259">
        <w:rPr>
          <w:lang w:val="en-GB"/>
        </w:rPr>
        <w:t xml:space="preserve"> stores in the </w:t>
      </w:r>
      <w:r>
        <w:rPr>
          <w:lang w:val="en-GB"/>
        </w:rPr>
        <w:t>NCR</w:t>
      </w:r>
      <w:r w:rsidRPr="004A6259">
        <w:rPr>
          <w:lang w:val="en-GB"/>
        </w:rPr>
        <w:t>.</w:t>
      </w:r>
    </w:p>
    <w:p w14:paraId="4025844C" w14:textId="77777777" w:rsidR="003434E6" w:rsidRPr="004A6259" w:rsidRDefault="003434E6" w:rsidP="00882701">
      <w:pPr>
        <w:pStyle w:val="BodyTextMain"/>
        <w:rPr>
          <w:lang w:val="en-GB"/>
        </w:rPr>
      </w:pPr>
    </w:p>
    <w:p w14:paraId="7A5133C5" w14:textId="2188FCE7" w:rsidR="003434E6" w:rsidRPr="004A6259" w:rsidRDefault="003434E6" w:rsidP="00882701">
      <w:pPr>
        <w:pStyle w:val="BodyTextMain"/>
        <w:rPr>
          <w:lang w:val="en-GB"/>
        </w:rPr>
      </w:pPr>
      <w:r w:rsidRPr="004A6259">
        <w:rPr>
          <w:lang w:val="en-GB"/>
        </w:rPr>
        <w:t xml:space="preserve">PeeBuddy was coloured a bright fluorescent green. </w:t>
      </w:r>
      <w:r>
        <w:rPr>
          <w:lang w:val="en-GB"/>
        </w:rPr>
        <w:t>Deep</w:t>
      </w:r>
      <w:r w:rsidRPr="004A6259">
        <w:rPr>
          <w:lang w:val="en-GB"/>
        </w:rPr>
        <w:t xml:space="preserve"> explained</w:t>
      </w:r>
      <w:r>
        <w:rPr>
          <w:lang w:val="en-GB"/>
        </w:rPr>
        <w:t xml:space="preserve"> the colour choice:</w:t>
      </w:r>
      <w:r w:rsidRPr="004A6259">
        <w:rPr>
          <w:lang w:val="en-GB"/>
        </w:rPr>
        <w:t xml:space="preserve"> “</w:t>
      </w:r>
      <w:r>
        <w:rPr>
          <w:lang w:val="en-GB"/>
        </w:rPr>
        <w:t>Green</w:t>
      </w:r>
      <w:r w:rsidRPr="004A6259">
        <w:rPr>
          <w:lang w:val="en-GB"/>
        </w:rPr>
        <w:t>, because green is for freedom</w:t>
      </w:r>
      <w:r>
        <w:rPr>
          <w:lang w:val="en-GB"/>
        </w:rPr>
        <w:t>—</w:t>
      </w:r>
      <w:r w:rsidRPr="004A6259">
        <w:rPr>
          <w:lang w:val="en-GB"/>
        </w:rPr>
        <w:t>freedom to stand and pee</w:t>
      </w:r>
      <w:r>
        <w:rPr>
          <w:lang w:val="en-GB"/>
        </w:rPr>
        <w:t>.”</w:t>
      </w:r>
      <w:r w:rsidRPr="004A6259">
        <w:rPr>
          <w:lang w:val="en-GB"/>
        </w:rPr>
        <w:t xml:space="preserve"> The </w:t>
      </w:r>
      <w:r w:rsidRPr="00CA2239">
        <w:rPr>
          <w:i/>
          <w:iCs/>
          <w:lang w:val="en-GB"/>
        </w:rPr>
        <w:t>Y</w:t>
      </w:r>
      <w:r w:rsidRPr="004A6259">
        <w:rPr>
          <w:lang w:val="en-GB"/>
        </w:rPr>
        <w:t xml:space="preserve"> of </w:t>
      </w:r>
      <w:r>
        <w:rPr>
          <w:lang w:val="en-GB"/>
        </w:rPr>
        <w:t xml:space="preserve">the </w:t>
      </w:r>
      <w:r w:rsidRPr="004A6259">
        <w:rPr>
          <w:lang w:val="en-GB"/>
        </w:rPr>
        <w:t>PeeBuddy logo, shaped like two leaves on a twig</w:t>
      </w:r>
      <w:r>
        <w:rPr>
          <w:lang w:val="en-GB"/>
        </w:rPr>
        <w:t>,</w:t>
      </w:r>
      <w:r w:rsidRPr="004A6259">
        <w:rPr>
          <w:lang w:val="en-GB"/>
        </w:rPr>
        <w:t xml:space="preserve"> referred to the </w:t>
      </w:r>
      <w:r>
        <w:rPr>
          <w:lang w:val="en-GB"/>
        </w:rPr>
        <w:t>biodegradable</w:t>
      </w:r>
      <w:r w:rsidRPr="004A6259">
        <w:rPr>
          <w:lang w:val="en-GB"/>
        </w:rPr>
        <w:t xml:space="preserve"> paper from which </w:t>
      </w:r>
      <w:r>
        <w:rPr>
          <w:lang w:val="en-GB"/>
        </w:rPr>
        <w:t xml:space="preserve">the product </w:t>
      </w:r>
      <w:r w:rsidRPr="004A6259">
        <w:rPr>
          <w:lang w:val="en-GB"/>
        </w:rPr>
        <w:t xml:space="preserve">was made. The </w:t>
      </w:r>
      <w:r>
        <w:rPr>
          <w:lang w:val="en-GB"/>
        </w:rPr>
        <w:t>funnel-shaped</w:t>
      </w:r>
      <w:r w:rsidRPr="004A6259">
        <w:rPr>
          <w:lang w:val="en-GB"/>
        </w:rPr>
        <w:t xml:space="preserve"> product was available in </w:t>
      </w:r>
      <w:r>
        <w:rPr>
          <w:lang w:val="en-GB"/>
        </w:rPr>
        <w:t>five</w:t>
      </w:r>
      <w:r w:rsidRPr="004A6259">
        <w:rPr>
          <w:lang w:val="en-GB"/>
        </w:rPr>
        <w:t xml:space="preserve"> different </w:t>
      </w:r>
      <w:r>
        <w:rPr>
          <w:lang w:val="en-GB"/>
        </w:rPr>
        <w:t>stock-keeping units (SKUs)</w:t>
      </w:r>
      <w:r w:rsidRPr="004A6259">
        <w:rPr>
          <w:lang w:val="en-GB"/>
        </w:rPr>
        <w:t xml:space="preserve">. </w:t>
      </w:r>
      <w:r>
        <w:rPr>
          <w:lang w:val="en-GB"/>
        </w:rPr>
        <w:t>PeeBuddy</w:t>
      </w:r>
      <w:r w:rsidRPr="004A6259">
        <w:rPr>
          <w:lang w:val="en-GB"/>
        </w:rPr>
        <w:t xml:space="preserve"> was an </w:t>
      </w:r>
      <w:r>
        <w:rPr>
          <w:lang w:val="en-GB"/>
        </w:rPr>
        <w:t>easy-to-use disposable product.</w:t>
      </w:r>
      <w:r w:rsidRPr="004A6259">
        <w:rPr>
          <w:lang w:val="en-GB"/>
        </w:rPr>
        <w:t xml:space="preserve"> </w:t>
      </w:r>
      <w:r>
        <w:rPr>
          <w:lang w:val="en-GB"/>
        </w:rPr>
        <w:t xml:space="preserve">“Freedom to stand and pee” was </w:t>
      </w:r>
      <w:r w:rsidRPr="004A6259">
        <w:rPr>
          <w:lang w:val="en-GB"/>
        </w:rPr>
        <w:t xml:space="preserve">boldly displayed on the front of the </w:t>
      </w:r>
      <w:r>
        <w:rPr>
          <w:lang w:val="en-GB"/>
        </w:rPr>
        <w:t xml:space="preserve">package; </w:t>
      </w:r>
      <w:r w:rsidRPr="004A6259">
        <w:rPr>
          <w:lang w:val="en-GB"/>
        </w:rPr>
        <w:t>the back</w:t>
      </w:r>
      <w:r>
        <w:rPr>
          <w:lang w:val="en-GB"/>
        </w:rPr>
        <w:t xml:space="preserve"> of the package provided</w:t>
      </w:r>
      <w:r w:rsidRPr="004A6259">
        <w:rPr>
          <w:lang w:val="en-GB"/>
        </w:rPr>
        <w:t xml:space="preserve"> visual and verbal instruction on how to use </w:t>
      </w:r>
      <w:r>
        <w:rPr>
          <w:lang w:val="en-GB"/>
        </w:rPr>
        <w:t>the product</w:t>
      </w:r>
      <w:r w:rsidRPr="004A6259">
        <w:rPr>
          <w:lang w:val="en-GB"/>
        </w:rPr>
        <w:t xml:space="preserve">. The </w:t>
      </w:r>
      <w:r>
        <w:rPr>
          <w:lang w:val="en-GB"/>
        </w:rPr>
        <w:t>brand’s tag line</w:t>
      </w:r>
      <w:r w:rsidRPr="004A6259">
        <w:rPr>
          <w:lang w:val="en-GB"/>
        </w:rPr>
        <w:t xml:space="preserve"> was </w:t>
      </w:r>
      <w:r>
        <w:rPr>
          <w:lang w:val="en-GB"/>
        </w:rPr>
        <w:t>“</w:t>
      </w:r>
      <w:r w:rsidRPr="00CA2239">
        <w:rPr>
          <w:lang w:val="en-GB"/>
        </w:rPr>
        <w:t>A girl’s best friend for unfriendly toilets</w:t>
      </w:r>
      <w:r>
        <w:rPr>
          <w:lang w:val="en-GB"/>
        </w:rPr>
        <w:t xml:space="preserve">”. </w:t>
      </w:r>
    </w:p>
    <w:p w14:paraId="183BF671" w14:textId="3CF9E06D" w:rsidR="003434E6" w:rsidRDefault="003434E6" w:rsidP="00882701">
      <w:pPr>
        <w:pStyle w:val="BodyTextMain"/>
        <w:rPr>
          <w:bCs/>
          <w:i/>
          <w:iCs/>
          <w:u w:val="single"/>
          <w:lang w:val="en-GB"/>
        </w:rPr>
      </w:pPr>
    </w:p>
    <w:p w14:paraId="59238864" w14:textId="77777777" w:rsidR="003434E6" w:rsidRPr="004A6259" w:rsidRDefault="003434E6" w:rsidP="00882701">
      <w:pPr>
        <w:pStyle w:val="BodyTextMain"/>
        <w:rPr>
          <w:bCs/>
          <w:i/>
          <w:iCs/>
          <w:u w:val="single"/>
          <w:lang w:val="en-GB"/>
        </w:rPr>
      </w:pPr>
    </w:p>
    <w:p w14:paraId="6B149C18" w14:textId="28D14B23" w:rsidR="003434E6" w:rsidRDefault="003434E6" w:rsidP="00CA2239">
      <w:pPr>
        <w:pStyle w:val="Casehead2"/>
        <w:rPr>
          <w:lang w:val="en-GB"/>
        </w:rPr>
      </w:pPr>
      <w:r w:rsidRPr="004A6259">
        <w:rPr>
          <w:lang w:val="en-GB"/>
        </w:rPr>
        <w:t>Sirona</w:t>
      </w:r>
      <w:r>
        <w:rPr>
          <w:lang w:val="en-GB"/>
        </w:rPr>
        <w:t xml:space="preserve">: </w:t>
      </w:r>
      <w:r w:rsidRPr="004A6259">
        <w:rPr>
          <w:lang w:val="en-GB"/>
        </w:rPr>
        <w:t>Menstrual Hygiene</w:t>
      </w:r>
    </w:p>
    <w:p w14:paraId="11D1E98F" w14:textId="77777777" w:rsidR="003434E6" w:rsidRDefault="003434E6" w:rsidP="00882701">
      <w:pPr>
        <w:pStyle w:val="BodyTextMain"/>
        <w:rPr>
          <w:bCs/>
          <w:i/>
          <w:iCs/>
          <w:lang w:val="en-GB"/>
        </w:rPr>
      </w:pPr>
    </w:p>
    <w:p w14:paraId="0F060A24" w14:textId="462EA5EF" w:rsidR="003434E6" w:rsidRDefault="003434E6" w:rsidP="00130BD2">
      <w:pPr>
        <w:pStyle w:val="BodyTextMain"/>
        <w:rPr>
          <w:lang w:val="en-GB"/>
        </w:rPr>
      </w:pPr>
      <w:r>
        <w:rPr>
          <w:bCs/>
          <w:lang w:val="en-GB"/>
        </w:rPr>
        <w:t>When discussing the</w:t>
      </w:r>
      <w:r w:rsidRPr="004A6259">
        <w:rPr>
          <w:bCs/>
          <w:lang w:val="en-GB"/>
        </w:rPr>
        <w:t xml:space="preserve"> Sirona range</w:t>
      </w:r>
      <w:r>
        <w:rPr>
          <w:bCs/>
          <w:lang w:val="en-GB"/>
        </w:rPr>
        <w:t xml:space="preserve">, which included 16 products </w:t>
      </w:r>
      <w:r w:rsidRPr="004A6259">
        <w:rPr>
          <w:color w:val="000000"/>
          <w:lang w:val="en-GB" w:bidi="sa-IN"/>
        </w:rPr>
        <w:t>(</w:t>
      </w:r>
      <w:r>
        <w:rPr>
          <w:color w:val="000000"/>
          <w:lang w:val="en-GB" w:bidi="sa-IN"/>
        </w:rPr>
        <w:t>see</w:t>
      </w:r>
      <w:r w:rsidRPr="004A6259">
        <w:rPr>
          <w:lang w:val="en-GB"/>
        </w:rPr>
        <w:t xml:space="preserve"> </w:t>
      </w:r>
      <w:r w:rsidRPr="00A82AEC">
        <w:rPr>
          <w:bCs/>
          <w:lang w:val="en-GB"/>
        </w:rPr>
        <w:t xml:space="preserve">Exhibit </w:t>
      </w:r>
      <w:r>
        <w:rPr>
          <w:bCs/>
          <w:lang w:val="en-GB"/>
        </w:rPr>
        <w:t>6</w:t>
      </w:r>
      <w:r w:rsidRPr="00A82AEC">
        <w:rPr>
          <w:bCs/>
          <w:lang w:val="en-GB"/>
        </w:rPr>
        <w:t>)</w:t>
      </w:r>
      <w:r>
        <w:rPr>
          <w:bCs/>
          <w:lang w:val="en-GB"/>
        </w:rPr>
        <w:t xml:space="preserve"> that</w:t>
      </w:r>
      <w:r w:rsidRPr="004A6259">
        <w:rPr>
          <w:bCs/>
          <w:lang w:val="en-GB"/>
        </w:rPr>
        <w:t xml:space="preserve"> </w:t>
      </w:r>
      <w:r>
        <w:rPr>
          <w:bCs/>
          <w:lang w:val="en-GB"/>
        </w:rPr>
        <w:t>targeted</w:t>
      </w:r>
      <w:r w:rsidRPr="004A6259">
        <w:rPr>
          <w:bCs/>
          <w:lang w:val="en-GB"/>
        </w:rPr>
        <w:t xml:space="preserve"> menstrual problems</w:t>
      </w:r>
      <w:r>
        <w:rPr>
          <w:bCs/>
          <w:lang w:val="en-GB"/>
        </w:rPr>
        <w:t>,</w:t>
      </w:r>
      <w:r w:rsidRPr="004A6259">
        <w:rPr>
          <w:bCs/>
          <w:lang w:val="en-GB"/>
        </w:rPr>
        <w:t xml:space="preserve"> </w:t>
      </w:r>
      <w:r>
        <w:rPr>
          <w:bCs/>
          <w:lang w:val="en-GB"/>
        </w:rPr>
        <w:t xml:space="preserve">Deep </w:t>
      </w:r>
      <w:r>
        <w:rPr>
          <w:lang w:val="en-GB"/>
        </w:rPr>
        <w:t>said:</w:t>
      </w:r>
    </w:p>
    <w:p w14:paraId="5986D2AF" w14:textId="77777777" w:rsidR="003434E6" w:rsidRDefault="003434E6" w:rsidP="00882701">
      <w:pPr>
        <w:pStyle w:val="BodyTextMain"/>
        <w:rPr>
          <w:lang w:val="en-GB"/>
        </w:rPr>
      </w:pPr>
    </w:p>
    <w:p w14:paraId="4F6A19DA" w14:textId="420A2401" w:rsidR="003434E6" w:rsidRPr="004A6259" w:rsidRDefault="003434E6" w:rsidP="00CA2239">
      <w:pPr>
        <w:pStyle w:val="BodyTextMain"/>
        <w:ind w:left="720"/>
        <w:rPr>
          <w:bCs/>
          <w:lang w:val="en-GB"/>
        </w:rPr>
      </w:pPr>
      <w:r>
        <w:rPr>
          <w:lang w:val="en-GB"/>
        </w:rPr>
        <w:t>You</w:t>
      </w:r>
      <w:r w:rsidRPr="004A6259">
        <w:rPr>
          <w:lang w:val="en-GB"/>
        </w:rPr>
        <w:t xml:space="preserve"> know</w:t>
      </w:r>
      <w:r>
        <w:rPr>
          <w:lang w:val="en-GB"/>
        </w:rPr>
        <w:t>,</w:t>
      </w:r>
      <w:r w:rsidRPr="004A6259">
        <w:rPr>
          <w:lang w:val="en-GB"/>
        </w:rPr>
        <w:t xml:space="preserve"> initially</w:t>
      </w:r>
      <w:r>
        <w:rPr>
          <w:lang w:val="en-GB"/>
        </w:rPr>
        <w:t>,</w:t>
      </w:r>
      <w:r w:rsidRPr="004A6259">
        <w:rPr>
          <w:lang w:val="en-GB"/>
        </w:rPr>
        <w:t xml:space="preserve"> we were almost anti-pad in our orientation. We looked at other </w:t>
      </w:r>
      <w:r>
        <w:rPr>
          <w:lang w:val="en-GB"/>
        </w:rPr>
        <w:t>period-related</w:t>
      </w:r>
      <w:r w:rsidRPr="004A6259">
        <w:rPr>
          <w:lang w:val="en-GB"/>
        </w:rPr>
        <w:t xml:space="preserve"> problems. For example, period pain, disposal of sanitary pads, anti-rash creams. We wanted to cover the entire cycle. So, we innovated on </w:t>
      </w:r>
      <w:r>
        <w:rPr>
          <w:lang w:val="en-GB"/>
        </w:rPr>
        <w:t>biodegradable</w:t>
      </w:r>
      <w:r w:rsidRPr="004A6259">
        <w:rPr>
          <w:lang w:val="en-GB"/>
        </w:rPr>
        <w:t xml:space="preserve"> disposable bags. So, while PeeBuddy and all the products available there were based on my </w:t>
      </w:r>
      <w:r>
        <w:rPr>
          <w:lang w:val="en-GB"/>
        </w:rPr>
        <w:t>close ones’</w:t>
      </w:r>
      <w:r w:rsidRPr="004A6259">
        <w:rPr>
          <w:lang w:val="en-GB"/>
        </w:rPr>
        <w:t xml:space="preserve"> personal experiences, Sirona was </w:t>
      </w:r>
      <w:r w:rsidRPr="004A6259">
        <w:rPr>
          <w:lang w:val="en-GB"/>
        </w:rPr>
        <w:lastRenderedPageBreak/>
        <w:t>purely based on customer feedback. If my customer said she has a problem of disposal, that’s what we worked on</w:t>
      </w:r>
      <w:r>
        <w:rPr>
          <w:lang w:val="en-GB"/>
        </w:rPr>
        <w:t>,</w:t>
      </w:r>
      <w:r w:rsidRPr="004A6259">
        <w:rPr>
          <w:lang w:val="en-GB"/>
        </w:rPr>
        <w:t xml:space="preserve"> and then pain-relief patches and anti-chaffing creams. I did not innovate tampons or menstrual cups, but I thought about tampons</w:t>
      </w:r>
      <w:r>
        <w:rPr>
          <w:lang w:val="en-GB"/>
        </w:rPr>
        <w:t>,</w:t>
      </w:r>
      <w:r w:rsidRPr="004A6259">
        <w:rPr>
          <w:lang w:val="en-GB"/>
        </w:rPr>
        <w:t xml:space="preserve"> because if a young girl wants to go out for swim, she should not </w:t>
      </w:r>
      <w:r>
        <w:rPr>
          <w:lang w:val="en-GB"/>
        </w:rPr>
        <w:t xml:space="preserve">[instead be forced to] </w:t>
      </w:r>
      <w:r w:rsidRPr="004A6259">
        <w:rPr>
          <w:lang w:val="en-GB"/>
        </w:rPr>
        <w:t>be at home. For that matter, she should not miss her running, swimming</w:t>
      </w:r>
      <w:r>
        <w:rPr>
          <w:lang w:val="en-GB"/>
        </w:rPr>
        <w:t>,</w:t>
      </w:r>
      <w:r w:rsidRPr="004A6259">
        <w:rPr>
          <w:lang w:val="en-GB"/>
        </w:rPr>
        <w:t xml:space="preserve"> and all the stuff that she likes</w:t>
      </w:r>
      <w:r>
        <w:rPr>
          <w:lang w:val="en-GB"/>
        </w:rPr>
        <w:t>,</w:t>
      </w:r>
      <w:r w:rsidRPr="004A6259">
        <w:rPr>
          <w:lang w:val="en-GB"/>
        </w:rPr>
        <w:t xml:space="preserve"> and so I introduced it.</w:t>
      </w:r>
    </w:p>
    <w:p w14:paraId="346EA101" w14:textId="77777777" w:rsidR="003434E6" w:rsidRPr="004A6259" w:rsidRDefault="003434E6" w:rsidP="00882701">
      <w:pPr>
        <w:pStyle w:val="BodyTextMain"/>
        <w:rPr>
          <w:bCs/>
          <w:lang w:val="en-GB"/>
        </w:rPr>
      </w:pPr>
    </w:p>
    <w:p w14:paraId="7BC4F708" w14:textId="10A6A938" w:rsidR="003434E6" w:rsidRDefault="003434E6" w:rsidP="00882701">
      <w:pPr>
        <w:pStyle w:val="BodyTextMain"/>
        <w:rPr>
          <w:bCs/>
          <w:lang w:val="en-GB"/>
        </w:rPr>
      </w:pPr>
      <w:r w:rsidRPr="004A6259">
        <w:rPr>
          <w:bCs/>
          <w:lang w:val="en-GB"/>
        </w:rPr>
        <w:t>“The Sirona woman is not the PeeBuddy girl, you know</w:t>
      </w:r>
      <w:r>
        <w:rPr>
          <w:bCs/>
          <w:lang w:val="en-GB"/>
        </w:rPr>
        <w:t>,</w:t>
      </w:r>
      <w:r w:rsidRPr="004A6259">
        <w:rPr>
          <w:bCs/>
          <w:lang w:val="en-GB"/>
        </w:rPr>
        <w:t xml:space="preserve">” </w:t>
      </w:r>
      <w:r>
        <w:rPr>
          <w:bCs/>
          <w:lang w:val="en-GB"/>
        </w:rPr>
        <w:t>Deep said. He continued:</w:t>
      </w:r>
    </w:p>
    <w:p w14:paraId="694B76AE" w14:textId="77777777" w:rsidR="003434E6" w:rsidRDefault="003434E6" w:rsidP="00882701">
      <w:pPr>
        <w:pStyle w:val="BodyTextMain"/>
        <w:rPr>
          <w:bCs/>
          <w:lang w:val="en-GB"/>
        </w:rPr>
      </w:pPr>
    </w:p>
    <w:p w14:paraId="132370EB" w14:textId="10F648E5" w:rsidR="003434E6" w:rsidRPr="007F3737" w:rsidRDefault="003434E6" w:rsidP="00A82AEC">
      <w:pPr>
        <w:pStyle w:val="BodyTextMain"/>
        <w:ind w:left="720"/>
        <w:rPr>
          <w:color w:val="000000"/>
          <w:spacing w:val="-2"/>
          <w:lang w:val="en-GB" w:bidi="sa-IN"/>
        </w:rPr>
      </w:pPr>
      <w:r w:rsidRPr="007F3737">
        <w:rPr>
          <w:color w:val="000000"/>
          <w:spacing w:val="-2"/>
          <w:lang w:val="en-GB" w:bidi="sa-IN"/>
        </w:rPr>
        <w:t>Sirona is a modern woman, she might be perfect in everything that she does, aware and well-versed; she needs modern solutions for her modern needs. She is a polished, sophisticated, well-educated woman. Most probably a working professional, with a mind of her own, as she makes distinct choices. I would call her somewhat careful about conventions. So, while she will not hesitate to buy tampons, for her toilet hygiene, she may prefer a disposable toilet-seat cover rather than a PeeBuddy.</w:t>
      </w:r>
    </w:p>
    <w:p w14:paraId="51AF9AC5" w14:textId="77777777" w:rsidR="003434E6" w:rsidRPr="004A6259" w:rsidRDefault="003434E6" w:rsidP="00882701">
      <w:pPr>
        <w:pStyle w:val="BodyTextMain"/>
        <w:rPr>
          <w:color w:val="000000"/>
          <w:lang w:val="en-GB" w:bidi="sa-IN"/>
        </w:rPr>
      </w:pPr>
    </w:p>
    <w:p w14:paraId="58D168A2" w14:textId="0D3E7168" w:rsidR="003434E6" w:rsidRPr="004A6259" w:rsidRDefault="003434E6" w:rsidP="00882701">
      <w:pPr>
        <w:pStyle w:val="BodyTextMain"/>
        <w:rPr>
          <w:color w:val="000000"/>
          <w:lang w:val="en-GB" w:bidi="sa-IN"/>
        </w:rPr>
      </w:pPr>
      <w:r w:rsidRPr="004A6259">
        <w:rPr>
          <w:color w:val="000000"/>
          <w:lang w:val="en-GB" w:bidi="sa-IN"/>
        </w:rPr>
        <w:t>Sirona, like PeeBuddy</w:t>
      </w:r>
      <w:r>
        <w:rPr>
          <w:color w:val="000000"/>
          <w:lang w:val="en-GB" w:bidi="sa-IN"/>
        </w:rPr>
        <w:t>,</w:t>
      </w:r>
      <w:r w:rsidRPr="004A6259">
        <w:rPr>
          <w:color w:val="000000"/>
          <w:lang w:val="en-GB" w:bidi="sa-IN"/>
        </w:rPr>
        <w:t xml:space="preserve"> was disseminated through both e-commerce and select </w:t>
      </w:r>
      <w:r>
        <w:rPr>
          <w:color w:val="000000"/>
          <w:lang w:val="en-GB" w:bidi="sa-IN"/>
        </w:rPr>
        <w:t>department</w:t>
      </w:r>
      <w:r w:rsidRPr="004A6259">
        <w:rPr>
          <w:color w:val="000000"/>
          <w:lang w:val="en-GB" w:bidi="sa-IN"/>
        </w:rPr>
        <w:t xml:space="preserve"> stores located in the NCR. “We don’t really worry about being present in all retail and chemist shops</w:t>
      </w:r>
      <w:r>
        <w:rPr>
          <w:color w:val="000000"/>
          <w:lang w:val="en-GB" w:bidi="sa-IN"/>
        </w:rPr>
        <w:t>,” said Deep.</w:t>
      </w:r>
      <w:r w:rsidRPr="004A6259">
        <w:rPr>
          <w:color w:val="000000"/>
          <w:lang w:val="en-GB" w:bidi="sa-IN"/>
        </w:rPr>
        <w:t xml:space="preserve"> </w:t>
      </w:r>
      <w:r>
        <w:rPr>
          <w:color w:val="000000"/>
          <w:lang w:val="en-GB" w:bidi="sa-IN"/>
        </w:rPr>
        <w:t>“</w:t>
      </w:r>
      <w:r w:rsidRPr="004A6259">
        <w:rPr>
          <w:color w:val="000000"/>
          <w:lang w:val="en-GB" w:bidi="sa-IN"/>
        </w:rPr>
        <w:t>Our typical customer buys her intimate hygiene products online, so that is where we are available</w:t>
      </w:r>
      <w:r>
        <w:rPr>
          <w:color w:val="000000"/>
          <w:lang w:val="en-GB" w:bidi="sa-IN"/>
        </w:rPr>
        <w:t>—</w:t>
      </w:r>
      <w:r w:rsidRPr="004A6259">
        <w:rPr>
          <w:color w:val="000000"/>
          <w:lang w:val="en-GB" w:bidi="sa-IN"/>
        </w:rPr>
        <w:t>both through the company website and all the important ones like Amazon, Nykaa, and Flipkart</w:t>
      </w:r>
      <w:r>
        <w:rPr>
          <w:color w:val="000000"/>
          <w:lang w:val="en-GB" w:bidi="sa-IN"/>
        </w:rPr>
        <w:t>.</w:t>
      </w:r>
      <w:r w:rsidRPr="004A6259">
        <w:rPr>
          <w:color w:val="000000"/>
          <w:lang w:val="en-GB" w:bidi="sa-IN"/>
        </w:rPr>
        <w:t>”</w:t>
      </w:r>
    </w:p>
    <w:p w14:paraId="74A7EC5C" w14:textId="77777777" w:rsidR="003434E6" w:rsidRPr="004A6259" w:rsidRDefault="003434E6" w:rsidP="00882701">
      <w:pPr>
        <w:pStyle w:val="BodyTextMain"/>
        <w:rPr>
          <w:color w:val="000000"/>
          <w:lang w:val="en-GB" w:bidi="sa-IN"/>
        </w:rPr>
      </w:pPr>
    </w:p>
    <w:p w14:paraId="57B9AB79" w14:textId="70BAA263" w:rsidR="003434E6" w:rsidRDefault="003434E6" w:rsidP="00882701">
      <w:pPr>
        <w:pStyle w:val="BodyTextMain"/>
        <w:rPr>
          <w:lang w:val="en-GB"/>
        </w:rPr>
      </w:pPr>
      <w:r w:rsidRPr="004A6259">
        <w:rPr>
          <w:color w:val="000000"/>
          <w:lang w:val="en-GB" w:bidi="sa-IN"/>
        </w:rPr>
        <w:t xml:space="preserve">The packaging and the brand logo displayed on </w:t>
      </w:r>
      <w:r>
        <w:rPr>
          <w:color w:val="000000"/>
          <w:lang w:val="en-GB" w:bidi="sa-IN"/>
        </w:rPr>
        <w:t>Sirona</w:t>
      </w:r>
      <w:r w:rsidRPr="004A6259">
        <w:rPr>
          <w:color w:val="000000"/>
          <w:lang w:val="en-GB" w:bidi="sa-IN"/>
        </w:rPr>
        <w:t xml:space="preserve"> products </w:t>
      </w:r>
      <w:r>
        <w:rPr>
          <w:color w:val="000000"/>
          <w:lang w:val="en-GB" w:bidi="sa-IN"/>
        </w:rPr>
        <w:t>were</w:t>
      </w:r>
      <w:r w:rsidRPr="004A6259">
        <w:rPr>
          <w:color w:val="000000"/>
          <w:lang w:val="en-GB" w:bidi="sa-IN"/>
        </w:rPr>
        <w:t xml:space="preserve"> very different from </w:t>
      </w:r>
      <w:r>
        <w:rPr>
          <w:color w:val="000000"/>
          <w:lang w:val="en-GB" w:bidi="sa-IN"/>
        </w:rPr>
        <w:t xml:space="preserve">those of </w:t>
      </w:r>
      <w:r w:rsidRPr="004A6259">
        <w:rPr>
          <w:color w:val="000000"/>
          <w:lang w:val="en-GB" w:bidi="sa-IN"/>
        </w:rPr>
        <w:t>PeeBuddy. Sirona products were available with two different Sirona logos</w:t>
      </w:r>
      <w:r>
        <w:rPr>
          <w:color w:val="000000"/>
          <w:lang w:val="en-GB" w:bidi="sa-IN"/>
        </w:rPr>
        <w:t>.</w:t>
      </w:r>
      <w:r w:rsidRPr="004A6259">
        <w:rPr>
          <w:color w:val="000000"/>
          <w:lang w:val="en-GB" w:bidi="sa-IN"/>
        </w:rPr>
        <w:t xml:space="preserve"> </w:t>
      </w:r>
      <w:r w:rsidRPr="004A6259">
        <w:rPr>
          <w:lang w:val="en-GB"/>
        </w:rPr>
        <w:t xml:space="preserve">The older logo </w:t>
      </w:r>
      <w:r>
        <w:rPr>
          <w:lang w:val="en-GB"/>
        </w:rPr>
        <w:t>featured the name</w:t>
      </w:r>
      <w:r w:rsidRPr="004A6259">
        <w:rPr>
          <w:lang w:val="en-GB"/>
        </w:rPr>
        <w:t xml:space="preserve"> </w:t>
      </w:r>
      <w:r w:rsidRPr="00A82AEC">
        <w:rPr>
          <w:i/>
          <w:iCs/>
          <w:lang w:val="en-GB"/>
        </w:rPr>
        <w:t>Sirona</w:t>
      </w:r>
      <w:r>
        <w:rPr>
          <w:lang w:val="en-GB"/>
        </w:rPr>
        <w:t>,</w:t>
      </w:r>
      <w:r w:rsidRPr="004A6259">
        <w:rPr>
          <w:lang w:val="en-GB"/>
        </w:rPr>
        <w:t xml:space="preserve"> written in italics</w:t>
      </w:r>
      <w:r>
        <w:rPr>
          <w:lang w:val="en-GB"/>
        </w:rPr>
        <w:t>,</w:t>
      </w:r>
      <w:r w:rsidRPr="004A6259">
        <w:rPr>
          <w:lang w:val="en-GB"/>
        </w:rPr>
        <w:t xml:space="preserve"> with the </w:t>
      </w:r>
      <w:r>
        <w:rPr>
          <w:lang w:val="en-GB"/>
        </w:rPr>
        <w:t>tag line</w:t>
      </w:r>
      <w:r w:rsidRPr="004A6259">
        <w:rPr>
          <w:lang w:val="en-GB"/>
        </w:rPr>
        <w:t xml:space="preserve"> </w:t>
      </w:r>
      <w:r>
        <w:rPr>
          <w:lang w:val="en-GB"/>
        </w:rPr>
        <w:t>“</w:t>
      </w:r>
      <w:r w:rsidRPr="00A82AEC">
        <w:rPr>
          <w:lang w:val="en-GB"/>
        </w:rPr>
        <w:t xml:space="preserve">The Celtic </w:t>
      </w:r>
      <w:r>
        <w:rPr>
          <w:lang w:val="en-GB"/>
        </w:rPr>
        <w:t>goddess</w:t>
      </w:r>
      <w:r w:rsidRPr="00A82AEC">
        <w:rPr>
          <w:lang w:val="en-GB"/>
        </w:rPr>
        <w:t xml:space="preserve"> of hygiene</w:t>
      </w:r>
      <w:r>
        <w:rPr>
          <w:lang w:val="en-GB"/>
        </w:rPr>
        <w:t>”</w:t>
      </w:r>
      <w:r w:rsidRPr="004A6259">
        <w:rPr>
          <w:lang w:val="en-GB"/>
        </w:rPr>
        <w:t xml:space="preserve"> written </w:t>
      </w:r>
      <w:r>
        <w:rPr>
          <w:lang w:val="en-GB"/>
        </w:rPr>
        <w:t>underneath</w:t>
      </w:r>
      <w:r w:rsidRPr="004A6259">
        <w:rPr>
          <w:lang w:val="en-GB"/>
        </w:rPr>
        <w:t>. The font colour</w:t>
      </w:r>
      <w:r>
        <w:rPr>
          <w:lang w:val="en-GB"/>
        </w:rPr>
        <w:t>, which</w:t>
      </w:r>
      <w:r w:rsidRPr="004A6259">
        <w:rPr>
          <w:lang w:val="en-GB"/>
        </w:rPr>
        <w:t xml:space="preserve"> varied with the colour of the packaging</w:t>
      </w:r>
      <w:r>
        <w:rPr>
          <w:lang w:val="en-GB"/>
        </w:rPr>
        <w:t>, appeared in</w:t>
      </w:r>
      <w:r w:rsidRPr="004A6259">
        <w:rPr>
          <w:lang w:val="en-GB"/>
        </w:rPr>
        <w:t xml:space="preserve"> red, black</w:t>
      </w:r>
      <w:r>
        <w:rPr>
          <w:lang w:val="en-GB"/>
        </w:rPr>
        <w:t>,</w:t>
      </w:r>
      <w:r w:rsidRPr="004A6259">
        <w:rPr>
          <w:lang w:val="en-GB"/>
        </w:rPr>
        <w:t xml:space="preserve"> and grey. </w:t>
      </w:r>
      <w:r>
        <w:rPr>
          <w:lang w:val="en-GB"/>
        </w:rPr>
        <w:t>Deep said:</w:t>
      </w:r>
    </w:p>
    <w:p w14:paraId="19F69BCA" w14:textId="77777777" w:rsidR="003434E6" w:rsidRDefault="003434E6" w:rsidP="00882701">
      <w:pPr>
        <w:pStyle w:val="BodyTextMain"/>
        <w:rPr>
          <w:lang w:val="en-GB"/>
        </w:rPr>
      </w:pPr>
    </w:p>
    <w:p w14:paraId="13D0CCEE" w14:textId="1B2D2898" w:rsidR="003434E6" w:rsidRDefault="003434E6" w:rsidP="001E2753">
      <w:pPr>
        <w:pStyle w:val="BodyTextMain"/>
        <w:ind w:left="720"/>
        <w:rPr>
          <w:lang w:val="en-GB"/>
        </w:rPr>
      </w:pPr>
      <w:r w:rsidRPr="004A6259">
        <w:rPr>
          <w:lang w:val="en-GB"/>
        </w:rPr>
        <w:t xml:space="preserve">As we re-examined our Sirona packaging, we </w:t>
      </w:r>
      <w:r>
        <w:rPr>
          <w:lang w:val="en-GB"/>
        </w:rPr>
        <w:t>realized</w:t>
      </w:r>
      <w:r w:rsidRPr="004A6259">
        <w:rPr>
          <w:lang w:val="en-GB"/>
        </w:rPr>
        <w:t xml:space="preserve"> that it was not as distinct as PeeBuddy and BodyGuard, so we came up with the new logo</w:t>
      </w:r>
      <w:r>
        <w:rPr>
          <w:lang w:val="en-GB"/>
        </w:rPr>
        <w:t>,</w:t>
      </w:r>
      <w:r w:rsidRPr="004A6259">
        <w:rPr>
          <w:lang w:val="en-GB"/>
        </w:rPr>
        <w:t xml:space="preserve"> which is </w:t>
      </w:r>
      <w:r w:rsidRPr="00A82AEC">
        <w:rPr>
          <w:i/>
          <w:iCs/>
          <w:lang w:val="en-GB"/>
        </w:rPr>
        <w:t>Sirona</w:t>
      </w:r>
      <w:r w:rsidRPr="004A6259">
        <w:rPr>
          <w:lang w:val="en-GB"/>
        </w:rPr>
        <w:t xml:space="preserve"> in normal font and white on a background of red. Also, the </w:t>
      </w:r>
      <w:r w:rsidRPr="00A82AEC">
        <w:rPr>
          <w:i/>
          <w:iCs/>
          <w:lang w:val="en-GB"/>
        </w:rPr>
        <w:t>O</w:t>
      </w:r>
      <w:r w:rsidRPr="004A6259">
        <w:rPr>
          <w:lang w:val="en-GB"/>
        </w:rPr>
        <w:t xml:space="preserve"> has a plus sign under it. You know we want it to have that very prominent cue that this is a </w:t>
      </w:r>
      <w:r w:rsidRPr="0068051E">
        <w:rPr>
          <w:i/>
          <w:iCs/>
          <w:lang w:val="en-GB"/>
        </w:rPr>
        <w:t>woman’s</w:t>
      </w:r>
      <w:r w:rsidRPr="004A6259">
        <w:rPr>
          <w:lang w:val="en-GB"/>
        </w:rPr>
        <w:t xml:space="preserve"> product.</w:t>
      </w:r>
    </w:p>
    <w:p w14:paraId="14EE68E9" w14:textId="77777777" w:rsidR="003434E6" w:rsidRDefault="003434E6" w:rsidP="00D317E0">
      <w:pPr>
        <w:pStyle w:val="BodyTextMain"/>
        <w:rPr>
          <w:lang w:val="en-GB"/>
        </w:rPr>
      </w:pPr>
    </w:p>
    <w:p w14:paraId="692379A2" w14:textId="5357368F" w:rsidR="003434E6" w:rsidRPr="004A6259" w:rsidRDefault="003434E6" w:rsidP="00D00C0C">
      <w:pPr>
        <w:pStyle w:val="BodyTextMain"/>
        <w:rPr>
          <w:lang w:val="en-GB"/>
        </w:rPr>
      </w:pPr>
      <w:r>
        <w:rPr>
          <w:lang w:val="en-GB"/>
        </w:rPr>
        <w:t xml:space="preserve">Deep explained, </w:t>
      </w:r>
      <w:r w:rsidRPr="004A6259">
        <w:rPr>
          <w:lang w:val="en-GB"/>
        </w:rPr>
        <w:t xml:space="preserve">“We are currently </w:t>
      </w:r>
      <w:r>
        <w:rPr>
          <w:lang w:val="en-GB"/>
        </w:rPr>
        <w:t>in between</w:t>
      </w:r>
      <w:r w:rsidRPr="004A6259">
        <w:rPr>
          <w:lang w:val="en-GB"/>
        </w:rPr>
        <w:t xml:space="preserve"> the two logos, wherever we have changed our packaging</w:t>
      </w:r>
      <w:r>
        <w:rPr>
          <w:lang w:val="en-GB"/>
        </w:rPr>
        <w:t>;</w:t>
      </w:r>
      <w:r w:rsidRPr="004A6259">
        <w:rPr>
          <w:lang w:val="en-GB"/>
        </w:rPr>
        <w:t xml:space="preserve"> for example</w:t>
      </w:r>
      <w:r>
        <w:rPr>
          <w:lang w:val="en-GB"/>
        </w:rPr>
        <w:t>,</w:t>
      </w:r>
      <w:r w:rsidRPr="004A6259">
        <w:rPr>
          <w:lang w:val="en-GB"/>
        </w:rPr>
        <w:t xml:space="preserve"> for our sanitary pads, menstrual cups, we have also put the new logo</w:t>
      </w:r>
      <w:r>
        <w:rPr>
          <w:lang w:val="en-GB"/>
        </w:rPr>
        <w:t>.”</w:t>
      </w:r>
    </w:p>
    <w:p w14:paraId="10FE3191" w14:textId="597BBC5E" w:rsidR="003434E6" w:rsidRPr="004A6259" w:rsidRDefault="003434E6" w:rsidP="00882701">
      <w:pPr>
        <w:pStyle w:val="BodyTextMain"/>
        <w:rPr>
          <w:bCs/>
          <w:lang w:val="en-GB"/>
        </w:rPr>
      </w:pPr>
      <w:r>
        <w:rPr>
          <w:color w:val="000000"/>
          <w:lang w:val="en-GB" w:bidi="sa-IN"/>
        </w:rPr>
        <w:t xml:space="preserve"> </w:t>
      </w:r>
    </w:p>
    <w:p w14:paraId="074BEC2B" w14:textId="77777777" w:rsidR="003434E6" w:rsidRDefault="003434E6" w:rsidP="00882701">
      <w:pPr>
        <w:pStyle w:val="BodyTextMain"/>
        <w:rPr>
          <w:bCs/>
          <w:i/>
          <w:iCs/>
          <w:u w:val="single"/>
          <w:lang w:val="en-GB"/>
        </w:rPr>
      </w:pPr>
    </w:p>
    <w:p w14:paraId="20E5DD3C" w14:textId="57C37867" w:rsidR="003434E6" w:rsidRDefault="003434E6" w:rsidP="00A82AEC">
      <w:pPr>
        <w:pStyle w:val="Casehead2"/>
        <w:rPr>
          <w:lang w:val="en-GB"/>
        </w:rPr>
      </w:pPr>
      <w:r w:rsidRPr="004A6259">
        <w:rPr>
          <w:lang w:val="en-GB"/>
        </w:rPr>
        <w:t xml:space="preserve">BodyGuard: Wellness and </w:t>
      </w:r>
      <w:r>
        <w:rPr>
          <w:lang w:val="en-GB"/>
        </w:rPr>
        <w:t>Protection</w:t>
      </w:r>
    </w:p>
    <w:p w14:paraId="17800E7B" w14:textId="77777777" w:rsidR="003434E6" w:rsidRDefault="003434E6" w:rsidP="00882701">
      <w:pPr>
        <w:pStyle w:val="BodyTextMain"/>
        <w:rPr>
          <w:bCs/>
          <w:lang w:val="en-GB"/>
        </w:rPr>
      </w:pPr>
    </w:p>
    <w:p w14:paraId="32127D03" w14:textId="5F75BB45" w:rsidR="003434E6" w:rsidRDefault="003434E6" w:rsidP="00882701">
      <w:pPr>
        <w:pStyle w:val="BodyTextMain"/>
        <w:rPr>
          <w:bCs/>
          <w:lang w:val="en-GB"/>
        </w:rPr>
      </w:pPr>
      <w:r w:rsidRPr="00A82AEC">
        <w:rPr>
          <w:bCs/>
          <w:lang w:val="en-GB"/>
        </w:rPr>
        <w:t>BodyGuard</w:t>
      </w:r>
      <w:r>
        <w:rPr>
          <w:bCs/>
          <w:lang w:val="en-GB"/>
        </w:rPr>
        <w:t>, which had seven offerings,</w:t>
      </w:r>
      <w:r w:rsidRPr="00A82AEC">
        <w:rPr>
          <w:bCs/>
          <w:lang w:val="en-GB"/>
        </w:rPr>
        <w:t xml:space="preserve"> was </w:t>
      </w:r>
      <w:r>
        <w:rPr>
          <w:bCs/>
          <w:lang w:val="en-GB"/>
        </w:rPr>
        <w:t>Sirona Hygiene’s</w:t>
      </w:r>
      <w:r>
        <w:rPr>
          <w:bCs/>
          <w:i/>
          <w:iCs/>
          <w:lang w:val="en-GB"/>
        </w:rPr>
        <w:t xml:space="preserve"> </w:t>
      </w:r>
      <w:r w:rsidRPr="004A6259">
        <w:rPr>
          <w:bCs/>
          <w:lang w:val="en-GB"/>
        </w:rPr>
        <w:t>more conventional range of products</w:t>
      </w:r>
      <w:r>
        <w:rPr>
          <w:bCs/>
          <w:lang w:val="en-GB"/>
        </w:rPr>
        <w:t xml:space="preserve"> (see Exhibit 7)</w:t>
      </w:r>
      <w:r w:rsidRPr="004A6259">
        <w:rPr>
          <w:bCs/>
          <w:lang w:val="en-GB"/>
        </w:rPr>
        <w:t>.</w:t>
      </w:r>
      <w:r w:rsidRPr="004A6259">
        <w:rPr>
          <w:color w:val="000000"/>
          <w:lang w:val="en-GB" w:bidi="sa-IN"/>
        </w:rPr>
        <w:t xml:space="preserve"> </w:t>
      </w:r>
      <w:r>
        <w:rPr>
          <w:bCs/>
          <w:lang w:val="en-GB"/>
        </w:rPr>
        <w:t>Deep stated,</w:t>
      </w:r>
    </w:p>
    <w:p w14:paraId="220BDDC8" w14:textId="77777777" w:rsidR="003434E6" w:rsidRDefault="003434E6" w:rsidP="00882701">
      <w:pPr>
        <w:pStyle w:val="BodyTextMain"/>
        <w:rPr>
          <w:bCs/>
          <w:lang w:val="en-GB"/>
        </w:rPr>
      </w:pPr>
    </w:p>
    <w:p w14:paraId="02C048DE" w14:textId="24E1B1A4" w:rsidR="003434E6" w:rsidRPr="004A6259" w:rsidRDefault="003434E6" w:rsidP="00A82AEC">
      <w:pPr>
        <w:pStyle w:val="BodyTextMain"/>
        <w:ind w:left="720"/>
        <w:rPr>
          <w:lang w:val="en-GB"/>
        </w:rPr>
      </w:pPr>
      <w:r w:rsidRPr="004A6259">
        <w:rPr>
          <w:lang w:val="en-GB"/>
        </w:rPr>
        <w:t>BodyGuard was my survival</w:t>
      </w:r>
      <w:r>
        <w:rPr>
          <w:lang w:val="en-GB"/>
        </w:rPr>
        <w:t>.</w:t>
      </w:r>
      <w:r w:rsidRPr="004A6259">
        <w:rPr>
          <w:lang w:val="en-GB"/>
        </w:rPr>
        <w:t xml:space="preserve"> </w:t>
      </w:r>
      <w:r>
        <w:rPr>
          <w:lang w:val="en-GB"/>
        </w:rPr>
        <w:t>When</w:t>
      </w:r>
      <w:r w:rsidRPr="004A6259">
        <w:rPr>
          <w:lang w:val="en-GB"/>
        </w:rPr>
        <w:t xml:space="preserve"> I began with company, we knew that PeeBuddy was going to take time to take off, so BodyGuard was what would keep us afloat. BodyGuard is a product that is again unique because we were not doing </w:t>
      </w:r>
      <w:r>
        <w:rPr>
          <w:lang w:val="en-GB"/>
        </w:rPr>
        <w:t xml:space="preserve">[a] </w:t>
      </w:r>
      <w:r w:rsidRPr="004A6259">
        <w:rPr>
          <w:lang w:val="en-GB"/>
        </w:rPr>
        <w:t>run-of-the mill product. We were amongst the first ones to introduce natural mosquito repellent patches and sprays. However, we have not really innovated in BodyGuard after that and have been busier with PeeBuddy and Sirona</w:t>
      </w:r>
      <w:r>
        <w:rPr>
          <w:lang w:val="en-GB"/>
        </w:rPr>
        <w:t>.</w:t>
      </w:r>
    </w:p>
    <w:p w14:paraId="25B8212D" w14:textId="77777777" w:rsidR="003434E6" w:rsidRPr="004A6259" w:rsidRDefault="003434E6" w:rsidP="00882701">
      <w:pPr>
        <w:pStyle w:val="BodyTextMain"/>
        <w:rPr>
          <w:lang w:val="en-GB"/>
        </w:rPr>
      </w:pPr>
    </w:p>
    <w:p w14:paraId="23DD7B7E" w14:textId="53D4DCB9" w:rsidR="003434E6" w:rsidRPr="004A6259" w:rsidRDefault="003434E6" w:rsidP="00882701">
      <w:pPr>
        <w:pStyle w:val="BodyTextMain"/>
        <w:rPr>
          <w:lang w:val="en-GB"/>
        </w:rPr>
      </w:pPr>
      <w:r w:rsidRPr="004A6259">
        <w:rPr>
          <w:bCs/>
          <w:lang w:val="en-GB"/>
        </w:rPr>
        <w:t xml:space="preserve">BodyGuard was packaged in the same </w:t>
      </w:r>
      <w:r>
        <w:rPr>
          <w:bCs/>
          <w:lang w:val="en-GB"/>
        </w:rPr>
        <w:t xml:space="preserve">fluorescent-green-and-white </w:t>
      </w:r>
      <w:r w:rsidRPr="004A6259">
        <w:rPr>
          <w:bCs/>
          <w:lang w:val="en-GB"/>
        </w:rPr>
        <w:t>packaging</w:t>
      </w:r>
      <w:r>
        <w:rPr>
          <w:bCs/>
          <w:lang w:val="en-GB"/>
        </w:rPr>
        <w:t xml:space="preserve"> as PeeBuddy</w:t>
      </w:r>
      <w:r w:rsidRPr="004A6259">
        <w:rPr>
          <w:bCs/>
          <w:lang w:val="en-GB"/>
        </w:rPr>
        <w:t xml:space="preserve">. The </w:t>
      </w:r>
      <w:r w:rsidRPr="00A82AEC">
        <w:rPr>
          <w:bCs/>
          <w:i/>
          <w:iCs/>
          <w:lang w:val="en-GB"/>
        </w:rPr>
        <w:t>Y</w:t>
      </w:r>
      <w:r w:rsidRPr="004A6259">
        <w:rPr>
          <w:bCs/>
          <w:lang w:val="en-GB"/>
        </w:rPr>
        <w:t xml:space="preserve"> on the BodyGuard</w:t>
      </w:r>
      <w:r>
        <w:rPr>
          <w:bCs/>
          <w:lang w:val="en-GB"/>
        </w:rPr>
        <w:t xml:space="preserve"> packaging</w:t>
      </w:r>
      <w:r w:rsidRPr="004A6259">
        <w:rPr>
          <w:bCs/>
          <w:lang w:val="en-GB"/>
        </w:rPr>
        <w:t xml:space="preserve"> was shaped similar to the </w:t>
      </w:r>
      <w:r w:rsidRPr="00A82AEC">
        <w:rPr>
          <w:bCs/>
          <w:i/>
          <w:iCs/>
          <w:lang w:val="en-GB"/>
        </w:rPr>
        <w:t>Y</w:t>
      </w:r>
      <w:r w:rsidRPr="004A6259">
        <w:rPr>
          <w:bCs/>
          <w:lang w:val="en-GB"/>
        </w:rPr>
        <w:t xml:space="preserve"> in PeeBuddy. “You see the green here is an expression of </w:t>
      </w:r>
      <w:r>
        <w:rPr>
          <w:bCs/>
          <w:lang w:val="en-GB"/>
        </w:rPr>
        <w:t xml:space="preserve">[the product being] </w:t>
      </w:r>
      <w:r w:rsidRPr="004A6259">
        <w:rPr>
          <w:bCs/>
          <w:lang w:val="en-GB"/>
        </w:rPr>
        <w:t>free from toxic chemicals and eco-friendly. The leaf is for the natural ingredients</w:t>
      </w:r>
      <w:r>
        <w:rPr>
          <w:bCs/>
          <w:lang w:val="en-GB"/>
        </w:rPr>
        <w:t>,</w:t>
      </w:r>
      <w:r w:rsidRPr="004A6259">
        <w:rPr>
          <w:bCs/>
          <w:lang w:val="en-GB"/>
        </w:rPr>
        <w:t xml:space="preserve">” </w:t>
      </w:r>
      <w:r>
        <w:rPr>
          <w:bCs/>
          <w:lang w:val="en-GB"/>
        </w:rPr>
        <w:t>Deep clarified.</w:t>
      </w:r>
      <w:r w:rsidRPr="004A6259">
        <w:rPr>
          <w:bCs/>
          <w:lang w:val="en-GB"/>
        </w:rPr>
        <w:t xml:space="preserve"> “For BodyGuard</w:t>
      </w:r>
      <w:r>
        <w:rPr>
          <w:bCs/>
          <w:lang w:val="en-GB"/>
        </w:rPr>
        <w:t>,</w:t>
      </w:r>
      <w:r w:rsidRPr="004A6259">
        <w:rPr>
          <w:bCs/>
          <w:lang w:val="en-GB"/>
        </w:rPr>
        <w:t xml:space="preserve"> we don’t do any advertising or promotion</w:t>
      </w:r>
      <w:r>
        <w:rPr>
          <w:bCs/>
          <w:lang w:val="en-GB"/>
        </w:rPr>
        <w:t>;</w:t>
      </w:r>
      <w:r w:rsidRPr="004A6259">
        <w:rPr>
          <w:bCs/>
          <w:lang w:val="en-GB"/>
        </w:rPr>
        <w:t xml:space="preserve"> it is available on our website </w:t>
      </w:r>
      <w:r w:rsidRPr="004A6259">
        <w:rPr>
          <w:bCs/>
          <w:lang w:val="en-GB"/>
        </w:rPr>
        <w:lastRenderedPageBreak/>
        <w:t>and Amazon and the rest</w:t>
      </w:r>
      <w:r>
        <w:rPr>
          <w:bCs/>
          <w:lang w:val="en-GB"/>
        </w:rPr>
        <w:t>,</w:t>
      </w:r>
      <w:r w:rsidRPr="004A6259">
        <w:rPr>
          <w:bCs/>
          <w:lang w:val="en-GB"/>
        </w:rPr>
        <w:t xml:space="preserve"> and when we go to retail shops</w:t>
      </w:r>
      <w:r>
        <w:rPr>
          <w:bCs/>
          <w:lang w:val="en-GB"/>
        </w:rPr>
        <w:t>,</w:t>
      </w:r>
      <w:r w:rsidRPr="004A6259">
        <w:rPr>
          <w:bCs/>
          <w:lang w:val="en-GB"/>
        </w:rPr>
        <w:t xml:space="preserve"> we show them the </w:t>
      </w:r>
      <w:r>
        <w:rPr>
          <w:bCs/>
          <w:lang w:val="en-GB"/>
        </w:rPr>
        <w:t>seven</w:t>
      </w:r>
      <w:r w:rsidRPr="004A6259">
        <w:rPr>
          <w:bCs/>
          <w:lang w:val="en-GB"/>
        </w:rPr>
        <w:t xml:space="preserve"> offerings we have and explain that these are natural and eco-friendly. This is good enough</w:t>
      </w:r>
      <w:r>
        <w:rPr>
          <w:bCs/>
          <w:lang w:val="en-GB"/>
        </w:rPr>
        <w:t>.</w:t>
      </w:r>
      <w:r w:rsidRPr="004A6259">
        <w:rPr>
          <w:bCs/>
          <w:lang w:val="en-GB"/>
        </w:rPr>
        <w:t>”</w:t>
      </w:r>
    </w:p>
    <w:p w14:paraId="02D7477A" w14:textId="77777777" w:rsidR="003434E6" w:rsidRPr="004A6259" w:rsidRDefault="003434E6" w:rsidP="00882701">
      <w:pPr>
        <w:pStyle w:val="BodyTextMain"/>
        <w:rPr>
          <w:lang w:val="en-GB"/>
        </w:rPr>
      </w:pPr>
    </w:p>
    <w:p w14:paraId="5931AB50" w14:textId="7190770A" w:rsidR="003434E6" w:rsidRDefault="003434E6" w:rsidP="00882701">
      <w:pPr>
        <w:pStyle w:val="BodyTextMain"/>
        <w:rPr>
          <w:bCs/>
          <w:lang w:val="en-GB"/>
        </w:rPr>
      </w:pPr>
      <w:r w:rsidRPr="004A6259">
        <w:rPr>
          <w:bCs/>
          <w:lang w:val="en-GB"/>
        </w:rPr>
        <w:t xml:space="preserve">The BodyGuard range </w:t>
      </w:r>
      <w:r>
        <w:rPr>
          <w:bCs/>
          <w:lang w:val="en-GB"/>
        </w:rPr>
        <w:t xml:space="preserve">was </w:t>
      </w:r>
      <w:r w:rsidRPr="004A6259">
        <w:rPr>
          <w:bCs/>
          <w:lang w:val="en-GB"/>
        </w:rPr>
        <w:t>sold through the company</w:t>
      </w:r>
      <w:r>
        <w:rPr>
          <w:bCs/>
          <w:lang w:val="en-GB"/>
        </w:rPr>
        <w:t>’s</w:t>
      </w:r>
      <w:r w:rsidRPr="004A6259">
        <w:rPr>
          <w:bCs/>
          <w:lang w:val="en-GB"/>
        </w:rPr>
        <w:t xml:space="preserve"> website and </w:t>
      </w:r>
      <w:r>
        <w:rPr>
          <w:bCs/>
          <w:lang w:val="en-GB"/>
        </w:rPr>
        <w:t>through large</w:t>
      </w:r>
      <w:r w:rsidRPr="004A6259">
        <w:rPr>
          <w:bCs/>
          <w:lang w:val="en-GB"/>
        </w:rPr>
        <w:t xml:space="preserve"> </w:t>
      </w:r>
      <w:r>
        <w:rPr>
          <w:bCs/>
          <w:lang w:val="en-GB"/>
        </w:rPr>
        <w:t>department</w:t>
      </w:r>
      <w:r w:rsidRPr="004A6259">
        <w:rPr>
          <w:bCs/>
          <w:lang w:val="en-GB"/>
        </w:rPr>
        <w:t xml:space="preserve"> stores </w:t>
      </w:r>
      <w:r>
        <w:rPr>
          <w:bCs/>
          <w:lang w:val="en-GB"/>
        </w:rPr>
        <w:t>that</w:t>
      </w:r>
      <w:r w:rsidRPr="004A6259">
        <w:rPr>
          <w:bCs/>
          <w:lang w:val="en-GB"/>
        </w:rPr>
        <w:t xml:space="preserve"> stocked </w:t>
      </w:r>
      <w:r>
        <w:rPr>
          <w:bCs/>
          <w:lang w:val="en-GB"/>
        </w:rPr>
        <w:t xml:space="preserve">the </w:t>
      </w:r>
      <w:r w:rsidRPr="004A6259">
        <w:rPr>
          <w:bCs/>
          <w:lang w:val="en-GB"/>
        </w:rPr>
        <w:t xml:space="preserve">PeeBuddy and Sirona </w:t>
      </w:r>
      <w:r>
        <w:rPr>
          <w:bCs/>
          <w:lang w:val="en-GB"/>
        </w:rPr>
        <w:t>ranges</w:t>
      </w:r>
      <w:r w:rsidRPr="004A6259">
        <w:rPr>
          <w:bCs/>
          <w:lang w:val="en-GB"/>
        </w:rPr>
        <w:t xml:space="preserve">. However, BodyGuard sold </w:t>
      </w:r>
      <w:r>
        <w:rPr>
          <w:bCs/>
          <w:lang w:val="en-GB"/>
        </w:rPr>
        <w:t>through</w:t>
      </w:r>
      <w:r w:rsidRPr="004A6259">
        <w:rPr>
          <w:bCs/>
          <w:lang w:val="en-GB"/>
        </w:rPr>
        <w:t xml:space="preserve"> </w:t>
      </w:r>
      <w:r>
        <w:rPr>
          <w:bCs/>
          <w:lang w:val="en-GB"/>
        </w:rPr>
        <w:t>modern-trade</w:t>
      </w:r>
      <w:r w:rsidRPr="004A6259">
        <w:rPr>
          <w:bCs/>
          <w:lang w:val="en-GB"/>
        </w:rPr>
        <w:t xml:space="preserve"> </w:t>
      </w:r>
      <w:r>
        <w:rPr>
          <w:bCs/>
          <w:lang w:val="en-GB"/>
        </w:rPr>
        <w:t xml:space="preserve">retailers </w:t>
      </w:r>
      <w:r w:rsidRPr="004A6259">
        <w:rPr>
          <w:bCs/>
          <w:lang w:val="en-GB"/>
        </w:rPr>
        <w:t xml:space="preserve">as well as </w:t>
      </w:r>
      <w:r>
        <w:rPr>
          <w:bCs/>
          <w:lang w:val="en-GB"/>
        </w:rPr>
        <w:t>through</w:t>
      </w:r>
      <w:r w:rsidRPr="004A6259">
        <w:rPr>
          <w:bCs/>
          <w:lang w:val="en-GB"/>
        </w:rPr>
        <w:t xml:space="preserve"> small neighbourhood shops. </w:t>
      </w:r>
      <w:r>
        <w:rPr>
          <w:bCs/>
          <w:lang w:val="en-GB"/>
        </w:rPr>
        <w:t>Deep</w:t>
      </w:r>
      <w:r w:rsidRPr="004A6259">
        <w:rPr>
          <w:bCs/>
          <w:lang w:val="en-GB"/>
        </w:rPr>
        <w:t xml:space="preserve"> explained</w:t>
      </w:r>
      <w:r>
        <w:rPr>
          <w:bCs/>
          <w:lang w:val="en-GB"/>
        </w:rPr>
        <w:t>:</w:t>
      </w:r>
    </w:p>
    <w:p w14:paraId="6BE108F5" w14:textId="77777777" w:rsidR="003434E6" w:rsidRDefault="003434E6" w:rsidP="00882701">
      <w:pPr>
        <w:pStyle w:val="BodyTextMain"/>
        <w:rPr>
          <w:bCs/>
          <w:lang w:val="en-GB"/>
        </w:rPr>
      </w:pPr>
    </w:p>
    <w:p w14:paraId="17DDB75D" w14:textId="77E71FE5" w:rsidR="003434E6" w:rsidRPr="004A6259" w:rsidRDefault="003434E6" w:rsidP="00A82AEC">
      <w:pPr>
        <w:pStyle w:val="BodyTextMain"/>
        <w:ind w:left="720"/>
        <w:rPr>
          <w:bCs/>
          <w:lang w:val="en-GB"/>
        </w:rPr>
      </w:pPr>
      <w:r w:rsidRPr="004A6259">
        <w:rPr>
          <w:bCs/>
          <w:lang w:val="en-GB"/>
        </w:rPr>
        <w:t>BodyGuard is a necessity product</w:t>
      </w:r>
      <w:r>
        <w:rPr>
          <w:bCs/>
          <w:lang w:val="en-GB"/>
        </w:rPr>
        <w:t>,</w:t>
      </w:r>
      <w:r w:rsidRPr="004A6259">
        <w:rPr>
          <w:bCs/>
          <w:lang w:val="en-GB"/>
        </w:rPr>
        <w:t xml:space="preserve"> like mosquito repellents and face masks</w:t>
      </w:r>
      <w:r>
        <w:rPr>
          <w:bCs/>
          <w:lang w:val="en-GB"/>
        </w:rPr>
        <w:t>, [which]</w:t>
      </w:r>
      <w:r w:rsidRPr="004A6259">
        <w:rPr>
          <w:bCs/>
          <w:lang w:val="en-GB"/>
        </w:rPr>
        <w:t xml:space="preserve"> sell well during monsoon and high-pollution time</w:t>
      </w:r>
      <w:r>
        <w:rPr>
          <w:bCs/>
          <w:lang w:val="en-GB"/>
        </w:rPr>
        <w:t>,</w:t>
      </w:r>
      <w:r w:rsidRPr="004A6259">
        <w:rPr>
          <w:bCs/>
          <w:lang w:val="en-GB"/>
        </w:rPr>
        <w:t xml:space="preserve"> respectively. Here, the customer has a seasonally felt need and buy whatever is available. They are not really brand conscious. In fact, at a number of stores we have been able to get entry for Sirona sanitary pads when we went to seek space for BodyGuard.</w:t>
      </w:r>
    </w:p>
    <w:p w14:paraId="2FD02C6D" w14:textId="20EC028E" w:rsidR="003434E6" w:rsidRPr="004A6259" w:rsidRDefault="003434E6" w:rsidP="00882701">
      <w:pPr>
        <w:pStyle w:val="BodyTextMain"/>
        <w:rPr>
          <w:bCs/>
          <w:lang w:val="en-GB"/>
        </w:rPr>
      </w:pPr>
    </w:p>
    <w:p w14:paraId="192AD0CA" w14:textId="77777777" w:rsidR="003434E6" w:rsidRPr="004A6259" w:rsidRDefault="003434E6" w:rsidP="00882701">
      <w:pPr>
        <w:pStyle w:val="BodyTextMain"/>
        <w:rPr>
          <w:bCs/>
          <w:lang w:val="en-GB"/>
        </w:rPr>
      </w:pPr>
    </w:p>
    <w:p w14:paraId="60452092" w14:textId="061FF328" w:rsidR="003434E6" w:rsidRPr="004A6259" w:rsidRDefault="003434E6" w:rsidP="00882701">
      <w:pPr>
        <w:pStyle w:val="BodyTextMain"/>
        <w:rPr>
          <w:rFonts w:ascii="Arial" w:hAnsi="Arial" w:cs="Arial"/>
          <w:b/>
          <w:caps/>
          <w:lang w:val="en-GB"/>
        </w:rPr>
      </w:pPr>
      <w:r w:rsidRPr="004A6259">
        <w:rPr>
          <w:rFonts w:ascii="Arial" w:hAnsi="Arial" w:cs="Arial"/>
          <w:b/>
          <w:caps/>
          <w:lang w:val="en-GB"/>
        </w:rPr>
        <w:t xml:space="preserve">POSITIONING </w:t>
      </w:r>
      <w:r>
        <w:rPr>
          <w:rFonts w:ascii="Arial" w:hAnsi="Arial" w:cs="Arial"/>
          <w:b/>
          <w:caps/>
          <w:lang w:val="en-GB"/>
        </w:rPr>
        <w:t>Sirona Hygiene’s</w:t>
      </w:r>
      <w:r w:rsidRPr="004A6259">
        <w:rPr>
          <w:rFonts w:ascii="Arial" w:hAnsi="Arial" w:cs="Arial"/>
          <w:b/>
          <w:caps/>
          <w:lang w:val="en-GB"/>
        </w:rPr>
        <w:t xml:space="preserve"> BRANDS: RESONATING WITH THE CUSTOMER</w:t>
      </w:r>
    </w:p>
    <w:p w14:paraId="56FF6C1C" w14:textId="77777777" w:rsidR="003434E6" w:rsidRPr="004A6259" w:rsidRDefault="003434E6" w:rsidP="00882701">
      <w:pPr>
        <w:pStyle w:val="BodyTextMain"/>
        <w:rPr>
          <w:lang w:val="en-GB"/>
        </w:rPr>
      </w:pPr>
    </w:p>
    <w:p w14:paraId="6A837009" w14:textId="1A110DB5" w:rsidR="003434E6" w:rsidRDefault="003434E6" w:rsidP="00882701">
      <w:pPr>
        <w:pStyle w:val="BodyTextMain"/>
        <w:rPr>
          <w:lang w:val="en-GB"/>
        </w:rPr>
      </w:pPr>
      <w:r w:rsidRPr="004A6259">
        <w:rPr>
          <w:lang w:val="en-GB"/>
        </w:rPr>
        <w:t xml:space="preserve">Building </w:t>
      </w:r>
      <w:r>
        <w:rPr>
          <w:lang w:val="en-GB"/>
        </w:rPr>
        <w:t xml:space="preserve">Sirona Hygiene’s </w:t>
      </w:r>
      <w:r w:rsidRPr="004A6259">
        <w:rPr>
          <w:lang w:val="en-GB"/>
        </w:rPr>
        <w:t xml:space="preserve">brand </w:t>
      </w:r>
      <w:r>
        <w:rPr>
          <w:lang w:val="en-GB"/>
        </w:rPr>
        <w:t>involved</w:t>
      </w:r>
      <w:r w:rsidRPr="004A6259">
        <w:rPr>
          <w:lang w:val="en-GB"/>
        </w:rPr>
        <w:t xml:space="preserve"> more than just building the various product ideas. According to </w:t>
      </w:r>
      <w:r>
        <w:rPr>
          <w:lang w:val="en-GB"/>
        </w:rPr>
        <w:t>Deep</w:t>
      </w:r>
      <w:r w:rsidRPr="004A6259">
        <w:rPr>
          <w:lang w:val="en-GB"/>
        </w:rPr>
        <w:t>,</w:t>
      </w:r>
    </w:p>
    <w:p w14:paraId="4B5179EC" w14:textId="77777777" w:rsidR="003434E6" w:rsidRDefault="003434E6" w:rsidP="00882701">
      <w:pPr>
        <w:pStyle w:val="BodyTextMain"/>
        <w:rPr>
          <w:lang w:val="en-GB"/>
        </w:rPr>
      </w:pPr>
    </w:p>
    <w:p w14:paraId="036F8AE8" w14:textId="0D2C4BDA" w:rsidR="003434E6" w:rsidRDefault="003434E6" w:rsidP="00A82AEC">
      <w:pPr>
        <w:pStyle w:val="BodyTextMain"/>
        <w:ind w:left="720"/>
        <w:rPr>
          <w:color w:val="000000"/>
          <w:lang w:val="en-GB" w:bidi="sa-IN"/>
        </w:rPr>
      </w:pPr>
      <w:r w:rsidRPr="004A6259">
        <w:rPr>
          <w:color w:val="000000"/>
          <w:lang w:val="en-GB" w:bidi="sa-IN"/>
        </w:rPr>
        <w:t>When I started the company, I was only trying to solve the problems faced by the women in my life</w:t>
      </w:r>
      <w:r>
        <w:rPr>
          <w:color w:val="000000"/>
          <w:lang w:val="en-GB" w:bidi="sa-IN"/>
        </w:rPr>
        <w:t>—</w:t>
      </w:r>
      <w:r w:rsidRPr="004A6259">
        <w:rPr>
          <w:color w:val="000000"/>
          <w:lang w:val="en-GB" w:bidi="sa-IN"/>
        </w:rPr>
        <w:t>my wife, my mother, my friends. So</w:t>
      </w:r>
      <w:r>
        <w:rPr>
          <w:color w:val="000000"/>
          <w:lang w:val="en-GB" w:bidi="sa-IN"/>
        </w:rPr>
        <w:t>,</w:t>
      </w:r>
      <w:r w:rsidRPr="004A6259">
        <w:rPr>
          <w:color w:val="000000"/>
          <w:lang w:val="en-GB" w:bidi="sa-IN"/>
        </w:rPr>
        <w:t xml:space="preserve"> PeeBuddy became the first offering which solved the problem of dirty toilets. However, I knew that PeeBuddy was going to be hard to sell and</w:t>
      </w:r>
      <w:r>
        <w:rPr>
          <w:color w:val="000000"/>
          <w:lang w:val="en-GB" w:bidi="sa-IN"/>
        </w:rPr>
        <w:t xml:space="preserve"> [that]</w:t>
      </w:r>
      <w:r w:rsidRPr="004A6259">
        <w:rPr>
          <w:color w:val="000000"/>
          <w:lang w:val="en-GB" w:bidi="sa-IN"/>
        </w:rPr>
        <w:t xml:space="preserve"> marketing more items with the same name may be tricky. So, there was the regular steady-customer-demand product BodyGuard. We kept it simple here as the </w:t>
      </w:r>
      <w:r w:rsidRPr="004A6259">
        <w:rPr>
          <w:i/>
          <w:iCs/>
          <w:color w:val="000000"/>
          <w:lang w:val="en-GB" w:bidi="sa-IN"/>
        </w:rPr>
        <w:t>body</w:t>
      </w:r>
      <w:r w:rsidRPr="004A6259">
        <w:rPr>
          <w:color w:val="000000"/>
          <w:lang w:val="en-GB" w:bidi="sa-IN"/>
        </w:rPr>
        <w:t xml:space="preserve"> and </w:t>
      </w:r>
      <w:r w:rsidRPr="004A6259">
        <w:rPr>
          <w:i/>
          <w:iCs/>
          <w:color w:val="000000"/>
          <w:lang w:val="en-GB" w:bidi="sa-IN"/>
        </w:rPr>
        <w:t>guard</w:t>
      </w:r>
      <w:r w:rsidRPr="004A6259">
        <w:rPr>
          <w:color w:val="000000"/>
          <w:lang w:val="en-GB" w:bidi="sa-IN"/>
        </w:rPr>
        <w:t xml:space="preserve"> in the name conveyed the product use to the consumer.</w:t>
      </w:r>
    </w:p>
    <w:p w14:paraId="3479D0F0" w14:textId="77777777" w:rsidR="003434E6" w:rsidRDefault="003434E6" w:rsidP="00882701">
      <w:pPr>
        <w:pStyle w:val="BodyTextMain"/>
        <w:rPr>
          <w:color w:val="000000"/>
          <w:lang w:val="en-GB" w:bidi="sa-IN"/>
        </w:rPr>
      </w:pPr>
    </w:p>
    <w:p w14:paraId="5E51C384" w14:textId="6697AFA5" w:rsidR="003434E6" w:rsidRDefault="003434E6" w:rsidP="00A82AEC">
      <w:pPr>
        <w:pStyle w:val="BodyTextMain"/>
        <w:tabs>
          <w:tab w:val="left" w:pos="5234"/>
        </w:tabs>
        <w:rPr>
          <w:color w:val="000000"/>
          <w:lang w:val="en-GB" w:bidi="sa-IN"/>
        </w:rPr>
      </w:pPr>
      <w:r>
        <w:rPr>
          <w:color w:val="000000"/>
          <w:lang w:val="en-GB" w:bidi="sa-IN"/>
        </w:rPr>
        <w:t>Deep</w:t>
      </w:r>
      <w:r w:rsidRPr="004A6259">
        <w:rPr>
          <w:color w:val="000000"/>
          <w:lang w:val="en-GB" w:bidi="sa-IN"/>
        </w:rPr>
        <w:t xml:space="preserve"> explained</w:t>
      </w:r>
      <w:r>
        <w:rPr>
          <w:color w:val="000000"/>
          <w:lang w:val="en-GB" w:bidi="sa-IN"/>
        </w:rPr>
        <w:t xml:space="preserve"> his vision for Sirona Hygiene:</w:t>
      </w:r>
      <w:r>
        <w:rPr>
          <w:color w:val="000000"/>
          <w:lang w:val="en-GB" w:bidi="sa-IN"/>
        </w:rPr>
        <w:tab/>
      </w:r>
    </w:p>
    <w:p w14:paraId="38ACD78B" w14:textId="77777777" w:rsidR="003434E6" w:rsidRDefault="003434E6" w:rsidP="00882701">
      <w:pPr>
        <w:pStyle w:val="BodyTextMain"/>
        <w:rPr>
          <w:color w:val="000000"/>
          <w:lang w:val="en-GB" w:bidi="sa-IN"/>
        </w:rPr>
      </w:pPr>
    </w:p>
    <w:p w14:paraId="1FE35DAB" w14:textId="6F805156" w:rsidR="003434E6" w:rsidRPr="004A6259" w:rsidRDefault="003434E6" w:rsidP="00A82AEC">
      <w:pPr>
        <w:pStyle w:val="BodyTextMain"/>
        <w:ind w:left="720"/>
        <w:rPr>
          <w:color w:val="000000"/>
          <w:lang w:val="en-GB" w:bidi="sa-IN"/>
        </w:rPr>
      </w:pPr>
      <w:r w:rsidRPr="004A6259">
        <w:rPr>
          <w:color w:val="000000"/>
          <w:lang w:val="en-GB" w:bidi="sa-IN"/>
        </w:rPr>
        <w:t>By 2015</w:t>
      </w:r>
      <w:r>
        <w:rPr>
          <w:color w:val="000000"/>
          <w:lang w:val="en-GB" w:bidi="sa-IN"/>
        </w:rPr>
        <w:t>–</w:t>
      </w:r>
      <w:r w:rsidRPr="004A6259">
        <w:rPr>
          <w:color w:val="000000"/>
          <w:lang w:val="en-GB" w:bidi="sa-IN"/>
        </w:rPr>
        <w:t>2016, my vision was clear</w:t>
      </w:r>
      <w:r>
        <w:rPr>
          <w:color w:val="000000"/>
          <w:lang w:val="en-GB" w:bidi="sa-IN"/>
        </w:rPr>
        <w:t>:</w:t>
      </w:r>
      <w:r w:rsidRPr="004A6259">
        <w:rPr>
          <w:color w:val="000000"/>
          <w:lang w:val="en-GB" w:bidi="sa-IN"/>
        </w:rPr>
        <w:t xml:space="preserve"> I wanted </w:t>
      </w:r>
      <w:r w:rsidRPr="004A6259">
        <w:rPr>
          <w:lang w:val="en-GB"/>
        </w:rPr>
        <w:t>Sirona to be the leader in the feminine health and hygiene space. You know</w:t>
      </w:r>
      <w:r>
        <w:rPr>
          <w:lang w:val="en-GB"/>
        </w:rPr>
        <w:t>,</w:t>
      </w:r>
      <w:r w:rsidRPr="004A6259">
        <w:rPr>
          <w:lang w:val="en-GB"/>
        </w:rPr>
        <w:t xml:space="preserve"> like Surf in detergent and Xerox in photocopiers, so if it </w:t>
      </w:r>
      <w:r>
        <w:rPr>
          <w:lang w:val="en-GB"/>
        </w:rPr>
        <w:t xml:space="preserve">[is] </w:t>
      </w:r>
      <w:r w:rsidRPr="004A6259">
        <w:rPr>
          <w:lang w:val="en-GB"/>
        </w:rPr>
        <w:t>about the female and her wellness</w:t>
      </w:r>
      <w:r>
        <w:rPr>
          <w:lang w:val="en-GB"/>
        </w:rPr>
        <w:t>,</w:t>
      </w:r>
      <w:r w:rsidRPr="004A6259">
        <w:rPr>
          <w:lang w:val="en-GB"/>
        </w:rPr>
        <w:t xml:space="preserve"> it should be</w:t>
      </w:r>
      <w:r>
        <w:rPr>
          <w:lang w:val="en-GB"/>
        </w:rPr>
        <w:t xml:space="preserve"> </w:t>
      </w:r>
      <w:r w:rsidRPr="004A6259">
        <w:rPr>
          <w:lang w:val="en-GB"/>
        </w:rPr>
        <w:t>Sirona. And thus, for the female menstrual needs I came up with the Sirona range. When it comes to contribution, 75</w:t>
      </w:r>
      <w:r>
        <w:rPr>
          <w:lang w:val="en-GB"/>
        </w:rPr>
        <w:t xml:space="preserve"> per cent</w:t>
      </w:r>
      <w:r w:rsidRPr="004A6259">
        <w:rPr>
          <w:lang w:val="en-GB"/>
        </w:rPr>
        <w:t xml:space="preserve"> of our revenue comes from PeeBuddy and Sirona, with </w:t>
      </w:r>
      <w:r>
        <w:rPr>
          <w:lang w:val="en-GB"/>
        </w:rPr>
        <w:t>two-thirds</w:t>
      </w:r>
      <w:r w:rsidRPr="004A6259">
        <w:rPr>
          <w:lang w:val="en-GB"/>
        </w:rPr>
        <w:t xml:space="preserve"> of the 75 </w:t>
      </w:r>
      <w:r>
        <w:rPr>
          <w:lang w:val="en-GB"/>
        </w:rPr>
        <w:t>per cent</w:t>
      </w:r>
      <w:r w:rsidRPr="004A6259">
        <w:rPr>
          <w:lang w:val="en-GB"/>
        </w:rPr>
        <w:t xml:space="preserve"> coming from Sirona.</w:t>
      </w:r>
    </w:p>
    <w:p w14:paraId="708D2762" w14:textId="77777777" w:rsidR="003434E6" w:rsidRPr="00A82AEC" w:rsidRDefault="003434E6" w:rsidP="00882701">
      <w:pPr>
        <w:pStyle w:val="BodyTextMain"/>
        <w:rPr>
          <w:color w:val="000000"/>
          <w:lang w:val="en-CA" w:bidi="sa-IN"/>
        </w:rPr>
      </w:pPr>
    </w:p>
    <w:p w14:paraId="722CD8A1" w14:textId="132B6956" w:rsidR="003434E6" w:rsidRPr="007F3737" w:rsidRDefault="003434E6" w:rsidP="00D00C0C">
      <w:pPr>
        <w:pStyle w:val="BodyTextMain"/>
        <w:rPr>
          <w:bCs/>
          <w:caps/>
          <w:spacing w:val="-2"/>
          <w:lang w:val="en-GB"/>
        </w:rPr>
      </w:pPr>
      <w:r w:rsidRPr="007F3737">
        <w:rPr>
          <w:spacing w:val="-2"/>
          <w:lang w:val="en-GB"/>
        </w:rPr>
        <w:t xml:space="preserve">The firm slowly received recognition for its innovations—especially PeeBuddy—and Deep and his company were acknowledged in various forms, such as making both the </w:t>
      </w:r>
      <w:r w:rsidRPr="007F3737">
        <w:rPr>
          <w:i/>
          <w:iCs/>
          <w:spacing w:val="-2"/>
          <w:lang w:val="en-GB"/>
        </w:rPr>
        <w:t>Economic Times</w:t>
      </w:r>
      <w:r w:rsidRPr="007F3737">
        <w:rPr>
          <w:spacing w:val="-2"/>
          <w:lang w:val="en-GB"/>
        </w:rPr>
        <w:t xml:space="preserve">’ and </w:t>
      </w:r>
      <w:r w:rsidRPr="007F3737">
        <w:rPr>
          <w:i/>
          <w:iCs/>
          <w:spacing w:val="-2"/>
          <w:lang w:val="en-GB"/>
        </w:rPr>
        <w:t>Fortune</w:t>
      </w:r>
      <w:r w:rsidRPr="007F3737">
        <w:rPr>
          <w:spacing w:val="-2"/>
          <w:lang w:val="en-GB"/>
        </w:rPr>
        <w:t xml:space="preserve"> magazine’s 40 under 40 lists in 2018 and receiving the </w:t>
      </w:r>
      <w:r w:rsidRPr="007F3737">
        <w:rPr>
          <w:i/>
          <w:iCs/>
          <w:spacing w:val="-2"/>
          <w:lang w:val="en-GB"/>
        </w:rPr>
        <w:t>Economic Times</w:t>
      </w:r>
      <w:r w:rsidRPr="007F3737">
        <w:rPr>
          <w:spacing w:val="-2"/>
          <w:lang w:val="en-GB"/>
        </w:rPr>
        <w:t xml:space="preserve">’ Innovation Award 2019 in Inclusive Growth, the TiE Spirit of Manufacturing Award 2019, the ET Startup Award 2019 in the Social Enterprise category, and the National Entrepreneurship Award 2019 from the Government of India’s Ministry of Skill Development and Entrepreneurship. This recognition gave Deep a great deal of organic media coverage. Deep continued to travel all over India, attending events where he gave talks, shared his perspectives and solutions-based ideas for the women of tomorrow, and handed out free trial samples of PeeBuddy to the women who attended. Additionally, Deep explored cost-effective and innovative ways to publicize his brand. Apart from being a TEDx speaker, Deep also partnered with the organizers of various female-dominated events, such as Pinkathon (an all-women marathon), in eight different Indian cities. During an event, the firm set up standing urinals for women and handed out samples of PeeBuddy for trial. The response was enthusiastic and positive, and Deep received a number participants’ testimonials, which he uploaded on both the firm’s website and on YouTube. PeeBuddy video campaigns (e.g., “Urine Control to You’re in Control”), featured across digital and social media platforms, as well as testimonials about PeeBuddy from popular Indian film stars and members of the Indian cricket team, garnered a great deal of traction for the brand. To promote Sirona’s </w:t>
      </w:r>
      <w:r w:rsidRPr="007F3737">
        <w:rPr>
          <w:spacing w:val="-2"/>
          <w:lang w:val="en-GB"/>
        </w:rPr>
        <w:lastRenderedPageBreak/>
        <w:t>environmentally friendly menstrual cups, Sirona campaigns (such as “Down with Pads to Done with Pads”) featured modern young women who had substantial followings on social media.</w:t>
      </w:r>
      <w:r w:rsidRPr="007F3737">
        <w:rPr>
          <w:spacing w:val="-2"/>
          <w:vertAlign w:val="superscript"/>
          <w:lang w:val="en-GB"/>
        </w:rPr>
        <w:endnoteReference w:id="33"/>
      </w:r>
      <w:r w:rsidRPr="007F3737">
        <w:rPr>
          <w:spacing w:val="-2"/>
          <w:lang w:val="en-GB"/>
        </w:rPr>
        <w:t xml:space="preserve"> The firm also had distinct brands and logos that it used for its offerings (see </w:t>
      </w:r>
      <w:r w:rsidRPr="007F3737">
        <w:rPr>
          <w:bCs/>
          <w:spacing w:val="-2"/>
          <w:lang w:val="en-GB"/>
        </w:rPr>
        <w:t>Exhibit 8)</w:t>
      </w:r>
      <w:r w:rsidRPr="007F3737">
        <w:rPr>
          <w:bCs/>
          <w:caps/>
          <w:spacing w:val="-2"/>
          <w:lang w:val="en-GB"/>
        </w:rPr>
        <w:t>.</w:t>
      </w:r>
    </w:p>
    <w:p w14:paraId="3D7F8669" w14:textId="77777777" w:rsidR="003434E6" w:rsidRPr="004A6259" w:rsidRDefault="003434E6" w:rsidP="00882701">
      <w:pPr>
        <w:pStyle w:val="BodyTextMain"/>
        <w:rPr>
          <w:lang w:val="en-GB"/>
        </w:rPr>
      </w:pPr>
    </w:p>
    <w:p w14:paraId="60542F9A" w14:textId="494AA751" w:rsidR="003434E6" w:rsidRPr="004A6259" w:rsidRDefault="003434E6" w:rsidP="00882701">
      <w:pPr>
        <w:pStyle w:val="BodyTextMain"/>
        <w:rPr>
          <w:lang w:val="en-GB"/>
        </w:rPr>
      </w:pPr>
      <w:r w:rsidRPr="004A6259">
        <w:rPr>
          <w:lang w:val="en-GB"/>
        </w:rPr>
        <w:t xml:space="preserve">In his pursuit of success and growth, </w:t>
      </w:r>
      <w:r>
        <w:rPr>
          <w:lang w:val="en-GB"/>
        </w:rPr>
        <w:t xml:space="preserve">Deep </w:t>
      </w:r>
      <w:r w:rsidRPr="004A6259">
        <w:rPr>
          <w:lang w:val="en-GB" w:eastAsia="en-IN"/>
        </w:rPr>
        <w:t>did not ignore societal well-being. “</w:t>
      </w:r>
      <w:bookmarkStart w:id="11" w:name="_Hlk37062515"/>
      <w:r>
        <w:rPr>
          <w:lang w:val="en-GB"/>
        </w:rPr>
        <w:t>If</w:t>
      </w:r>
      <w:r w:rsidRPr="004A6259">
        <w:rPr>
          <w:lang w:val="en-GB"/>
        </w:rPr>
        <w:t xml:space="preserve"> you must do something good for people</w:t>
      </w:r>
      <w:r>
        <w:rPr>
          <w:lang w:val="en-GB"/>
        </w:rPr>
        <w:t>,” Deep said,</w:t>
      </w:r>
      <w:r w:rsidRPr="004A6259">
        <w:rPr>
          <w:lang w:val="en-GB"/>
        </w:rPr>
        <w:t xml:space="preserve"> </w:t>
      </w:r>
      <w:r>
        <w:rPr>
          <w:lang w:val="en-GB"/>
        </w:rPr>
        <w:t>“</w:t>
      </w:r>
      <w:r w:rsidRPr="004A6259">
        <w:rPr>
          <w:lang w:val="en-GB"/>
        </w:rPr>
        <w:t>it has to start right at inception</w:t>
      </w:r>
      <w:r>
        <w:rPr>
          <w:lang w:val="en-GB"/>
        </w:rPr>
        <w:t>;</w:t>
      </w:r>
      <w:r w:rsidRPr="004A6259">
        <w:rPr>
          <w:lang w:val="en-GB"/>
        </w:rPr>
        <w:t xml:space="preserve"> one shouldn’t wait for the profits. The moment we saw a little success with PeeBuddy</w:t>
      </w:r>
      <w:r>
        <w:rPr>
          <w:lang w:val="en-GB"/>
        </w:rPr>
        <w:t>,</w:t>
      </w:r>
      <w:r w:rsidRPr="004A6259">
        <w:rPr>
          <w:lang w:val="en-GB"/>
        </w:rPr>
        <w:t xml:space="preserve"> we wanted to show our customers that we mean this for the larger good and not only for our good.”</w:t>
      </w:r>
      <w:r w:rsidRPr="004A6259">
        <w:rPr>
          <w:vertAlign w:val="superscript"/>
          <w:lang w:val="en-GB"/>
        </w:rPr>
        <w:endnoteReference w:id="34"/>
      </w:r>
      <w:r w:rsidRPr="004A6259">
        <w:rPr>
          <w:lang w:val="en-GB"/>
        </w:rPr>
        <w:t xml:space="preserve"> He </w:t>
      </w:r>
      <w:bookmarkEnd w:id="11"/>
      <w:r>
        <w:rPr>
          <w:lang w:val="en-GB"/>
        </w:rPr>
        <w:t>founded</w:t>
      </w:r>
      <w:r w:rsidRPr="004A6259">
        <w:rPr>
          <w:lang w:val="en-GB"/>
        </w:rPr>
        <w:t xml:space="preserve"> </w:t>
      </w:r>
      <w:r w:rsidRPr="004A6259">
        <w:rPr>
          <w:shd w:val="clear" w:color="auto" w:fill="FFFFFF"/>
          <w:lang w:val="en-GB"/>
        </w:rPr>
        <w:t xml:space="preserve">AAAN, </w:t>
      </w:r>
      <w:r>
        <w:rPr>
          <w:shd w:val="clear" w:color="auto" w:fill="FFFFFF"/>
          <w:lang w:val="en-GB"/>
        </w:rPr>
        <w:t>a corporate social responsibility initiative that</w:t>
      </w:r>
      <w:r w:rsidRPr="004A6259">
        <w:rPr>
          <w:shd w:val="clear" w:color="auto" w:fill="FFFFFF"/>
          <w:lang w:val="en-GB"/>
        </w:rPr>
        <w:t xml:space="preserve"> helped trafficked sex workers and addressed their menstrual and intimate hygiene issues. </w:t>
      </w:r>
      <w:r>
        <w:rPr>
          <w:shd w:val="clear" w:color="auto" w:fill="FFFFFF"/>
          <w:lang w:val="en-GB"/>
        </w:rPr>
        <w:t xml:space="preserve">As part of this drive, they were introduced to safer, healthier, accessible, and economical options for menstrual hygiene. </w:t>
      </w:r>
      <w:r w:rsidRPr="004A6259">
        <w:rPr>
          <w:shd w:val="clear" w:color="auto" w:fill="FFFFFF"/>
          <w:lang w:val="en-GB"/>
        </w:rPr>
        <w:t>Each week</w:t>
      </w:r>
      <w:r>
        <w:rPr>
          <w:shd w:val="clear" w:color="auto" w:fill="FFFFFF"/>
          <w:lang w:val="en-GB"/>
        </w:rPr>
        <w:t>,</w:t>
      </w:r>
      <w:r w:rsidRPr="004A6259">
        <w:rPr>
          <w:shd w:val="clear" w:color="auto" w:fill="FFFFFF"/>
          <w:lang w:val="en-GB"/>
        </w:rPr>
        <w:t xml:space="preserve"> the Sirona </w:t>
      </w:r>
      <w:r>
        <w:rPr>
          <w:shd w:val="clear" w:color="auto" w:fill="FFFFFF"/>
          <w:lang w:val="en-GB"/>
        </w:rPr>
        <w:t xml:space="preserve">Hygiene </w:t>
      </w:r>
      <w:r w:rsidRPr="004A6259">
        <w:rPr>
          <w:shd w:val="clear" w:color="auto" w:fill="FFFFFF"/>
          <w:lang w:val="en-GB"/>
        </w:rPr>
        <w:t>team</w:t>
      </w:r>
      <w:r>
        <w:rPr>
          <w:shd w:val="clear" w:color="auto" w:fill="FFFFFF"/>
          <w:lang w:val="en-GB"/>
        </w:rPr>
        <w:t>,</w:t>
      </w:r>
      <w:r w:rsidRPr="004A6259">
        <w:rPr>
          <w:shd w:val="clear" w:color="auto" w:fill="FFFFFF"/>
          <w:lang w:val="en-GB"/>
        </w:rPr>
        <w:t xml:space="preserve"> along with </w:t>
      </w:r>
      <w:r>
        <w:rPr>
          <w:shd w:val="clear" w:color="auto" w:fill="FFFFFF"/>
          <w:lang w:val="en-GB"/>
        </w:rPr>
        <w:t>its</w:t>
      </w:r>
      <w:r w:rsidRPr="004A6259">
        <w:rPr>
          <w:shd w:val="clear" w:color="auto" w:fill="FFFFFF"/>
          <w:lang w:val="en-GB"/>
        </w:rPr>
        <w:t xml:space="preserve"> ground partner</w:t>
      </w:r>
      <w:r>
        <w:rPr>
          <w:shd w:val="clear" w:color="auto" w:fill="FFFFFF"/>
          <w:lang w:val="en-GB"/>
        </w:rPr>
        <w:t>,</w:t>
      </w:r>
      <w:r w:rsidRPr="004A6259">
        <w:rPr>
          <w:shd w:val="clear" w:color="auto" w:fill="FFFFFF"/>
          <w:lang w:val="en-GB"/>
        </w:rPr>
        <w:t xml:space="preserve"> visited brothels in metro cities to raise awareness about menstrual cups</w:t>
      </w:r>
      <w:r>
        <w:rPr>
          <w:shd w:val="clear" w:color="auto" w:fill="FFFFFF"/>
          <w:lang w:val="en-GB"/>
        </w:rPr>
        <w:t xml:space="preserve"> and distributed the same for free</w:t>
      </w:r>
      <w:r w:rsidRPr="004A6259">
        <w:rPr>
          <w:shd w:val="clear" w:color="auto" w:fill="FFFFFF"/>
          <w:lang w:val="en-GB"/>
        </w:rPr>
        <w:t xml:space="preserve">. </w:t>
      </w:r>
      <w:r>
        <w:rPr>
          <w:shd w:val="clear" w:color="auto" w:fill="FFFFFF"/>
          <w:lang w:val="en-GB"/>
        </w:rPr>
        <w:t>Deep</w:t>
      </w:r>
      <w:r w:rsidRPr="004A6259">
        <w:rPr>
          <w:shd w:val="clear" w:color="auto" w:fill="FFFFFF"/>
          <w:lang w:val="en-GB"/>
        </w:rPr>
        <w:t xml:space="preserve"> said, “</w:t>
      </w:r>
      <w:r w:rsidRPr="004A6259">
        <w:rPr>
          <w:lang w:val="en-GB"/>
        </w:rPr>
        <w:t>I believe the pad companies do it because they have a vested interest of selling their products. So, we only talk about cups</w:t>
      </w:r>
      <w:r>
        <w:rPr>
          <w:lang w:val="en-GB"/>
        </w:rPr>
        <w:t>,</w:t>
      </w:r>
      <w:r w:rsidRPr="004A6259">
        <w:rPr>
          <w:lang w:val="en-GB"/>
        </w:rPr>
        <w:t xml:space="preserve"> saying</w:t>
      </w:r>
      <w:r>
        <w:rPr>
          <w:lang w:val="en-GB"/>
        </w:rPr>
        <w:t>,</w:t>
      </w:r>
      <w:r w:rsidRPr="004A6259">
        <w:rPr>
          <w:lang w:val="en-GB"/>
        </w:rPr>
        <w:t xml:space="preserve"> ‘this product is something that you buy once, and it lasts you for </w:t>
      </w:r>
      <w:r>
        <w:rPr>
          <w:lang w:val="en-GB"/>
        </w:rPr>
        <w:t>10</w:t>
      </w:r>
      <w:r w:rsidRPr="004A6259">
        <w:rPr>
          <w:lang w:val="en-GB"/>
        </w:rPr>
        <w:t xml:space="preserve"> years. We have no vested interest here</w:t>
      </w:r>
      <w:r>
        <w:rPr>
          <w:lang w:val="en-GB"/>
        </w:rPr>
        <w:t>’</w:t>
      </w:r>
      <w:r w:rsidRPr="004A6259">
        <w:rPr>
          <w:lang w:val="en-GB"/>
        </w:rPr>
        <w:t>; we do not ask them to pay anything. We give it out for free.”</w:t>
      </w:r>
      <w:r w:rsidRPr="004A6259">
        <w:rPr>
          <w:vertAlign w:val="superscript"/>
          <w:lang w:val="en-GB"/>
        </w:rPr>
        <w:endnoteReference w:id="35"/>
      </w:r>
    </w:p>
    <w:p w14:paraId="18B30F66" w14:textId="77777777" w:rsidR="006E7D76" w:rsidRPr="004A6259" w:rsidRDefault="006E7D76" w:rsidP="00882701">
      <w:pPr>
        <w:pStyle w:val="BodyTextMain"/>
        <w:rPr>
          <w:lang w:val="en-GB"/>
        </w:rPr>
      </w:pPr>
    </w:p>
    <w:p w14:paraId="001D9C4A" w14:textId="47EEB4BA" w:rsidR="006E7D76" w:rsidRDefault="006E7D76" w:rsidP="00882701">
      <w:pPr>
        <w:pStyle w:val="BodyTextMain"/>
        <w:rPr>
          <w:color w:val="000000"/>
          <w:lang w:val="en-GB" w:bidi="sa-IN"/>
        </w:rPr>
      </w:pPr>
      <w:r>
        <w:rPr>
          <w:color w:val="000000"/>
          <w:lang w:val="en-GB" w:bidi="sa-IN"/>
        </w:rPr>
        <w:t>According to Deep, the</w:t>
      </w:r>
      <w:r w:rsidRPr="004A6259">
        <w:rPr>
          <w:color w:val="000000"/>
          <w:lang w:val="en-GB" w:bidi="sa-IN"/>
        </w:rPr>
        <w:t xml:space="preserve"> three brands</w:t>
      </w:r>
      <w:r>
        <w:rPr>
          <w:color w:val="000000"/>
          <w:lang w:val="en-GB" w:bidi="sa-IN"/>
        </w:rPr>
        <w:t>—</w:t>
      </w:r>
      <w:r w:rsidRPr="004A6259">
        <w:rPr>
          <w:color w:val="000000"/>
          <w:lang w:val="en-GB" w:bidi="sa-IN"/>
        </w:rPr>
        <w:t>though distinct</w:t>
      </w:r>
      <w:r>
        <w:rPr>
          <w:color w:val="000000"/>
          <w:lang w:val="en-GB" w:bidi="sa-IN"/>
        </w:rPr>
        <w:t>—</w:t>
      </w:r>
      <w:r w:rsidRPr="004A6259">
        <w:rPr>
          <w:color w:val="000000"/>
          <w:lang w:val="en-GB" w:bidi="sa-IN"/>
        </w:rPr>
        <w:t>came under the same umbrella</w:t>
      </w:r>
      <w:r>
        <w:rPr>
          <w:color w:val="000000"/>
          <w:lang w:val="en-GB" w:bidi="sa-IN"/>
        </w:rPr>
        <w:t>:</w:t>
      </w:r>
    </w:p>
    <w:p w14:paraId="51ADBE87" w14:textId="77777777" w:rsidR="006E7D76" w:rsidRDefault="006E7D76" w:rsidP="00882701">
      <w:pPr>
        <w:pStyle w:val="BodyTextMain"/>
        <w:rPr>
          <w:color w:val="000000"/>
          <w:lang w:val="en-GB" w:bidi="sa-IN"/>
        </w:rPr>
      </w:pPr>
    </w:p>
    <w:p w14:paraId="28627779" w14:textId="0374C649" w:rsidR="006E7D76" w:rsidRPr="004A6259" w:rsidRDefault="006E7D76" w:rsidP="009974F9">
      <w:pPr>
        <w:pStyle w:val="BodyTextMain"/>
        <w:ind w:left="720"/>
        <w:rPr>
          <w:lang w:val="en-GB" w:bidi="sa-IN"/>
        </w:rPr>
      </w:pPr>
      <w:r w:rsidRPr="004A6259">
        <w:rPr>
          <w:color w:val="000000"/>
          <w:lang w:val="en-GB" w:bidi="sa-IN"/>
        </w:rPr>
        <w:t>If the woman is thinking about hygiene, wellness</w:t>
      </w:r>
      <w:r>
        <w:rPr>
          <w:color w:val="000000"/>
          <w:lang w:val="en-GB" w:bidi="sa-IN"/>
        </w:rPr>
        <w:t>,</w:t>
      </w:r>
      <w:r w:rsidRPr="004A6259">
        <w:rPr>
          <w:color w:val="000000"/>
          <w:lang w:val="en-GB" w:bidi="sa-IN"/>
        </w:rPr>
        <w:t xml:space="preserve"> and protection, she should automatically think of Sirona. It is a brand that will cover female needs when she begins her menstrual cycle in adolescence and teens in school</w:t>
      </w:r>
      <w:r>
        <w:rPr>
          <w:color w:val="000000"/>
          <w:lang w:val="en-GB" w:bidi="sa-IN"/>
        </w:rPr>
        <w:t>,</w:t>
      </w:r>
      <w:r w:rsidRPr="004A6259">
        <w:rPr>
          <w:color w:val="000000"/>
          <w:lang w:val="en-GB" w:bidi="sa-IN"/>
        </w:rPr>
        <w:t xml:space="preserve"> and then when she spends more time outside, playing sports, swimming, going on</w:t>
      </w:r>
      <w:r>
        <w:rPr>
          <w:color w:val="000000"/>
          <w:lang w:val="en-GB" w:bidi="sa-IN"/>
        </w:rPr>
        <w:t xml:space="preserve"> </w:t>
      </w:r>
      <w:r w:rsidRPr="004A6259">
        <w:rPr>
          <w:color w:val="000000"/>
          <w:lang w:val="en-GB" w:bidi="sa-IN"/>
        </w:rPr>
        <w:t>treks</w:t>
      </w:r>
      <w:r>
        <w:rPr>
          <w:color w:val="000000"/>
          <w:lang w:val="en-GB" w:bidi="sa-IN"/>
        </w:rPr>
        <w:t xml:space="preserve">, </w:t>
      </w:r>
      <w:r w:rsidRPr="004A6259">
        <w:rPr>
          <w:color w:val="000000"/>
          <w:lang w:val="en-GB" w:bidi="sa-IN"/>
        </w:rPr>
        <w:t xml:space="preserve">and </w:t>
      </w:r>
      <w:r>
        <w:rPr>
          <w:color w:val="000000"/>
          <w:lang w:val="en-GB" w:bidi="sa-IN"/>
        </w:rPr>
        <w:t>[is</w:t>
      </w:r>
      <w:r w:rsidR="00092AB7">
        <w:rPr>
          <w:color w:val="000000"/>
          <w:lang w:val="en-GB" w:bidi="sa-IN"/>
        </w:rPr>
        <w:t>]</w:t>
      </w:r>
      <w:r>
        <w:rPr>
          <w:color w:val="000000"/>
          <w:lang w:val="en-GB" w:bidi="sa-IN"/>
        </w:rPr>
        <w:t xml:space="preserve"> </w:t>
      </w:r>
      <w:r w:rsidRPr="004A6259">
        <w:rPr>
          <w:color w:val="000000"/>
          <w:lang w:val="en-GB" w:bidi="sa-IN"/>
        </w:rPr>
        <w:t xml:space="preserve">faced with </w:t>
      </w:r>
      <w:r>
        <w:rPr>
          <w:color w:val="000000"/>
          <w:lang w:val="en-GB" w:bidi="sa-IN"/>
        </w:rPr>
        <w:t xml:space="preserve">[the] </w:t>
      </w:r>
      <w:r w:rsidRPr="004A6259">
        <w:rPr>
          <w:color w:val="000000"/>
          <w:lang w:val="en-GB" w:bidi="sa-IN"/>
        </w:rPr>
        <w:t xml:space="preserve">challenges of a dirty toilet and urinary tract infection. We will provide </w:t>
      </w:r>
      <w:r>
        <w:rPr>
          <w:color w:val="000000"/>
          <w:lang w:val="en-GB" w:bidi="sa-IN"/>
        </w:rPr>
        <w:t xml:space="preserve">[a] </w:t>
      </w:r>
      <w:r w:rsidRPr="004A6259">
        <w:rPr>
          <w:color w:val="000000"/>
          <w:lang w:val="en-GB" w:bidi="sa-IN"/>
        </w:rPr>
        <w:t>solution for her as she grows older and becomes sexually active and gets married. Then</w:t>
      </w:r>
      <w:r>
        <w:rPr>
          <w:color w:val="000000"/>
          <w:lang w:val="en-GB" w:bidi="sa-IN"/>
        </w:rPr>
        <w:t>,</w:t>
      </w:r>
      <w:r w:rsidRPr="004A6259">
        <w:rPr>
          <w:color w:val="000000"/>
          <w:lang w:val="en-GB" w:bidi="sa-IN"/>
        </w:rPr>
        <w:t xml:space="preserve"> as she is buying Sirona and PeeBuddy for herself</w:t>
      </w:r>
      <w:r>
        <w:rPr>
          <w:color w:val="000000"/>
          <w:lang w:val="en-GB" w:bidi="sa-IN"/>
        </w:rPr>
        <w:t>,</w:t>
      </w:r>
      <w:r w:rsidRPr="004A6259">
        <w:rPr>
          <w:color w:val="000000"/>
          <w:lang w:val="en-GB" w:bidi="sa-IN"/>
        </w:rPr>
        <w:t xml:space="preserve"> we will give her BodyGuard for her family’s protection. And later</w:t>
      </w:r>
      <w:r>
        <w:rPr>
          <w:color w:val="000000"/>
          <w:lang w:val="en-GB" w:bidi="sa-IN"/>
        </w:rPr>
        <w:t>,</w:t>
      </w:r>
      <w:r w:rsidRPr="004A6259">
        <w:rPr>
          <w:color w:val="000000"/>
          <w:lang w:val="en-GB" w:bidi="sa-IN"/>
        </w:rPr>
        <w:t xml:space="preserve"> in her 70s and 80s</w:t>
      </w:r>
      <w:r>
        <w:rPr>
          <w:color w:val="000000"/>
          <w:lang w:val="en-GB" w:bidi="sa-IN"/>
        </w:rPr>
        <w:t>,</w:t>
      </w:r>
      <w:r w:rsidRPr="004A6259">
        <w:rPr>
          <w:color w:val="000000"/>
          <w:lang w:val="en-GB" w:bidi="sa-IN"/>
        </w:rPr>
        <w:t xml:space="preserve"> when she faces arthritis and diabetes</w:t>
      </w:r>
      <w:r>
        <w:rPr>
          <w:color w:val="000000"/>
          <w:lang w:val="en-GB" w:bidi="sa-IN"/>
        </w:rPr>
        <w:t>,</w:t>
      </w:r>
      <w:r w:rsidRPr="004A6259">
        <w:rPr>
          <w:color w:val="000000"/>
          <w:lang w:val="en-GB" w:bidi="sa-IN"/>
        </w:rPr>
        <w:t xml:space="preserve"> we will look at solutions with those problems too.</w:t>
      </w:r>
    </w:p>
    <w:p w14:paraId="648E385E" w14:textId="1A9888A3" w:rsidR="00243E71" w:rsidRPr="004A6259" w:rsidRDefault="00243E71" w:rsidP="00882701">
      <w:pPr>
        <w:pStyle w:val="BodyTextMain"/>
        <w:rPr>
          <w:lang w:val="en-GB"/>
        </w:rPr>
      </w:pPr>
    </w:p>
    <w:p w14:paraId="68BE91FB" w14:textId="77777777" w:rsidR="00243E71" w:rsidRPr="004A6259" w:rsidRDefault="00243E71" w:rsidP="00882701">
      <w:pPr>
        <w:pStyle w:val="BodyTextMain"/>
        <w:rPr>
          <w:lang w:val="en-GB"/>
        </w:rPr>
      </w:pPr>
    </w:p>
    <w:p w14:paraId="3F155F11" w14:textId="77777777" w:rsidR="00243E71" w:rsidRPr="004A6259" w:rsidRDefault="00243E71" w:rsidP="00B955A7">
      <w:pPr>
        <w:pStyle w:val="Casehead1"/>
        <w:rPr>
          <w:lang w:val="en-GB"/>
        </w:rPr>
      </w:pPr>
      <w:r w:rsidRPr="004A6259">
        <w:rPr>
          <w:lang w:val="en-GB"/>
        </w:rPr>
        <w:t>THE BRANDING DILEMMA: WHAT NEXT?</w:t>
      </w:r>
    </w:p>
    <w:p w14:paraId="31ECDEC0" w14:textId="77777777" w:rsidR="00243E71" w:rsidRPr="004A6259" w:rsidRDefault="00243E71" w:rsidP="00882701">
      <w:pPr>
        <w:pStyle w:val="BodyTextMain"/>
        <w:rPr>
          <w:lang w:val="en-GB"/>
        </w:rPr>
      </w:pPr>
    </w:p>
    <w:p w14:paraId="025988F4" w14:textId="32BE84CD" w:rsidR="00243E71" w:rsidRDefault="00243E71" w:rsidP="00882701">
      <w:pPr>
        <w:pStyle w:val="BodyTextMain"/>
        <w:rPr>
          <w:lang w:val="en-GB"/>
        </w:rPr>
      </w:pPr>
      <w:r>
        <w:rPr>
          <w:lang w:val="en-GB"/>
        </w:rPr>
        <w:t>Deep</w:t>
      </w:r>
      <w:r w:rsidRPr="004A6259">
        <w:rPr>
          <w:lang w:val="en-GB"/>
        </w:rPr>
        <w:t xml:space="preserve"> had a lot of product ideas</w:t>
      </w:r>
      <w:r>
        <w:rPr>
          <w:lang w:val="en-GB"/>
        </w:rPr>
        <w:t>, including a</w:t>
      </w:r>
      <w:r w:rsidRPr="004A6259">
        <w:rPr>
          <w:lang w:val="en-GB"/>
        </w:rPr>
        <w:t xml:space="preserve"> </w:t>
      </w:r>
      <w:r>
        <w:rPr>
          <w:lang w:val="en-GB"/>
        </w:rPr>
        <w:t xml:space="preserve">device for testing for </w:t>
      </w:r>
      <w:r w:rsidRPr="004A6259">
        <w:rPr>
          <w:lang w:val="en-GB"/>
        </w:rPr>
        <w:t>jaundice or</w:t>
      </w:r>
      <w:r>
        <w:rPr>
          <w:lang w:val="en-GB"/>
        </w:rPr>
        <w:t xml:space="preserve"> urinary tract infection (under the PeeBuddy brand) and </w:t>
      </w:r>
      <w:r w:rsidRPr="004A6259">
        <w:rPr>
          <w:lang w:val="en-GB"/>
        </w:rPr>
        <w:t xml:space="preserve">a </w:t>
      </w:r>
      <w:r>
        <w:rPr>
          <w:lang w:val="en-GB"/>
        </w:rPr>
        <w:t>water-based</w:t>
      </w:r>
      <w:r w:rsidRPr="004A6259">
        <w:rPr>
          <w:lang w:val="en-GB"/>
        </w:rPr>
        <w:t xml:space="preserve"> vaginal lubricant for </w:t>
      </w:r>
      <w:r>
        <w:rPr>
          <w:lang w:val="en-GB"/>
        </w:rPr>
        <w:t>premenopausal</w:t>
      </w:r>
      <w:r w:rsidRPr="004A6259">
        <w:rPr>
          <w:lang w:val="en-GB"/>
        </w:rPr>
        <w:t xml:space="preserve"> women</w:t>
      </w:r>
      <w:r>
        <w:rPr>
          <w:lang w:val="en-GB"/>
        </w:rPr>
        <w:t xml:space="preserve"> (under the Sirona brand)</w:t>
      </w:r>
      <w:r w:rsidRPr="004A6259">
        <w:rPr>
          <w:lang w:val="en-GB"/>
        </w:rPr>
        <w:t>. He was clear about his vision to service the feminine hygiene space. However, what was equally clear was that to design and launch so many innovative products, cash flow was critical</w:t>
      </w:r>
      <w:r>
        <w:rPr>
          <w:lang w:val="en-GB"/>
        </w:rPr>
        <w:t>. Deep</w:t>
      </w:r>
      <w:r w:rsidRPr="004A6259">
        <w:rPr>
          <w:lang w:val="en-GB"/>
        </w:rPr>
        <w:t xml:space="preserve"> stated</w:t>
      </w:r>
      <w:r>
        <w:rPr>
          <w:lang w:val="en-GB"/>
        </w:rPr>
        <w:t>:</w:t>
      </w:r>
    </w:p>
    <w:p w14:paraId="346F9BD6" w14:textId="77777777" w:rsidR="00243E71" w:rsidRDefault="00243E71" w:rsidP="00882701">
      <w:pPr>
        <w:pStyle w:val="BodyTextMain"/>
        <w:rPr>
          <w:lang w:val="en-GB"/>
        </w:rPr>
      </w:pPr>
    </w:p>
    <w:p w14:paraId="672A41D7" w14:textId="5C0061ED" w:rsidR="00243E71" w:rsidRPr="004A6259" w:rsidRDefault="00243E71" w:rsidP="009974F9">
      <w:pPr>
        <w:pStyle w:val="BodyTextMain"/>
        <w:ind w:left="720"/>
        <w:rPr>
          <w:rFonts w:eastAsiaTheme="minorEastAsia"/>
          <w:lang w:val="en-GB"/>
        </w:rPr>
      </w:pPr>
      <w:r w:rsidRPr="004A6259">
        <w:rPr>
          <w:lang w:val="en-GB"/>
        </w:rPr>
        <w:t>Till now our philosophy remains</w:t>
      </w:r>
      <w:r>
        <w:rPr>
          <w:lang w:val="en-GB"/>
        </w:rPr>
        <w:t xml:space="preserve"> </w:t>
      </w:r>
      <w:r w:rsidRPr="004A6259">
        <w:rPr>
          <w:lang w:val="en-GB"/>
        </w:rPr>
        <w:t>bootstrap</w:t>
      </w:r>
      <w:r>
        <w:rPr>
          <w:lang w:val="en-GB"/>
        </w:rPr>
        <w:t>,</w:t>
      </w:r>
      <w:r w:rsidRPr="004A6259">
        <w:rPr>
          <w:lang w:val="en-GB"/>
        </w:rPr>
        <w:t xml:space="preserve"> raise small money, take it to </w:t>
      </w:r>
      <w:r>
        <w:rPr>
          <w:lang w:val="en-GB"/>
        </w:rPr>
        <w:t>break-even</w:t>
      </w:r>
      <w:r w:rsidRPr="004A6259">
        <w:rPr>
          <w:lang w:val="en-GB"/>
        </w:rPr>
        <w:t>, raise some more</w:t>
      </w:r>
      <w:r>
        <w:rPr>
          <w:lang w:val="en-GB"/>
        </w:rPr>
        <w:t>,</w:t>
      </w:r>
      <w:r w:rsidRPr="004A6259">
        <w:rPr>
          <w:lang w:val="en-GB"/>
        </w:rPr>
        <w:t xml:space="preserve"> and push the delta a little more. However, with big plans you need big money,</w:t>
      </w:r>
      <w:bookmarkStart w:id="12" w:name="_Hlk36714057"/>
      <w:r w:rsidRPr="004A6259">
        <w:rPr>
          <w:lang w:val="en-GB"/>
        </w:rPr>
        <w:t xml:space="preserve"> so raising the next round of fund is a huge challenge.</w:t>
      </w:r>
      <w:bookmarkEnd w:id="12"/>
      <w:r w:rsidRPr="004A6259">
        <w:rPr>
          <w:color w:val="000000"/>
          <w:lang w:val="en-GB" w:bidi="sa-IN"/>
        </w:rPr>
        <w:t xml:space="preserve"> The investors we talk to are more used to a </w:t>
      </w:r>
      <w:r>
        <w:rPr>
          <w:color w:val="000000"/>
          <w:lang w:val="en-GB" w:bidi="sa-IN"/>
        </w:rPr>
        <w:t>one-brand</w:t>
      </w:r>
      <w:r w:rsidRPr="004A6259">
        <w:rPr>
          <w:color w:val="000000"/>
          <w:lang w:val="en-GB" w:bidi="sa-IN"/>
        </w:rPr>
        <w:t xml:space="preserve"> theory</w:t>
      </w:r>
      <w:r>
        <w:rPr>
          <w:color w:val="000000"/>
          <w:lang w:val="en-GB" w:bidi="sa-IN"/>
        </w:rPr>
        <w:t>.</w:t>
      </w:r>
      <w:r w:rsidRPr="004A6259">
        <w:rPr>
          <w:color w:val="000000"/>
          <w:lang w:val="en-GB" w:bidi="sa-IN"/>
        </w:rPr>
        <w:t xml:space="preserve"> </w:t>
      </w:r>
      <w:r>
        <w:rPr>
          <w:color w:val="000000"/>
          <w:lang w:val="en-GB" w:bidi="sa-IN"/>
        </w:rPr>
        <w:t>They</w:t>
      </w:r>
      <w:r w:rsidRPr="004A6259">
        <w:rPr>
          <w:color w:val="000000"/>
          <w:lang w:val="en-GB" w:bidi="sa-IN"/>
        </w:rPr>
        <w:t xml:space="preserve"> ask</w:t>
      </w:r>
      <w:r>
        <w:rPr>
          <w:color w:val="000000"/>
          <w:lang w:val="en-GB" w:bidi="sa-IN"/>
        </w:rPr>
        <w:t>,</w:t>
      </w:r>
      <w:r w:rsidRPr="004A6259">
        <w:rPr>
          <w:color w:val="000000"/>
          <w:lang w:val="en-GB" w:bidi="sa-IN"/>
        </w:rPr>
        <w:t xml:space="preserve"> ‘</w:t>
      </w:r>
      <w:r>
        <w:rPr>
          <w:color w:val="000000"/>
          <w:lang w:val="en-GB" w:bidi="sa-IN"/>
        </w:rPr>
        <w:t>What</w:t>
      </w:r>
      <w:r w:rsidRPr="004A6259">
        <w:rPr>
          <w:color w:val="000000"/>
          <w:lang w:val="en-GB" w:bidi="sa-IN"/>
        </w:rPr>
        <w:t xml:space="preserve"> is your brand?</w:t>
      </w:r>
      <w:r>
        <w:rPr>
          <w:color w:val="000000"/>
          <w:lang w:val="en-GB" w:bidi="sa-IN"/>
        </w:rPr>
        <w:t xml:space="preserve"> </w:t>
      </w:r>
      <w:r w:rsidRPr="004A6259">
        <w:rPr>
          <w:color w:val="000000"/>
          <w:lang w:val="en-GB" w:bidi="sa-IN"/>
        </w:rPr>
        <w:t>What brand should I put my money into?</w:t>
      </w:r>
      <w:r>
        <w:rPr>
          <w:color w:val="000000"/>
          <w:lang w:val="en-GB" w:bidi="sa-IN"/>
        </w:rPr>
        <w:t>’</w:t>
      </w:r>
      <w:r w:rsidRPr="004A6259">
        <w:rPr>
          <w:rFonts w:eastAsiaTheme="minorEastAsia"/>
          <w:lang w:val="en-GB"/>
        </w:rPr>
        <w:t xml:space="preserve"> This is where I am not really clear whether each of my children</w:t>
      </w:r>
      <w:r>
        <w:rPr>
          <w:rFonts w:eastAsiaTheme="minorEastAsia"/>
          <w:lang w:val="en-GB"/>
        </w:rPr>
        <w:t>—</w:t>
      </w:r>
      <w:r w:rsidRPr="004A6259">
        <w:rPr>
          <w:rFonts w:eastAsiaTheme="minorEastAsia"/>
          <w:lang w:val="en-GB"/>
        </w:rPr>
        <w:t>Sirona</w:t>
      </w:r>
      <w:r>
        <w:rPr>
          <w:rFonts w:eastAsiaTheme="minorEastAsia"/>
          <w:lang w:val="en-GB"/>
        </w:rPr>
        <w:t>,</w:t>
      </w:r>
      <w:r w:rsidRPr="004A6259">
        <w:rPr>
          <w:rFonts w:eastAsiaTheme="minorEastAsia"/>
          <w:lang w:val="en-GB"/>
        </w:rPr>
        <w:t xml:space="preserve"> PeeBuddy</w:t>
      </w:r>
      <w:r>
        <w:rPr>
          <w:rFonts w:eastAsiaTheme="minorEastAsia"/>
          <w:lang w:val="en-GB"/>
        </w:rPr>
        <w:t>,</w:t>
      </w:r>
      <w:r w:rsidRPr="004A6259">
        <w:rPr>
          <w:rFonts w:eastAsiaTheme="minorEastAsia"/>
          <w:lang w:val="en-GB"/>
        </w:rPr>
        <w:t xml:space="preserve"> and BodyGuard</w:t>
      </w:r>
      <w:r>
        <w:rPr>
          <w:rFonts w:eastAsiaTheme="minorEastAsia"/>
          <w:lang w:val="en-GB"/>
        </w:rPr>
        <w:t>—</w:t>
      </w:r>
      <w:r w:rsidRPr="004A6259">
        <w:rPr>
          <w:rFonts w:eastAsiaTheme="minorEastAsia"/>
          <w:lang w:val="en-GB"/>
        </w:rPr>
        <w:t>need to have separate identities</w:t>
      </w:r>
      <w:r>
        <w:rPr>
          <w:rFonts w:eastAsiaTheme="minorEastAsia"/>
          <w:lang w:val="en-GB"/>
        </w:rPr>
        <w:t>,</w:t>
      </w:r>
      <w:r w:rsidRPr="004A6259">
        <w:rPr>
          <w:rFonts w:eastAsiaTheme="minorEastAsia"/>
          <w:lang w:val="en-GB"/>
        </w:rPr>
        <w:t xml:space="preserve"> or will it make more sense to unify them under Sirona?</w:t>
      </w:r>
    </w:p>
    <w:p w14:paraId="5B2CC9FE" w14:textId="77777777" w:rsidR="00243E71" w:rsidRPr="004A6259" w:rsidRDefault="00243E71" w:rsidP="00882701">
      <w:pPr>
        <w:pStyle w:val="BodyTextMain"/>
        <w:rPr>
          <w:color w:val="000000"/>
          <w:lang w:val="en-GB" w:bidi="sa-IN"/>
        </w:rPr>
      </w:pPr>
    </w:p>
    <w:p w14:paraId="1D204561" w14:textId="31E7A148" w:rsidR="00243E71" w:rsidRDefault="00243E71" w:rsidP="00882701">
      <w:pPr>
        <w:pStyle w:val="BodyTextMain"/>
        <w:rPr>
          <w:color w:val="000000"/>
          <w:lang w:val="en-GB" w:bidi="sa-IN"/>
        </w:rPr>
      </w:pPr>
      <w:r>
        <w:rPr>
          <w:color w:val="000000"/>
          <w:lang w:val="en-GB" w:bidi="sa-IN"/>
        </w:rPr>
        <w:t>Deep</w:t>
      </w:r>
      <w:r w:rsidRPr="004A6259">
        <w:rPr>
          <w:color w:val="000000"/>
          <w:lang w:val="en-GB" w:bidi="sa-IN"/>
        </w:rPr>
        <w:t xml:space="preserve"> </w:t>
      </w:r>
      <w:r w:rsidR="00092AB7">
        <w:rPr>
          <w:color w:val="000000"/>
          <w:lang w:val="en-GB" w:bidi="sa-IN"/>
        </w:rPr>
        <w:t>further elaborated on</w:t>
      </w:r>
      <w:r w:rsidR="00092AB7" w:rsidRPr="004A6259">
        <w:rPr>
          <w:color w:val="000000"/>
          <w:lang w:val="en-GB" w:bidi="sa-IN"/>
        </w:rPr>
        <w:t xml:space="preserve"> </w:t>
      </w:r>
      <w:r w:rsidRPr="004A6259">
        <w:rPr>
          <w:color w:val="000000"/>
          <w:lang w:val="en-GB" w:bidi="sa-IN"/>
        </w:rPr>
        <w:t>his dilemma</w:t>
      </w:r>
      <w:r>
        <w:rPr>
          <w:color w:val="000000"/>
          <w:lang w:val="en-GB" w:bidi="sa-IN"/>
        </w:rPr>
        <w:t>:</w:t>
      </w:r>
    </w:p>
    <w:p w14:paraId="548A4A2A" w14:textId="10D7E88E" w:rsidR="00243E71" w:rsidRDefault="00243E71" w:rsidP="00882701">
      <w:pPr>
        <w:pStyle w:val="BodyTextMain"/>
        <w:rPr>
          <w:color w:val="000000"/>
          <w:lang w:val="en-GB" w:bidi="sa-IN"/>
        </w:rPr>
      </w:pPr>
    </w:p>
    <w:p w14:paraId="604DFCE6" w14:textId="6C3EA482" w:rsidR="00243E71" w:rsidRPr="009974F9" w:rsidRDefault="00243E71" w:rsidP="009974F9">
      <w:pPr>
        <w:pStyle w:val="BodyTextMain"/>
        <w:ind w:left="720"/>
        <w:rPr>
          <w:color w:val="000000"/>
          <w:lang w:val="en-GB" w:bidi="sa-IN"/>
        </w:rPr>
      </w:pPr>
      <w:r w:rsidRPr="004A6259">
        <w:rPr>
          <w:color w:val="000000"/>
          <w:lang w:val="en-GB" w:bidi="sa-IN"/>
        </w:rPr>
        <w:t xml:space="preserve">I am clear I want to solve hygiene </w:t>
      </w:r>
      <w:r w:rsidR="00E273B3">
        <w:rPr>
          <w:color w:val="000000"/>
          <w:lang w:val="en-GB" w:bidi="sa-IN"/>
        </w:rPr>
        <w:t>as well as</w:t>
      </w:r>
      <w:r w:rsidRPr="004A6259">
        <w:rPr>
          <w:color w:val="000000"/>
          <w:lang w:val="en-GB" w:bidi="sa-IN"/>
        </w:rPr>
        <w:t xml:space="preserve"> intimate and menstrual hygiene problems for women. My bucket today has three brands</w:t>
      </w:r>
      <w:r>
        <w:rPr>
          <w:color w:val="000000"/>
          <w:lang w:val="en-GB" w:bidi="sa-IN"/>
        </w:rPr>
        <w:t xml:space="preserve">: </w:t>
      </w:r>
      <w:r w:rsidRPr="004A6259">
        <w:rPr>
          <w:color w:val="000000"/>
          <w:lang w:val="en-GB" w:bidi="sa-IN"/>
        </w:rPr>
        <w:t>toilet hygiene is all PeeBuddy</w:t>
      </w:r>
      <w:r>
        <w:rPr>
          <w:color w:val="000000"/>
          <w:lang w:val="en-GB" w:bidi="sa-IN"/>
        </w:rPr>
        <w:t>,</w:t>
      </w:r>
      <w:r w:rsidRPr="004A6259">
        <w:rPr>
          <w:color w:val="000000"/>
          <w:lang w:val="en-GB" w:bidi="sa-IN"/>
        </w:rPr>
        <w:t xml:space="preserve"> menstrual hygiene is Sirona, and family hygiene is all BodyGuard. The problem is that one brand alone does not project a sales figure that excites big funding. But building three brands is an expensive exercise, so we brought it under one company name</w:t>
      </w:r>
      <w:r>
        <w:rPr>
          <w:color w:val="000000"/>
          <w:lang w:val="en-GB" w:bidi="sa-IN"/>
        </w:rPr>
        <w:t>—</w:t>
      </w:r>
      <w:r w:rsidRPr="004A6259">
        <w:rPr>
          <w:color w:val="000000"/>
          <w:lang w:val="en-GB" w:bidi="sa-IN"/>
        </w:rPr>
        <w:t>Sirona Hygiene. The problem is BodyGuard is my safety net</w:t>
      </w:r>
      <w:r>
        <w:rPr>
          <w:color w:val="000000"/>
          <w:lang w:val="en-GB" w:bidi="sa-IN"/>
        </w:rPr>
        <w:t>,</w:t>
      </w:r>
      <w:r w:rsidRPr="004A6259">
        <w:rPr>
          <w:color w:val="000000"/>
          <w:lang w:val="en-GB" w:bidi="sa-IN"/>
        </w:rPr>
        <w:t xml:space="preserve"> with </w:t>
      </w:r>
      <w:r w:rsidRPr="004A6259">
        <w:rPr>
          <w:color w:val="000000"/>
          <w:lang w:val="en-GB" w:bidi="sa-IN"/>
        </w:rPr>
        <w:lastRenderedPageBreak/>
        <w:t xml:space="preserve">all kinds of online and </w:t>
      </w:r>
      <w:r>
        <w:rPr>
          <w:color w:val="000000"/>
          <w:lang w:val="en-GB" w:bidi="sa-IN"/>
        </w:rPr>
        <w:t>off-line</w:t>
      </w:r>
      <w:r w:rsidRPr="004A6259">
        <w:rPr>
          <w:color w:val="000000"/>
          <w:lang w:val="en-GB" w:bidi="sa-IN"/>
        </w:rPr>
        <w:t xml:space="preserve"> retailers, but people have this question</w:t>
      </w:r>
      <w:r>
        <w:rPr>
          <w:color w:val="000000"/>
          <w:lang w:val="en-GB" w:bidi="sa-IN"/>
        </w:rPr>
        <w:t>, ‘W</w:t>
      </w:r>
      <w:r w:rsidRPr="004A6259">
        <w:rPr>
          <w:color w:val="000000"/>
          <w:lang w:val="en-GB" w:bidi="sa-IN"/>
        </w:rPr>
        <w:t>hat is it doing in female hygiene?</w:t>
      </w:r>
      <w:r>
        <w:rPr>
          <w:color w:val="000000"/>
          <w:lang w:val="en-GB" w:bidi="sa-IN"/>
        </w:rPr>
        <w:t>’</w:t>
      </w:r>
      <w:r w:rsidRPr="004A6259">
        <w:rPr>
          <w:color w:val="000000"/>
          <w:lang w:val="en-GB" w:bidi="sa-IN"/>
        </w:rPr>
        <w:t xml:space="preserve"> According to me</w:t>
      </w:r>
      <w:r>
        <w:rPr>
          <w:color w:val="000000"/>
          <w:lang w:val="en-GB" w:bidi="sa-IN"/>
        </w:rPr>
        <w:t>,</w:t>
      </w:r>
      <w:r w:rsidRPr="004A6259">
        <w:rPr>
          <w:color w:val="000000"/>
          <w:lang w:val="en-GB" w:bidi="sa-IN"/>
        </w:rPr>
        <w:t xml:space="preserve"> the story of the three brands is </w:t>
      </w:r>
      <w:r>
        <w:rPr>
          <w:color w:val="000000"/>
          <w:lang w:val="en-GB" w:bidi="sa-IN"/>
        </w:rPr>
        <w:t>well connected</w:t>
      </w:r>
      <w:r w:rsidRPr="004A6259">
        <w:rPr>
          <w:color w:val="000000"/>
          <w:lang w:val="en-GB" w:bidi="sa-IN"/>
        </w:rPr>
        <w:t>. However, each one of them operates in a highly competitive space</w:t>
      </w:r>
      <w:r>
        <w:rPr>
          <w:color w:val="000000"/>
          <w:lang w:val="en-GB" w:bidi="sa-IN"/>
        </w:rPr>
        <w:t>,</w:t>
      </w:r>
      <w:r w:rsidRPr="004A6259">
        <w:rPr>
          <w:lang w:val="en-GB" w:bidi="sa-IN"/>
        </w:rPr>
        <w:t xml:space="preserve"> and convincing investors and retailers is not going to be easy. Secondly, since its inception and launch</w:t>
      </w:r>
      <w:r>
        <w:rPr>
          <w:lang w:val="en-GB" w:bidi="sa-IN"/>
        </w:rPr>
        <w:t>,</w:t>
      </w:r>
      <w:r w:rsidRPr="004A6259">
        <w:rPr>
          <w:lang w:val="en-GB" w:bidi="sa-IN"/>
        </w:rPr>
        <w:t xml:space="preserve"> PeeBuddy has covered huge ground with consumers. Another challenge is that almost 75</w:t>
      </w:r>
      <w:r>
        <w:rPr>
          <w:lang w:val="en-GB" w:bidi="sa-IN"/>
        </w:rPr>
        <w:t xml:space="preserve"> per cent</w:t>
      </w:r>
      <w:r w:rsidRPr="004A6259">
        <w:rPr>
          <w:lang w:val="en-GB" w:bidi="sa-IN"/>
        </w:rPr>
        <w:t xml:space="preserve"> of my sales is online; and online is about reviews</w:t>
      </w:r>
      <w:r>
        <w:rPr>
          <w:lang w:val="en-GB" w:bidi="sa-IN"/>
        </w:rPr>
        <w:t>,</w:t>
      </w:r>
      <w:r w:rsidRPr="004A6259">
        <w:rPr>
          <w:lang w:val="en-GB" w:bidi="sa-IN"/>
        </w:rPr>
        <w:t xml:space="preserve"> and it takes time to get reviews. If I rename everything today, then I have to get a fresh listing. Fresh listing means </w:t>
      </w:r>
      <w:r w:rsidR="00092AB7">
        <w:rPr>
          <w:lang w:val="en-GB" w:bidi="sa-IN"/>
        </w:rPr>
        <w:t xml:space="preserve">[that] </w:t>
      </w:r>
      <w:r w:rsidRPr="004A6259">
        <w:rPr>
          <w:lang w:val="en-GB" w:bidi="sa-IN"/>
        </w:rPr>
        <w:t>all that business goes out. So, it is a Catch-22 situation</w:t>
      </w:r>
      <w:r>
        <w:rPr>
          <w:lang w:val="en-GB" w:bidi="sa-IN"/>
        </w:rPr>
        <w:t>,</w:t>
      </w:r>
      <w:r w:rsidRPr="004A6259">
        <w:rPr>
          <w:lang w:val="en-GB" w:bidi="sa-IN"/>
        </w:rPr>
        <w:t xml:space="preserve"> and</w:t>
      </w:r>
      <w:r>
        <w:rPr>
          <w:lang w:val="en-GB" w:bidi="sa-IN"/>
        </w:rPr>
        <w:t>,</w:t>
      </w:r>
      <w:r w:rsidRPr="004A6259">
        <w:rPr>
          <w:lang w:val="en-GB" w:bidi="sa-IN"/>
        </w:rPr>
        <w:t xml:space="preserve"> frankly speaking</w:t>
      </w:r>
      <w:r>
        <w:rPr>
          <w:lang w:val="en-GB" w:bidi="sa-IN"/>
        </w:rPr>
        <w:t>,</w:t>
      </w:r>
      <w:r w:rsidRPr="004A6259">
        <w:rPr>
          <w:lang w:val="en-GB" w:bidi="sa-IN"/>
        </w:rPr>
        <w:t xml:space="preserve"> I have no clear answers</w:t>
      </w:r>
      <w:r>
        <w:rPr>
          <w:lang w:val="en-GB" w:bidi="sa-IN"/>
        </w:rPr>
        <w:t>.</w:t>
      </w:r>
    </w:p>
    <w:p w14:paraId="2AEBE56A" w14:textId="77777777" w:rsidR="00243E71" w:rsidRPr="004A6259" w:rsidRDefault="00243E71" w:rsidP="00882701">
      <w:pPr>
        <w:pStyle w:val="BodyTextMain"/>
        <w:rPr>
          <w:color w:val="000000"/>
          <w:lang w:val="en-GB" w:bidi="sa-IN"/>
        </w:rPr>
      </w:pPr>
    </w:p>
    <w:p w14:paraId="09B9DF8F" w14:textId="23BF36F2" w:rsidR="00243E71" w:rsidRPr="004A6259" w:rsidRDefault="00243E71" w:rsidP="00882701">
      <w:pPr>
        <w:pStyle w:val="BodyTextMain"/>
        <w:rPr>
          <w:lang w:val="en-GB"/>
        </w:rPr>
      </w:pPr>
      <w:r>
        <w:rPr>
          <w:lang w:val="en-GB"/>
        </w:rPr>
        <w:t xml:space="preserve">Deep </w:t>
      </w:r>
      <w:r w:rsidRPr="004A6259">
        <w:rPr>
          <w:lang w:val="en-GB"/>
        </w:rPr>
        <w:t>had successfully carved a place for himself by launching a series of innovative products in a forbidden, unrecognized</w:t>
      </w:r>
      <w:r w:rsidR="003555EE">
        <w:rPr>
          <w:lang w:val="en-GB"/>
        </w:rPr>
        <w:t xml:space="preserve"> competitive landscape</w:t>
      </w:r>
      <w:r>
        <w:rPr>
          <w:lang w:val="en-GB"/>
        </w:rPr>
        <w:t xml:space="preserve"> </w:t>
      </w:r>
      <w:r w:rsidRPr="004A6259">
        <w:rPr>
          <w:color w:val="000000"/>
          <w:lang w:val="en-GB" w:bidi="sa-IN"/>
        </w:rPr>
        <w:t xml:space="preserve">(see </w:t>
      </w:r>
      <w:r w:rsidRPr="00D00C0C">
        <w:rPr>
          <w:color w:val="000000"/>
          <w:lang w:val="en-GB" w:bidi="sa-IN"/>
        </w:rPr>
        <w:t>E</w:t>
      </w:r>
      <w:r w:rsidRPr="009974F9">
        <w:rPr>
          <w:lang w:val="en-GB"/>
        </w:rPr>
        <w:t xml:space="preserve">xhibit </w:t>
      </w:r>
      <w:r>
        <w:rPr>
          <w:caps/>
          <w:lang w:val="en-GB"/>
        </w:rPr>
        <w:t>9</w:t>
      </w:r>
      <w:r w:rsidRPr="00D00C0C">
        <w:rPr>
          <w:lang w:val="en-GB" w:bidi="sa-IN"/>
        </w:rPr>
        <w:t>)</w:t>
      </w:r>
      <w:r w:rsidRPr="004A6259">
        <w:rPr>
          <w:lang w:val="en-GB"/>
        </w:rPr>
        <w:t>. The problem was “his triplets</w:t>
      </w:r>
      <w:r>
        <w:rPr>
          <w:lang w:val="en-GB"/>
        </w:rPr>
        <w:t>,</w:t>
      </w:r>
      <w:r w:rsidRPr="004A6259">
        <w:rPr>
          <w:lang w:val="en-GB"/>
        </w:rPr>
        <w:t>”</w:t>
      </w:r>
      <w:r>
        <w:rPr>
          <w:lang w:val="en-GB"/>
        </w:rPr>
        <w:t xml:space="preserve"> as </w:t>
      </w:r>
      <w:r w:rsidRPr="004A6259">
        <w:rPr>
          <w:lang w:val="en-GB"/>
        </w:rPr>
        <w:t>PeeBuddy, Sirona</w:t>
      </w:r>
      <w:r>
        <w:rPr>
          <w:lang w:val="en-GB"/>
        </w:rPr>
        <w:t>,</w:t>
      </w:r>
      <w:r w:rsidRPr="004A6259">
        <w:rPr>
          <w:lang w:val="en-GB"/>
        </w:rPr>
        <w:t xml:space="preserve"> and BodyGuard had strong identities of their own. How </w:t>
      </w:r>
      <w:r>
        <w:rPr>
          <w:lang w:val="en-GB"/>
        </w:rPr>
        <w:t>should he</w:t>
      </w:r>
      <w:r w:rsidRPr="004A6259">
        <w:rPr>
          <w:lang w:val="en-GB"/>
        </w:rPr>
        <w:t xml:space="preserve"> nurture </w:t>
      </w:r>
      <w:r>
        <w:rPr>
          <w:lang w:val="en-GB"/>
        </w:rPr>
        <w:t>these identities</w:t>
      </w:r>
      <w:r w:rsidR="00092AB7">
        <w:rPr>
          <w:lang w:val="en-GB"/>
        </w:rPr>
        <w:sym w:font="Symbol" w:char="F0BE"/>
      </w:r>
      <w:r w:rsidR="00092AB7">
        <w:rPr>
          <w:lang w:val="en-GB"/>
        </w:rPr>
        <w:t>u</w:t>
      </w:r>
      <w:r w:rsidRPr="004A6259">
        <w:rPr>
          <w:lang w:val="en-GB"/>
        </w:rPr>
        <w:t xml:space="preserve">nder a unified Sirona brand? If yes, then what should Sirona </w:t>
      </w:r>
      <w:r>
        <w:rPr>
          <w:lang w:val="en-GB"/>
        </w:rPr>
        <w:t>Hygiene s</w:t>
      </w:r>
      <w:r w:rsidRPr="004A6259">
        <w:rPr>
          <w:lang w:val="en-GB"/>
        </w:rPr>
        <w:t>tand for</w:t>
      </w:r>
      <w:r w:rsidR="00092AB7">
        <w:rPr>
          <w:lang w:val="en-GB"/>
        </w:rPr>
        <w:sym w:font="Symbol" w:char="F0BE"/>
      </w:r>
      <w:r w:rsidR="00092AB7">
        <w:rPr>
          <w:lang w:val="en-GB"/>
        </w:rPr>
        <w:t>w</w:t>
      </w:r>
      <w:r>
        <w:rPr>
          <w:lang w:val="en-GB"/>
        </w:rPr>
        <w:t>omen’s</w:t>
      </w:r>
      <w:r w:rsidRPr="004A6259">
        <w:rPr>
          <w:lang w:val="en-GB"/>
        </w:rPr>
        <w:t xml:space="preserve"> hygiene and protection? </w:t>
      </w:r>
      <w:r>
        <w:rPr>
          <w:lang w:val="en-GB"/>
        </w:rPr>
        <w:t>How could</w:t>
      </w:r>
      <w:r w:rsidRPr="004A6259">
        <w:rPr>
          <w:lang w:val="en-GB"/>
        </w:rPr>
        <w:t xml:space="preserve"> distinct brand personas and a functional brand</w:t>
      </w:r>
      <w:r>
        <w:rPr>
          <w:lang w:val="en-GB"/>
        </w:rPr>
        <w:t xml:space="preserve"> such as</w:t>
      </w:r>
      <w:r w:rsidRPr="004A6259">
        <w:rPr>
          <w:lang w:val="en-GB"/>
        </w:rPr>
        <w:t xml:space="preserve"> BodyGuard</w:t>
      </w:r>
      <w:r>
        <w:rPr>
          <w:lang w:val="en-GB"/>
        </w:rPr>
        <w:t xml:space="preserve"> fit</w:t>
      </w:r>
      <w:r w:rsidRPr="004A6259">
        <w:rPr>
          <w:lang w:val="en-GB"/>
        </w:rPr>
        <w:t xml:space="preserve"> under one name? Would there be merit in dropping BodyGuard? If </w:t>
      </w:r>
      <w:r>
        <w:rPr>
          <w:lang w:val="en-GB"/>
        </w:rPr>
        <w:t>so</w:t>
      </w:r>
      <w:r w:rsidRPr="004A6259">
        <w:rPr>
          <w:lang w:val="en-GB"/>
        </w:rPr>
        <w:t xml:space="preserve">, what </w:t>
      </w:r>
      <w:r w:rsidR="00092AB7">
        <w:rPr>
          <w:lang w:val="en-GB"/>
        </w:rPr>
        <w:t xml:space="preserve">would </w:t>
      </w:r>
      <w:r w:rsidRPr="004A6259">
        <w:rPr>
          <w:lang w:val="en-GB"/>
        </w:rPr>
        <w:t xml:space="preserve">happen to the </w:t>
      </w:r>
      <w:r>
        <w:rPr>
          <w:lang w:val="en-GB"/>
        </w:rPr>
        <w:t>bottom line</w:t>
      </w:r>
      <w:r w:rsidRPr="004A6259">
        <w:rPr>
          <w:lang w:val="en-GB"/>
        </w:rPr>
        <w:t xml:space="preserve">? </w:t>
      </w:r>
      <w:r>
        <w:rPr>
          <w:lang w:val="en-GB"/>
        </w:rPr>
        <w:t>Deep</w:t>
      </w:r>
      <w:r w:rsidRPr="004A6259">
        <w:rPr>
          <w:lang w:val="en-GB"/>
        </w:rPr>
        <w:t xml:space="preserve"> was passionate about innovative and new-to-the-world </w:t>
      </w:r>
      <w:r>
        <w:rPr>
          <w:lang w:val="en-GB"/>
        </w:rPr>
        <w:t>products.</w:t>
      </w:r>
      <w:r w:rsidRPr="004A6259">
        <w:rPr>
          <w:lang w:val="en-GB"/>
        </w:rPr>
        <w:t xml:space="preserve"> </w:t>
      </w:r>
      <w:r>
        <w:rPr>
          <w:lang w:val="en-GB"/>
        </w:rPr>
        <w:t>Should</w:t>
      </w:r>
      <w:r w:rsidRPr="004A6259">
        <w:rPr>
          <w:lang w:val="en-GB"/>
        </w:rPr>
        <w:t xml:space="preserve"> he focus on innovation as the brand core and let go of the mundane and ordinary</w:t>
      </w:r>
      <w:r>
        <w:rPr>
          <w:lang w:val="en-GB"/>
        </w:rPr>
        <w:t xml:space="preserve"> </w:t>
      </w:r>
      <w:r w:rsidRPr="004A6259">
        <w:rPr>
          <w:lang w:val="en-GB"/>
        </w:rPr>
        <w:t xml:space="preserve">but </w:t>
      </w:r>
      <w:r>
        <w:rPr>
          <w:lang w:val="en-GB"/>
        </w:rPr>
        <w:t xml:space="preserve">revenue-generating </w:t>
      </w:r>
      <w:r w:rsidRPr="004A6259">
        <w:rPr>
          <w:lang w:val="en-GB"/>
        </w:rPr>
        <w:t>sanitary pads and protection gear</w:t>
      </w:r>
      <w:r>
        <w:rPr>
          <w:lang w:val="en-GB"/>
        </w:rPr>
        <w:t>?</w:t>
      </w:r>
      <w:r w:rsidRPr="004A6259">
        <w:rPr>
          <w:lang w:val="en-GB"/>
        </w:rPr>
        <w:t xml:space="preserve"> Brand articulation, strategy formulation</w:t>
      </w:r>
      <w:r>
        <w:rPr>
          <w:lang w:val="en-GB"/>
        </w:rPr>
        <w:t>,</w:t>
      </w:r>
      <w:r w:rsidRPr="004A6259">
        <w:rPr>
          <w:lang w:val="en-GB"/>
        </w:rPr>
        <w:t xml:space="preserve"> and </w:t>
      </w:r>
      <w:r>
        <w:rPr>
          <w:lang w:val="en-GB"/>
        </w:rPr>
        <w:t>fundraising</w:t>
      </w:r>
      <w:r w:rsidRPr="004A6259">
        <w:rPr>
          <w:lang w:val="en-GB"/>
        </w:rPr>
        <w:t xml:space="preserve"> were all interlinked</w:t>
      </w:r>
      <w:r>
        <w:rPr>
          <w:lang w:val="en-GB"/>
        </w:rPr>
        <w:t>,</w:t>
      </w:r>
      <w:r w:rsidRPr="004A6259">
        <w:rPr>
          <w:lang w:val="en-GB"/>
        </w:rPr>
        <w:t xml:space="preserve"> and </w:t>
      </w:r>
      <w:r>
        <w:rPr>
          <w:lang w:val="en-GB"/>
        </w:rPr>
        <w:t xml:space="preserve">a sequential path was necessary </w:t>
      </w:r>
      <w:r w:rsidRPr="004A6259">
        <w:rPr>
          <w:lang w:val="en-GB"/>
        </w:rPr>
        <w:t>to steer the firm to its next journey.</w:t>
      </w:r>
      <w:r>
        <w:rPr>
          <w:lang w:val="en-GB"/>
        </w:rPr>
        <w:t xml:space="preserve"> </w:t>
      </w:r>
      <w:r w:rsidRPr="004A6259">
        <w:rPr>
          <w:lang w:val="en-GB"/>
        </w:rPr>
        <w:t>The question was clear</w:t>
      </w:r>
      <w:r>
        <w:rPr>
          <w:lang w:val="en-GB"/>
        </w:rPr>
        <w:t>,</w:t>
      </w:r>
      <w:r w:rsidRPr="004A6259">
        <w:rPr>
          <w:lang w:val="en-GB"/>
        </w:rPr>
        <w:t xml:space="preserve"> but there were no straight answers.</w:t>
      </w:r>
    </w:p>
    <w:p w14:paraId="440B95E1" w14:textId="0B81AE16" w:rsidR="00243E71" w:rsidRPr="004A6259" w:rsidRDefault="00243E71" w:rsidP="00882701">
      <w:pPr>
        <w:pStyle w:val="BodyTextMain"/>
        <w:rPr>
          <w:lang w:val="en-GB"/>
        </w:rPr>
      </w:pPr>
    </w:p>
    <w:p w14:paraId="1982D74B" w14:textId="77777777" w:rsidR="00243E71" w:rsidRPr="004A6259" w:rsidRDefault="00243E71">
      <w:pPr>
        <w:spacing w:after="200" w:line="276" w:lineRule="auto"/>
        <w:rPr>
          <w:rFonts w:ascii="Arial" w:hAnsi="Arial" w:cs="Arial"/>
          <w:b/>
          <w:caps/>
          <w:lang w:val="en-GB"/>
        </w:rPr>
      </w:pPr>
      <w:r w:rsidRPr="004A6259">
        <w:rPr>
          <w:rFonts w:ascii="Arial" w:hAnsi="Arial" w:cs="Arial"/>
          <w:b/>
          <w:caps/>
          <w:lang w:val="en-GB"/>
        </w:rPr>
        <w:br w:type="page"/>
      </w:r>
    </w:p>
    <w:p w14:paraId="25ED1198" w14:textId="00B5AF09" w:rsidR="00243E71" w:rsidRPr="004A6259" w:rsidRDefault="00243E71" w:rsidP="00B955A7">
      <w:pPr>
        <w:jc w:val="center"/>
        <w:rPr>
          <w:rFonts w:ascii="Arial" w:hAnsi="Arial" w:cs="Arial"/>
          <w:b/>
          <w:caps/>
          <w:lang w:val="en-GB"/>
        </w:rPr>
      </w:pPr>
      <w:r w:rsidRPr="004A6259">
        <w:rPr>
          <w:rFonts w:ascii="Arial" w:hAnsi="Arial" w:cs="Arial"/>
          <w:b/>
          <w:caps/>
          <w:lang w:val="en-GB"/>
        </w:rPr>
        <w:lastRenderedPageBreak/>
        <w:t>Exhibit 1: Category-wise Retail Sales of SANITARY PRODUCTS in India (₹ Million)</w:t>
      </w:r>
    </w:p>
    <w:p w14:paraId="096C4FD5" w14:textId="77777777" w:rsidR="00243E71" w:rsidRPr="00AE7298" w:rsidRDefault="00243E71" w:rsidP="00B955A7">
      <w:pPr>
        <w:jc w:val="center"/>
        <w:rPr>
          <w:rFonts w:ascii="Arial" w:hAnsi="Arial" w:cs="Arial"/>
          <w:b/>
          <w:caps/>
          <w:sz w:val="14"/>
          <w:lang w:val="en-GB"/>
        </w:rPr>
      </w:pPr>
    </w:p>
    <w:tbl>
      <w:tblPr>
        <w:tblStyle w:val="TableGrid"/>
        <w:tblW w:w="0" w:type="auto"/>
        <w:tblLook w:val="04A0" w:firstRow="1" w:lastRow="0" w:firstColumn="1" w:lastColumn="0" w:noHBand="0" w:noVBand="1"/>
        <w:tblCaption w:val="Exhibit 1: Category-Wise Retail Sales of Sanitary Products in India (₹ Million)"/>
        <w:tblDescription w:val="Sales from 2015-2018, as well as a forecast for 2023."/>
      </w:tblPr>
      <w:tblGrid>
        <w:gridCol w:w="4009"/>
        <w:gridCol w:w="1251"/>
        <w:gridCol w:w="995"/>
        <w:gridCol w:w="939"/>
        <w:gridCol w:w="995"/>
        <w:gridCol w:w="1161"/>
      </w:tblGrid>
      <w:tr w:rsidR="00243E71" w:rsidRPr="004A6259" w14:paraId="021DACC7" w14:textId="77777777" w:rsidTr="00D51D9E">
        <w:trPr>
          <w:tblHeader/>
        </w:trPr>
        <w:tc>
          <w:tcPr>
            <w:tcW w:w="4106" w:type="dxa"/>
          </w:tcPr>
          <w:p w14:paraId="12C8B93B" w14:textId="77777777" w:rsidR="00243E71" w:rsidRPr="004A6259" w:rsidRDefault="00243E71" w:rsidP="00402298">
            <w:pPr>
              <w:jc w:val="center"/>
              <w:rPr>
                <w:rFonts w:ascii="Arial" w:hAnsi="Arial" w:cs="Arial"/>
                <w:i/>
                <w:lang w:val="en-GB"/>
              </w:rPr>
            </w:pPr>
            <w:r w:rsidRPr="004A6259">
              <w:rPr>
                <w:rFonts w:ascii="Arial" w:hAnsi="Arial" w:cs="Arial"/>
                <w:i/>
                <w:lang w:val="en-GB"/>
              </w:rPr>
              <w:t>Category</w:t>
            </w:r>
          </w:p>
        </w:tc>
        <w:tc>
          <w:tcPr>
            <w:tcW w:w="1260" w:type="dxa"/>
          </w:tcPr>
          <w:p w14:paraId="3976CB13" w14:textId="77777777" w:rsidR="00243E71" w:rsidRPr="00D00C0C" w:rsidRDefault="00243E71" w:rsidP="00B955A7">
            <w:pPr>
              <w:jc w:val="center"/>
              <w:rPr>
                <w:rFonts w:ascii="Arial" w:hAnsi="Arial" w:cs="Arial"/>
                <w:b/>
                <w:lang w:val="en-GB"/>
              </w:rPr>
            </w:pPr>
            <w:r w:rsidRPr="00D00C0C">
              <w:rPr>
                <w:rFonts w:ascii="Arial" w:hAnsi="Arial" w:cs="Arial"/>
                <w:b/>
                <w:lang w:val="en-GB"/>
              </w:rPr>
              <w:t>2015</w:t>
            </w:r>
          </w:p>
        </w:tc>
        <w:tc>
          <w:tcPr>
            <w:tcW w:w="939" w:type="dxa"/>
          </w:tcPr>
          <w:p w14:paraId="1D596C0D" w14:textId="77777777" w:rsidR="00243E71" w:rsidRPr="00D557FA" w:rsidRDefault="00243E71" w:rsidP="00B955A7">
            <w:pPr>
              <w:jc w:val="center"/>
              <w:rPr>
                <w:rFonts w:ascii="Arial" w:hAnsi="Arial" w:cs="Arial"/>
                <w:b/>
                <w:lang w:val="en-GB"/>
              </w:rPr>
            </w:pPr>
            <w:r w:rsidRPr="00D557FA">
              <w:rPr>
                <w:rFonts w:ascii="Arial" w:hAnsi="Arial" w:cs="Arial"/>
                <w:b/>
                <w:lang w:val="en-GB"/>
              </w:rPr>
              <w:t>2016</w:t>
            </w:r>
          </w:p>
        </w:tc>
        <w:tc>
          <w:tcPr>
            <w:tcW w:w="939" w:type="dxa"/>
          </w:tcPr>
          <w:p w14:paraId="0A92E187" w14:textId="77777777" w:rsidR="00243E71" w:rsidRPr="00814188" w:rsidRDefault="00243E71" w:rsidP="00B955A7">
            <w:pPr>
              <w:jc w:val="center"/>
              <w:rPr>
                <w:rFonts w:ascii="Arial" w:hAnsi="Arial" w:cs="Arial"/>
                <w:b/>
                <w:lang w:val="en-GB"/>
              </w:rPr>
            </w:pPr>
            <w:r w:rsidRPr="00814188">
              <w:rPr>
                <w:rFonts w:ascii="Arial" w:hAnsi="Arial" w:cs="Arial"/>
                <w:b/>
                <w:lang w:val="en-GB"/>
              </w:rPr>
              <w:t>2017</w:t>
            </w:r>
          </w:p>
        </w:tc>
        <w:tc>
          <w:tcPr>
            <w:tcW w:w="939" w:type="dxa"/>
          </w:tcPr>
          <w:p w14:paraId="3FE2B15D" w14:textId="77777777" w:rsidR="00243E71" w:rsidRPr="0012562A" w:rsidRDefault="00243E71" w:rsidP="00B955A7">
            <w:pPr>
              <w:jc w:val="center"/>
              <w:rPr>
                <w:rFonts w:ascii="Arial" w:hAnsi="Arial" w:cs="Arial"/>
                <w:b/>
                <w:lang w:val="en-GB"/>
              </w:rPr>
            </w:pPr>
            <w:r w:rsidRPr="0012562A">
              <w:rPr>
                <w:rFonts w:ascii="Arial" w:hAnsi="Arial" w:cs="Arial"/>
                <w:b/>
                <w:lang w:val="en-GB"/>
              </w:rPr>
              <w:t>2018</w:t>
            </w:r>
          </w:p>
        </w:tc>
        <w:tc>
          <w:tcPr>
            <w:tcW w:w="1167" w:type="dxa"/>
          </w:tcPr>
          <w:p w14:paraId="76BB14E6" w14:textId="77777777" w:rsidR="00243E71" w:rsidRPr="009974F9" w:rsidRDefault="00243E71" w:rsidP="00B955A7">
            <w:pPr>
              <w:jc w:val="center"/>
              <w:rPr>
                <w:rFonts w:ascii="Arial" w:hAnsi="Arial" w:cs="Arial"/>
                <w:b/>
                <w:lang w:val="en-GB"/>
              </w:rPr>
            </w:pPr>
            <w:r w:rsidRPr="009974F9">
              <w:rPr>
                <w:rFonts w:ascii="Arial" w:hAnsi="Arial" w:cs="Arial"/>
                <w:b/>
                <w:lang w:val="en-GB"/>
              </w:rPr>
              <w:t xml:space="preserve">2023 </w:t>
            </w:r>
          </w:p>
        </w:tc>
      </w:tr>
      <w:tr w:rsidR="00243E71" w:rsidRPr="004A6259" w14:paraId="70096022" w14:textId="77777777" w:rsidTr="00D51D9E">
        <w:trPr>
          <w:tblHeader/>
        </w:trPr>
        <w:tc>
          <w:tcPr>
            <w:tcW w:w="4106" w:type="dxa"/>
          </w:tcPr>
          <w:p w14:paraId="4779ED17" w14:textId="5508A690" w:rsidR="00243E71" w:rsidRPr="004A6259" w:rsidRDefault="00243E71" w:rsidP="00B955A7">
            <w:pPr>
              <w:jc w:val="both"/>
              <w:rPr>
                <w:rFonts w:ascii="Arial" w:hAnsi="Arial" w:cs="Arial"/>
                <w:b/>
                <w:lang w:val="en-GB"/>
              </w:rPr>
            </w:pPr>
            <w:r>
              <w:rPr>
                <w:rFonts w:ascii="Arial" w:hAnsi="Arial" w:cs="Arial"/>
                <w:b/>
                <w:lang w:val="en-GB"/>
              </w:rPr>
              <w:t>Panty Liners</w:t>
            </w:r>
          </w:p>
        </w:tc>
        <w:tc>
          <w:tcPr>
            <w:tcW w:w="1260" w:type="dxa"/>
          </w:tcPr>
          <w:p w14:paraId="2B8957F0" w14:textId="77777777" w:rsidR="00243E71" w:rsidRPr="00D00C0C" w:rsidRDefault="00243E71" w:rsidP="00B955A7">
            <w:pPr>
              <w:jc w:val="right"/>
              <w:rPr>
                <w:rFonts w:ascii="Arial" w:hAnsi="Arial" w:cs="Arial"/>
                <w:lang w:val="en-GB"/>
              </w:rPr>
            </w:pPr>
            <w:r w:rsidRPr="00D00C0C">
              <w:rPr>
                <w:rFonts w:ascii="Arial" w:hAnsi="Arial" w:cs="Arial"/>
                <w:lang w:val="en-GB"/>
              </w:rPr>
              <w:t>127.1</w:t>
            </w:r>
          </w:p>
        </w:tc>
        <w:tc>
          <w:tcPr>
            <w:tcW w:w="939" w:type="dxa"/>
          </w:tcPr>
          <w:p w14:paraId="4EFF4EBB" w14:textId="77777777" w:rsidR="00243E71" w:rsidRPr="00D557FA" w:rsidRDefault="00243E71" w:rsidP="00B955A7">
            <w:pPr>
              <w:jc w:val="right"/>
              <w:rPr>
                <w:rFonts w:ascii="Arial" w:hAnsi="Arial" w:cs="Arial"/>
                <w:lang w:val="en-GB"/>
              </w:rPr>
            </w:pPr>
            <w:r w:rsidRPr="00D557FA">
              <w:rPr>
                <w:rFonts w:ascii="Arial" w:hAnsi="Arial" w:cs="Arial"/>
                <w:lang w:val="en-GB"/>
              </w:rPr>
              <w:t>140.4</w:t>
            </w:r>
          </w:p>
        </w:tc>
        <w:tc>
          <w:tcPr>
            <w:tcW w:w="939" w:type="dxa"/>
          </w:tcPr>
          <w:p w14:paraId="337C2CC8" w14:textId="77777777" w:rsidR="00243E71" w:rsidRPr="00814188" w:rsidRDefault="00243E71" w:rsidP="00B955A7">
            <w:pPr>
              <w:jc w:val="right"/>
              <w:rPr>
                <w:rFonts w:ascii="Arial" w:hAnsi="Arial" w:cs="Arial"/>
                <w:lang w:val="en-GB"/>
              </w:rPr>
            </w:pPr>
            <w:r w:rsidRPr="00814188">
              <w:rPr>
                <w:rFonts w:ascii="Arial" w:hAnsi="Arial" w:cs="Arial"/>
                <w:lang w:val="en-GB"/>
              </w:rPr>
              <w:t>157.6</w:t>
            </w:r>
          </w:p>
        </w:tc>
        <w:tc>
          <w:tcPr>
            <w:tcW w:w="939" w:type="dxa"/>
          </w:tcPr>
          <w:p w14:paraId="3DCECE1F" w14:textId="77777777" w:rsidR="00243E71" w:rsidRPr="0012562A" w:rsidRDefault="00243E71" w:rsidP="00B955A7">
            <w:pPr>
              <w:jc w:val="right"/>
              <w:rPr>
                <w:rFonts w:ascii="Arial" w:hAnsi="Arial" w:cs="Arial"/>
                <w:lang w:val="en-GB"/>
              </w:rPr>
            </w:pPr>
            <w:r w:rsidRPr="0012562A">
              <w:rPr>
                <w:rFonts w:ascii="Arial" w:hAnsi="Arial" w:cs="Arial"/>
                <w:lang w:val="en-GB"/>
              </w:rPr>
              <w:t>177.9</w:t>
            </w:r>
          </w:p>
        </w:tc>
        <w:tc>
          <w:tcPr>
            <w:tcW w:w="1167" w:type="dxa"/>
          </w:tcPr>
          <w:p w14:paraId="41C65075" w14:textId="77777777" w:rsidR="00243E71" w:rsidRPr="009974F9" w:rsidRDefault="00243E71" w:rsidP="00B955A7">
            <w:pPr>
              <w:jc w:val="right"/>
              <w:rPr>
                <w:rFonts w:ascii="Arial" w:hAnsi="Arial" w:cs="Arial"/>
                <w:lang w:val="en-GB"/>
              </w:rPr>
            </w:pPr>
            <w:r w:rsidRPr="009974F9">
              <w:rPr>
                <w:rFonts w:ascii="Arial" w:hAnsi="Arial" w:cs="Arial"/>
                <w:lang w:val="en-GB"/>
              </w:rPr>
              <w:t>274.3</w:t>
            </w:r>
          </w:p>
        </w:tc>
      </w:tr>
      <w:tr w:rsidR="00243E71" w:rsidRPr="004A6259" w14:paraId="4184D538" w14:textId="77777777" w:rsidTr="00D51D9E">
        <w:trPr>
          <w:tblHeader/>
        </w:trPr>
        <w:tc>
          <w:tcPr>
            <w:tcW w:w="4106" w:type="dxa"/>
          </w:tcPr>
          <w:p w14:paraId="32B9EB11" w14:textId="77777777" w:rsidR="00243E71" w:rsidRPr="004A6259" w:rsidRDefault="00243E71" w:rsidP="00B955A7">
            <w:pPr>
              <w:jc w:val="both"/>
              <w:rPr>
                <w:rFonts w:ascii="Arial" w:hAnsi="Arial" w:cs="Arial"/>
                <w:b/>
                <w:lang w:val="en-GB"/>
              </w:rPr>
            </w:pPr>
            <w:r w:rsidRPr="004A6259">
              <w:rPr>
                <w:rFonts w:ascii="Arial" w:hAnsi="Arial" w:cs="Arial"/>
                <w:b/>
                <w:lang w:val="en-GB"/>
              </w:rPr>
              <w:t>Tampons</w:t>
            </w:r>
          </w:p>
        </w:tc>
        <w:tc>
          <w:tcPr>
            <w:tcW w:w="1260" w:type="dxa"/>
          </w:tcPr>
          <w:p w14:paraId="217BC89D" w14:textId="77777777" w:rsidR="00243E71" w:rsidRPr="00D00C0C" w:rsidRDefault="00243E71" w:rsidP="00B955A7">
            <w:pPr>
              <w:jc w:val="right"/>
              <w:rPr>
                <w:rFonts w:ascii="Arial" w:hAnsi="Arial" w:cs="Arial"/>
                <w:lang w:val="en-GB"/>
              </w:rPr>
            </w:pPr>
            <w:r w:rsidRPr="00D00C0C">
              <w:rPr>
                <w:rFonts w:ascii="Arial" w:hAnsi="Arial" w:cs="Arial"/>
                <w:lang w:val="en-GB"/>
              </w:rPr>
              <w:t>60.7</w:t>
            </w:r>
          </w:p>
        </w:tc>
        <w:tc>
          <w:tcPr>
            <w:tcW w:w="939" w:type="dxa"/>
          </w:tcPr>
          <w:p w14:paraId="24CBF5EB" w14:textId="77777777" w:rsidR="00243E71" w:rsidRPr="00D557FA" w:rsidRDefault="00243E71" w:rsidP="00B955A7">
            <w:pPr>
              <w:jc w:val="right"/>
              <w:rPr>
                <w:rFonts w:ascii="Arial" w:hAnsi="Arial" w:cs="Arial"/>
                <w:lang w:val="en-GB"/>
              </w:rPr>
            </w:pPr>
            <w:r w:rsidRPr="00D557FA">
              <w:rPr>
                <w:rFonts w:ascii="Arial" w:hAnsi="Arial" w:cs="Arial"/>
                <w:lang w:val="en-GB"/>
              </w:rPr>
              <w:t>71.7</w:t>
            </w:r>
          </w:p>
        </w:tc>
        <w:tc>
          <w:tcPr>
            <w:tcW w:w="939" w:type="dxa"/>
          </w:tcPr>
          <w:p w14:paraId="3FA60BC4" w14:textId="77777777" w:rsidR="00243E71" w:rsidRPr="00814188" w:rsidRDefault="00243E71" w:rsidP="00B955A7">
            <w:pPr>
              <w:jc w:val="right"/>
              <w:rPr>
                <w:rFonts w:ascii="Arial" w:hAnsi="Arial" w:cs="Arial"/>
                <w:lang w:val="en-GB"/>
              </w:rPr>
            </w:pPr>
            <w:r w:rsidRPr="00814188">
              <w:rPr>
                <w:rFonts w:ascii="Arial" w:hAnsi="Arial" w:cs="Arial"/>
                <w:lang w:val="en-GB"/>
              </w:rPr>
              <w:t>81.8</w:t>
            </w:r>
          </w:p>
        </w:tc>
        <w:tc>
          <w:tcPr>
            <w:tcW w:w="939" w:type="dxa"/>
          </w:tcPr>
          <w:p w14:paraId="601E3E69" w14:textId="77777777" w:rsidR="00243E71" w:rsidRPr="0012562A" w:rsidRDefault="00243E71" w:rsidP="00B955A7">
            <w:pPr>
              <w:jc w:val="right"/>
              <w:rPr>
                <w:rFonts w:ascii="Arial" w:hAnsi="Arial" w:cs="Arial"/>
                <w:lang w:val="en-GB"/>
              </w:rPr>
            </w:pPr>
            <w:r w:rsidRPr="0012562A">
              <w:rPr>
                <w:rFonts w:ascii="Arial" w:hAnsi="Arial" w:cs="Arial"/>
                <w:lang w:val="en-GB"/>
              </w:rPr>
              <w:t>93.4</w:t>
            </w:r>
          </w:p>
        </w:tc>
        <w:tc>
          <w:tcPr>
            <w:tcW w:w="1167" w:type="dxa"/>
          </w:tcPr>
          <w:p w14:paraId="034D24AE" w14:textId="77777777" w:rsidR="00243E71" w:rsidRPr="009974F9" w:rsidRDefault="00243E71" w:rsidP="00B955A7">
            <w:pPr>
              <w:jc w:val="right"/>
              <w:rPr>
                <w:rFonts w:ascii="Arial" w:hAnsi="Arial" w:cs="Arial"/>
                <w:lang w:val="en-GB"/>
              </w:rPr>
            </w:pPr>
            <w:r w:rsidRPr="009974F9">
              <w:rPr>
                <w:rFonts w:ascii="Arial" w:hAnsi="Arial" w:cs="Arial"/>
                <w:lang w:val="en-GB"/>
              </w:rPr>
              <w:t>138.2</w:t>
            </w:r>
          </w:p>
        </w:tc>
      </w:tr>
      <w:tr w:rsidR="00243E71" w:rsidRPr="004A6259" w14:paraId="782584AB" w14:textId="77777777" w:rsidTr="00D51D9E">
        <w:trPr>
          <w:tblHeader/>
        </w:trPr>
        <w:tc>
          <w:tcPr>
            <w:tcW w:w="4106" w:type="dxa"/>
            <w:vMerge w:val="restart"/>
          </w:tcPr>
          <w:p w14:paraId="1FF48D0E" w14:textId="47EAC84A" w:rsidR="00243E71" w:rsidRPr="004A6259" w:rsidRDefault="00243E71" w:rsidP="00B955A7">
            <w:pPr>
              <w:jc w:val="both"/>
              <w:rPr>
                <w:rFonts w:ascii="Arial" w:hAnsi="Arial" w:cs="Arial"/>
                <w:b/>
                <w:lang w:val="en-GB"/>
              </w:rPr>
            </w:pPr>
            <w:r w:rsidRPr="004A6259">
              <w:rPr>
                <w:rFonts w:ascii="Arial" w:hAnsi="Arial" w:cs="Arial"/>
                <w:b/>
                <w:lang w:val="en-GB"/>
              </w:rPr>
              <w:t xml:space="preserve">Standard </w:t>
            </w:r>
            <w:r>
              <w:rPr>
                <w:rFonts w:ascii="Arial" w:hAnsi="Arial" w:cs="Arial"/>
                <w:b/>
                <w:lang w:val="en-GB"/>
              </w:rPr>
              <w:t>Sanitary Pads</w:t>
            </w:r>
          </w:p>
          <w:p w14:paraId="03D4160D" w14:textId="1512AC5B" w:rsidR="00243E71" w:rsidRPr="004A6259" w:rsidRDefault="00243E71" w:rsidP="00B955A7">
            <w:pPr>
              <w:jc w:val="both"/>
              <w:rPr>
                <w:rFonts w:ascii="Arial" w:hAnsi="Arial" w:cs="Arial"/>
                <w:lang w:val="en-GB"/>
              </w:rPr>
            </w:pPr>
            <w:r>
              <w:rPr>
                <w:rFonts w:ascii="Arial" w:hAnsi="Arial" w:cs="Arial"/>
                <w:lang w:val="en-GB"/>
              </w:rPr>
              <w:t>Standard Sanitary Pads with Wings</w:t>
            </w:r>
          </w:p>
          <w:p w14:paraId="7A5E9A88" w14:textId="086AE100" w:rsidR="00243E71" w:rsidRPr="009974F9" w:rsidRDefault="00243E71" w:rsidP="00B955A7">
            <w:pPr>
              <w:jc w:val="both"/>
              <w:rPr>
                <w:rFonts w:ascii="Arial" w:hAnsi="Arial" w:cs="Arial"/>
                <w:lang w:val="en-GB"/>
              </w:rPr>
            </w:pPr>
            <w:r>
              <w:rPr>
                <w:rFonts w:ascii="Arial" w:hAnsi="Arial" w:cs="Arial"/>
                <w:lang w:val="en-GB"/>
              </w:rPr>
              <w:t>Standard Sanitary Pads without Wings</w:t>
            </w:r>
          </w:p>
        </w:tc>
        <w:tc>
          <w:tcPr>
            <w:tcW w:w="1260" w:type="dxa"/>
          </w:tcPr>
          <w:p w14:paraId="1A5B3AE3" w14:textId="77777777" w:rsidR="00243E71" w:rsidRPr="00D00C0C" w:rsidRDefault="00243E71" w:rsidP="00B955A7">
            <w:pPr>
              <w:jc w:val="right"/>
              <w:rPr>
                <w:rFonts w:ascii="Arial" w:hAnsi="Arial" w:cs="Arial"/>
                <w:lang w:val="en-GB"/>
              </w:rPr>
            </w:pPr>
          </w:p>
        </w:tc>
        <w:tc>
          <w:tcPr>
            <w:tcW w:w="939" w:type="dxa"/>
          </w:tcPr>
          <w:p w14:paraId="38EEC419" w14:textId="77777777" w:rsidR="00243E71" w:rsidRPr="00D557FA" w:rsidRDefault="00243E71" w:rsidP="00B955A7">
            <w:pPr>
              <w:jc w:val="right"/>
              <w:rPr>
                <w:rFonts w:ascii="Arial" w:hAnsi="Arial" w:cs="Arial"/>
                <w:lang w:val="en-GB"/>
              </w:rPr>
            </w:pPr>
          </w:p>
        </w:tc>
        <w:tc>
          <w:tcPr>
            <w:tcW w:w="939" w:type="dxa"/>
          </w:tcPr>
          <w:p w14:paraId="3AE5BE50" w14:textId="77777777" w:rsidR="00243E71" w:rsidRPr="00814188" w:rsidRDefault="00243E71" w:rsidP="00B955A7">
            <w:pPr>
              <w:jc w:val="right"/>
              <w:rPr>
                <w:rFonts w:ascii="Arial" w:hAnsi="Arial" w:cs="Arial"/>
                <w:lang w:val="en-GB"/>
              </w:rPr>
            </w:pPr>
          </w:p>
        </w:tc>
        <w:tc>
          <w:tcPr>
            <w:tcW w:w="939" w:type="dxa"/>
          </w:tcPr>
          <w:p w14:paraId="1AC2C4A1" w14:textId="77777777" w:rsidR="00243E71" w:rsidRPr="0012562A" w:rsidRDefault="00243E71" w:rsidP="00B955A7">
            <w:pPr>
              <w:jc w:val="right"/>
              <w:rPr>
                <w:rFonts w:ascii="Arial" w:hAnsi="Arial" w:cs="Arial"/>
                <w:lang w:val="en-GB"/>
              </w:rPr>
            </w:pPr>
          </w:p>
        </w:tc>
        <w:tc>
          <w:tcPr>
            <w:tcW w:w="1167" w:type="dxa"/>
          </w:tcPr>
          <w:p w14:paraId="3CFE057E" w14:textId="77777777" w:rsidR="00243E71" w:rsidRPr="009974F9" w:rsidRDefault="00243E71" w:rsidP="00B955A7">
            <w:pPr>
              <w:jc w:val="right"/>
              <w:rPr>
                <w:rFonts w:ascii="Arial" w:hAnsi="Arial" w:cs="Arial"/>
                <w:lang w:val="en-GB"/>
              </w:rPr>
            </w:pPr>
          </w:p>
        </w:tc>
      </w:tr>
      <w:tr w:rsidR="00243E71" w:rsidRPr="004A6259" w14:paraId="2A6B8F70" w14:textId="77777777" w:rsidTr="00D51D9E">
        <w:trPr>
          <w:tblHeader/>
        </w:trPr>
        <w:tc>
          <w:tcPr>
            <w:tcW w:w="4106" w:type="dxa"/>
            <w:vMerge/>
          </w:tcPr>
          <w:p w14:paraId="525F826A" w14:textId="77777777" w:rsidR="00243E71" w:rsidRPr="004A6259" w:rsidRDefault="00243E71" w:rsidP="00B955A7">
            <w:pPr>
              <w:jc w:val="both"/>
              <w:rPr>
                <w:rFonts w:ascii="Arial" w:hAnsi="Arial" w:cs="Arial"/>
                <w:lang w:val="en-GB"/>
              </w:rPr>
            </w:pPr>
          </w:p>
        </w:tc>
        <w:tc>
          <w:tcPr>
            <w:tcW w:w="1260" w:type="dxa"/>
          </w:tcPr>
          <w:p w14:paraId="351B04BC" w14:textId="5DE49594" w:rsidR="00243E71" w:rsidRPr="00D557FA" w:rsidRDefault="00243E71" w:rsidP="00B955A7">
            <w:pPr>
              <w:jc w:val="right"/>
              <w:rPr>
                <w:rFonts w:ascii="Arial" w:hAnsi="Arial" w:cs="Arial"/>
                <w:lang w:val="en-GB"/>
              </w:rPr>
            </w:pPr>
            <w:r w:rsidRPr="00D00C0C">
              <w:rPr>
                <w:rFonts w:ascii="Arial" w:hAnsi="Arial" w:cs="Arial"/>
                <w:lang w:val="en-GB"/>
              </w:rPr>
              <w:t>2,400.9</w:t>
            </w:r>
          </w:p>
        </w:tc>
        <w:tc>
          <w:tcPr>
            <w:tcW w:w="939" w:type="dxa"/>
          </w:tcPr>
          <w:p w14:paraId="68916D2C" w14:textId="17FA7BA1" w:rsidR="00243E71" w:rsidRPr="00814188" w:rsidRDefault="00243E71" w:rsidP="00B955A7">
            <w:pPr>
              <w:jc w:val="right"/>
              <w:rPr>
                <w:rFonts w:ascii="Arial" w:hAnsi="Arial" w:cs="Arial"/>
                <w:lang w:val="en-GB"/>
              </w:rPr>
            </w:pPr>
            <w:r w:rsidRPr="00814188">
              <w:rPr>
                <w:rFonts w:ascii="Arial" w:hAnsi="Arial" w:cs="Arial"/>
                <w:lang w:val="en-GB"/>
              </w:rPr>
              <w:t>2,968.7</w:t>
            </w:r>
          </w:p>
        </w:tc>
        <w:tc>
          <w:tcPr>
            <w:tcW w:w="939" w:type="dxa"/>
          </w:tcPr>
          <w:p w14:paraId="2E1618C3" w14:textId="77777777" w:rsidR="00243E71" w:rsidRPr="0012562A" w:rsidRDefault="00243E71" w:rsidP="00B955A7">
            <w:pPr>
              <w:jc w:val="right"/>
              <w:rPr>
                <w:rFonts w:ascii="Arial" w:hAnsi="Arial" w:cs="Arial"/>
                <w:lang w:val="en-GB"/>
              </w:rPr>
            </w:pPr>
            <w:r w:rsidRPr="0012562A">
              <w:rPr>
                <w:rFonts w:ascii="Arial" w:hAnsi="Arial" w:cs="Arial"/>
                <w:lang w:val="en-GB"/>
              </w:rPr>
              <w:t>3767.6</w:t>
            </w:r>
          </w:p>
        </w:tc>
        <w:tc>
          <w:tcPr>
            <w:tcW w:w="939" w:type="dxa"/>
          </w:tcPr>
          <w:p w14:paraId="20C0BA46" w14:textId="2A5DF293" w:rsidR="00243E71" w:rsidRPr="0012562A" w:rsidRDefault="00243E71" w:rsidP="00B955A7">
            <w:pPr>
              <w:jc w:val="right"/>
              <w:rPr>
                <w:rFonts w:ascii="Arial" w:hAnsi="Arial" w:cs="Arial"/>
                <w:lang w:val="en-GB"/>
              </w:rPr>
            </w:pPr>
            <w:r w:rsidRPr="0012562A">
              <w:rPr>
                <w:rFonts w:ascii="Arial" w:hAnsi="Arial" w:cs="Arial"/>
                <w:lang w:val="en-GB"/>
              </w:rPr>
              <w:t>4,768.2</w:t>
            </w:r>
          </w:p>
        </w:tc>
        <w:tc>
          <w:tcPr>
            <w:tcW w:w="1167" w:type="dxa"/>
          </w:tcPr>
          <w:p w14:paraId="1CB6C335" w14:textId="4547CBBD" w:rsidR="00243E71" w:rsidRPr="009974F9" w:rsidRDefault="00243E71" w:rsidP="00B955A7">
            <w:pPr>
              <w:jc w:val="right"/>
              <w:rPr>
                <w:rFonts w:ascii="Arial" w:hAnsi="Arial" w:cs="Arial"/>
                <w:lang w:val="en-GB"/>
              </w:rPr>
            </w:pPr>
            <w:r w:rsidRPr="009974F9">
              <w:rPr>
                <w:rFonts w:ascii="Arial" w:hAnsi="Arial" w:cs="Arial"/>
                <w:lang w:val="en-GB"/>
              </w:rPr>
              <w:t>12,968.7</w:t>
            </w:r>
          </w:p>
        </w:tc>
      </w:tr>
      <w:tr w:rsidR="00243E71" w:rsidRPr="004A6259" w14:paraId="6D8AAF85" w14:textId="77777777" w:rsidTr="00D51D9E">
        <w:trPr>
          <w:tblHeader/>
        </w:trPr>
        <w:tc>
          <w:tcPr>
            <w:tcW w:w="4106" w:type="dxa"/>
            <w:vMerge/>
          </w:tcPr>
          <w:p w14:paraId="7B6A8497" w14:textId="77777777" w:rsidR="00243E71" w:rsidRPr="004A6259" w:rsidRDefault="00243E71" w:rsidP="00B955A7">
            <w:pPr>
              <w:jc w:val="both"/>
              <w:rPr>
                <w:rFonts w:ascii="Arial" w:hAnsi="Arial" w:cs="Arial"/>
                <w:lang w:val="en-GB"/>
              </w:rPr>
            </w:pPr>
          </w:p>
        </w:tc>
        <w:tc>
          <w:tcPr>
            <w:tcW w:w="1260" w:type="dxa"/>
          </w:tcPr>
          <w:p w14:paraId="406D8AF1" w14:textId="254B3E30" w:rsidR="00243E71" w:rsidRPr="00D557FA" w:rsidRDefault="00243E71" w:rsidP="00B955A7">
            <w:pPr>
              <w:jc w:val="right"/>
              <w:rPr>
                <w:rFonts w:ascii="Arial" w:hAnsi="Arial" w:cs="Arial"/>
                <w:lang w:val="en-GB"/>
              </w:rPr>
            </w:pPr>
            <w:r w:rsidRPr="00D00C0C">
              <w:rPr>
                <w:rFonts w:ascii="Arial" w:hAnsi="Arial" w:cs="Arial"/>
                <w:lang w:val="en-GB"/>
              </w:rPr>
              <w:t>15,405.2</w:t>
            </w:r>
          </w:p>
        </w:tc>
        <w:tc>
          <w:tcPr>
            <w:tcW w:w="939" w:type="dxa"/>
          </w:tcPr>
          <w:p w14:paraId="45782394" w14:textId="7F658309" w:rsidR="00243E71" w:rsidRPr="00814188" w:rsidRDefault="00243E71" w:rsidP="00B955A7">
            <w:pPr>
              <w:jc w:val="right"/>
              <w:rPr>
                <w:rFonts w:ascii="Arial" w:hAnsi="Arial" w:cs="Arial"/>
                <w:lang w:val="en-GB"/>
              </w:rPr>
            </w:pPr>
            <w:r w:rsidRPr="00814188">
              <w:rPr>
                <w:rFonts w:ascii="Arial" w:hAnsi="Arial" w:cs="Arial"/>
                <w:lang w:val="en-GB"/>
              </w:rPr>
              <w:t>17,527.7</w:t>
            </w:r>
          </w:p>
        </w:tc>
        <w:tc>
          <w:tcPr>
            <w:tcW w:w="939" w:type="dxa"/>
          </w:tcPr>
          <w:p w14:paraId="2CF9D16A" w14:textId="77777777" w:rsidR="00243E71" w:rsidRPr="0012562A" w:rsidRDefault="00243E71" w:rsidP="00B955A7">
            <w:pPr>
              <w:jc w:val="right"/>
              <w:rPr>
                <w:rFonts w:ascii="Arial" w:hAnsi="Arial" w:cs="Arial"/>
                <w:lang w:val="en-GB"/>
              </w:rPr>
            </w:pPr>
            <w:r w:rsidRPr="0012562A">
              <w:rPr>
                <w:rFonts w:ascii="Arial" w:hAnsi="Arial" w:cs="Arial"/>
                <w:lang w:val="en-GB"/>
              </w:rPr>
              <w:t>20207.1</w:t>
            </w:r>
          </w:p>
        </w:tc>
        <w:tc>
          <w:tcPr>
            <w:tcW w:w="939" w:type="dxa"/>
          </w:tcPr>
          <w:p w14:paraId="06E39186" w14:textId="712FBC7A" w:rsidR="00243E71" w:rsidRPr="0012562A" w:rsidRDefault="00243E71" w:rsidP="00B955A7">
            <w:pPr>
              <w:jc w:val="right"/>
              <w:rPr>
                <w:rFonts w:ascii="Arial" w:hAnsi="Arial" w:cs="Arial"/>
                <w:lang w:val="en-GB"/>
              </w:rPr>
            </w:pPr>
            <w:r w:rsidRPr="0012562A">
              <w:rPr>
                <w:rFonts w:ascii="Arial" w:hAnsi="Arial" w:cs="Arial"/>
                <w:lang w:val="en-GB"/>
              </w:rPr>
              <w:t>23,393.1</w:t>
            </w:r>
          </w:p>
        </w:tc>
        <w:tc>
          <w:tcPr>
            <w:tcW w:w="1167" w:type="dxa"/>
          </w:tcPr>
          <w:p w14:paraId="63527621" w14:textId="6E5FDC83" w:rsidR="00243E71" w:rsidRPr="00AE7298" w:rsidRDefault="00243E71" w:rsidP="00B955A7">
            <w:pPr>
              <w:jc w:val="right"/>
              <w:rPr>
                <w:rFonts w:ascii="Arial" w:hAnsi="Arial" w:cs="Arial"/>
                <w:lang w:val="en-GB"/>
              </w:rPr>
            </w:pPr>
            <w:r w:rsidRPr="00AE7298">
              <w:rPr>
                <w:rFonts w:ascii="Arial" w:hAnsi="Arial" w:cs="Arial"/>
                <w:lang w:val="en-GB"/>
              </w:rPr>
              <w:t>38,745.8</w:t>
            </w:r>
          </w:p>
        </w:tc>
      </w:tr>
      <w:tr w:rsidR="00243E71" w:rsidRPr="004A6259" w14:paraId="1539EF54" w14:textId="77777777" w:rsidTr="00D51D9E">
        <w:trPr>
          <w:tblHeader/>
        </w:trPr>
        <w:tc>
          <w:tcPr>
            <w:tcW w:w="4106" w:type="dxa"/>
            <w:vMerge w:val="restart"/>
          </w:tcPr>
          <w:p w14:paraId="7C7C71DB" w14:textId="02B52145" w:rsidR="00243E71" w:rsidRPr="004A6259" w:rsidRDefault="00243E71" w:rsidP="00B955A7">
            <w:pPr>
              <w:jc w:val="both"/>
              <w:rPr>
                <w:rFonts w:ascii="Arial" w:hAnsi="Arial" w:cs="Arial"/>
                <w:b/>
                <w:lang w:val="en-GB"/>
              </w:rPr>
            </w:pPr>
            <w:r w:rsidRPr="004A6259">
              <w:rPr>
                <w:rFonts w:ascii="Arial" w:hAnsi="Arial" w:cs="Arial"/>
                <w:b/>
                <w:lang w:val="en-GB"/>
              </w:rPr>
              <w:t>Slim</w:t>
            </w:r>
            <w:r>
              <w:rPr>
                <w:rFonts w:ascii="Arial" w:hAnsi="Arial" w:cs="Arial"/>
                <w:b/>
                <w:lang w:val="en-GB"/>
              </w:rPr>
              <w:t>,</w:t>
            </w:r>
            <w:r w:rsidRPr="004A6259">
              <w:rPr>
                <w:rFonts w:ascii="Arial" w:hAnsi="Arial" w:cs="Arial"/>
                <w:b/>
                <w:lang w:val="en-GB"/>
              </w:rPr>
              <w:t xml:space="preserve"> </w:t>
            </w:r>
            <w:r>
              <w:rPr>
                <w:rFonts w:ascii="Arial" w:hAnsi="Arial" w:cs="Arial"/>
                <w:b/>
                <w:lang w:val="en-GB"/>
              </w:rPr>
              <w:t>Thin, and Ultra-Thin</w:t>
            </w:r>
            <w:r w:rsidRPr="004A6259">
              <w:rPr>
                <w:rFonts w:ascii="Arial" w:hAnsi="Arial" w:cs="Arial"/>
                <w:b/>
                <w:lang w:val="en-GB"/>
              </w:rPr>
              <w:t xml:space="preserve"> </w:t>
            </w:r>
            <w:r>
              <w:rPr>
                <w:rFonts w:ascii="Arial" w:hAnsi="Arial" w:cs="Arial"/>
                <w:b/>
                <w:lang w:val="en-GB"/>
              </w:rPr>
              <w:t>Pads</w:t>
            </w:r>
          </w:p>
          <w:p w14:paraId="4D28D82B" w14:textId="530FC9C0" w:rsidR="00243E71" w:rsidRPr="004A6259" w:rsidRDefault="00243E71" w:rsidP="00B955A7">
            <w:pPr>
              <w:jc w:val="both"/>
              <w:rPr>
                <w:rFonts w:ascii="Arial" w:hAnsi="Arial" w:cs="Arial"/>
                <w:lang w:val="en-GB"/>
              </w:rPr>
            </w:pPr>
            <w:r w:rsidRPr="00C3593D">
              <w:rPr>
                <w:rFonts w:ascii="Arial" w:hAnsi="Arial" w:cs="Arial"/>
                <w:lang w:val="en-GB"/>
              </w:rPr>
              <w:t>Slim, Thin, and Ultra-Thin Pads</w:t>
            </w:r>
            <w:r>
              <w:rPr>
                <w:rFonts w:ascii="Arial" w:hAnsi="Arial" w:cs="Arial"/>
                <w:lang w:val="en-GB"/>
              </w:rPr>
              <w:t xml:space="preserve"> </w:t>
            </w:r>
            <w:r w:rsidRPr="004A6259">
              <w:rPr>
                <w:rFonts w:ascii="Arial" w:hAnsi="Arial" w:cs="Arial"/>
                <w:lang w:val="en-GB"/>
              </w:rPr>
              <w:t xml:space="preserve">with </w:t>
            </w:r>
            <w:r>
              <w:rPr>
                <w:rFonts w:ascii="Arial" w:hAnsi="Arial" w:cs="Arial"/>
                <w:lang w:val="en-GB"/>
              </w:rPr>
              <w:t>Wings</w:t>
            </w:r>
          </w:p>
          <w:p w14:paraId="32F9BBF8" w14:textId="1FBBB680" w:rsidR="00243E71" w:rsidRPr="004A6259" w:rsidRDefault="00243E71" w:rsidP="00B955A7">
            <w:pPr>
              <w:jc w:val="both"/>
              <w:rPr>
                <w:rFonts w:ascii="Arial" w:hAnsi="Arial" w:cs="Arial"/>
                <w:b/>
                <w:lang w:val="en-GB"/>
              </w:rPr>
            </w:pPr>
            <w:r w:rsidRPr="00C3593D">
              <w:rPr>
                <w:rFonts w:ascii="Arial" w:hAnsi="Arial" w:cs="Arial"/>
                <w:lang w:val="en-GB"/>
              </w:rPr>
              <w:t>Slim, Thin, and Ultra-Thin Pads</w:t>
            </w:r>
            <w:r>
              <w:rPr>
                <w:rFonts w:ascii="Arial" w:hAnsi="Arial" w:cs="Arial"/>
                <w:lang w:val="en-GB"/>
              </w:rPr>
              <w:t xml:space="preserve"> </w:t>
            </w:r>
            <w:r w:rsidRPr="004A6259">
              <w:rPr>
                <w:rFonts w:ascii="Arial" w:hAnsi="Arial" w:cs="Arial"/>
                <w:lang w:val="en-GB"/>
              </w:rPr>
              <w:t xml:space="preserve">with </w:t>
            </w:r>
            <w:r>
              <w:rPr>
                <w:rFonts w:ascii="Arial" w:hAnsi="Arial" w:cs="Arial"/>
                <w:lang w:val="en-GB"/>
              </w:rPr>
              <w:t>Wings</w:t>
            </w:r>
          </w:p>
        </w:tc>
        <w:tc>
          <w:tcPr>
            <w:tcW w:w="1260" w:type="dxa"/>
          </w:tcPr>
          <w:p w14:paraId="31ACE479" w14:textId="77777777" w:rsidR="00243E71" w:rsidRPr="00D00C0C" w:rsidRDefault="00243E71" w:rsidP="00B955A7">
            <w:pPr>
              <w:jc w:val="both"/>
              <w:rPr>
                <w:rFonts w:ascii="Arial" w:hAnsi="Arial" w:cs="Arial"/>
                <w:lang w:val="en-GB"/>
              </w:rPr>
            </w:pPr>
          </w:p>
        </w:tc>
        <w:tc>
          <w:tcPr>
            <w:tcW w:w="939" w:type="dxa"/>
          </w:tcPr>
          <w:p w14:paraId="50C5C575" w14:textId="77777777" w:rsidR="00243E71" w:rsidRPr="00D557FA" w:rsidRDefault="00243E71" w:rsidP="00B955A7">
            <w:pPr>
              <w:jc w:val="both"/>
              <w:rPr>
                <w:rFonts w:ascii="Arial" w:hAnsi="Arial" w:cs="Arial"/>
                <w:lang w:val="en-GB"/>
              </w:rPr>
            </w:pPr>
          </w:p>
        </w:tc>
        <w:tc>
          <w:tcPr>
            <w:tcW w:w="939" w:type="dxa"/>
          </w:tcPr>
          <w:p w14:paraId="4E34E8A1" w14:textId="77777777" w:rsidR="00243E71" w:rsidRPr="00814188" w:rsidRDefault="00243E71" w:rsidP="00B955A7">
            <w:pPr>
              <w:jc w:val="both"/>
              <w:rPr>
                <w:rFonts w:ascii="Arial" w:hAnsi="Arial" w:cs="Arial"/>
                <w:lang w:val="en-GB"/>
              </w:rPr>
            </w:pPr>
          </w:p>
        </w:tc>
        <w:tc>
          <w:tcPr>
            <w:tcW w:w="939" w:type="dxa"/>
          </w:tcPr>
          <w:p w14:paraId="5ECD3B22" w14:textId="77777777" w:rsidR="00243E71" w:rsidRPr="0012562A" w:rsidRDefault="00243E71" w:rsidP="00B955A7">
            <w:pPr>
              <w:jc w:val="both"/>
              <w:rPr>
                <w:rFonts w:ascii="Arial" w:hAnsi="Arial" w:cs="Arial"/>
                <w:lang w:val="en-GB"/>
              </w:rPr>
            </w:pPr>
          </w:p>
        </w:tc>
        <w:tc>
          <w:tcPr>
            <w:tcW w:w="1167" w:type="dxa"/>
          </w:tcPr>
          <w:p w14:paraId="02626E9B" w14:textId="77777777" w:rsidR="00243E71" w:rsidRPr="00AE7298" w:rsidRDefault="00243E71" w:rsidP="00B955A7">
            <w:pPr>
              <w:jc w:val="both"/>
              <w:rPr>
                <w:rFonts w:ascii="Arial" w:hAnsi="Arial" w:cs="Arial"/>
                <w:lang w:val="en-GB"/>
              </w:rPr>
            </w:pPr>
          </w:p>
        </w:tc>
      </w:tr>
      <w:tr w:rsidR="00243E71" w:rsidRPr="004A6259" w14:paraId="07D77689" w14:textId="77777777" w:rsidTr="00D51D9E">
        <w:trPr>
          <w:tblHeader/>
        </w:trPr>
        <w:tc>
          <w:tcPr>
            <w:tcW w:w="4106" w:type="dxa"/>
            <w:vMerge/>
          </w:tcPr>
          <w:p w14:paraId="6A9F13C6" w14:textId="77777777" w:rsidR="00243E71" w:rsidRPr="004A6259" w:rsidRDefault="00243E71" w:rsidP="00B955A7">
            <w:pPr>
              <w:jc w:val="both"/>
              <w:rPr>
                <w:rFonts w:ascii="Arial" w:hAnsi="Arial" w:cs="Arial"/>
                <w:lang w:val="en-GB"/>
              </w:rPr>
            </w:pPr>
          </w:p>
        </w:tc>
        <w:tc>
          <w:tcPr>
            <w:tcW w:w="1260" w:type="dxa"/>
          </w:tcPr>
          <w:p w14:paraId="73C694DA" w14:textId="75071BDD" w:rsidR="00243E71" w:rsidRPr="00D557FA" w:rsidRDefault="00243E71" w:rsidP="00B955A7">
            <w:pPr>
              <w:jc w:val="right"/>
              <w:rPr>
                <w:rFonts w:ascii="Arial" w:hAnsi="Arial" w:cs="Arial"/>
                <w:lang w:val="en-GB"/>
              </w:rPr>
            </w:pPr>
            <w:r w:rsidRPr="00D00C0C">
              <w:rPr>
                <w:rFonts w:ascii="Arial" w:hAnsi="Arial" w:cs="Arial"/>
                <w:lang w:val="en-GB"/>
              </w:rPr>
              <w:t>10,939.8</w:t>
            </w:r>
          </w:p>
        </w:tc>
        <w:tc>
          <w:tcPr>
            <w:tcW w:w="939" w:type="dxa"/>
          </w:tcPr>
          <w:p w14:paraId="24496E0D" w14:textId="7460EF45" w:rsidR="00243E71" w:rsidRPr="00814188" w:rsidRDefault="00243E71" w:rsidP="00B955A7">
            <w:pPr>
              <w:jc w:val="right"/>
              <w:rPr>
                <w:rFonts w:ascii="Arial" w:hAnsi="Arial" w:cs="Arial"/>
                <w:lang w:val="en-GB"/>
              </w:rPr>
            </w:pPr>
            <w:r w:rsidRPr="00814188">
              <w:rPr>
                <w:rFonts w:ascii="Arial" w:hAnsi="Arial" w:cs="Arial"/>
                <w:lang w:val="en-GB"/>
              </w:rPr>
              <w:t>13,521.4</w:t>
            </w:r>
          </w:p>
        </w:tc>
        <w:tc>
          <w:tcPr>
            <w:tcW w:w="939" w:type="dxa"/>
          </w:tcPr>
          <w:p w14:paraId="300FB021" w14:textId="77777777" w:rsidR="00243E71" w:rsidRPr="0012562A" w:rsidRDefault="00243E71" w:rsidP="00B955A7">
            <w:pPr>
              <w:jc w:val="right"/>
              <w:rPr>
                <w:rFonts w:ascii="Arial" w:hAnsi="Arial" w:cs="Arial"/>
                <w:lang w:val="en-GB"/>
              </w:rPr>
            </w:pPr>
            <w:r w:rsidRPr="0012562A">
              <w:rPr>
                <w:rFonts w:ascii="Arial" w:hAnsi="Arial" w:cs="Arial"/>
                <w:lang w:val="en-GB"/>
              </w:rPr>
              <w:t>16533.2</w:t>
            </w:r>
          </w:p>
        </w:tc>
        <w:tc>
          <w:tcPr>
            <w:tcW w:w="939" w:type="dxa"/>
          </w:tcPr>
          <w:p w14:paraId="64E4BFCC" w14:textId="4F5E94AC" w:rsidR="00243E71" w:rsidRPr="0012562A" w:rsidRDefault="00243E71" w:rsidP="00B955A7">
            <w:pPr>
              <w:jc w:val="right"/>
              <w:rPr>
                <w:rFonts w:ascii="Arial" w:hAnsi="Arial" w:cs="Arial"/>
                <w:lang w:val="en-GB"/>
              </w:rPr>
            </w:pPr>
            <w:r w:rsidRPr="0012562A">
              <w:rPr>
                <w:rFonts w:ascii="Arial" w:hAnsi="Arial" w:cs="Arial"/>
                <w:lang w:val="en-GB"/>
              </w:rPr>
              <w:t>20,301.6</w:t>
            </w:r>
          </w:p>
        </w:tc>
        <w:tc>
          <w:tcPr>
            <w:tcW w:w="1167" w:type="dxa"/>
          </w:tcPr>
          <w:p w14:paraId="369EDED6" w14:textId="6E9B7909" w:rsidR="00243E71" w:rsidRPr="00AE7298" w:rsidRDefault="00243E71" w:rsidP="00B955A7">
            <w:pPr>
              <w:jc w:val="right"/>
              <w:rPr>
                <w:rFonts w:ascii="Arial" w:hAnsi="Arial" w:cs="Arial"/>
                <w:lang w:val="en-GB"/>
              </w:rPr>
            </w:pPr>
            <w:r w:rsidRPr="00AE7298">
              <w:rPr>
                <w:rFonts w:ascii="Arial" w:hAnsi="Arial" w:cs="Arial"/>
                <w:lang w:val="en-GB"/>
              </w:rPr>
              <w:t>45,681.7</w:t>
            </w:r>
          </w:p>
        </w:tc>
      </w:tr>
      <w:tr w:rsidR="00243E71" w:rsidRPr="004A6259" w14:paraId="52F14063" w14:textId="77777777" w:rsidTr="00D51D9E">
        <w:trPr>
          <w:tblHeader/>
        </w:trPr>
        <w:tc>
          <w:tcPr>
            <w:tcW w:w="4106" w:type="dxa"/>
            <w:vMerge/>
          </w:tcPr>
          <w:p w14:paraId="6FEB217C" w14:textId="77777777" w:rsidR="00243E71" w:rsidRPr="004A6259" w:rsidRDefault="00243E71" w:rsidP="00B955A7">
            <w:pPr>
              <w:jc w:val="both"/>
              <w:rPr>
                <w:rFonts w:ascii="Arial" w:hAnsi="Arial" w:cs="Arial"/>
                <w:lang w:val="en-GB"/>
              </w:rPr>
            </w:pPr>
          </w:p>
        </w:tc>
        <w:tc>
          <w:tcPr>
            <w:tcW w:w="1260" w:type="dxa"/>
          </w:tcPr>
          <w:p w14:paraId="2A708956" w14:textId="7886D354" w:rsidR="00243E71" w:rsidRPr="00D00C0C" w:rsidRDefault="00243E71" w:rsidP="00B955A7">
            <w:pPr>
              <w:jc w:val="right"/>
              <w:rPr>
                <w:rFonts w:ascii="Arial" w:hAnsi="Arial" w:cs="Arial"/>
                <w:lang w:val="en-GB"/>
              </w:rPr>
            </w:pPr>
          </w:p>
        </w:tc>
        <w:tc>
          <w:tcPr>
            <w:tcW w:w="939" w:type="dxa"/>
          </w:tcPr>
          <w:p w14:paraId="3A516250" w14:textId="67663D6B" w:rsidR="00243E71" w:rsidRPr="00D557FA" w:rsidRDefault="00243E71" w:rsidP="00B955A7">
            <w:pPr>
              <w:jc w:val="right"/>
              <w:rPr>
                <w:rFonts w:ascii="Arial" w:hAnsi="Arial" w:cs="Arial"/>
                <w:lang w:val="en-GB"/>
              </w:rPr>
            </w:pPr>
          </w:p>
        </w:tc>
        <w:tc>
          <w:tcPr>
            <w:tcW w:w="939" w:type="dxa"/>
          </w:tcPr>
          <w:p w14:paraId="5F356822" w14:textId="584F0E1B" w:rsidR="00243E71" w:rsidRPr="00814188" w:rsidRDefault="00243E71" w:rsidP="00B955A7">
            <w:pPr>
              <w:jc w:val="right"/>
              <w:rPr>
                <w:rFonts w:ascii="Arial" w:hAnsi="Arial" w:cs="Arial"/>
                <w:lang w:val="en-GB"/>
              </w:rPr>
            </w:pPr>
          </w:p>
        </w:tc>
        <w:tc>
          <w:tcPr>
            <w:tcW w:w="939" w:type="dxa"/>
          </w:tcPr>
          <w:p w14:paraId="1EE8CEB9" w14:textId="6BDD12A6" w:rsidR="00243E71" w:rsidRPr="0012562A" w:rsidRDefault="00243E71" w:rsidP="00B955A7">
            <w:pPr>
              <w:jc w:val="right"/>
              <w:rPr>
                <w:rFonts w:ascii="Arial" w:hAnsi="Arial" w:cs="Arial"/>
                <w:lang w:val="en-GB"/>
              </w:rPr>
            </w:pPr>
          </w:p>
        </w:tc>
        <w:tc>
          <w:tcPr>
            <w:tcW w:w="1167" w:type="dxa"/>
          </w:tcPr>
          <w:p w14:paraId="644F5809" w14:textId="1B215947" w:rsidR="00243E71" w:rsidRPr="00AE7298" w:rsidRDefault="00243E71" w:rsidP="00B955A7">
            <w:pPr>
              <w:jc w:val="right"/>
              <w:rPr>
                <w:rFonts w:ascii="Arial" w:hAnsi="Arial" w:cs="Arial"/>
                <w:lang w:val="en-GB"/>
              </w:rPr>
            </w:pPr>
          </w:p>
        </w:tc>
      </w:tr>
      <w:tr w:rsidR="00243E71" w:rsidRPr="004A6259" w14:paraId="636A30F0" w14:textId="77777777" w:rsidTr="00D51D9E">
        <w:trPr>
          <w:tblHeader/>
        </w:trPr>
        <w:tc>
          <w:tcPr>
            <w:tcW w:w="4106" w:type="dxa"/>
          </w:tcPr>
          <w:p w14:paraId="0C3FFE1E" w14:textId="7C121E4C" w:rsidR="00243E71" w:rsidRPr="004A6259" w:rsidRDefault="00243E71" w:rsidP="00B955A7">
            <w:pPr>
              <w:jc w:val="both"/>
              <w:rPr>
                <w:rFonts w:ascii="Arial" w:hAnsi="Arial" w:cs="Arial"/>
                <w:b/>
                <w:lang w:val="en-GB"/>
              </w:rPr>
            </w:pPr>
            <w:r w:rsidRPr="004A6259">
              <w:rPr>
                <w:rFonts w:ascii="Arial" w:hAnsi="Arial" w:cs="Arial"/>
                <w:b/>
                <w:lang w:val="en-GB"/>
              </w:rPr>
              <w:t xml:space="preserve">Sanitary </w:t>
            </w:r>
            <w:r>
              <w:rPr>
                <w:rFonts w:ascii="Arial" w:hAnsi="Arial" w:cs="Arial"/>
                <w:b/>
                <w:lang w:val="en-GB"/>
              </w:rPr>
              <w:t xml:space="preserve">Pads </w:t>
            </w:r>
            <w:r w:rsidRPr="004A6259">
              <w:rPr>
                <w:rFonts w:ascii="Arial" w:hAnsi="Arial" w:cs="Arial"/>
                <w:b/>
                <w:lang w:val="en-GB"/>
              </w:rPr>
              <w:t xml:space="preserve">+ </w:t>
            </w:r>
            <w:r>
              <w:rPr>
                <w:rFonts w:ascii="Arial" w:hAnsi="Arial" w:cs="Arial"/>
                <w:b/>
                <w:lang w:val="en-GB"/>
              </w:rPr>
              <w:t>Intimate Wipes</w:t>
            </w:r>
          </w:p>
        </w:tc>
        <w:tc>
          <w:tcPr>
            <w:tcW w:w="1260" w:type="dxa"/>
          </w:tcPr>
          <w:p w14:paraId="0E048ACF" w14:textId="2CC4E10D" w:rsidR="00243E71" w:rsidRPr="00D557FA" w:rsidRDefault="00243E71" w:rsidP="00B955A7">
            <w:pPr>
              <w:jc w:val="right"/>
              <w:rPr>
                <w:rFonts w:ascii="Arial" w:hAnsi="Arial" w:cs="Arial"/>
                <w:b/>
                <w:lang w:val="en-GB"/>
              </w:rPr>
            </w:pPr>
            <w:r w:rsidRPr="00D00C0C">
              <w:rPr>
                <w:rFonts w:ascii="Arial" w:hAnsi="Arial" w:cs="Arial"/>
                <w:b/>
                <w:lang w:val="en-GB"/>
              </w:rPr>
              <w:t>28,933.6</w:t>
            </w:r>
          </w:p>
        </w:tc>
        <w:tc>
          <w:tcPr>
            <w:tcW w:w="939" w:type="dxa"/>
          </w:tcPr>
          <w:p w14:paraId="5F4DECBB" w14:textId="45C825C6" w:rsidR="00243E71" w:rsidRPr="00814188" w:rsidRDefault="00243E71" w:rsidP="00B955A7">
            <w:pPr>
              <w:jc w:val="right"/>
              <w:rPr>
                <w:rFonts w:ascii="Arial" w:hAnsi="Arial" w:cs="Arial"/>
                <w:b/>
                <w:lang w:val="en-GB"/>
              </w:rPr>
            </w:pPr>
            <w:r w:rsidRPr="00814188">
              <w:rPr>
                <w:rFonts w:ascii="Arial" w:hAnsi="Arial" w:cs="Arial"/>
                <w:b/>
                <w:lang w:val="en-GB"/>
              </w:rPr>
              <w:t>34,229.9</w:t>
            </w:r>
          </w:p>
        </w:tc>
        <w:tc>
          <w:tcPr>
            <w:tcW w:w="939" w:type="dxa"/>
          </w:tcPr>
          <w:p w14:paraId="4B7FB15A" w14:textId="77777777" w:rsidR="00243E71" w:rsidRPr="0012562A" w:rsidRDefault="00243E71" w:rsidP="00B955A7">
            <w:pPr>
              <w:jc w:val="right"/>
              <w:rPr>
                <w:rFonts w:ascii="Arial" w:hAnsi="Arial" w:cs="Arial"/>
                <w:b/>
                <w:lang w:val="en-GB"/>
              </w:rPr>
            </w:pPr>
            <w:r w:rsidRPr="0012562A">
              <w:rPr>
                <w:rFonts w:ascii="Arial" w:hAnsi="Arial" w:cs="Arial"/>
                <w:b/>
                <w:lang w:val="en-GB"/>
              </w:rPr>
              <w:t>40747.3</w:t>
            </w:r>
          </w:p>
        </w:tc>
        <w:tc>
          <w:tcPr>
            <w:tcW w:w="939" w:type="dxa"/>
          </w:tcPr>
          <w:p w14:paraId="7CC3A75A" w14:textId="7A7A6A2A" w:rsidR="00243E71" w:rsidRPr="0012562A" w:rsidRDefault="00243E71" w:rsidP="00B955A7">
            <w:pPr>
              <w:jc w:val="right"/>
              <w:rPr>
                <w:rFonts w:ascii="Arial" w:hAnsi="Arial" w:cs="Arial"/>
                <w:b/>
                <w:lang w:val="en-GB"/>
              </w:rPr>
            </w:pPr>
            <w:r w:rsidRPr="0012562A">
              <w:rPr>
                <w:rFonts w:ascii="Arial" w:hAnsi="Arial" w:cs="Arial"/>
                <w:b/>
                <w:lang w:val="en-GB"/>
              </w:rPr>
              <w:t>48,734.2</w:t>
            </w:r>
          </w:p>
        </w:tc>
        <w:tc>
          <w:tcPr>
            <w:tcW w:w="1167" w:type="dxa"/>
          </w:tcPr>
          <w:p w14:paraId="78F829D8" w14:textId="5D7F3A64" w:rsidR="00243E71" w:rsidRPr="00AE7298" w:rsidRDefault="00243E71" w:rsidP="00B955A7">
            <w:pPr>
              <w:jc w:val="right"/>
              <w:rPr>
                <w:rFonts w:ascii="Arial" w:hAnsi="Arial" w:cs="Arial"/>
                <w:b/>
                <w:lang w:val="en-GB"/>
              </w:rPr>
            </w:pPr>
            <w:r w:rsidRPr="00AE7298">
              <w:rPr>
                <w:rFonts w:ascii="Arial" w:hAnsi="Arial" w:cs="Arial"/>
                <w:b/>
                <w:lang w:val="en-GB"/>
              </w:rPr>
              <w:t>97,808.7</w:t>
            </w:r>
          </w:p>
        </w:tc>
      </w:tr>
    </w:tbl>
    <w:p w14:paraId="66CC94E2" w14:textId="77777777" w:rsidR="00243E71" w:rsidRPr="004A6259" w:rsidRDefault="00243E71" w:rsidP="00B955A7">
      <w:pPr>
        <w:jc w:val="both"/>
        <w:rPr>
          <w:rFonts w:ascii="Arial" w:hAnsi="Arial" w:cs="Arial"/>
          <w:sz w:val="17"/>
          <w:szCs w:val="17"/>
          <w:lang w:val="en-GB"/>
        </w:rPr>
      </w:pPr>
    </w:p>
    <w:p w14:paraId="7BE44F8F" w14:textId="290923B0" w:rsidR="00243E71" w:rsidRPr="004A6259" w:rsidRDefault="00243E71" w:rsidP="00B955A7">
      <w:pPr>
        <w:pStyle w:val="Footnote"/>
        <w:rPr>
          <w:lang w:val="en-GB"/>
        </w:rPr>
      </w:pPr>
      <w:r w:rsidRPr="004A6259">
        <w:rPr>
          <w:lang w:val="en-GB"/>
        </w:rPr>
        <w:t xml:space="preserve">Note: </w:t>
      </w:r>
      <w:r>
        <w:rPr>
          <w:lang w:val="en-GB"/>
        </w:rPr>
        <w:t xml:space="preserve">₹ = INR = Indian rupee; </w:t>
      </w:r>
      <w:r w:rsidRPr="004A6259">
        <w:rPr>
          <w:lang w:val="en-GB"/>
        </w:rPr>
        <w:t xml:space="preserve">100% of </w:t>
      </w:r>
      <w:r>
        <w:rPr>
          <w:lang w:val="en-GB"/>
        </w:rPr>
        <w:t>tampon</w:t>
      </w:r>
      <w:r w:rsidRPr="004A6259">
        <w:rPr>
          <w:lang w:val="en-GB"/>
        </w:rPr>
        <w:t xml:space="preserve"> sales were recorded for </w:t>
      </w:r>
      <w:r>
        <w:rPr>
          <w:lang w:val="en-GB"/>
        </w:rPr>
        <w:t>non-applicator</w:t>
      </w:r>
      <w:r w:rsidRPr="004A6259">
        <w:rPr>
          <w:lang w:val="en-GB"/>
        </w:rPr>
        <w:t xml:space="preserve"> tampons</w:t>
      </w:r>
      <w:r>
        <w:rPr>
          <w:rStyle w:val="CommentReference"/>
          <w:rFonts w:ascii="Times New Roman" w:hAnsi="Times New Roman" w:cs="Times New Roman"/>
        </w:rPr>
        <w:t xml:space="preserve">. </w:t>
      </w:r>
      <w:r w:rsidRPr="00AE7298">
        <w:rPr>
          <w:rStyle w:val="CommentReference"/>
          <w:sz w:val="17"/>
          <w:szCs w:val="17"/>
        </w:rPr>
        <w:t>More</w:t>
      </w:r>
      <w:r w:rsidRPr="00D00C0C">
        <w:rPr>
          <w:lang w:val="en-GB"/>
        </w:rPr>
        <w:t xml:space="preserve"> t</w:t>
      </w:r>
      <w:r w:rsidRPr="004A6259">
        <w:rPr>
          <w:lang w:val="en-GB"/>
        </w:rPr>
        <w:t xml:space="preserve">han 90% of </w:t>
      </w:r>
      <w:r>
        <w:rPr>
          <w:lang w:val="en-GB"/>
        </w:rPr>
        <w:t>sanitary-pad</w:t>
      </w:r>
      <w:r w:rsidRPr="004A6259">
        <w:rPr>
          <w:lang w:val="en-GB"/>
        </w:rPr>
        <w:t xml:space="preserve"> sales were of the </w:t>
      </w:r>
      <w:r>
        <w:rPr>
          <w:lang w:val="en-GB"/>
        </w:rPr>
        <w:t>“day”</w:t>
      </w:r>
      <w:r w:rsidRPr="004A6259">
        <w:rPr>
          <w:lang w:val="en-GB"/>
        </w:rPr>
        <w:t xml:space="preserve"> variety </w:t>
      </w:r>
      <w:r>
        <w:rPr>
          <w:lang w:val="en-GB"/>
        </w:rPr>
        <w:t>(as opposed to</w:t>
      </w:r>
      <w:r w:rsidRPr="004A6259">
        <w:rPr>
          <w:lang w:val="en-GB"/>
        </w:rPr>
        <w:t xml:space="preserve"> the </w:t>
      </w:r>
      <w:r>
        <w:rPr>
          <w:lang w:val="en-GB"/>
        </w:rPr>
        <w:t xml:space="preserve">“night” </w:t>
      </w:r>
      <w:r w:rsidRPr="004A6259">
        <w:rPr>
          <w:lang w:val="en-GB"/>
        </w:rPr>
        <w:t>variety</w:t>
      </w:r>
      <w:r>
        <w:rPr>
          <w:lang w:val="en-GB"/>
        </w:rPr>
        <w:t>).</w:t>
      </w:r>
      <w:r w:rsidRPr="004A6259">
        <w:rPr>
          <w:lang w:val="en-GB"/>
        </w:rPr>
        <w:t xml:space="preserve"> </w:t>
      </w:r>
      <w:r>
        <w:rPr>
          <w:lang w:val="en-GB"/>
        </w:rPr>
        <w:t>The share</w:t>
      </w:r>
      <w:r w:rsidRPr="004A6259">
        <w:rPr>
          <w:lang w:val="en-GB"/>
        </w:rPr>
        <w:t xml:space="preserve"> of intimate wipes </w:t>
      </w:r>
      <w:r>
        <w:rPr>
          <w:lang w:val="en-GB"/>
        </w:rPr>
        <w:t>was</w:t>
      </w:r>
      <w:r w:rsidRPr="004A6259">
        <w:rPr>
          <w:lang w:val="en-GB"/>
        </w:rPr>
        <w:t xml:space="preserve"> estimated and forecasted as almost nil.</w:t>
      </w:r>
    </w:p>
    <w:p w14:paraId="00CD2221" w14:textId="0E55347E" w:rsidR="00243E71" w:rsidRPr="001D04ED" w:rsidRDefault="00243E71" w:rsidP="00B955A7">
      <w:pPr>
        <w:pStyle w:val="Footnote"/>
        <w:rPr>
          <w:iCs/>
          <w:lang w:val="en-GB"/>
        </w:rPr>
      </w:pPr>
      <w:r w:rsidRPr="004A6259">
        <w:rPr>
          <w:lang w:val="en-GB"/>
        </w:rPr>
        <w:t xml:space="preserve">Source: </w:t>
      </w:r>
      <w:bookmarkStart w:id="13" w:name="_Hlk55918131"/>
      <w:r w:rsidRPr="004A6259">
        <w:rPr>
          <w:lang w:val="en-GB"/>
        </w:rPr>
        <w:t>Euromonitor International</w:t>
      </w:r>
      <w:r>
        <w:rPr>
          <w:lang w:val="en-GB"/>
        </w:rPr>
        <w:t xml:space="preserve">, </w:t>
      </w:r>
      <w:r w:rsidRPr="004A6259">
        <w:rPr>
          <w:i/>
          <w:lang w:val="en-GB"/>
        </w:rPr>
        <w:t>Sanitary Protection in India</w:t>
      </w:r>
      <w:r>
        <w:rPr>
          <w:iCs/>
          <w:lang w:val="en-GB"/>
        </w:rPr>
        <w:t xml:space="preserve">, 2019, accessed </w:t>
      </w:r>
      <w:r w:rsidR="003E5834">
        <w:rPr>
          <w:iCs/>
          <w:lang w:val="en-GB"/>
        </w:rPr>
        <w:t>April 6, 2020</w:t>
      </w:r>
      <w:r>
        <w:rPr>
          <w:iCs/>
          <w:lang w:val="en-GB"/>
        </w:rPr>
        <w:t>.</w:t>
      </w:r>
    </w:p>
    <w:bookmarkEnd w:id="13"/>
    <w:p w14:paraId="58A30528" w14:textId="052D74E0" w:rsidR="00243E71" w:rsidRPr="001D04ED" w:rsidRDefault="00243E71" w:rsidP="00B955A7">
      <w:pPr>
        <w:jc w:val="center"/>
        <w:rPr>
          <w:rFonts w:ascii="Arial" w:hAnsi="Arial" w:cs="Arial"/>
          <w:b/>
          <w:caps/>
          <w:sz w:val="16"/>
          <w:lang w:val="en-GB"/>
        </w:rPr>
      </w:pPr>
    </w:p>
    <w:p w14:paraId="3BE97284" w14:textId="77777777" w:rsidR="00243E71" w:rsidRPr="001D04ED" w:rsidRDefault="00243E71" w:rsidP="00B955A7">
      <w:pPr>
        <w:jc w:val="center"/>
        <w:rPr>
          <w:rFonts w:ascii="Arial" w:hAnsi="Arial" w:cs="Arial"/>
          <w:b/>
          <w:caps/>
          <w:sz w:val="16"/>
          <w:lang w:val="en-GB"/>
        </w:rPr>
      </w:pPr>
    </w:p>
    <w:p w14:paraId="0109C014" w14:textId="44E4E9B1" w:rsidR="00243E71" w:rsidRPr="004A6259" w:rsidRDefault="00243E71" w:rsidP="00B955A7">
      <w:pPr>
        <w:jc w:val="center"/>
        <w:rPr>
          <w:rFonts w:ascii="Arial" w:hAnsi="Arial" w:cs="Arial"/>
          <w:b/>
          <w:caps/>
          <w:lang w:val="en-GB"/>
        </w:rPr>
      </w:pPr>
      <w:r w:rsidRPr="004A6259">
        <w:rPr>
          <w:rFonts w:ascii="Arial" w:hAnsi="Arial" w:cs="Arial"/>
          <w:b/>
          <w:caps/>
          <w:lang w:val="en-GB"/>
        </w:rPr>
        <w:t>Exhibit 2: Sirona Hygiene</w:t>
      </w:r>
      <w:r>
        <w:rPr>
          <w:rFonts w:ascii="Arial" w:hAnsi="Arial" w:cs="Arial"/>
          <w:b/>
          <w:caps/>
          <w:lang w:val="en-GB"/>
        </w:rPr>
        <w:t xml:space="preserve">, </w:t>
      </w:r>
      <w:r w:rsidRPr="004A6259">
        <w:rPr>
          <w:rFonts w:ascii="Arial" w:hAnsi="Arial" w:cs="Arial"/>
          <w:b/>
          <w:caps/>
          <w:lang w:val="en-GB"/>
        </w:rPr>
        <w:t>Balance Sheet (₹)</w:t>
      </w:r>
    </w:p>
    <w:p w14:paraId="40A22DEF" w14:textId="77777777" w:rsidR="00243E71" w:rsidRPr="001D04ED" w:rsidRDefault="00243E71" w:rsidP="00AE7298">
      <w:pPr>
        <w:rPr>
          <w:rFonts w:ascii="Arial" w:hAnsi="Arial" w:cs="Arial"/>
          <w:b/>
          <w:caps/>
          <w:sz w:val="16"/>
          <w:lang w:val="en-GB"/>
        </w:rPr>
      </w:pPr>
    </w:p>
    <w:tbl>
      <w:tblPr>
        <w:tblStyle w:val="TableGrid"/>
        <w:tblW w:w="9233" w:type="dxa"/>
        <w:tblLook w:val="04A0" w:firstRow="1" w:lastRow="0" w:firstColumn="1" w:lastColumn="0" w:noHBand="0" w:noVBand="1"/>
        <w:tblCaption w:val="EXHIBIT 2: SIRONA HYGIENE, BALANCE SHEET (₹)"/>
        <w:tblDescription w:val="Amounts for 2016, 2017, and 2018."/>
      </w:tblPr>
      <w:tblGrid>
        <w:gridCol w:w="5200"/>
        <w:gridCol w:w="1460"/>
        <w:gridCol w:w="1273"/>
        <w:gridCol w:w="1300"/>
      </w:tblGrid>
      <w:tr w:rsidR="00243E71" w:rsidRPr="004A6259" w14:paraId="150D8B1E" w14:textId="77777777" w:rsidTr="00D51D9E">
        <w:trPr>
          <w:trHeight w:val="20"/>
          <w:tblHeader/>
        </w:trPr>
        <w:tc>
          <w:tcPr>
            <w:tcW w:w="5200" w:type="dxa"/>
            <w:noWrap/>
            <w:vAlign w:val="center"/>
            <w:hideMark/>
          </w:tcPr>
          <w:p w14:paraId="6E1A7776" w14:textId="77777777" w:rsidR="00243E71" w:rsidRPr="004A6259" w:rsidRDefault="00243E71" w:rsidP="00402298">
            <w:pPr>
              <w:contextualSpacing/>
              <w:jc w:val="center"/>
              <w:rPr>
                <w:rFonts w:ascii="Arial" w:hAnsi="Arial" w:cs="Arial"/>
                <w:b/>
                <w:lang w:val="en-GB" w:eastAsia="en-IN"/>
              </w:rPr>
            </w:pPr>
            <w:r w:rsidRPr="004A6259">
              <w:rPr>
                <w:rFonts w:ascii="Arial" w:hAnsi="Arial" w:cs="Arial"/>
                <w:b/>
                <w:lang w:val="en-GB" w:eastAsia="en-IN"/>
              </w:rPr>
              <w:t>Particulars</w:t>
            </w:r>
          </w:p>
        </w:tc>
        <w:tc>
          <w:tcPr>
            <w:tcW w:w="1460" w:type="dxa"/>
            <w:noWrap/>
            <w:vAlign w:val="center"/>
            <w:hideMark/>
          </w:tcPr>
          <w:p w14:paraId="0865CC8D" w14:textId="77777777" w:rsidR="00243E71" w:rsidRPr="004A6259" w:rsidRDefault="00243E71" w:rsidP="00D557FA">
            <w:pPr>
              <w:contextualSpacing/>
              <w:jc w:val="center"/>
              <w:rPr>
                <w:rFonts w:ascii="Arial" w:hAnsi="Arial" w:cs="Arial"/>
                <w:b/>
                <w:lang w:val="en-GB" w:eastAsia="en-IN"/>
              </w:rPr>
            </w:pPr>
            <w:r w:rsidRPr="004A6259">
              <w:rPr>
                <w:rFonts w:ascii="Arial" w:hAnsi="Arial" w:cs="Arial"/>
                <w:b/>
                <w:lang w:val="en-GB" w:eastAsia="en-IN"/>
              </w:rPr>
              <w:t>2016</w:t>
            </w:r>
          </w:p>
        </w:tc>
        <w:tc>
          <w:tcPr>
            <w:tcW w:w="1273" w:type="dxa"/>
            <w:noWrap/>
            <w:vAlign w:val="center"/>
            <w:hideMark/>
          </w:tcPr>
          <w:p w14:paraId="446504C7" w14:textId="77777777" w:rsidR="00243E71" w:rsidRPr="004A6259" w:rsidRDefault="00243E71" w:rsidP="00814188">
            <w:pPr>
              <w:contextualSpacing/>
              <w:jc w:val="center"/>
              <w:rPr>
                <w:rFonts w:ascii="Arial" w:hAnsi="Arial" w:cs="Arial"/>
                <w:b/>
                <w:lang w:val="en-GB" w:eastAsia="en-IN"/>
              </w:rPr>
            </w:pPr>
            <w:r w:rsidRPr="004A6259">
              <w:rPr>
                <w:rFonts w:ascii="Arial" w:hAnsi="Arial" w:cs="Arial"/>
                <w:b/>
                <w:lang w:val="en-GB" w:eastAsia="en-IN"/>
              </w:rPr>
              <w:t>2017</w:t>
            </w:r>
          </w:p>
        </w:tc>
        <w:tc>
          <w:tcPr>
            <w:tcW w:w="1300" w:type="dxa"/>
            <w:noWrap/>
            <w:vAlign w:val="center"/>
            <w:hideMark/>
          </w:tcPr>
          <w:p w14:paraId="72753209" w14:textId="77777777" w:rsidR="00243E71" w:rsidRPr="004A6259" w:rsidRDefault="00243E71" w:rsidP="0012562A">
            <w:pPr>
              <w:contextualSpacing/>
              <w:jc w:val="center"/>
              <w:rPr>
                <w:rFonts w:ascii="Arial" w:hAnsi="Arial" w:cs="Arial"/>
                <w:b/>
                <w:lang w:val="en-GB" w:eastAsia="en-IN"/>
              </w:rPr>
            </w:pPr>
            <w:r w:rsidRPr="004A6259">
              <w:rPr>
                <w:rFonts w:ascii="Arial" w:hAnsi="Arial" w:cs="Arial"/>
                <w:b/>
                <w:lang w:val="en-GB" w:eastAsia="en-IN"/>
              </w:rPr>
              <w:t>2018</w:t>
            </w:r>
          </w:p>
        </w:tc>
      </w:tr>
      <w:tr w:rsidR="00243E71" w:rsidRPr="004A6259" w14:paraId="3C0907DA" w14:textId="77777777" w:rsidTr="00D51D9E">
        <w:trPr>
          <w:trHeight w:val="20"/>
          <w:tblHeader/>
        </w:trPr>
        <w:tc>
          <w:tcPr>
            <w:tcW w:w="5200" w:type="dxa"/>
            <w:noWrap/>
            <w:vAlign w:val="center"/>
            <w:hideMark/>
          </w:tcPr>
          <w:p w14:paraId="439EBD83" w14:textId="77777777" w:rsidR="00243E71" w:rsidRPr="004A6259" w:rsidRDefault="00243E71" w:rsidP="00D00C0C">
            <w:pPr>
              <w:contextualSpacing/>
              <w:rPr>
                <w:rFonts w:ascii="Arial" w:hAnsi="Arial" w:cs="Arial"/>
                <w:lang w:val="en-GB" w:eastAsia="en-IN"/>
              </w:rPr>
            </w:pPr>
            <w:r w:rsidRPr="004A6259">
              <w:rPr>
                <w:rFonts w:ascii="Arial" w:hAnsi="Arial" w:cs="Arial"/>
                <w:b/>
                <w:lang w:val="en-GB" w:eastAsia="en-IN"/>
              </w:rPr>
              <w:t>Assets (Application of Funds)</w:t>
            </w:r>
          </w:p>
        </w:tc>
        <w:tc>
          <w:tcPr>
            <w:tcW w:w="1460" w:type="dxa"/>
            <w:noWrap/>
            <w:hideMark/>
          </w:tcPr>
          <w:p w14:paraId="3BD92C99" w14:textId="77777777" w:rsidR="00243E71" w:rsidRPr="004A6259" w:rsidRDefault="00243E71" w:rsidP="00B955A7">
            <w:pPr>
              <w:contextualSpacing/>
              <w:jc w:val="center"/>
              <w:rPr>
                <w:rFonts w:ascii="Arial" w:hAnsi="Arial" w:cs="Arial"/>
                <w:b/>
                <w:lang w:val="en-GB" w:eastAsia="en-IN"/>
              </w:rPr>
            </w:pPr>
          </w:p>
        </w:tc>
        <w:tc>
          <w:tcPr>
            <w:tcW w:w="1273" w:type="dxa"/>
            <w:noWrap/>
            <w:hideMark/>
          </w:tcPr>
          <w:p w14:paraId="1590B38A" w14:textId="77777777" w:rsidR="00243E71" w:rsidRPr="004A6259" w:rsidRDefault="00243E71" w:rsidP="00B955A7">
            <w:pPr>
              <w:contextualSpacing/>
              <w:jc w:val="center"/>
              <w:rPr>
                <w:rFonts w:ascii="Arial" w:hAnsi="Arial" w:cs="Arial"/>
                <w:b/>
                <w:lang w:val="en-GB" w:eastAsia="en-IN"/>
              </w:rPr>
            </w:pPr>
          </w:p>
        </w:tc>
        <w:tc>
          <w:tcPr>
            <w:tcW w:w="1300" w:type="dxa"/>
            <w:noWrap/>
            <w:hideMark/>
          </w:tcPr>
          <w:p w14:paraId="6B447352" w14:textId="77777777" w:rsidR="00243E71" w:rsidRPr="004A6259" w:rsidRDefault="00243E71" w:rsidP="00B955A7">
            <w:pPr>
              <w:contextualSpacing/>
              <w:jc w:val="center"/>
              <w:rPr>
                <w:rFonts w:ascii="Arial" w:hAnsi="Arial" w:cs="Arial"/>
                <w:b/>
                <w:lang w:val="en-GB" w:eastAsia="en-IN"/>
              </w:rPr>
            </w:pPr>
          </w:p>
        </w:tc>
      </w:tr>
      <w:tr w:rsidR="00243E71" w:rsidRPr="004A6259" w14:paraId="2AC42CF0" w14:textId="77777777" w:rsidTr="00D51D9E">
        <w:trPr>
          <w:trHeight w:val="20"/>
          <w:tblHeader/>
        </w:trPr>
        <w:tc>
          <w:tcPr>
            <w:tcW w:w="5200" w:type="dxa"/>
            <w:noWrap/>
            <w:vAlign w:val="center"/>
            <w:hideMark/>
          </w:tcPr>
          <w:p w14:paraId="417F01CC" w14:textId="1CE5F555" w:rsidR="00243E71" w:rsidRPr="004A6259" w:rsidRDefault="00243E71" w:rsidP="00D00C0C">
            <w:pPr>
              <w:contextualSpacing/>
              <w:rPr>
                <w:rFonts w:ascii="Arial" w:hAnsi="Arial" w:cs="Arial"/>
                <w:i/>
                <w:lang w:val="en-GB" w:eastAsia="en-IN"/>
              </w:rPr>
            </w:pPr>
            <w:r w:rsidRPr="004A6259">
              <w:rPr>
                <w:rFonts w:ascii="Arial" w:hAnsi="Arial" w:cs="Arial"/>
                <w:i/>
                <w:lang w:val="en-GB" w:eastAsia="en-IN"/>
              </w:rPr>
              <w:t>Non-</w:t>
            </w:r>
            <w:r>
              <w:rPr>
                <w:rFonts w:ascii="Arial" w:hAnsi="Arial" w:cs="Arial"/>
                <w:i/>
                <w:lang w:val="en-GB" w:eastAsia="en-IN"/>
              </w:rPr>
              <w:t>current</w:t>
            </w:r>
            <w:r w:rsidRPr="004A6259">
              <w:rPr>
                <w:rFonts w:ascii="Arial" w:hAnsi="Arial" w:cs="Arial"/>
                <w:i/>
                <w:lang w:val="en-GB" w:eastAsia="en-IN"/>
              </w:rPr>
              <w:t xml:space="preserve"> Assets</w:t>
            </w:r>
          </w:p>
        </w:tc>
        <w:tc>
          <w:tcPr>
            <w:tcW w:w="1460" w:type="dxa"/>
            <w:noWrap/>
            <w:hideMark/>
          </w:tcPr>
          <w:p w14:paraId="4074D383" w14:textId="77777777" w:rsidR="00243E71" w:rsidRPr="004A6259" w:rsidRDefault="00243E71" w:rsidP="00B955A7">
            <w:pPr>
              <w:contextualSpacing/>
              <w:jc w:val="center"/>
              <w:rPr>
                <w:rFonts w:ascii="Arial" w:hAnsi="Arial" w:cs="Arial"/>
                <w:b/>
                <w:lang w:val="en-GB" w:eastAsia="en-IN"/>
              </w:rPr>
            </w:pPr>
          </w:p>
        </w:tc>
        <w:tc>
          <w:tcPr>
            <w:tcW w:w="1273" w:type="dxa"/>
            <w:noWrap/>
            <w:hideMark/>
          </w:tcPr>
          <w:p w14:paraId="5CE331B6" w14:textId="77777777" w:rsidR="00243E71" w:rsidRPr="004A6259" w:rsidRDefault="00243E71" w:rsidP="00B955A7">
            <w:pPr>
              <w:contextualSpacing/>
              <w:jc w:val="center"/>
              <w:rPr>
                <w:rFonts w:ascii="Arial" w:hAnsi="Arial" w:cs="Arial"/>
                <w:b/>
                <w:lang w:val="en-GB" w:eastAsia="en-IN"/>
              </w:rPr>
            </w:pPr>
          </w:p>
        </w:tc>
        <w:tc>
          <w:tcPr>
            <w:tcW w:w="1300" w:type="dxa"/>
            <w:noWrap/>
            <w:hideMark/>
          </w:tcPr>
          <w:p w14:paraId="12F70D41" w14:textId="77777777" w:rsidR="00243E71" w:rsidRPr="004A6259" w:rsidRDefault="00243E71" w:rsidP="00B955A7">
            <w:pPr>
              <w:contextualSpacing/>
              <w:jc w:val="center"/>
              <w:rPr>
                <w:rFonts w:ascii="Arial" w:hAnsi="Arial" w:cs="Arial"/>
                <w:b/>
                <w:lang w:val="en-GB" w:eastAsia="en-IN"/>
              </w:rPr>
            </w:pPr>
          </w:p>
        </w:tc>
      </w:tr>
      <w:tr w:rsidR="00243E71" w:rsidRPr="004A6259" w14:paraId="35B57E7C" w14:textId="77777777" w:rsidTr="00D51D9E">
        <w:trPr>
          <w:trHeight w:val="20"/>
          <w:tblHeader/>
        </w:trPr>
        <w:tc>
          <w:tcPr>
            <w:tcW w:w="5200" w:type="dxa"/>
            <w:noWrap/>
            <w:vAlign w:val="center"/>
            <w:hideMark/>
          </w:tcPr>
          <w:p w14:paraId="42FCC11D" w14:textId="77777777"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Fixed Assets</w:t>
            </w:r>
          </w:p>
        </w:tc>
        <w:tc>
          <w:tcPr>
            <w:tcW w:w="1460" w:type="dxa"/>
            <w:noWrap/>
            <w:hideMark/>
          </w:tcPr>
          <w:p w14:paraId="75894BC6" w14:textId="77777777" w:rsidR="00243E71" w:rsidRPr="004A6259" w:rsidRDefault="00243E71" w:rsidP="00B955A7">
            <w:pPr>
              <w:contextualSpacing/>
              <w:jc w:val="center"/>
              <w:rPr>
                <w:rFonts w:ascii="Arial" w:hAnsi="Arial" w:cs="Arial"/>
                <w:b/>
                <w:lang w:val="en-GB" w:eastAsia="en-IN"/>
              </w:rPr>
            </w:pPr>
            <w:r w:rsidRPr="004A6259">
              <w:rPr>
                <w:rFonts w:ascii="Arial" w:hAnsi="Arial" w:cs="Arial"/>
                <w:b/>
                <w:lang w:val="en-GB" w:eastAsia="en-IN"/>
              </w:rPr>
              <w:t> </w:t>
            </w:r>
          </w:p>
        </w:tc>
        <w:tc>
          <w:tcPr>
            <w:tcW w:w="1273" w:type="dxa"/>
            <w:noWrap/>
            <w:hideMark/>
          </w:tcPr>
          <w:p w14:paraId="2F2CEDC1" w14:textId="77777777" w:rsidR="00243E71" w:rsidRPr="004A6259" w:rsidRDefault="00243E71" w:rsidP="00B955A7">
            <w:pPr>
              <w:contextualSpacing/>
              <w:jc w:val="center"/>
              <w:rPr>
                <w:rFonts w:ascii="Arial" w:hAnsi="Arial" w:cs="Arial"/>
                <w:b/>
                <w:lang w:val="en-GB" w:eastAsia="en-IN"/>
              </w:rPr>
            </w:pPr>
            <w:r w:rsidRPr="004A6259">
              <w:rPr>
                <w:rFonts w:ascii="Arial" w:hAnsi="Arial" w:cs="Arial"/>
                <w:b/>
                <w:lang w:val="en-GB" w:eastAsia="en-IN"/>
              </w:rPr>
              <w:t> </w:t>
            </w:r>
          </w:p>
        </w:tc>
        <w:tc>
          <w:tcPr>
            <w:tcW w:w="1300" w:type="dxa"/>
            <w:noWrap/>
            <w:hideMark/>
          </w:tcPr>
          <w:p w14:paraId="69A9E4A5" w14:textId="77777777" w:rsidR="00243E71" w:rsidRPr="004A6259" w:rsidRDefault="00243E71" w:rsidP="00B955A7">
            <w:pPr>
              <w:contextualSpacing/>
              <w:jc w:val="center"/>
              <w:rPr>
                <w:rFonts w:ascii="Arial" w:hAnsi="Arial" w:cs="Arial"/>
                <w:b/>
                <w:lang w:val="en-GB" w:eastAsia="en-IN"/>
              </w:rPr>
            </w:pPr>
            <w:r w:rsidRPr="004A6259">
              <w:rPr>
                <w:rFonts w:ascii="Arial" w:hAnsi="Arial" w:cs="Arial"/>
                <w:b/>
                <w:lang w:val="en-GB" w:eastAsia="en-IN"/>
              </w:rPr>
              <w:t> </w:t>
            </w:r>
          </w:p>
        </w:tc>
      </w:tr>
      <w:tr w:rsidR="00243E71" w:rsidRPr="004A6259" w14:paraId="517D19F6" w14:textId="77777777" w:rsidTr="00D51D9E">
        <w:trPr>
          <w:trHeight w:val="20"/>
          <w:tblHeader/>
        </w:trPr>
        <w:tc>
          <w:tcPr>
            <w:tcW w:w="5200" w:type="dxa"/>
            <w:noWrap/>
            <w:vAlign w:val="center"/>
            <w:hideMark/>
          </w:tcPr>
          <w:p w14:paraId="0EC22E25" w14:textId="77777777"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Tangible</w:t>
            </w:r>
          </w:p>
        </w:tc>
        <w:tc>
          <w:tcPr>
            <w:tcW w:w="1460" w:type="dxa"/>
            <w:noWrap/>
            <w:vAlign w:val="center"/>
            <w:hideMark/>
          </w:tcPr>
          <w:p w14:paraId="4A7105C7"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35,514 </w:t>
            </w:r>
          </w:p>
        </w:tc>
        <w:tc>
          <w:tcPr>
            <w:tcW w:w="1273" w:type="dxa"/>
            <w:noWrap/>
            <w:vAlign w:val="center"/>
            <w:hideMark/>
          </w:tcPr>
          <w:p w14:paraId="6CF76FF1"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202,235 </w:t>
            </w:r>
          </w:p>
        </w:tc>
        <w:tc>
          <w:tcPr>
            <w:tcW w:w="1300" w:type="dxa"/>
            <w:noWrap/>
            <w:vAlign w:val="center"/>
            <w:hideMark/>
          </w:tcPr>
          <w:p w14:paraId="6B8E69C8"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487,713 </w:t>
            </w:r>
          </w:p>
        </w:tc>
      </w:tr>
      <w:tr w:rsidR="00243E71" w:rsidRPr="004A6259" w14:paraId="298169EA" w14:textId="77777777" w:rsidTr="00D51D9E">
        <w:trPr>
          <w:trHeight w:val="20"/>
          <w:tblHeader/>
        </w:trPr>
        <w:tc>
          <w:tcPr>
            <w:tcW w:w="5200" w:type="dxa"/>
            <w:noWrap/>
            <w:vAlign w:val="center"/>
            <w:hideMark/>
          </w:tcPr>
          <w:p w14:paraId="4759D965" w14:textId="77777777"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Intangible</w:t>
            </w:r>
          </w:p>
        </w:tc>
        <w:tc>
          <w:tcPr>
            <w:tcW w:w="1460" w:type="dxa"/>
            <w:noWrap/>
            <w:vAlign w:val="center"/>
            <w:hideMark/>
          </w:tcPr>
          <w:p w14:paraId="5CF5C82A"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eastAsia="en-IN"/>
              </w:rPr>
              <w:t>Nil</w:t>
            </w:r>
          </w:p>
        </w:tc>
        <w:tc>
          <w:tcPr>
            <w:tcW w:w="1273" w:type="dxa"/>
            <w:noWrap/>
            <w:vAlign w:val="center"/>
            <w:hideMark/>
          </w:tcPr>
          <w:p w14:paraId="5C0CD03E"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607,448 </w:t>
            </w:r>
          </w:p>
        </w:tc>
        <w:tc>
          <w:tcPr>
            <w:tcW w:w="1300" w:type="dxa"/>
            <w:noWrap/>
            <w:vAlign w:val="center"/>
            <w:hideMark/>
          </w:tcPr>
          <w:p w14:paraId="729DC452"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972,849 </w:t>
            </w:r>
          </w:p>
        </w:tc>
      </w:tr>
      <w:tr w:rsidR="00243E71" w:rsidRPr="004A6259" w14:paraId="3EFAED99" w14:textId="77777777" w:rsidTr="00D51D9E">
        <w:trPr>
          <w:trHeight w:val="20"/>
          <w:tblHeader/>
        </w:trPr>
        <w:tc>
          <w:tcPr>
            <w:tcW w:w="5200" w:type="dxa"/>
            <w:noWrap/>
            <w:vAlign w:val="center"/>
            <w:hideMark/>
          </w:tcPr>
          <w:p w14:paraId="64C8EDAD" w14:textId="77777777"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Deferred Tax Assets</w:t>
            </w:r>
          </w:p>
        </w:tc>
        <w:tc>
          <w:tcPr>
            <w:tcW w:w="1460" w:type="dxa"/>
            <w:noWrap/>
            <w:vAlign w:val="center"/>
            <w:hideMark/>
          </w:tcPr>
          <w:p w14:paraId="0B53047B" w14:textId="696AACB7" w:rsidR="00243E71" w:rsidRPr="004A6259" w:rsidRDefault="00243E71" w:rsidP="00901C27">
            <w:pPr>
              <w:contextualSpacing/>
              <w:jc w:val="right"/>
              <w:rPr>
                <w:rFonts w:ascii="Arial" w:hAnsi="Arial" w:cs="Arial"/>
                <w:lang w:val="en-GB" w:eastAsia="en-IN"/>
              </w:rPr>
            </w:pPr>
          </w:p>
        </w:tc>
        <w:tc>
          <w:tcPr>
            <w:tcW w:w="1273" w:type="dxa"/>
            <w:noWrap/>
            <w:vAlign w:val="center"/>
            <w:hideMark/>
          </w:tcPr>
          <w:p w14:paraId="0ADF951D" w14:textId="3C70E3F6" w:rsidR="00243E71" w:rsidRPr="004A6259" w:rsidRDefault="00243E71" w:rsidP="00901C27">
            <w:pPr>
              <w:contextualSpacing/>
              <w:jc w:val="right"/>
              <w:rPr>
                <w:rFonts w:ascii="Arial" w:hAnsi="Arial" w:cs="Arial"/>
                <w:lang w:val="en-GB" w:eastAsia="en-IN"/>
              </w:rPr>
            </w:pPr>
          </w:p>
        </w:tc>
        <w:tc>
          <w:tcPr>
            <w:tcW w:w="1300" w:type="dxa"/>
            <w:noWrap/>
            <w:vAlign w:val="center"/>
            <w:hideMark/>
          </w:tcPr>
          <w:p w14:paraId="3E683661" w14:textId="77777777" w:rsidR="00243E71" w:rsidRPr="004A6259" w:rsidRDefault="00243E71" w:rsidP="00AE7298">
            <w:pPr>
              <w:contextualSpacing/>
              <w:jc w:val="right"/>
              <w:rPr>
                <w:rFonts w:ascii="Arial" w:hAnsi="Arial" w:cs="Arial"/>
                <w:lang w:val="en-GB"/>
              </w:rPr>
            </w:pPr>
            <w:r w:rsidRPr="004A6259">
              <w:rPr>
                <w:rFonts w:ascii="Arial" w:hAnsi="Arial" w:cs="Arial"/>
                <w:lang w:val="en-GB"/>
              </w:rPr>
              <w:t xml:space="preserve">1,115 </w:t>
            </w:r>
          </w:p>
        </w:tc>
      </w:tr>
      <w:tr w:rsidR="00243E71" w:rsidRPr="004A6259" w14:paraId="4842B0D8" w14:textId="77777777" w:rsidTr="00D51D9E">
        <w:trPr>
          <w:trHeight w:val="20"/>
          <w:tblHeader/>
        </w:trPr>
        <w:tc>
          <w:tcPr>
            <w:tcW w:w="5200" w:type="dxa"/>
            <w:noWrap/>
            <w:vAlign w:val="center"/>
            <w:hideMark/>
          </w:tcPr>
          <w:p w14:paraId="3B79CF90" w14:textId="3D01830A" w:rsidR="00243E71" w:rsidRPr="004A6259" w:rsidRDefault="00243E71" w:rsidP="00D00C0C">
            <w:pPr>
              <w:contextualSpacing/>
              <w:rPr>
                <w:rFonts w:ascii="Arial" w:hAnsi="Arial" w:cs="Arial"/>
                <w:b/>
                <w:lang w:val="en-GB" w:eastAsia="en-IN"/>
              </w:rPr>
            </w:pPr>
            <w:r w:rsidRPr="004A6259">
              <w:rPr>
                <w:rFonts w:ascii="Arial" w:hAnsi="Arial" w:cs="Arial"/>
                <w:b/>
                <w:lang w:val="en-GB" w:eastAsia="en-IN"/>
              </w:rPr>
              <w:t>Total Non-</w:t>
            </w:r>
            <w:r>
              <w:rPr>
                <w:rFonts w:ascii="Arial" w:hAnsi="Arial" w:cs="Arial"/>
                <w:b/>
                <w:lang w:val="en-GB" w:eastAsia="en-IN"/>
              </w:rPr>
              <w:t>current</w:t>
            </w:r>
            <w:r w:rsidRPr="004A6259">
              <w:rPr>
                <w:rFonts w:ascii="Arial" w:hAnsi="Arial" w:cs="Arial"/>
                <w:b/>
                <w:lang w:val="en-GB" w:eastAsia="en-IN"/>
              </w:rPr>
              <w:t xml:space="preserve"> Assets</w:t>
            </w:r>
          </w:p>
        </w:tc>
        <w:tc>
          <w:tcPr>
            <w:tcW w:w="1460" w:type="dxa"/>
            <w:noWrap/>
            <w:vAlign w:val="center"/>
            <w:hideMark/>
          </w:tcPr>
          <w:p w14:paraId="4B1C9E01"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 xml:space="preserve">35,514 </w:t>
            </w:r>
          </w:p>
        </w:tc>
        <w:tc>
          <w:tcPr>
            <w:tcW w:w="1273" w:type="dxa"/>
            <w:noWrap/>
            <w:vAlign w:val="center"/>
            <w:hideMark/>
          </w:tcPr>
          <w:p w14:paraId="23E66C46"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 xml:space="preserve">809,683 </w:t>
            </w:r>
          </w:p>
        </w:tc>
        <w:tc>
          <w:tcPr>
            <w:tcW w:w="1300" w:type="dxa"/>
            <w:noWrap/>
            <w:vAlign w:val="center"/>
            <w:hideMark/>
          </w:tcPr>
          <w:p w14:paraId="59D48016"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 xml:space="preserve">1,461,677 </w:t>
            </w:r>
          </w:p>
        </w:tc>
      </w:tr>
      <w:tr w:rsidR="00243E71" w:rsidRPr="004A6259" w14:paraId="13593251" w14:textId="77777777" w:rsidTr="00D51D9E">
        <w:trPr>
          <w:trHeight w:val="20"/>
          <w:tblHeader/>
        </w:trPr>
        <w:tc>
          <w:tcPr>
            <w:tcW w:w="5200" w:type="dxa"/>
            <w:noWrap/>
            <w:vAlign w:val="center"/>
            <w:hideMark/>
          </w:tcPr>
          <w:p w14:paraId="41873B0A" w14:textId="77777777" w:rsidR="00243E71" w:rsidRPr="004A6259" w:rsidRDefault="00243E71" w:rsidP="00D00C0C">
            <w:pPr>
              <w:contextualSpacing/>
              <w:rPr>
                <w:rFonts w:ascii="Arial" w:hAnsi="Arial" w:cs="Arial"/>
                <w:i/>
                <w:lang w:val="en-GB" w:eastAsia="en-IN"/>
              </w:rPr>
            </w:pPr>
            <w:r w:rsidRPr="004A6259">
              <w:rPr>
                <w:rFonts w:ascii="Arial" w:hAnsi="Arial" w:cs="Arial"/>
                <w:i/>
                <w:lang w:val="en-GB" w:eastAsia="en-IN"/>
              </w:rPr>
              <w:t xml:space="preserve">Current Assets </w:t>
            </w:r>
          </w:p>
        </w:tc>
        <w:tc>
          <w:tcPr>
            <w:tcW w:w="1460" w:type="dxa"/>
            <w:noWrap/>
            <w:vAlign w:val="center"/>
            <w:hideMark/>
          </w:tcPr>
          <w:p w14:paraId="7BF0D009" w14:textId="77777777" w:rsidR="00243E71" w:rsidRPr="004A6259" w:rsidRDefault="00243E71" w:rsidP="00AE7298">
            <w:pPr>
              <w:contextualSpacing/>
              <w:jc w:val="right"/>
              <w:rPr>
                <w:rFonts w:ascii="Arial" w:hAnsi="Arial" w:cs="Arial"/>
                <w:lang w:val="en-GB" w:eastAsia="en-IN"/>
              </w:rPr>
            </w:pPr>
          </w:p>
        </w:tc>
        <w:tc>
          <w:tcPr>
            <w:tcW w:w="1273" w:type="dxa"/>
            <w:noWrap/>
            <w:vAlign w:val="center"/>
            <w:hideMark/>
          </w:tcPr>
          <w:p w14:paraId="6069EE91" w14:textId="77777777" w:rsidR="00243E71" w:rsidRPr="004A6259" w:rsidRDefault="00243E71" w:rsidP="00AE7298">
            <w:pPr>
              <w:contextualSpacing/>
              <w:jc w:val="right"/>
              <w:rPr>
                <w:rFonts w:ascii="Arial" w:hAnsi="Arial" w:cs="Arial"/>
                <w:lang w:val="en-GB" w:eastAsia="en-IN"/>
              </w:rPr>
            </w:pPr>
          </w:p>
        </w:tc>
        <w:tc>
          <w:tcPr>
            <w:tcW w:w="1300" w:type="dxa"/>
            <w:noWrap/>
            <w:vAlign w:val="center"/>
            <w:hideMark/>
          </w:tcPr>
          <w:p w14:paraId="5AF20FE9" w14:textId="77777777" w:rsidR="00243E71" w:rsidRPr="004A6259" w:rsidRDefault="00243E71" w:rsidP="00AE7298">
            <w:pPr>
              <w:contextualSpacing/>
              <w:jc w:val="right"/>
              <w:rPr>
                <w:rFonts w:ascii="Arial" w:hAnsi="Arial" w:cs="Arial"/>
                <w:lang w:val="en-GB" w:eastAsia="en-IN"/>
              </w:rPr>
            </w:pPr>
          </w:p>
        </w:tc>
      </w:tr>
      <w:tr w:rsidR="00243E71" w:rsidRPr="004A6259" w14:paraId="7A6E3A20" w14:textId="77777777" w:rsidTr="00D51D9E">
        <w:trPr>
          <w:trHeight w:val="20"/>
          <w:tblHeader/>
        </w:trPr>
        <w:tc>
          <w:tcPr>
            <w:tcW w:w="5200" w:type="dxa"/>
            <w:noWrap/>
            <w:vAlign w:val="center"/>
            <w:hideMark/>
          </w:tcPr>
          <w:p w14:paraId="5FEC0AA4" w14:textId="7E0CE335"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 xml:space="preserve">Trade </w:t>
            </w:r>
            <w:r>
              <w:rPr>
                <w:rFonts w:ascii="Arial" w:hAnsi="Arial" w:cs="Arial"/>
                <w:lang w:val="en-GB" w:eastAsia="en-IN"/>
              </w:rPr>
              <w:t>Receivables</w:t>
            </w:r>
          </w:p>
        </w:tc>
        <w:tc>
          <w:tcPr>
            <w:tcW w:w="1460" w:type="dxa"/>
            <w:noWrap/>
            <w:vAlign w:val="center"/>
            <w:hideMark/>
          </w:tcPr>
          <w:p w14:paraId="7D611EC6"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1,886,088 </w:t>
            </w:r>
          </w:p>
        </w:tc>
        <w:tc>
          <w:tcPr>
            <w:tcW w:w="1273" w:type="dxa"/>
            <w:noWrap/>
            <w:vAlign w:val="center"/>
            <w:hideMark/>
          </w:tcPr>
          <w:p w14:paraId="11E69309"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1,389,618 </w:t>
            </w:r>
          </w:p>
        </w:tc>
        <w:tc>
          <w:tcPr>
            <w:tcW w:w="1300" w:type="dxa"/>
            <w:noWrap/>
            <w:vAlign w:val="center"/>
            <w:hideMark/>
          </w:tcPr>
          <w:p w14:paraId="55A3728C"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6,148,318 </w:t>
            </w:r>
          </w:p>
        </w:tc>
      </w:tr>
      <w:tr w:rsidR="00243E71" w:rsidRPr="004A6259" w14:paraId="6D563D85" w14:textId="77777777" w:rsidTr="00D51D9E">
        <w:trPr>
          <w:trHeight w:val="20"/>
          <w:tblHeader/>
        </w:trPr>
        <w:tc>
          <w:tcPr>
            <w:tcW w:w="5200" w:type="dxa"/>
            <w:noWrap/>
            <w:vAlign w:val="center"/>
            <w:hideMark/>
          </w:tcPr>
          <w:p w14:paraId="71B8D296" w14:textId="77777777"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Inventories</w:t>
            </w:r>
          </w:p>
        </w:tc>
        <w:tc>
          <w:tcPr>
            <w:tcW w:w="1460" w:type="dxa"/>
            <w:noWrap/>
            <w:vAlign w:val="center"/>
            <w:hideMark/>
          </w:tcPr>
          <w:p w14:paraId="5A73B329"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949,950 </w:t>
            </w:r>
          </w:p>
        </w:tc>
        <w:tc>
          <w:tcPr>
            <w:tcW w:w="1273" w:type="dxa"/>
            <w:noWrap/>
            <w:vAlign w:val="center"/>
            <w:hideMark/>
          </w:tcPr>
          <w:p w14:paraId="23AD10AD"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1,999,544 </w:t>
            </w:r>
          </w:p>
        </w:tc>
        <w:tc>
          <w:tcPr>
            <w:tcW w:w="1300" w:type="dxa"/>
            <w:noWrap/>
            <w:vAlign w:val="center"/>
            <w:hideMark/>
          </w:tcPr>
          <w:p w14:paraId="41657C16"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4,631,268 </w:t>
            </w:r>
          </w:p>
        </w:tc>
      </w:tr>
      <w:tr w:rsidR="00243E71" w:rsidRPr="004A6259" w14:paraId="7B6FE901" w14:textId="77777777" w:rsidTr="00D51D9E">
        <w:trPr>
          <w:trHeight w:val="20"/>
          <w:tblHeader/>
        </w:trPr>
        <w:tc>
          <w:tcPr>
            <w:tcW w:w="5200" w:type="dxa"/>
            <w:noWrap/>
            <w:vAlign w:val="center"/>
            <w:hideMark/>
          </w:tcPr>
          <w:p w14:paraId="2082F5E1" w14:textId="4F755A85"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 xml:space="preserve">Cash and </w:t>
            </w:r>
            <w:r>
              <w:rPr>
                <w:rFonts w:ascii="Arial" w:hAnsi="Arial" w:cs="Arial"/>
                <w:lang w:val="en-GB" w:eastAsia="en-IN"/>
              </w:rPr>
              <w:t>Cash Equivalents</w:t>
            </w:r>
          </w:p>
        </w:tc>
        <w:tc>
          <w:tcPr>
            <w:tcW w:w="1460" w:type="dxa"/>
            <w:noWrap/>
            <w:vAlign w:val="center"/>
            <w:hideMark/>
          </w:tcPr>
          <w:p w14:paraId="5B1F7534"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208,916 </w:t>
            </w:r>
          </w:p>
        </w:tc>
        <w:tc>
          <w:tcPr>
            <w:tcW w:w="1273" w:type="dxa"/>
            <w:noWrap/>
            <w:vAlign w:val="center"/>
            <w:hideMark/>
          </w:tcPr>
          <w:p w14:paraId="60E03C22"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16,968,085 </w:t>
            </w:r>
          </w:p>
        </w:tc>
        <w:tc>
          <w:tcPr>
            <w:tcW w:w="1300" w:type="dxa"/>
            <w:noWrap/>
            <w:vAlign w:val="center"/>
            <w:hideMark/>
          </w:tcPr>
          <w:p w14:paraId="156FC1F1"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3,675,855 </w:t>
            </w:r>
          </w:p>
        </w:tc>
      </w:tr>
      <w:tr w:rsidR="00243E71" w:rsidRPr="004A6259" w14:paraId="771342F4" w14:textId="77777777" w:rsidTr="00D51D9E">
        <w:trPr>
          <w:trHeight w:val="20"/>
          <w:tblHeader/>
        </w:trPr>
        <w:tc>
          <w:tcPr>
            <w:tcW w:w="5200" w:type="dxa"/>
            <w:noWrap/>
            <w:vAlign w:val="center"/>
            <w:hideMark/>
          </w:tcPr>
          <w:p w14:paraId="0F4ABCE2" w14:textId="641E7A4E"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 xml:space="preserve">Other </w:t>
            </w:r>
            <w:r>
              <w:rPr>
                <w:rFonts w:ascii="Arial" w:hAnsi="Arial" w:cs="Arial"/>
                <w:lang w:val="en-GB" w:eastAsia="en-IN"/>
              </w:rPr>
              <w:t>Current Assets</w:t>
            </w:r>
          </w:p>
        </w:tc>
        <w:tc>
          <w:tcPr>
            <w:tcW w:w="1460" w:type="dxa"/>
            <w:noWrap/>
            <w:vAlign w:val="center"/>
            <w:hideMark/>
          </w:tcPr>
          <w:p w14:paraId="413CE4C5"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180,412 </w:t>
            </w:r>
          </w:p>
        </w:tc>
        <w:tc>
          <w:tcPr>
            <w:tcW w:w="1273" w:type="dxa"/>
            <w:noWrap/>
            <w:vAlign w:val="center"/>
            <w:hideMark/>
          </w:tcPr>
          <w:p w14:paraId="58213C05"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579,001 </w:t>
            </w:r>
          </w:p>
        </w:tc>
        <w:tc>
          <w:tcPr>
            <w:tcW w:w="1300" w:type="dxa"/>
            <w:noWrap/>
            <w:vAlign w:val="center"/>
            <w:hideMark/>
          </w:tcPr>
          <w:p w14:paraId="0E087F96"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1,917,311 </w:t>
            </w:r>
          </w:p>
        </w:tc>
      </w:tr>
      <w:tr w:rsidR="00243E71" w:rsidRPr="004A6259" w14:paraId="6ADD7B4B" w14:textId="77777777" w:rsidTr="00D51D9E">
        <w:trPr>
          <w:trHeight w:val="20"/>
          <w:tblHeader/>
        </w:trPr>
        <w:tc>
          <w:tcPr>
            <w:tcW w:w="5200" w:type="dxa"/>
            <w:noWrap/>
            <w:vAlign w:val="center"/>
            <w:hideMark/>
          </w:tcPr>
          <w:p w14:paraId="38FC83F3" w14:textId="0046E1F3" w:rsidR="00243E71" w:rsidRPr="004A6259" w:rsidRDefault="00243E71" w:rsidP="00D00C0C">
            <w:pPr>
              <w:contextualSpacing/>
              <w:rPr>
                <w:rFonts w:ascii="Arial" w:hAnsi="Arial" w:cs="Arial"/>
                <w:lang w:val="en-GB" w:eastAsia="en-IN"/>
              </w:rPr>
            </w:pPr>
            <w:r>
              <w:rPr>
                <w:rFonts w:ascii="Arial" w:hAnsi="Arial" w:cs="Arial"/>
                <w:lang w:val="en-GB" w:eastAsia="en-IN"/>
              </w:rPr>
              <w:t>Short-Term Loans and Advances</w:t>
            </w:r>
          </w:p>
        </w:tc>
        <w:tc>
          <w:tcPr>
            <w:tcW w:w="1460" w:type="dxa"/>
            <w:noWrap/>
            <w:vAlign w:val="center"/>
            <w:hideMark/>
          </w:tcPr>
          <w:p w14:paraId="4A5EDE1D" w14:textId="51E63B65" w:rsidR="00243E71" w:rsidRPr="004A6259" w:rsidRDefault="00243E71" w:rsidP="00901C27">
            <w:pPr>
              <w:contextualSpacing/>
              <w:jc w:val="right"/>
              <w:rPr>
                <w:rFonts w:ascii="Arial" w:hAnsi="Arial" w:cs="Arial"/>
                <w:lang w:val="en-GB" w:eastAsia="en-IN"/>
              </w:rPr>
            </w:pPr>
          </w:p>
        </w:tc>
        <w:tc>
          <w:tcPr>
            <w:tcW w:w="1273" w:type="dxa"/>
            <w:noWrap/>
            <w:vAlign w:val="center"/>
            <w:hideMark/>
          </w:tcPr>
          <w:p w14:paraId="347BDA66" w14:textId="0881622B" w:rsidR="00243E71" w:rsidRPr="004A6259" w:rsidRDefault="00243E71" w:rsidP="00901C27">
            <w:pPr>
              <w:contextualSpacing/>
              <w:jc w:val="right"/>
              <w:rPr>
                <w:rFonts w:ascii="Arial" w:hAnsi="Arial" w:cs="Arial"/>
                <w:lang w:val="en-GB" w:eastAsia="en-IN"/>
              </w:rPr>
            </w:pPr>
          </w:p>
        </w:tc>
        <w:tc>
          <w:tcPr>
            <w:tcW w:w="1300" w:type="dxa"/>
            <w:noWrap/>
            <w:vAlign w:val="center"/>
            <w:hideMark/>
          </w:tcPr>
          <w:p w14:paraId="0E76490F" w14:textId="669FC23E" w:rsidR="00243E71" w:rsidRPr="004A6259" w:rsidRDefault="00243E71" w:rsidP="00901C27">
            <w:pPr>
              <w:contextualSpacing/>
              <w:jc w:val="right"/>
              <w:rPr>
                <w:rFonts w:ascii="Arial" w:hAnsi="Arial" w:cs="Arial"/>
                <w:lang w:val="en-GB" w:eastAsia="en-IN"/>
              </w:rPr>
            </w:pPr>
          </w:p>
        </w:tc>
      </w:tr>
      <w:tr w:rsidR="00243E71" w:rsidRPr="004A6259" w14:paraId="5DD21A7B" w14:textId="77777777" w:rsidTr="00D51D9E">
        <w:trPr>
          <w:trHeight w:val="20"/>
          <w:tblHeader/>
        </w:trPr>
        <w:tc>
          <w:tcPr>
            <w:tcW w:w="5200" w:type="dxa"/>
            <w:noWrap/>
            <w:vAlign w:val="center"/>
            <w:hideMark/>
          </w:tcPr>
          <w:p w14:paraId="4DCFEAF3" w14:textId="77777777" w:rsidR="00243E71" w:rsidRPr="004A6259" w:rsidRDefault="00243E71" w:rsidP="00D00C0C">
            <w:pPr>
              <w:contextualSpacing/>
              <w:rPr>
                <w:rFonts w:ascii="Arial" w:hAnsi="Arial" w:cs="Arial"/>
                <w:b/>
                <w:lang w:val="en-GB" w:eastAsia="en-IN"/>
              </w:rPr>
            </w:pPr>
            <w:r w:rsidRPr="004A6259">
              <w:rPr>
                <w:rFonts w:ascii="Arial" w:hAnsi="Arial" w:cs="Arial"/>
                <w:b/>
                <w:lang w:val="en-GB" w:eastAsia="en-IN"/>
              </w:rPr>
              <w:t>Total Current Assets</w:t>
            </w:r>
          </w:p>
        </w:tc>
        <w:tc>
          <w:tcPr>
            <w:tcW w:w="1460" w:type="dxa"/>
            <w:noWrap/>
            <w:vAlign w:val="center"/>
            <w:hideMark/>
          </w:tcPr>
          <w:p w14:paraId="3C754C1C"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 xml:space="preserve">3,225,366 </w:t>
            </w:r>
          </w:p>
        </w:tc>
        <w:tc>
          <w:tcPr>
            <w:tcW w:w="1273" w:type="dxa"/>
            <w:noWrap/>
            <w:vAlign w:val="center"/>
            <w:hideMark/>
          </w:tcPr>
          <w:p w14:paraId="7AF5B439"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 xml:space="preserve">20,936,248 </w:t>
            </w:r>
          </w:p>
        </w:tc>
        <w:tc>
          <w:tcPr>
            <w:tcW w:w="1300" w:type="dxa"/>
            <w:noWrap/>
            <w:vAlign w:val="center"/>
            <w:hideMark/>
          </w:tcPr>
          <w:p w14:paraId="3F0FD7AF"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 xml:space="preserve">16,372,752 </w:t>
            </w:r>
          </w:p>
        </w:tc>
      </w:tr>
      <w:tr w:rsidR="00243E71" w:rsidRPr="004A6259" w14:paraId="4ED14006" w14:textId="77777777" w:rsidTr="00D51D9E">
        <w:trPr>
          <w:trHeight w:val="20"/>
          <w:tblHeader/>
        </w:trPr>
        <w:tc>
          <w:tcPr>
            <w:tcW w:w="5200" w:type="dxa"/>
            <w:noWrap/>
            <w:vAlign w:val="center"/>
            <w:hideMark/>
          </w:tcPr>
          <w:p w14:paraId="604ECC94" w14:textId="77777777" w:rsidR="00243E71" w:rsidRPr="004A6259" w:rsidRDefault="00243E71" w:rsidP="00D00C0C">
            <w:pPr>
              <w:contextualSpacing/>
              <w:rPr>
                <w:rFonts w:ascii="Arial" w:hAnsi="Arial" w:cs="Arial"/>
                <w:b/>
                <w:lang w:val="en-GB" w:eastAsia="en-IN"/>
              </w:rPr>
            </w:pPr>
            <w:r w:rsidRPr="004A6259">
              <w:rPr>
                <w:rFonts w:ascii="Arial" w:hAnsi="Arial" w:cs="Arial"/>
                <w:b/>
                <w:lang w:val="en-GB" w:eastAsia="en-IN"/>
              </w:rPr>
              <w:t>Total Assets</w:t>
            </w:r>
          </w:p>
        </w:tc>
        <w:tc>
          <w:tcPr>
            <w:tcW w:w="1460" w:type="dxa"/>
            <w:noWrap/>
            <w:vAlign w:val="center"/>
            <w:hideMark/>
          </w:tcPr>
          <w:p w14:paraId="4A0B392F"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 xml:space="preserve">3,260,880 </w:t>
            </w:r>
          </w:p>
        </w:tc>
        <w:tc>
          <w:tcPr>
            <w:tcW w:w="1273" w:type="dxa"/>
            <w:noWrap/>
            <w:vAlign w:val="center"/>
            <w:hideMark/>
          </w:tcPr>
          <w:p w14:paraId="2B9D9DBC"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 xml:space="preserve">21,745,931 </w:t>
            </w:r>
          </w:p>
        </w:tc>
        <w:tc>
          <w:tcPr>
            <w:tcW w:w="1300" w:type="dxa"/>
            <w:noWrap/>
            <w:vAlign w:val="center"/>
            <w:hideMark/>
          </w:tcPr>
          <w:p w14:paraId="58B91115"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 xml:space="preserve">17,834,429 </w:t>
            </w:r>
          </w:p>
        </w:tc>
      </w:tr>
      <w:tr w:rsidR="00243E71" w:rsidRPr="004A6259" w14:paraId="737C76AD" w14:textId="77777777" w:rsidTr="00D51D9E">
        <w:trPr>
          <w:trHeight w:val="20"/>
          <w:tblHeader/>
        </w:trPr>
        <w:tc>
          <w:tcPr>
            <w:tcW w:w="5200" w:type="dxa"/>
            <w:noWrap/>
            <w:vAlign w:val="center"/>
            <w:hideMark/>
          </w:tcPr>
          <w:p w14:paraId="4C920783" w14:textId="77777777" w:rsidR="00243E71" w:rsidRPr="004A6259" w:rsidRDefault="00243E71" w:rsidP="00D00C0C">
            <w:pPr>
              <w:contextualSpacing/>
              <w:rPr>
                <w:rFonts w:ascii="Arial" w:hAnsi="Arial" w:cs="Arial"/>
                <w:lang w:val="en-GB" w:eastAsia="en-IN"/>
              </w:rPr>
            </w:pPr>
            <w:r w:rsidRPr="004A6259">
              <w:rPr>
                <w:rFonts w:ascii="Arial" w:hAnsi="Arial" w:cs="Arial"/>
                <w:b/>
                <w:lang w:val="en-GB" w:eastAsia="en-IN"/>
              </w:rPr>
              <w:t>Liabilities (Sources of Funds)</w:t>
            </w:r>
          </w:p>
        </w:tc>
        <w:tc>
          <w:tcPr>
            <w:tcW w:w="1460" w:type="dxa"/>
            <w:noWrap/>
            <w:vAlign w:val="center"/>
            <w:hideMark/>
          </w:tcPr>
          <w:p w14:paraId="1937048F" w14:textId="77777777" w:rsidR="00243E71" w:rsidRPr="004A6259" w:rsidRDefault="00243E71" w:rsidP="00AE7298">
            <w:pPr>
              <w:contextualSpacing/>
              <w:jc w:val="right"/>
              <w:rPr>
                <w:rFonts w:ascii="Arial" w:hAnsi="Arial" w:cs="Arial"/>
                <w:b/>
                <w:lang w:val="en-GB" w:eastAsia="en-IN"/>
              </w:rPr>
            </w:pPr>
          </w:p>
        </w:tc>
        <w:tc>
          <w:tcPr>
            <w:tcW w:w="1273" w:type="dxa"/>
            <w:noWrap/>
            <w:vAlign w:val="center"/>
            <w:hideMark/>
          </w:tcPr>
          <w:p w14:paraId="6EB69EDD" w14:textId="77777777" w:rsidR="00243E71" w:rsidRPr="004A6259" w:rsidRDefault="00243E71" w:rsidP="00AE7298">
            <w:pPr>
              <w:contextualSpacing/>
              <w:jc w:val="right"/>
              <w:rPr>
                <w:rFonts w:ascii="Arial" w:hAnsi="Arial" w:cs="Arial"/>
                <w:b/>
                <w:lang w:val="en-GB" w:eastAsia="en-IN"/>
              </w:rPr>
            </w:pPr>
          </w:p>
        </w:tc>
        <w:tc>
          <w:tcPr>
            <w:tcW w:w="1300" w:type="dxa"/>
            <w:noWrap/>
            <w:vAlign w:val="center"/>
            <w:hideMark/>
          </w:tcPr>
          <w:p w14:paraId="6EF977F9" w14:textId="77777777" w:rsidR="00243E71" w:rsidRPr="004A6259" w:rsidRDefault="00243E71" w:rsidP="00AE7298">
            <w:pPr>
              <w:contextualSpacing/>
              <w:jc w:val="right"/>
              <w:rPr>
                <w:rFonts w:ascii="Arial" w:hAnsi="Arial" w:cs="Arial"/>
                <w:b/>
                <w:lang w:val="en-GB" w:eastAsia="en-IN"/>
              </w:rPr>
            </w:pPr>
          </w:p>
        </w:tc>
      </w:tr>
      <w:tr w:rsidR="00243E71" w:rsidRPr="004A6259" w14:paraId="6E2B563A" w14:textId="77777777" w:rsidTr="00D51D9E">
        <w:trPr>
          <w:trHeight w:val="20"/>
          <w:tblHeader/>
        </w:trPr>
        <w:tc>
          <w:tcPr>
            <w:tcW w:w="5200" w:type="dxa"/>
            <w:noWrap/>
            <w:vAlign w:val="center"/>
            <w:hideMark/>
          </w:tcPr>
          <w:p w14:paraId="08E1C85B" w14:textId="77777777" w:rsidR="00243E71" w:rsidRPr="004A6259" w:rsidRDefault="00243E71" w:rsidP="00D00C0C">
            <w:pPr>
              <w:contextualSpacing/>
              <w:rPr>
                <w:rFonts w:ascii="Arial" w:hAnsi="Arial" w:cs="Arial"/>
                <w:i/>
                <w:lang w:val="en-GB" w:eastAsia="en-IN"/>
              </w:rPr>
            </w:pPr>
            <w:r w:rsidRPr="004A6259">
              <w:rPr>
                <w:rFonts w:ascii="Arial" w:hAnsi="Arial" w:cs="Arial"/>
                <w:i/>
                <w:lang w:val="en-GB" w:eastAsia="en-IN"/>
              </w:rPr>
              <w:t>Equity</w:t>
            </w:r>
          </w:p>
        </w:tc>
        <w:tc>
          <w:tcPr>
            <w:tcW w:w="1460" w:type="dxa"/>
            <w:noWrap/>
            <w:vAlign w:val="center"/>
            <w:hideMark/>
          </w:tcPr>
          <w:p w14:paraId="58D00820" w14:textId="77777777" w:rsidR="00243E71" w:rsidRPr="004A6259" w:rsidRDefault="00243E71" w:rsidP="00AE7298">
            <w:pPr>
              <w:contextualSpacing/>
              <w:jc w:val="right"/>
              <w:rPr>
                <w:rFonts w:ascii="Arial" w:hAnsi="Arial" w:cs="Arial"/>
                <w:b/>
                <w:lang w:val="en-GB" w:eastAsia="en-IN"/>
              </w:rPr>
            </w:pPr>
          </w:p>
        </w:tc>
        <w:tc>
          <w:tcPr>
            <w:tcW w:w="1273" w:type="dxa"/>
            <w:noWrap/>
            <w:vAlign w:val="center"/>
            <w:hideMark/>
          </w:tcPr>
          <w:p w14:paraId="3FD48EE3" w14:textId="77777777" w:rsidR="00243E71" w:rsidRPr="004A6259" w:rsidRDefault="00243E71" w:rsidP="00AE7298">
            <w:pPr>
              <w:contextualSpacing/>
              <w:jc w:val="right"/>
              <w:rPr>
                <w:rFonts w:ascii="Arial" w:hAnsi="Arial" w:cs="Arial"/>
                <w:b/>
                <w:lang w:val="en-GB" w:eastAsia="en-IN"/>
              </w:rPr>
            </w:pPr>
          </w:p>
        </w:tc>
        <w:tc>
          <w:tcPr>
            <w:tcW w:w="1300" w:type="dxa"/>
            <w:noWrap/>
            <w:vAlign w:val="center"/>
            <w:hideMark/>
          </w:tcPr>
          <w:p w14:paraId="587A7D72" w14:textId="77777777" w:rsidR="00243E71" w:rsidRPr="004A6259" w:rsidRDefault="00243E71" w:rsidP="00AE7298">
            <w:pPr>
              <w:contextualSpacing/>
              <w:jc w:val="right"/>
              <w:rPr>
                <w:rFonts w:ascii="Arial" w:hAnsi="Arial" w:cs="Arial"/>
                <w:b/>
                <w:lang w:val="en-GB" w:eastAsia="en-IN"/>
              </w:rPr>
            </w:pPr>
          </w:p>
        </w:tc>
      </w:tr>
      <w:tr w:rsidR="00243E71" w:rsidRPr="004A6259" w14:paraId="0DFDA6EA" w14:textId="77777777" w:rsidTr="00D51D9E">
        <w:trPr>
          <w:trHeight w:val="20"/>
          <w:tblHeader/>
        </w:trPr>
        <w:tc>
          <w:tcPr>
            <w:tcW w:w="5200" w:type="dxa"/>
            <w:noWrap/>
            <w:vAlign w:val="center"/>
            <w:hideMark/>
          </w:tcPr>
          <w:p w14:paraId="0F97EAC8" w14:textId="77777777"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Share Capital</w:t>
            </w:r>
          </w:p>
        </w:tc>
        <w:tc>
          <w:tcPr>
            <w:tcW w:w="1460" w:type="dxa"/>
            <w:noWrap/>
            <w:vAlign w:val="center"/>
            <w:hideMark/>
          </w:tcPr>
          <w:p w14:paraId="5216A9EF"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500,000 </w:t>
            </w:r>
          </w:p>
        </w:tc>
        <w:tc>
          <w:tcPr>
            <w:tcW w:w="1273" w:type="dxa"/>
            <w:noWrap/>
            <w:vAlign w:val="center"/>
            <w:hideMark/>
          </w:tcPr>
          <w:p w14:paraId="4A822744"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3,133,900 </w:t>
            </w:r>
          </w:p>
        </w:tc>
        <w:tc>
          <w:tcPr>
            <w:tcW w:w="1300" w:type="dxa"/>
            <w:noWrap/>
            <w:vAlign w:val="center"/>
            <w:hideMark/>
          </w:tcPr>
          <w:p w14:paraId="7E2935B0"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4,379,400 </w:t>
            </w:r>
          </w:p>
        </w:tc>
      </w:tr>
      <w:tr w:rsidR="00243E71" w:rsidRPr="004A6259" w14:paraId="04BAB322" w14:textId="77777777" w:rsidTr="00D51D9E">
        <w:trPr>
          <w:trHeight w:val="20"/>
          <w:tblHeader/>
        </w:trPr>
        <w:tc>
          <w:tcPr>
            <w:tcW w:w="5200" w:type="dxa"/>
            <w:noWrap/>
            <w:vAlign w:val="center"/>
            <w:hideMark/>
          </w:tcPr>
          <w:p w14:paraId="56F909CA" w14:textId="77777777"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Reserves and Surplus</w:t>
            </w:r>
          </w:p>
        </w:tc>
        <w:tc>
          <w:tcPr>
            <w:tcW w:w="1460" w:type="dxa"/>
            <w:noWrap/>
            <w:vAlign w:val="center"/>
            <w:hideMark/>
          </w:tcPr>
          <w:p w14:paraId="2AF97FB9"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(118,535) </w:t>
            </w:r>
          </w:p>
        </w:tc>
        <w:tc>
          <w:tcPr>
            <w:tcW w:w="1273" w:type="dxa"/>
            <w:noWrap/>
            <w:vAlign w:val="center"/>
            <w:hideMark/>
          </w:tcPr>
          <w:p w14:paraId="40A5A0EB"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13,733,478 </w:t>
            </w:r>
          </w:p>
        </w:tc>
        <w:tc>
          <w:tcPr>
            <w:tcW w:w="1300" w:type="dxa"/>
            <w:noWrap/>
            <w:vAlign w:val="center"/>
            <w:hideMark/>
          </w:tcPr>
          <w:p w14:paraId="2D1B2081"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4,351,685 </w:t>
            </w:r>
          </w:p>
        </w:tc>
      </w:tr>
      <w:tr w:rsidR="00243E71" w:rsidRPr="004A6259" w14:paraId="0D715427" w14:textId="77777777" w:rsidTr="00D51D9E">
        <w:trPr>
          <w:trHeight w:val="20"/>
          <w:tblHeader/>
        </w:trPr>
        <w:tc>
          <w:tcPr>
            <w:tcW w:w="5200" w:type="dxa"/>
            <w:noWrap/>
            <w:vAlign w:val="center"/>
            <w:hideMark/>
          </w:tcPr>
          <w:p w14:paraId="0976D0A8" w14:textId="77777777" w:rsidR="00243E71" w:rsidRPr="004A6259" w:rsidRDefault="00243E71" w:rsidP="00D00C0C">
            <w:pPr>
              <w:contextualSpacing/>
              <w:rPr>
                <w:rFonts w:ascii="Arial" w:hAnsi="Arial" w:cs="Arial"/>
                <w:b/>
                <w:lang w:val="en-GB" w:eastAsia="en-IN"/>
              </w:rPr>
            </w:pPr>
            <w:r w:rsidRPr="004A6259">
              <w:rPr>
                <w:rFonts w:ascii="Arial" w:hAnsi="Arial" w:cs="Arial"/>
                <w:b/>
                <w:lang w:val="en-GB" w:eastAsia="en-IN"/>
              </w:rPr>
              <w:t>Total Equity</w:t>
            </w:r>
          </w:p>
        </w:tc>
        <w:tc>
          <w:tcPr>
            <w:tcW w:w="1460" w:type="dxa"/>
            <w:noWrap/>
            <w:vAlign w:val="center"/>
            <w:hideMark/>
          </w:tcPr>
          <w:p w14:paraId="2E2F8470"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 xml:space="preserve">381,465 </w:t>
            </w:r>
          </w:p>
        </w:tc>
        <w:tc>
          <w:tcPr>
            <w:tcW w:w="1273" w:type="dxa"/>
            <w:noWrap/>
            <w:vAlign w:val="center"/>
            <w:hideMark/>
          </w:tcPr>
          <w:p w14:paraId="6FF89A7F"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 xml:space="preserve">16,867,378 </w:t>
            </w:r>
          </w:p>
        </w:tc>
        <w:tc>
          <w:tcPr>
            <w:tcW w:w="1300" w:type="dxa"/>
            <w:noWrap/>
            <w:vAlign w:val="center"/>
            <w:hideMark/>
          </w:tcPr>
          <w:p w14:paraId="2F4BE3DD"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 xml:space="preserve">8,731,085 </w:t>
            </w:r>
          </w:p>
        </w:tc>
      </w:tr>
      <w:tr w:rsidR="00243E71" w:rsidRPr="004A6259" w14:paraId="74ED3F4F" w14:textId="77777777" w:rsidTr="00D51D9E">
        <w:trPr>
          <w:trHeight w:val="20"/>
          <w:tblHeader/>
        </w:trPr>
        <w:tc>
          <w:tcPr>
            <w:tcW w:w="5200" w:type="dxa"/>
            <w:noWrap/>
            <w:vAlign w:val="center"/>
            <w:hideMark/>
          </w:tcPr>
          <w:p w14:paraId="4FB61EDB" w14:textId="3A56D210" w:rsidR="00243E71" w:rsidRPr="004A6259" w:rsidRDefault="00243E71" w:rsidP="00D00C0C">
            <w:pPr>
              <w:contextualSpacing/>
              <w:rPr>
                <w:rFonts w:ascii="Arial" w:hAnsi="Arial" w:cs="Arial"/>
                <w:i/>
                <w:lang w:val="en-GB" w:eastAsia="en-IN"/>
              </w:rPr>
            </w:pPr>
            <w:r w:rsidRPr="004A6259">
              <w:rPr>
                <w:rFonts w:ascii="Arial" w:hAnsi="Arial" w:cs="Arial"/>
                <w:i/>
                <w:lang w:val="en-GB" w:eastAsia="en-IN"/>
              </w:rPr>
              <w:t>Non-</w:t>
            </w:r>
            <w:r>
              <w:rPr>
                <w:rFonts w:ascii="Arial" w:hAnsi="Arial" w:cs="Arial"/>
                <w:i/>
                <w:lang w:val="en-GB" w:eastAsia="en-IN"/>
              </w:rPr>
              <w:t>current</w:t>
            </w:r>
            <w:r w:rsidRPr="004A6259">
              <w:rPr>
                <w:rFonts w:ascii="Arial" w:hAnsi="Arial" w:cs="Arial"/>
                <w:i/>
                <w:lang w:val="en-GB" w:eastAsia="en-IN"/>
              </w:rPr>
              <w:t xml:space="preserve"> Liabilities</w:t>
            </w:r>
          </w:p>
        </w:tc>
        <w:tc>
          <w:tcPr>
            <w:tcW w:w="1460" w:type="dxa"/>
            <w:noWrap/>
            <w:vAlign w:val="center"/>
            <w:hideMark/>
          </w:tcPr>
          <w:p w14:paraId="18CA845D" w14:textId="77777777" w:rsidR="00243E71" w:rsidRPr="004A6259" w:rsidRDefault="00243E71" w:rsidP="00AE7298">
            <w:pPr>
              <w:contextualSpacing/>
              <w:jc w:val="right"/>
              <w:rPr>
                <w:rFonts w:ascii="Arial" w:hAnsi="Arial" w:cs="Arial"/>
                <w:b/>
                <w:lang w:val="en-GB" w:eastAsia="en-IN"/>
              </w:rPr>
            </w:pPr>
          </w:p>
        </w:tc>
        <w:tc>
          <w:tcPr>
            <w:tcW w:w="1273" w:type="dxa"/>
            <w:noWrap/>
            <w:vAlign w:val="center"/>
            <w:hideMark/>
          </w:tcPr>
          <w:p w14:paraId="2C449E3B" w14:textId="77777777" w:rsidR="00243E71" w:rsidRPr="004A6259" w:rsidRDefault="00243E71" w:rsidP="00AE7298">
            <w:pPr>
              <w:contextualSpacing/>
              <w:jc w:val="right"/>
              <w:rPr>
                <w:rFonts w:ascii="Arial" w:hAnsi="Arial" w:cs="Arial"/>
                <w:b/>
                <w:lang w:val="en-GB" w:eastAsia="en-IN"/>
              </w:rPr>
            </w:pPr>
          </w:p>
        </w:tc>
        <w:tc>
          <w:tcPr>
            <w:tcW w:w="1300" w:type="dxa"/>
            <w:noWrap/>
            <w:vAlign w:val="center"/>
            <w:hideMark/>
          </w:tcPr>
          <w:p w14:paraId="5F770AFC" w14:textId="77777777" w:rsidR="00243E71" w:rsidRPr="004A6259" w:rsidRDefault="00243E71" w:rsidP="00AE7298">
            <w:pPr>
              <w:contextualSpacing/>
              <w:jc w:val="right"/>
              <w:rPr>
                <w:rFonts w:ascii="Arial" w:hAnsi="Arial" w:cs="Arial"/>
                <w:b/>
                <w:lang w:val="en-GB" w:eastAsia="en-IN"/>
              </w:rPr>
            </w:pPr>
          </w:p>
        </w:tc>
      </w:tr>
      <w:tr w:rsidR="00243E71" w:rsidRPr="004A6259" w14:paraId="4ABC64F4" w14:textId="77777777" w:rsidTr="00D51D9E">
        <w:trPr>
          <w:trHeight w:val="20"/>
          <w:tblHeader/>
        </w:trPr>
        <w:tc>
          <w:tcPr>
            <w:tcW w:w="5200" w:type="dxa"/>
            <w:noWrap/>
            <w:vAlign w:val="center"/>
            <w:hideMark/>
          </w:tcPr>
          <w:p w14:paraId="4CA2AAC4" w14:textId="2FC57ECA" w:rsidR="00243E71" w:rsidRPr="004A6259" w:rsidRDefault="00243E71" w:rsidP="00D00C0C">
            <w:pPr>
              <w:contextualSpacing/>
              <w:rPr>
                <w:rFonts w:ascii="Arial" w:hAnsi="Arial" w:cs="Arial"/>
                <w:lang w:val="en-GB" w:eastAsia="en-IN"/>
              </w:rPr>
            </w:pPr>
            <w:r>
              <w:rPr>
                <w:rFonts w:ascii="Arial" w:hAnsi="Arial" w:cs="Arial"/>
                <w:lang w:val="en-GB" w:eastAsia="en-IN"/>
              </w:rPr>
              <w:t>Long-Term</w:t>
            </w:r>
            <w:r w:rsidRPr="004A6259">
              <w:rPr>
                <w:rFonts w:ascii="Arial" w:hAnsi="Arial" w:cs="Arial"/>
                <w:lang w:val="en-GB" w:eastAsia="en-IN"/>
              </w:rPr>
              <w:t xml:space="preserve"> Borrowing</w:t>
            </w:r>
          </w:p>
        </w:tc>
        <w:tc>
          <w:tcPr>
            <w:tcW w:w="1460" w:type="dxa"/>
            <w:noWrap/>
            <w:vAlign w:val="center"/>
            <w:hideMark/>
          </w:tcPr>
          <w:p w14:paraId="177DFECB"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1,474,327 </w:t>
            </w:r>
          </w:p>
        </w:tc>
        <w:tc>
          <w:tcPr>
            <w:tcW w:w="1273" w:type="dxa"/>
            <w:noWrap/>
            <w:vAlign w:val="center"/>
            <w:hideMark/>
          </w:tcPr>
          <w:p w14:paraId="57A46033"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3,949,600 </w:t>
            </w:r>
          </w:p>
        </w:tc>
        <w:tc>
          <w:tcPr>
            <w:tcW w:w="1300" w:type="dxa"/>
            <w:noWrap/>
            <w:vAlign w:val="center"/>
            <w:hideMark/>
          </w:tcPr>
          <w:p w14:paraId="580B760B"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3,692,388 </w:t>
            </w:r>
          </w:p>
        </w:tc>
      </w:tr>
      <w:tr w:rsidR="00243E71" w:rsidRPr="004A6259" w14:paraId="5E0ED03B" w14:textId="77777777" w:rsidTr="00D51D9E">
        <w:trPr>
          <w:trHeight w:val="20"/>
          <w:tblHeader/>
        </w:trPr>
        <w:tc>
          <w:tcPr>
            <w:tcW w:w="5200" w:type="dxa"/>
            <w:noWrap/>
            <w:vAlign w:val="center"/>
            <w:hideMark/>
          </w:tcPr>
          <w:p w14:paraId="3879C021" w14:textId="77777777"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Deferred Tax Liabilities (Net)</w:t>
            </w:r>
          </w:p>
        </w:tc>
        <w:tc>
          <w:tcPr>
            <w:tcW w:w="1460" w:type="dxa"/>
            <w:noWrap/>
            <w:vAlign w:val="center"/>
            <w:hideMark/>
          </w:tcPr>
          <w:p w14:paraId="31CC8383"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(590) </w:t>
            </w:r>
          </w:p>
        </w:tc>
        <w:tc>
          <w:tcPr>
            <w:tcW w:w="1273" w:type="dxa"/>
            <w:noWrap/>
            <w:vAlign w:val="center"/>
            <w:hideMark/>
          </w:tcPr>
          <w:p w14:paraId="0DDE040C"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15,603 </w:t>
            </w:r>
          </w:p>
        </w:tc>
        <w:tc>
          <w:tcPr>
            <w:tcW w:w="1300" w:type="dxa"/>
            <w:noWrap/>
            <w:vAlign w:val="center"/>
            <w:hideMark/>
          </w:tcPr>
          <w:p w14:paraId="194DF077" w14:textId="19EBAE53" w:rsidR="00243E71" w:rsidRPr="004A6259" w:rsidRDefault="00243E71" w:rsidP="00901C27">
            <w:pPr>
              <w:contextualSpacing/>
              <w:jc w:val="right"/>
              <w:rPr>
                <w:rFonts w:ascii="Arial" w:hAnsi="Arial" w:cs="Arial"/>
                <w:lang w:val="en-GB" w:eastAsia="en-IN"/>
              </w:rPr>
            </w:pPr>
          </w:p>
        </w:tc>
      </w:tr>
      <w:tr w:rsidR="00243E71" w:rsidRPr="004A6259" w14:paraId="7C5C5B3B" w14:textId="77777777" w:rsidTr="00D51D9E">
        <w:trPr>
          <w:trHeight w:val="20"/>
          <w:tblHeader/>
        </w:trPr>
        <w:tc>
          <w:tcPr>
            <w:tcW w:w="5200" w:type="dxa"/>
            <w:noWrap/>
            <w:vAlign w:val="center"/>
            <w:hideMark/>
          </w:tcPr>
          <w:p w14:paraId="795760D0" w14:textId="469DDE7A" w:rsidR="00243E71" w:rsidRPr="004A6259" w:rsidRDefault="00243E71" w:rsidP="00D00C0C">
            <w:pPr>
              <w:contextualSpacing/>
              <w:rPr>
                <w:rFonts w:ascii="Arial" w:hAnsi="Arial" w:cs="Arial"/>
                <w:b/>
                <w:lang w:val="en-GB" w:eastAsia="en-IN"/>
              </w:rPr>
            </w:pPr>
            <w:r w:rsidRPr="004A6259">
              <w:rPr>
                <w:rFonts w:ascii="Arial" w:hAnsi="Arial" w:cs="Arial"/>
                <w:b/>
                <w:lang w:val="en-GB" w:eastAsia="en-IN"/>
              </w:rPr>
              <w:t>Total Non-</w:t>
            </w:r>
            <w:r>
              <w:rPr>
                <w:rFonts w:ascii="Arial" w:hAnsi="Arial" w:cs="Arial"/>
                <w:b/>
                <w:lang w:val="en-GB" w:eastAsia="en-IN"/>
              </w:rPr>
              <w:t>current</w:t>
            </w:r>
            <w:r w:rsidRPr="004A6259">
              <w:rPr>
                <w:rFonts w:ascii="Arial" w:hAnsi="Arial" w:cs="Arial"/>
                <w:b/>
                <w:lang w:val="en-GB" w:eastAsia="en-IN"/>
              </w:rPr>
              <w:t xml:space="preserve"> Liabilities</w:t>
            </w:r>
          </w:p>
        </w:tc>
        <w:tc>
          <w:tcPr>
            <w:tcW w:w="1460" w:type="dxa"/>
            <w:noWrap/>
            <w:vAlign w:val="center"/>
            <w:hideMark/>
          </w:tcPr>
          <w:p w14:paraId="282A15A8"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 xml:space="preserve">1,473,737 </w:t>
            </w:r>
          </w:p>
        </w:tc>
        <w:tc>
          <w:tcPr>
            <w:tcW w:w="1273" w:type="dxa"/>
            <w:noWrap/>
            <w:vAlign w:val="center"/>
            <w:hideMark/>
          </w:tcPr>
          <w:p w14:paraId="718D9EE0"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 xml:space="preserve">3,965,203 </w:t>
            </w:r>
          </w:p>
        </w:tc>
        <w:tc>
          <w:tcPr>
            <w:tcW w:w="1300" w:type="dxa"/>
            <w:noWrap/>
            <w:vAlign w:val="center"/>
            <w:hideMark/>
          </w:tcPr>
          <w:p w14:paraId="6114F733"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 xml:space="preserve">3,692,388 </w:t>
            </w:r>
          </w:p>
        </w:tc>
      </w:tr>
      <w:tr w:rsidR="00243E71" w:rsidRPr="004A6259" w14:paraId="5E2F4509" w14:textId="77777777" w:rsidTr="00D51D9E">
        <w:trPr>
          <w:trHeight w:val="20"/>
          <w:tblHeader/>
        </w:trPr>
        <w:tc>
          <w:tcPr>
            <w:tcW w:w="5200" w:type="dxa"/>
            <w:noWrap/>
            <w:vAlign w:val="center"/>
            <w:hideMark/>
          </w:tcPr>
          <w:p w14:paraId="7E24E25D" w14:textId="77777777" w:rsidR="00243E71" w:rsidRPr="004A6259" w:rsidRDefault="00243E71" w:rsidP="00D00C0C">
            <w:pPr>
              <w:contextualSpacing/>
              <w:rPr>
                <w:rFonts w:ascii="Arial" w:hAnsi="Arial" w:cs="Arial"/>
                <w:i/>
                <w:lang w:val="en-GB" w:eastAsia="en-IN"/>
              </w:rPr>
            </w:pPr>
            <w:r w:rsidRPr="004A6259">
              <w:rPr>
                <w:rFonts w:ascii="Arial" w:hAnsi="Arial" w:cs="Arial"/>
                <w:i/>
                <w:lang w:val="en-GB" w:eastAsia="en-IN"/>
              </w:rPr>
              <w:t>Current Liabilities</w:t>
            </w:r>
          </w:p>
        </w:tc>
        <w:tc>
          <w:tcPr>
            <w:tcW w:w="1460" w:type="dxa"/>
            <w:noWrap/>
            <w:vAlign w:val="center"/>
            <w:hideMark/>
          </w:tcPr>
          <w:p w14:paraId="680CF468" w14:textId="77777777" w:rsidR="00243E71" w:rsidRPr="004A6259" w:rsidRDefault="00243E71" w:rsidP="00AE7298">
            <w:pPr>
              <w:contextualSpacing/>
              <w:jc w:val="right"/>
              <w:rPr>
                <w:rFonts w:ascii="Arial" w:hAnsi="Arial" w:cs="Arial"/>
                <w:b/>
                <w:lang w:val="en-GB" w:eastAsia="en-IN"/>
              </w:rPr>
            </w:pPr>
          </w:p>
        </w:tc>
        <w:tc>
          <w:tcPr>
            <w:tcW w:w="1273" w:type="dxa"/>
            <w:noWrap/>
            <w:vAlign w:val="center"/>
            <w:hideMark/>
          </w:tcPr>
          <w:p w14:paraId="540925E7" w14:textId="77777777" w:rsidR="00243E71" w:rsidRPr="004A6259" w:rsidRDefault="00243E71" w:rsidP="00AE7298">
            <w:pPr>
              <w:contextualSpacing/>
              <w:jc w:val="right"/>
              <w:rPr>
                <w:rFonts w:ascii="Arial" w:hAnsi="Arial" w:cs="Arial"/>
                <w:b/>
                <w:lang w:val="en-GB" w:eastAsia="en-IN"/>
              </w:rPr>
            </w:pPr>
          </w:p>
        </w:tc>
        <w:tc>
          <w:tcPr>
            <w:tcW w:w="1300" w:type="dxa"/>
            <w:noWrap/>
            <w:vAlign w:val="center"/>
            <w:hideMark/>
          </w:tcPr>
          <w:p w14:paraId="7DFFECE0" w14:textId="77777777" w:rsidR="00243E71" w:rsidRPr="004A6259" w:rsidRDefault="00243E71" w:rsidP="00AE7298">
            <w:pPr>
              <w:contextualSpacing/>
              <w:jc w:val="right"/>
              <w:rPr>
                <w:rFonts w:ascii="Arial" w:hAnsi="Arial" w:cs="Arial"/>
                <w:b/>
                <w:lang w:val="en-GB" w:eastAsia="en-IN"/>
              </w:rPr>
            </w:pPr>
          </w:p>
        </w:tc>
      </w:tr>
      <w:tr w:rsidR="00243E71" w:rsidRPr="004A6259" w14:paraId="63CE8334" w14:textId="77777777" w:rsidTr="00D51D9E">
        <w:trPr>
          <w:trHeight w:val="20"/>
          <w:tblHeader/>
        </w:trPr>
        <w:tc>
          <w:tcPr>
            <w:tcW w:w="5200" w:type="dxa"/>
            <w:noWrap/>
            <w:vAlign w:val="center"/>
            <w:hideMark/>
          </w:tcPr>
          <w:p w14:paraId="56784741" w14:textId="77777777"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Trade Payables</w:t>
            </w:r>
          </w:p>
        </w:tc>
        <w:tc>
          <w:tcPr>
            <w:tcW w:w="1460" w:type="dxa"/>
            <w:noWrap/>
            <w:vAlign w:val="center"/>
            <w:hideMark/>
          </w:tcPr>
          <w:p w14:paraId="5F527269"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1,317,103 </w:t>
            </w:r>
          </w:p>
        </w:tc>
        <w:tc>
          <w:tcPr>
            <w:tcW w:w="1273" w:type="dxa"/>
            <w:noWrap/>
            <w:vAlign w:val="center"/>
            <w:hideMark/>
          </w:tcPr>
          <w:p w14:paraId="78FC1243"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288,342 </w:t>
            </w:r>
          </w:p>
        </w:tc>
        <w:tc>
          <w:tcPr>
            <w:tcW w:w="1300" w:type="dxa"/>
            <w:noWrap/>
            <w:vAlign w:val="center"/>
            <w:hideMark/>
          </w:tcPr>
          <w:p w14:paraId="795598A9"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3,464,348 </w:t>
            </w:r>
          </w:p>
        </w:tc>
      </w:tr>
      <w:tr w:rsidR="00243E71" w:rsidRPr="004A6259" w14:paraId="06F91F80" w14:textId="77777777" w:rsidTr="00D51D9E">
        <w:trPr>
          <w:trHeight w:val="20"/>
          <w:tblHeader/>
        </w:trPr>
        <w:tc>
          <w:tcPr>
            <w:tcW w:w="5200" w:type="dxa"/>
            <w:noWrap/>
            <w:vAlign w:val="center"/>
            <w:hideMark/>
          </w:tcPr>
          <w:p w14:paraId="048C4CD1" w14:textId="77777777"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Other Current Liabilities</w:t>
            </w:r>
          </w:p>
        </w:tc>
        <w:tc>
          <w:tcPr>
            <w:tcW w:w="1460" w:type="dxa"/>
            <w:noWrap/>
            <w:vAlign w:val="center"/>
            <w:hideMark/>
          </w:tcPr>
          <w:p w14:paraId="156BA91F"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86,575 </w:t>
            </w:r>
          </w:p>
        </w:tc>
        <w:tc>
          <w:tcPr>
            <w:tcW w:w="1273" w:type="dxa"/>
            <w:noWrap/>
            <w:vAlign w:val="center"/>
            <w:hideMark/>
          </w:tcPr>
          <w:p w14:paraId="5E43D0C5"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625,009 </w:t>
            </w:r>
          </w:p>
        </w:tc>
        <w:tc>
          <w:tcPr>
            <w:tcW w:w="1300" w:type="dxa"/>
            <w:noWrap/>
            <w:vAlign w:val="center"/>
            <w:hideMark/>
          </w:tcPr>
          <w:p w14:paraId="6AACEC7B"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1,946,607 </w:t>
            </w:r>
          </w:p>
        </w:tc>
      </w:tr>
      <w:tr w:rsidR="00243E71" w:rsidRPr="004A6259" w14:paraId="1A19A361" w14:textId="77777777" w:rsidTr="00D51D9E">
        <w:trPr>
          <w:trHeight w:val="20"/>
          <w:tblHeader/>
        </w:trPr>
        <w:tc>
          <w:tcPr>
            <w:tcW w:w="5200" w:type="dxa"/>
            <w:noWrap/>
            <w:vAlign w:val="center"/>
            <w:hideMark/>
          </w:tcPr>
          <w:p w14:paraId="1E3A2BCC" w14:textId="37CE6178" w:rsidR="00243E71" w:rsidRPr="004A6259" w:rsidRDefault="00243E71" w:rsidP="00D00C0C">
            <w:pPr>
              <w:contextualSpacing/>
              <w:rPr>
                <w:rFonts w:ascii="Arial" w:hAnsi="Arial" w:cs="Arial"/>
                <w:lang w:val="en-GB" w:eastAsia="en-IN"/>
              </w:rPr>
            </w:pPr>
            <w:r>
              <w:rPr>
                <w:rFonts w:ascii="Arial" w:hAnsi="Arial" w:cs="Arial"/>
                <w:lang w:val="en-GB" w:eastAsia="en-IN"/>
              </w:rPr>
              <w:t>Short-Term</w:t>
            </w:r>
            <w:r w:rsidRPr="004A6259">
              <w:rPr>
                <w:rFonts w:ascii="Arial" w:hAnsi="Arial" w:cs="Arial"/>
                <w:lang w:val="en-GB" w:eastAsia="en-IN"/>
              </w:rPr>
              <w:t xml:space="preserve"> Provisions</w:t>
            </w:r>
          </w:p>
        </w:tc>
        <w:tc>
          <w:tcPr>
            <w:tcW w:w="1460" w:type="dxa"/>
            <w:noWrap/>
            <w:vAlign w:val="center"/>
            <w:hideMark/>
          </w:tcPr>
          <w:p w14:paraId="38AEF0B9" w14:textId="018B6BEA" w:rsidR="00243E71" w:rsidRPr="004A6259" w:rsidRDefault="00243E71" w:rsidP="00901C27">
            <w:pPr>
              <w:contextualSpacing/>
              <w:jc w:val="right"/>
              <w:rPr>
                <w:rFonts w:ascii="Arial" w:hAnsi="Arial" w:cs="Arial"/>
                <w:lang w:val="en-GB" w:eastAsia="en-IN"/>
              </w:rPr>
            </w:pPr>
          </w:p>
        </w:tc>
        <w:tc>
          <w:tcPr>
            <w:tcW w:w="1273" w:type="dxa"/>
            <w:noWrap/>
            <w:vAlign w:val="center"/>
            <w:hideMark/>
          </w:tcPr>
          <w:p w14:paraId="2A55CB37" w14:textId="5CB7A79A" w:rsidR="00243E71" w:rsidRPr="004A6259" w:rsidRDefault="00243E71" w:rsidP="00901C27">
            <w:pPr>
              <w:contextualSpacing/>
              <w:jc w:val="right"/>
              <w:rPr>
                <w:rFonts w:ascii="Arial" w:hAnsi="Arial" w:cs="Arial"/>
                <w:lang w:val="en-GB" w:eastAsia="en-IN"/>
              </w:rPr>
            </w:pPr>
          </w:p>
        </w:tc>
        <w:tc>
          <w:tcPr>
            <w:tcW w:w="1300" w:type="dxa"/>
            <w:noWrap/>
            <w:vAlign w:val="center"/>
            <w:hideMark/>
          </w:tcPr>
          <w:p w14:paraId="3861C6EF" w14:textId="0CA5B69C" w:rsidR="00243E71" w:rsidRPr="004A6259" w:rsidRDefault="00243E71" w:rsidP="00901C27">
            <w:pPr>
              <w:contextualSpacing/>
              <w:jc w:val="right"/>
              <w:rPr>
                <w:rFonts w:ascii="Arial" w:hAnsi="Arial" w:cs="Arial"/>
                <w:lang w:val="en-GB" w:eastAsia="en-IN"/>
              </w:rPr>
            </w:pPr>
          </w:p>
        </w:tc>
      </w:tr>
      <w:tr w:rsidR="00243E71" w:rsidRPr="004A6259" w14:paraId="31D68229" w14:textId="77777777" w:rsidTr="00D51D9E">
        <w:trPr>
          <w:trHeight w:val="20"/>
          <w:tblHeader/>
        </w:trPr>
        <w:tc>
          <w:tcPr>
            <w:tcW w:w="5200" w:type="dxa"/>
            <w:noWrap/>
            <w:vAlign w:val="center"/>
            <w:hideMark/>
          </w:tcPr>
          <w:p w14:paraId="649D90EF" w14:textId="77777777"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Total Current Liabilities</w:t>
            </w:r>
          </w:p>
        </w:tc>
        <w:tc>
          <w:tcPr>
            <w:tcW w:w="1460" w:type="dxa"/>
            <w:noWrap/>
            <w:vAlign w:val="center"/>
            <w:hideMark/>
          </w:tcPr>
          <w:p w14:paraId="0BCE12B8"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1,403,678 </w:t>
            </w:r>
          </w:p>
        </w:tc>
        <w:tc>
          <w:tcPr>
            <w:tcW w:w="1273" w:type="dxa"/>
            <w:noWrap/>
            <w:vAlign w:val="center"/>
            <w:hideMark/>
          </w:tcPr>
          <w:p w14:paraId="7BB0D3EA"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913,351 </w:t>
            </w:r>
          </w:p>
        </w:tc>
        <w:tc>
          <w:tcPr>
            <w:tcW w:w="1300" w:type="dxa"/>
            <w:noWrap/>
            <w:vAlign w:val="center"/>
            <w:hideMark/>
          </w:tcPr>
          <w:p w14:paraId="49BEA541"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 xml:space="preserve">5,410,955 </w:t>
            </w:r>
          </w:p>
        </w:tc>
      </w:tr>
      <w:tr w:rsidR="00243E71" w:rsidRPr="004A6259" w14:paraId="7E778440" w14:textId="77777777" w:rsidTr="00D51D9E">
        <w:trPr>
          <w:trHeight w:val="20"/>
          <w:tblHeader/>
        </w:trPr>
        <w:tc>
          <w:tcPr>
            <w:tcW w:w="5200" w:type="dxa"/>
            <w:noWrap/>
            <w:vAlign w:val="center"/>
            <w:hideMark/>
          </w:tcPr>
          <w:p w14:paraId="0D4C26AE" w14:textId="77777777" w:rsidR="00243E71" w:rsidRPr="004A6259" w:rsidRDefault="00243E71" w:rsidP="00D00C0C">
            <w:pPr>
              <w:contextualSpacing/>
              <w:rPr>
                <w:rFonts w:ascii="Arial" w:hAnsi="Arial" w:cs="Arial"/>
                <w:b/>
                <w:lang w:val="en-GB" w:eastAsia="en-IN"/>
              </w:rPr>
            </w:pPr>
            <w:r w:rsidRPr="004A6259">
              <w:rPr>
                <w:rFonts w:ascii="Arial" w:hAnsi="Arial" w:cs="Arial"/>
                <w:b/>
                <w:lang w:val="en-GB" w:eastAsia="en-IN"/>
              </w:rPr>
              <w:t>Total Equity and Liabilities</w:t>
            </w:r>
          </w:p>
        </w:tc>
        <w:tc>
          <w:tcPr>
            <w:tcW w:w="1460" w:type="dxa"/>
            <w:noWrap/>
            <w:vAlign w:val="center"/>
            <w:hideMark/>
          </w:tcPr>
          <w:p w14:paraId="3D749523"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 xml:space="preserve">3,258,880 </w:t>
            </w:r>
          </w:p>
        </w:tc>
        <w:tc>
          <w:tcPr>
            <w:tcW w:w="1273" w:type="dxa"/>
            <w:noWrap/>
            <w:vAlign w:val="center"/>
            <w:hideMark/>
          </w:tcPr>
          <w:p w14:paraId="3C8A34D5"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 xml:space="preserve">21,745,932 </w:t>
            </w:r>
          </w:p>
        </w:tc>
        <w:tc>
          <w:tcPr>
            <w:tcW w:w="1300" w:type="dxa"/>
            <w:noWrap/>
            <w:vAlign w:val="center"/>
            <w:hideMark/>
          </w:tcPr>
          <w:p w14:paraId="1D19B668"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 xml:space="preserve">17,834,428 </w:t>
            </w:r>
          </w:p>
        </w:tc>
      </w:tr>
    </w:tbl>
    <w:p w14:paraId="425F2546" w14:textId="77777777" w:rsidR="00243E71" w:rsidRPr="004A6259" w:rsidRDefault="00243E71" w:rsidP="00B955A7">
      <w:pPr>
        <w:jc w:val="both"/>
        <w:rPr>
          <w:rFonts w:ascii="Arial" w:hAnsi="Arial" w:cs="Arial"/>
          <w:sz w:val="17"/>
          <w:szCs w:val="17"/>
          <w:lang w:val="en-GB"/>
        </w:rPr>
      </w:pPr>
    </w:p>
    <w:p w14:paraId="2C1D7349" w14:textId="250756F0" w:rsidR="00243E71" w:rsidRDefault="00243E71" w:rsidP="00B955A7">
      <w:pPr>
        <w:pStyle w:val="Footnote"/>
        <w:rPr>
          <w:lang w:val="en-GB"/>
        </w:rPr>
      </w:pPr>
      <w:r>
        <w:rPr>
          <w:lang w:val="en-GB"/>
        </w:rPr>
        <w:t>Note: ₹ = INR = Indian rupee.</w:t>
      </w:r>
    </w:p>
    <w:p w14:paraId="4A198E99" w14:textId="0813702E" w:rsidR="00243E71" w:rsidRDefault="00243E71" w:rsidP="00B955A7">
      <w:pPr>
        <w:pStyle w:val="Footnote"/>
        <w:rPr>
          <w:lang w:val="en-GB"/>
        </w:rPr>
      </w:pPr>
      <w:r w:rsidRPr="004A6259">
        <w:rPr>
          <w:lang w:val="en-GB"/>
        </w:rPr>
        <w:t xml:space="preserve">Source: </w:t>
      </w:r>
      <w:r w:rsidR="001D04ED">
        <w:rPr>
          <w:lang w:val="en-GB"/>
        </w:rPr>
        <w:t>Company files.</w:t>
      </w:r>
    </w:p>
    <w:p w14:paraId="46F3EE3B" w14:textId="44C61FAA" w:rsidR="00243E71" w:rsidRPr="004A6259" w:rsidRDefault="00243E71" w:rsidP="00B955A7">
      <w:pPr>
        <w:pStyle w:val="ExhibitHeading"/>
        <w:rPr>
          <w:lang w:val="en-GB"/>
        </w:rPr>
      </w:pPr>
      <w:r w:rsidRPr="004A6259">
        <w:rPr>
          <w:lang w:val="en-GB"/>
        </w:rPr>
        <w:lastRenderedPageBreak/>
        <w:t xml:space="preserve">Exhibit </w:t>
      </w:r>
      <w:r>
        <w:rPr>
          <w:lang w:val="en-GB"/>
        </w:rPr>
        <w:t>3</w:t>
      </w:r>
      <w:r w:rsidRPr="004A6259">
        <w:rPr>
          <w:lang w:val="en-GB"/>
        </w:rPr>
        <w:t>: Sirona Hygiene</w:t>
      </w:r>
      <w:r>
        <w:rPr>
          <w:lang w:val="en-GB"/>
        </w:rPr>
        <w:t xml:space="preserve">, </w:t>
      </w:r>
      <w:r w:rsidRPr="004A6259">
        <w:rPr>
          <w:lang w:val="en-GB"/>
        </w:rPr>
        <w:t>Profit and Loss</w:t>
      </w:r>
      <w:r>
        <w:rPr>
          <w:lang w:val="en-GB"/>
        </w:rPr>
        <w:t xml:space="preserve"> Statement</w:t>
      </w:r>
      <w:r w:rsidRPr="004A6259">
        <w:rPr>
          <w:lang w:val="en-GB"/>
        </w:rPr>
        <w:t xml:space="preserve"> (₹)</w:t>
      </w:r>
    </w:p>
    <w:p w14:paraId="6E9AD309" w14:textId="77777777" w:rsidR="00243E71" w:rsidRPr="004A6259" w:rsidRDefault="00243E71" w:rsidP="00B955A7">
      <w:pPr>
        <w:jc w:val="center"/>
        <w:rPr>
          <w:rFonts w:ascii="Arial" w:hAnsi="Arial" w:cs="Arial"/>
          <w:b/>
          <w:caps/>
          <w:lang w:val="en-GB"/>
        </w:rPr>
      </w:pPr>
    </w:p>
    <w:tbl>
      <w:tblPr>
        <w:tblStyle w:val="TableGrid"/>
        <w:tblW w:w="6742" w:type="dxa"/>
        <w:jc w:val="center"/>
        <w:tblLook w:val="04A0" w:firstRow="1" w:lastRow="0" w:firstColumn="1" w:lastColumn="0" w:noHBand="0" w:noVBand="1"/>
        <w:tblCaption w:val="EXHIBIT 3: SIRONA HYGIENE, PROFIT AND LOSS STATEMENT (₹)"/>
        <w:tblDescription w:val="Figures for 2016, 2017, and 2018."/>
      </w:tblPr>
      <w:tblGrid>
        <w:gridCol w:w="3791"/>
        <w:gridCol w:w="1106"/>
        <w:gridCol w:w="1239"/>
        <w:gridCol w:w="1351"/>
      </w:tblGrid>
      <w:tr w:rsidR="00243E71" w:rsidRPr="004A6259" w14:paraId="69B888D8" w14:textId="77777777" w:rsidTr="00D51D9E">
        <w:trPr>
          <w:trHeight w:val="21"/>
          <w:tblHeader/>
          <w:jc w:val="center"/>
        </w:trPr>
        <w:tc>
          <w:tcPr>
            <w:tcW w:w="3791" w:type="dxa"/>
            <w:noWrap/>
            <w:vAlign w:val="center"/>
            <w:hideMark/>
          </w:tcPr>
          <w:p w14:paraId="17072747" w14:textId="77777777" w:rsidR="00243E71" w:rsidRPr="004A6259" w:rsidRDefault="00243E71" w:rsidP="00402298">
            <w:pPr>
              <w:contextualSpacing/>
              <w:jc w:val="center"/>
              <w:rPr>
                <w:rFonts w:ascii="Arial" w:hAnsi="Arial" w:cs="Arial"/>
                <w:b/>
                <w:bCs/>
                <w:lang w:val="en-GB" w:eastAsia="en-IN"/>
              </w:rPr>
            </w:pPr>
            <w:r w:rsidRPr="004A6259">
              <w:rPr>
                <w:rFonts w:ascii="Arial" w:hAnsi="Arial" w:cs="Arial"/>
                <w:b/>
                <w:bCs/>
                <w:lang w:val="en-GB" w:eastAsia="en-IN"/>
              </w:rPr>
              <w:t>Particulars</w:t>
            </w:r>
          </w:p>
        </w:tc>
        <w:tc>
          <w:tcPr>
            <w:tcW w:w="1064" w:type="dxa"/>
            <w:noWrap/>
            <w:vAlign w:val="center"/>
            <w:hideMark/>
          </w:tcPr>
          <w:p w14:paraId="087A7A1B" w14:textId="77777777" w:rsidR="00243E71" w:rsidRPr="004A6259" w:rsidRDefault="00243E71" w:rsidP="00D00C0C">
            <w:pPr>
              <w:contextualSpacing/>
              <w:jc w:val="center"/>
              <w:rPr>
                <w:rFonts w:ascii="Arial" w:hAnsi="Arial" w:cs="Arial"/>
                <w:b/>
                <w:bCs/>
                <w:lang w:val="en-GB" w:eastAsia="en-IN"/>
              </w:rPr>
            </w:pPr>
            <w:r w:rsidRPr="004A6259">
              <w:rPr>
                <w:rFonts w:ascii="Arial" w:hAnsi="Arial" w:cs="Arial"/>
                <w:b/>
                <w:bCs/>
                <w:lang w:val="en-GB" w:eastAsia="en-IN"/>
              </w:rPr>
              <w:t>2016</w:t>
            </w:r>
          </w:p>
        </w:tc>
        <w:tc>
          <w:tcPr>
            <w:tcW w:w="903" w:type="dxa"/>
            <w:noWrap/>
            <w:vAlign w:val="center"/>
            <w:hideMark/>
          </w:tcPr>
          <w:p w14:paraId="5DAB10D5" w14:textId="77777777" w:rsidR="00243E71" w:rsidRPr="004A6259" w:rsidRDefault="00243E71" w:rsidP="00D557FA">
            <w:pPr>
              <w:contextualSpacing/>
              <w:jc w:val="center"/>
              <w:rPr>
                <w:rFonts w:ascii="Arial" w:hAnsi="Arial" w:cs="Arial"/>
                <w:b/>
                <w:bCs/>
                <w:lang w:val="en-GB" w:eastAsia="en-IN"/>
              </w:rPr>
            </w:pPr>
            <w:r w:rsidRPr="004A6259">
              <w:rPr>
                <w:rFonts w:ascii="Arial" w:hAnsi="Arial" w:cs="Arial"/>
                <w:b/>
                <w:bCs/>
                <w:lang w:val="en-GB" w:eastAsia="en-IN"/>
              </w:rPr>
              <w:t>2017</w:t>
            </w:r>
          </w:p>
        </w:tc>
        <w:tc>
          <w:tcPr>
            <w:tcW w:w="984" w:type="dxa"/>
            <w:noWrap/>
            <w:vAlign w:val="center"/>
            <w:hideMark/>
          </w:tcPr>
          <w:p w14:paraId="06B1AFF9" w14:textId="77777777" w:rsidR="00243E71" w:rsidRPr="004A6259" w:rsidRDefault="00243E71" w:rsidP="00814188">
            <w:pPr>
              <w:contextualSpacing/>
              <w:jc w:val="center"/>
              <w:rPr>
                <w:rFonts w:ascii="Arial" w:hAnsi="Arial" w:cs="Arial"/>
                <w:b/>
                <w:bCs/>
                <w:lang w:val="en-GB" w:eastAsia="en-IN"/>
              </w:rPr>
            </w:pPr>
            <w:r w:rsidRPr="004A6259">
              <w:rPr>
                <w:rFonts w:ascii="Arial" w:hAnsi="Arial" w:cs="Arial"/>
                <w:b/>
                <w:bCs/>
                <w:lang w:val="en-GB" w:eastAsia="en-IN"/>
              </w:rPr>
              <w:t>2018</w:t>
            </w:r>
          </w:p>
        </w:tc>
      </w:tr>
      <w:tr w:rsidR="00243E71" w:rsidRPr="004A6259" w14:paraId="667011DA" w14:textId="77777777" w:rsidTr="00D51D9E">
        <w:trPr>
          <w:trHeight w:val="21"/>
          <w:tblHeader/>
          <w:jc w:val="center"/>
        </w:trPr>
        <w:tc>
          <w:tcPr>
            <w:tcW w:w="3791" w:type="dxa"/>
            <w:noWrap/>
            <w:vAlign w:val="center"/>
            <w:hideMark/>
          </w:tcPr>
          <w:p w14:paraId="6766B8CF" w14:textId="7FB98908"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 xml:space="preserve">Revenue from </w:t>
            </w:r>
            <w:r>
              <w:rPr>
                <w:rFonts w:ascii="Arial" w:hAnsi="Arial" w:cs="Arial"/>
                <w:lang w:val="en-GB" w:eastAsia="en-IN"/>
              </w:rPr>
              <w:t>Operations</w:t>
            </w:r>
          </w:p>
        </w:tc>
        <w:tc>
          <w:tcPr>
            <w:tcW w:w="1064" w:type="dxa"/>
            <w:noWrap/>
            <w:vAlign w:val="center"/>
          </w:tcPr>
          <w:p w14:paraId="6ACCBE14"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5,182,338</w:t>
            </w:r>
          </w:p>
        </w:tc>
        <w:tc>
          <w:tcPr>
            <w:tcW w:w="903" w:type="dxa"/>
            <w:noWrap/>
            <w:vAlign w:val="center"/>
          </w:tcPr>
          <w:p w14:paraId="4BA50026"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10,756,748</w:t>
            </w:r>
          </w:p>
        </w:tc>
        <w:tc>
          <w:tcPr>
            <w:tcW w:w="984" w:type="dxa"/>
            <w:noWrap/>
            <w:vAlign w:val="center"/>
          </w:tcPr>
          <w:p w14:paraId="14038773"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24,747,474</w:t>
            </w:r>
          </w:p>
        </w:tc>
      </w:tr>
      <w:tr w:rsidR="00243E71" w:rsidRPr="004A6259" w14:paraId="1DD0B2B6" w14:textId="77777777" w:rsidTr="00D51D9E">
        <w:trPr>
          <w:trHeight w:val="21"/>
          <w:tblHeader/>
          <w:jc w:val="center"/>
        </w:trPr>
        <w:tc>
          <w:tcPr>
            <w:tcW w:w="3791" w:type="dxa"/>
            <w:noWrap/>
            <w:vAlign w:val="center"/>
            <w:hideMark/>
          </w:tcPr>
          <w:p w14:paraId="7469D88B" w14:textId="0BCAF4AA"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 xml:space="preserve">Other </w:t>
            </w:r>
            <w:r>
              <w:rPr>
                <w:rFonts w:ascii="Arial" w:hAnsi="Arial" w:cs="Arial"/>
                <w:lang w:val="en-GB" w:eastAsia="en-IN"/>
              </w:rPr>
              <w:t>Income</w:t>
            </w:r>
          </w:p>
        </w:tc>
        <w:tc>
          <w:tcPr>
            <w:tcW w:w="1064" w:type="dxa"/>
            <w:noWrap/>
            <w:vAlign w:val="center"/>
          </w:tcPr>
          <w:p w14:paraId="1BA55278"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192</w:t>
            </w:r>
          </w:p>
        </w:tc>
        <w:tc>
          <w:tcPr>
            <w:tcW w:w="903" w:type="dxa"/>
            <w:noWrap/>
            <w:vAlign w:val="center"/>
          </w:tcPr>
          <w:p w14:paraId="305996BE"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167,946</w:t>
            </w:r>
          </w:p>
        </w:tc>
        <w:tc>
          <w:tcPr>
            <w:tcW w:w="984" w:type="dxa"/>
            <w:noWrap/>
            <w:vAlign w:val="center"/>
          </w:tcPr>
          <w:p w14:paraId="77F8C5FF"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628,494</w:t>
            </w:r>
          </w:p>
        </w:tc>
      </w:tr>
      <w:tr w:rsidR="00243E71" w:rsidRPr="004A6259" w14:paraId="7B83FECC" w14:textId="77777777" w:rsidTr="00D51D9E">
        <w:trPr>
          <w:trHeight w:val="21"/>
          <w:tblHeader/>
          <w:jc w:val="center"/>
        </w:trPr>
        <w:tc>
          <w:tcPr>
            <w:tcW w:w="3791" w:type="dxa"/>
            <w:noWrap/>
            <w:vAlign w:val="center"/>
            <w:hideMark/>
          </w:tcPr>
          <w:p w14:paraId="6A64B952" w14:textId="77777777" w:rsidR="00243E71" w:rsidRPr="004A6259" w:rsidRDefault="00243E71" w:rsidP="00D00C0C">
            <w:pPr>
              <w:contextualSpacing/>
              <w:rPr>
                <w:rFonts w:ascii="Arial" w:hAnsi="Arial" w:cs="Arial"/>
                <w:b/>
                <w:bCs/>
                <w:lang w:val="en-GB" w:eastAsia="en-IN"/>
              </w:rPr>
            </w:pPr>
            <w:r w:rsidRPr="004A6259">
              <w:rPr>
                <w:rFonts w:ascii="Arial" w:hAnsi="Arial" w:cs="Arial"/>
                <w:b/>
                <w:bCs/>
                <w:lang w:val="en-GB" w:eastAsia="en-IN"/>
              </w:rPr>
              <w:t>Total Income</w:t>
            </w:r>
          </w:p>
        </w:tc>
        <w:tc>
          <w:tcPr>
            <w:tcW w:w="1064" w:type="dxa"/>
            <w:noWrap/>
            <w:vAlign w:val="center"/>
          </w:tcPr>
          <w:p w14:paraId="35266A63"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5,182,530</w:t>
            </w:r>
          </w:p>
        </w:tc>
        <w:tc>
          <w:tcPr>
            <w:tcW w:w="903" w:type="dxa"/>
            <w:noWrap/>
            <w:vAlign w:val="center"/>
          </w:tcPr>
          <w:p w14:paraId="1DCC2B83"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10,924,694</w:t>
            </w:r>
          </w:p>
        </w:tc>
        <w:tc>
          <w:tcPr>
            <w:tcW w:w="984" w:type="dxa"/>
            <w:noWrap/>
            <w:vAlign w:val="center"/>
          </w:tcPr>
          <w:p w14:paraId="3CAE085F"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25,375,968</w:t>
            </w:r>
          </w:p>
        </w:tc>
      </w:tr>
      <w:tr w:rsidR="00243E71" w:rsidRPr="004A6259" w14:paraId="12EA17C4" w14:textId="77777777" w:rsidTr="00D51D9E">
        <w:trPr>
          <w:trHeight w:val="21"/>
          <w:tblHeader/>
          <w:jc w:val="center"/>
        </w:trPr>
        <w:tc>
          <w:tcPr>
            <w:tcW w:w="3791" w:type="dxa"/>
            <w:noWrap/>
            <w:vAlign w:val="center"/>
            <w:hideMark/>
          </w:tcPr>
          <w:p w14:paraId="11D2D398" w14:textId="77777777" w:rsidR="00243E71" w:rsidRPr="004A6259" w:rsidRDefault="00243E71" w:rsidP="00D00C0C">
            <w:pPr>
              <w:contextualSpacing/>
              <w:rPr>
                <w:rFonts w:ascii="Arial" w:hAnsi="Arial" w:cs="Arial"/>
                <w:i/>
                <w:lang w:val="en-GB" w:eastAsia="en-IN"/>
              </w:rPr>
            </w:pPr>
            <w:r w:rsidRPr="004A6259">
              <w:rPr>
                <w:rFonts w:ascii="Arial" w:hAnsi="Arial" w:cs="Arial"/>
                <w:i/>
                <w:lang w:val="en-GB" w:eastAsia="en-IN"/>
              </w:rPr>
              <w:t>Expenditure</w:t>
            </w:r>
          </w:p>
        </w:tc>
        <w:tc>
          <w:tcPr>
            <w:tcW w:w="1064" w:type="dxa"/>
            <w:noWrap/>
            <w:vAlign w:val="center"/>
          </w:tcPr>
          <w:p w14:paraId="600C2EE1" w14:textId="77777777" w:rsidR="00243E71" w:rsidRPr="004A6259" w:rsidRDefault="00243E71" w:rsidP="00AE7298">
            <w:pPr>
              <w:contextualSpacing/>
              <w:jc w:val="right"/>
              <w:rPr>
                <w:rFonts w:ascii="Arial" w:hAnsi="Arial" w:cs="Arial"/>
                <w:lang w:val="en-GB" w:eastAsia="en-IN"/>
              </w:rPr>
            </w:pPr>
          </w:p>
        </w:tc>
        <w:tc>
          <w:tcPr>
            <w:tcW w:w="903" w:type="dxa"/>
            <w:noWrap/>
            <w:vAlign w:val="center"/>
          </w:tcPr>
          <w:p w14:paraId="4E6F6493" w14:textId="77777777" w:rsidR="00243E71" w:rsidRPr="004A6259" w:rsidRDefault="00243E71" w:rsidP="00AE7298">
            <w:pPr>
              <w:contextualSpacing/>
              <w:jc w:val="right"/>
              <w:rPr>
                <w:rFonts w:ascii="Arial" w:hAnsi="Arial" w:cs="Arial"/>
                <w:lang w:val="en-GB" w:eastAsia="en-IN"/>
              </w:rPr>
            </w:pPr>
          </w:p>
        </w:tc>
        <w:tc>
          <w:tcPr>
            <w:tcW w:w="984" w:type="dxa"/>
            <w:noWrap/>
            <w:vAlign w:val="center"/>
          </w:tcPr>
          <w:p w14:paraId="22723864" w14:textId="77777777" w:rsidR="00243E71" w:rsidRPr="004A6259" w:rsidRDefault="00243E71" w:rsidP="00AE7298">
            <w:pPr>
              <w:contextualSpacing/>
              <w:jc w:val="right"/>
              <w:rPr>
                <w:rFonts w:ascii="Arial" w:hAnsi="Arial" w:cs="Arial"/>
                <w:lang w:val="en-GB" w:eastAsia="en-IN"/>
              </w:rPr>
            </w:pPr>
          </w:p>
        </w:tc>
      </w:tr>
      <w:tr w:rsidR="00243E71" w:rsidRPr="004A6259" w14:paraId="16DA21CA" w14:textId="77777777" w:rsidTr="00D51D9E">
        <w:trPr>
          <w:trHeight w:val="21"/>
          <w:tblHeader/>
          <w:jc w:val="center"/>
        </w:trPr>
        <w:tc>
          <w:tcPr>
            <w:tcW w:w="3791" w:type="dxa"/>
            <w:noWrap/>
            <w:vAlign w:val="center"/>
            <w:hideMark/>
          </w:tcPr>
          <w:p w14:paraId="399E7FF6" w14:textId="0418E1DF"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 xml:space="preserve">Change in </w:t>
            </w:r>
            <w:r>
              <w:rPr>
                <w:rFonts w:ascii="Arial" w:hAnsi="Arial" w:cs="Arial"/>
                <w:lang w:val="en-GB" w:eastAsia="en-IN"/>
              </w:rPr>
              <w:t>Inventory</w:t>
            </w:r>
          </w:p>
        </w:tc>
        <w:tc>
          <w:tcPr>
            <w:tcW w:w="1064" w:type="dxa"/>
            <w:noWrap/>
            <w:vAlign w:val="center"/>
          </w:tcPr>
          <w:p w14:paraId="109FDE55"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(949,950)</w:t>
            </w:r>
          </w:p>
        </w:tc>
        <w:tc>
          <w:tcPr>
            <w:tcW w:w="903" w:type="dxa"/>
            <w:noWrap/>
            <w:vAlign w:val="center"/>
          </w:tcPr>
          <w:p w14:paraId="60210DD0"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(1,049,594)</w:t>
            </w:r>
          </w:p>
        </w:tc>
        <w:tc>
          <w:tcPr>
            <w:tcW w:w="984" w:type="dxa"/>
            <w:noWrap/>
            <w:vAlign w:val="center"/>
          </w:tcPr>
          <w:p w14:paraId="6F1BC179"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(2,631,724)</w:t>
            </w:r>
          </w:p>
        </w:tc>
      </w:tr>
      <w:tr w:rsidR="00243E71" w:rsidRPr="004A6259" w14:paraId="4CB5CDE0" w14:textId="77777777" w:rsidTr="00D51D9E">
        <w:trPr>
          <w:trHeight w:val="21"/>
          <w:tblHeader/>
          <w:jc w:val="center"/>
        </w:trPr>
        <w:tc>
          <w:tcPr>
            <w:tcW w:w="3791" w:type="dxa"/>
            <w:noWrap/>
            <w:vAlign w:val="center"/>
            <w:hideMark/>
          </w:tcPr>
          <w:p w14:paraId="494F0C56" w14:textId="499DDFC2"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 xml:space="preserve">Cost of </w:t>
            </w:r>
            <w:r>
              <w:rPr>
                <w:rFonts w:ascii="Arial" w:hAnsi="Arial" w:cs="Arial"/>
                <w:lang w:val="en-GB" w:eastAsia="en-IN"/>
              </w:rPr>
              <w:t>Material Consumed</w:t>
            </w:r>
          </w:p>
        </w:tc>
        <w:tc>
          <w:tcPr>
            <w:tcW w:w="1064" w:type="dxa"/>
            <w:noWrap/>
            <w:vAlign w:val="center"/>
          </w:tcPr>
          <w:p w14:paraId="789923CB"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3,019,699</w:t>
            </w:r>
          </w:p>
        </w:tc>
        <w:tc>
          <w:tcPr>
            <w:tcW w:w="903" w:type="dxa"/>
            <w:noWrap/>
            <w:vAlign w:val="center"/>
          </w:tcPr>
          <w:p w14:paraId="25FF19CF"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5,030,017</w:t>
            </w:r>
          </w:p>
        </w:tc>
        <w:tc>
          <w:tcPr>
            <w:tcW w:w="984" w:type="dxa"/>
            <w:noWrap/>
            <w:vAlign w:val="center"/>
          </w:tcPr>
          <w:p w14:paraId="468DE5CD"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13,807,073</w:t>
            </w:r>
          </w:p>
        </w:tc>
      </w:tr>
      <w:tr w:rsidR="00243E71" w:rsidRPr="004A6259" w14:paraId="2A5033A9" w14:textId="77777777" w:rsidTr="00D51D9E">
        <w:trPr>
          <w:trHeight w:val="21"/>
          <w:tblHeader/>
          <w:jc w:val="center"/>
        </w:trPr>
        <w:tc>
          <w:tcPr>
            <w:tcW w:w="3791" w:type="dxa"/>
            <w:noWrap/>
            <w:vAlign w:val="center"/>
            <w:hideMark/>
          </w:tcPr>
          <w:p w14:paraId="75A7F37F" w14:textId="489DF4B6"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 xml:space="preserve">Financial </w:t>
            </w:r>
            <w:r>
              <w:rPr>
                <w:rFonts w:ascii="Arial" w:hAnsi="Arial" w:cs="Arial"/>
                <w:lang w:val="en-GB" w:eastAsia="en-IN"/>
              </w:rPr>
              <w:t>Cost</w:t>
            </w:r>
          </w:p>
        </w:tc>
        <w:tc>
          <w:tcPr>
            <w:tcW w:w="1064" w:type="dxa"/>
            <w:noWrap/>
            <w:vAlign w:val="center"/>
          </w:tcPr>
          <w:p w14:paraId="47354945"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9,182</w:t>
            </w:r>
          </w:p>
        </w:tc>
        <w:tc>
          <w:tcPr>
            <w:tcW w:w="903" w:type="dxa"/>
            <w:noWrap/>
            <w:vAlign w:val="center"/>
          </w:tcPr>
          <w:p w14:paraId="6248B8E7"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9,637</w:t>
            </w:r>
          </w:p>
        </w:tc>
        <w:tc>
          <w:tcPr>
            <w:tcW w:w="984" w:type="dxa"/>
            <w:noWrap/>
            <w:vAlign w:val="center"/>
          </w:tcPr>
          <w:p w14:paraId="1AEA51C8"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34,568</w:t>
            </w:r>
          </w:p>
        </w:tc>
      </w:tr>
      <w:tr w:rsidR="00243E71" w:rsidRPr="004A6259" w14:paraId="307CB65D" w14:textId="77777777" w:rsidTr="00D51D9E">
        <w:trPr>
          <w:trHeight w:val="21"/>
          <w:tblHeader/>
          <w:jc w:val="center"/>
        </w:trPr>
        <w:tc>
          <w:tcPr>
            <w:tcW w:w="3791" w:type="dxa"/>
            <w:noWrap/>
            <w:vAlign w:val="center"/>
            <w:hideMark/>
          </w:tcPr>
          <w:p w14:paraId="61DA913E" w14:textId="6EC1BEC9"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 xml:space="preserve">Employee </w:t>
            </w:r>
            <w:r>
              <w:rPr>
                <w:rFonts w:ascii="Arial" w:hAnsi="Arial" w:cs="Arial"/>
                <w:lang w:val="en-GB" w:eastAsia="en-IN"/>
              </w:rPr>
              <w:t>Benefit Expenses</w:t>
            </w:r>
          </w:p>
        </w:tc>
        <w:tc>
          <w:tcPr>
            <w:tcW w:w="1064" w:type="dxa"/>
            <w:noWrap/>
            <w:vAlign w:val="center"/>
          </w:tcPr>
          <w:p w14:paraId="1902CFDE"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1,515,758</w:t>
            </w:r>
          </w:p>
        </w:tc>
        <w:tc>
          <w:tcPr>
            <w:tcW w:w="903" w:type="dxa"/>
            <w:noWrap/>
            <w:vAlign w:val="center"/>
          </w:tcPr>
          <w:p w14:paraId="1BED310C"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5,045,867</w:t>
            </w:r>
          </w:p>
        </w:tc>
        <w:tc>
          <w:tcPr>
            <w:tcW w:w="984" w:type="dxa"/>
            <w:noWrap/>
            <w:vAlign w:val="center"/>
          </w:tcPr>
          <w:p w14:paraId="757F5214"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12,435,918</w:t>
            </w:r>
          </w:p>
        </w:tc>
      </w:tr>
      <w:tr w:rsidR="00243E71" w:rsidRPr="004A6259" w14:paraId="2E89F3F5" w14:textId="77777777" w:rsidTr="00D51D9E">
        <w:trPr>
          <w:trHeight w:val="21"/>
          <w:tblHeader/>
          <w:jc w:val="center"/>
        </w:trPr>
        <w:tc>
          <w:tcPr>
            <w:tcW w:w="3791" w:type="dxa"/>
            <w:noWrap/>
            <w:vAlign w:val="center"/>
            <w:hideMark/>
          </w:tcPr>
          <w:p w14:paraId="3B6CD33F" w14:textId="19C1089A"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 xml:space="preserve">Operational and </w:t>
            </w:r>
            <w:r>
              <w:rPr>
                <w:rFonts w:ascii="Arial" w:hAnsi="Arial" w:cs="Arial"/>
                <w:lang w:val="en-GB" w:eastAsia="en-IN"/>
              </w:rPr>
              <w:t>Other Expenses</w:t>
            </w:r>
          </w:p>
        </w:tc>
        <w:tc>
          <w:tcPr>
            <w:tcW w:w="1064" w:type="dxa"/>
            <w:noWrap/>
            <w:vAlign w:val="center"/>
          </w:tcPr>
          <w:p w14:paraId="58F0D9F9"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1,697,501</w:t>
            </w:r>
          </w:p>
        </w:tc>
        <w:tc>
          <w:tcPr>
            <w:tcW w:w="903" w:type="dxa"/>
            <w:noWrap/>
            <w:vAlign w:val="center"/>
          </w:tcPr>
          <w:p w14:paraId="2AE7073D"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4,,584,776</w:t>
            </w:r>
          </w:p>
        </w:tc>
        <w:tc>
          <w:tcPr>
            <w:tcW w:w="984" w:type="dxa"/>
            <w:noWrap/>
            <w:vAlign w:val="center"/>
          </w:tcPr>
          <w:p w14:paraId="7C0D8A92"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18,009,803</w:t>
            </w:r>
          </w:p>
        </w:tc>
      </w:tr>
      <w:tr w:rsidR="00243E71" w:rsidRPr="004A6259" w14:paraId="7156D7C9" w14:textId="77777777" w:rsidTr="00D51D9E">
        <w:trPr>
          <w:trHeight w:val="21"/>
          <w:tblHeader/>
          <w:jc w:val="center"/>
        </w:trPr>
        <w:tc>
          <w:tcPr>
            <w:tcW w:w="3791" w:type="dxa"/>
            <w:noWrap/>
            <w:vAlign w:val="center"/>
            <w:hideMark/>
          </w:tcPr>
          <w:p w14:paraId="7D60CDA6" w14:textId="77777777"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 xml:space="preserve">Depreciation </w:t>
            </w:r>
          </w:p>
        </w:tc>
        <w:tc>
          <w:tcPr>
            <w:tcW w:w="1064" w:type="dxa"/>
            <w:noWrap/>
            <w:vAlign w:val="center"/>
          </w:tcPr>
          <w:p w14:paraId="05BE5CBC"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9,455</w:t>
            </w:r>
          </w:p>
        </w:tc>
        <w:tc>
          <w:tcPr>
            <w:tcW w:w="903" w:type="dxa"/>
            <w:noWrap/>
            <w:vAlign w:val="center"/>
          </w:tcPr>
          <w:p w14:paraId="72F83C7C"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43,070</w:t>
            </w:r>
          </w:p>
        </w:tc>
        <w:tc>
          <w:tcPr>
            <w:tcW w:w="984" w:type="dxa"/>
            <w:noWrap/>
            <w:vAlign w:val="center"/>
          </w:tcPr>
          <w:p w14:paraId="383556FC"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424,157</w:t>
            </w:r>
          </w:p>
        </w:tc>
      </w:tr>
      <w:tr w:rsidR="00243E71" w:rsidRPr="004A6259" w14:paraId="4797D88E" w14:textId="77777777" w:rsidTr="00D51D9E">
        <w:trPr>
          <w:trHeight w:val="21"/>
          <w:tblHeader/>
          <w:jc w:val="center"/>
        </w:trPr>
        <w:tc>
          <w:tcPr>
            <w:tcW w:w="3791" w:type="dxa"/>
            <w:noWrap/>
            <w:vAlign w:val="center"/>
            <w:hideMark/>
          </w:tcPr>
          <w:p w14:paraId="2BA13CD9" w14:textId="77777777" w:rsidR="00243E71" w:rsidRPr="004A6259" w:rsidRDefault="00243E71" w:rsidP="00D00C0C">
            <w:pPr>
              <w:contextualSpacing/>
              <w:rPr>
                <w:rFonts w:ascii="Arial" w:hAnsi="Arial" w:cs="Arial"/>
                <w:b/>
                <w:bCs/>
                <w:lang w:val="en-GB" w:eastAsia="en-IN"/>
              </w:rPr>
            </w:pPr>
            <w:r w:rsidRPr="004A6259">
              <w:rPr>
                <w:rFonts w:ascii="Arial" w:hAnsi="Arial" w:cs="Arial"/>
                <w:b/>
                <w:bCs/>
                <w:lang w:val="en-GB" w:eastAsia="en-IN"/>
              </w:rPr>
              <w:t>Total Expenses</w:t>
            </w:r>
          </w:p>
        </w:tc>
        <w:tc>
          <w:tcPr>
            <w:tcW w:w="1064" w:type="dxa"/>
            <w:noWrap/>
            <w:vAlign w:val="center"/>
          </w:tcPr>
          <w:p w14:paraId="63A80A00"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5,301,645</w:t>
            </w:r>
          </w:p>
        </w:tc>
        <w:tc>
          <w:tcPr>
            <w:tcW w:w="903" w:type="dxa"/>
            <w:noWrap/>
            <w:vAlign w:val="center"/>
          </w:tcPr>
          <w:p w14:paraId="4094928B"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13,663,773</w:t>
            </w:r>
          </w:p>
        </w:tc>
        <w:tc>
          <w:tcPr>
            <w:tcW w:w="984" w:type="dxa"/>
            <w:noWrap/>
            <w:vAlign w:val="center"/>
          </w:tcPr>
          <w:p w14:paraId="1EC6B198"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42,079,795</w:t>
            </w:r>
          </w:p>
        </w:tc>
      </w:tr>
      <w:tr w:rsidR="00243E71" w:rsidRPr="004A6259" w14:paraId="2A663A9D" w14:textId="77777777" w:rsidTr="00D51D9E">
        <w:trPr>
          <w:trHeight w:val="21"/>
          <w:tblHeader/>
          <w:jc w:val="center"/>
        </w:trPr>
        <w:tc>
          <w:tcPr>
            <w:tcW w:w="3791" w:type="dxa"/>
            <w:noWrap/>
            <w:vAlign w:val="center"/>
            <w:hideMark/>
          </w:tcPr>
          <w:p w14:paraId="275B8C3D" w14:textId="1D73BEDC" w:rsidR="00243E71" w:rsidRPr="004A6259" w:rsidRDefault="00243E71" w:rsidP="00D00C0C">
            <w:pPr>
              <w:contextualSpacing/>
              <w:rPr>
                <w:rFonts w:ascii="Arial" w:hAnsi="Arial" w:cs="Arial"/>
                <w:b/>
                <w:bCs/>
                <w:lang w:val="en-GB" w:eastAsia="en-IN"/>
              </w:rPr>
            </w:pPr>
            <w:r w:rsidRPr="004A6259">
              <w:rPr>
                <w:rFonts w:ascii="Arial" w:hAnsi="Arial" w:cs="Arial"/>
                <w:b/>
                <w:bCs/>
                <w:lang w:val="en-GB" w:eastAsia="en-IN"/>
              </w:rPr>
              <w:t xml:space="preserve">Profit before </w:t>
            </w:r>
            <w:r>
              <w:rPr>
                <w:rFonts w:ascii="Arial" w:hAnsi="Arial" w:cs="Arial"/>
                <w:b/>
                <w:bCs/>
                <w:lang w:val="en-GB" w:eastAsia="en-IN"/>
              </w:rPr>
              <w:t>Tax</w:t>
            </w:r>
            <w:r w:rsidRPr="004A6259">
              <w:rPr>
                <w:rFonts w:ascii="Arial" w:hAnsi="Arial" w:cs="Arial"/>
                <w:b/>
                <w:bCs/>
                <w:lang w:val="en-GB" w:eastAsia="en-IN"/>
              </w:rPr>
              <w:t xml:space="preserve"> </w:t>
            </w:r>
          </w:p>
        </w:tc>
        <w:tc>
          <w:tcPr>
            <w:tcW w:w="1064" w:type="dxa"/>
            <w:noWrap/>
            <w:vAlign w:val="center"/>
          </w:tcPr>
          <w:p w14:paraId="7E1FD307"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(119,115)</w:t>
            </w:r>
          </w:p>
        </w:tc>
        <w:tc>
          <w:tcPr>
            <w:tcW w:w="903" w:type="dxa"/>
            <w:noWrap/>
            <w:vAlign w:val="center"/>
          </w:tcPr>
          <w:p w14:paraId="25EFAFB3"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(2,739,079)</w:t>
            </w:r>
          </w:p>
        </w:tc>
        <w:tc>
          <w:tcPr>
            <w:tcW w:w="984" w:type="dxa"/>
            <w:noWrap/>
            <w:vAlign w:val="center"/>
          </w:tcPr>
          <w:p w14:paraId="77343F1D"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(16,703,827)</w:t>
            </w:r>
          </w:p>
        </w:tc>
      </w:tr>
      <w:tr w:rsidR="00243E71" w:rsidRPr="004A6259" w14:paraId="0B582362" w14:textId="77777777" w:rsidTr="00D51D9E">
        <w:trPr>
          <w:trHeight w:val="21"/>
          <w:tblHeader/>
          <w:jc w:val="center"/>
        </w:trPr>
        <w:tc>
          <w:tcPr>
            <w:tcW w:w="3791" w:type="dxa"/>
            <w:noWrap/>
            <w:vAlign w:val="center"/>
            <w:hideMark/>
          </w:tcPr>
          <w:p w14:paraId="2EE37546" w14:textId="7C6DB943" w:rsidR="00243E71" w:rsidRPr="004A6259" w:rsidRDefault="00243E71" w:rsidP="00D00C0C">
            <w:pPr>
              <w:contextualSpacing/>
              <w:rPr>
                <w:rFonts w:ascii="Arial" w:hAnsi="Arial" w:cs="Arial"/>
                <w:b/>
                <w:lang w:val="en-GB" w:eastAsia="en-IN"/>
              </w:rPr>
            </w:pPr>
            <w:r w:rsidRPr="004A6259">
              <w:rPr>
                <w:rFonts w:ascii="Arial" w:hAnsi="Arial" w:cs="Arial"/>
                <w:b/>
                <w:lang w:val="en-GB" w:eastAsia="en-IN"/>
              </w:rPr>
              <w:t xml:space="preserve">Tax </w:t>
            </w:r>
            <w:r>
              <w:rPr>
                <w:rFonts w:ascii="Arial" w:hAnsi="Arial" w:cs="Arial"/>
                <w:b/>
                <w:lang w:val="en-GB" w:eastAsia="en-IN"/>
              </w:rPr>
              <w:t>Expense</w:t>
            </w:r>
          </w:p>
        </w:tc>
        <w:tc>
          <w:tcPr>
            <w:tcW w:w="1064" w:type="dxa"/>
            <w:noWrap/>
            <w:vAlign w:val="center"/>
          </w:tcPr>
          <w:p w14:paraId="6716C8E8" w14:textId="77777777" w:rsidR="00243E71" w:rsidRPr="004A6259" w:rsidRDefault="00243E71" w:rsidP="00AE7298">
            <w:pPr>
              <w:contextualSpacing/>
              <w:jc w:val="right"/>
              <w:rPr>
                <w:rFonts w:ascii="Arial" w:hAnsi="Arial" w:cs="Arial"/>
                <w:lang w:val="en-GB" w:eastAsia="en-IN"/>
              </w:rPr>
            </w:pPr>
          </w:p>
        </w:tc>
        <w:tc>
          <w:tcPr>
            <w:tcW w:w="903" w:type="dxa"/>
            <w:noWrap/>
            <w:vAlign w:val="center"/>
          </w:tcPr>
          <w:p w14:paraId="70265B3F" w14:textId="77777777" w:rsidR="00243E71" w:rsidRPr="004A6259" w:rsidRDefault="00243E71" w:rsidP="00AE7298">
            <w:pPr>
              <w:contextualSpacing/>
              <w:jc w:val="right"/>
              <w:rPr>
                <w:rFonts w:ascii="Arial" w:hAnsi="Arial" w:cs="Arial"/>
                <w:lang w:val="en-GB" w:eastAsia="en-IN"/>
              </w:rPr>
            </w:pPr>
          </w:p>
        </w:tc>
        <w:tc>
          <w:tcPr>
            <w:tcW w:w="984" w:type="dxa"/>
            <w:noWrap/>
            <w:vAlign w:val="center"/>
          </w:tcPr>
          <w:p w14:paraId="0A878078" w14:textId="77777777" w:rsidR="00243E71" w:rsidRPr="004A6259" w:rsidRDefault="00243E71" w:rsidP="00AE7298">
            <w:pPr>
              <w:contextualSpacing/>
              <w:jc w:val="right"/>
              <w:rPr>
                <w:rFonts w:ascii="Arial" w:hAnsi="Arial" w:cs="Arial"/>
                <w:lang w:val="en-GB" w:eastAsia="en-IN"/>
              </w:rPr>
            </w:pPr>
          </w:p>
        </w:tc>
      </w:tr>
      <w:tr w:rsidR="00243E71" w:rsidRPr="004A6259" w14:paraId="127BFB44" w14:textId="77777777" w:rsidTr="00D51D9E">
        <w:trPr>
          <w:trHeight w:val="21"/>
          <w:tblHeader/>
          <w:jc w:val="center"/>
        </w:trPr>
        <w:tc>
          <w:tcPr>
            <w:tcW w:w="3791" w:type="dxa"/>
            <w:noWrap/>
            <w:vAlign w:val="center"/>
            <w:hideMark/>
          </w:tcPr>
          <w:p w14:paraId="4F522B63" w14:textId="18693A26"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 xml:space="preserve">Current </w:t>
            </w:r>
            <w:r>
              <w:rPr>
                <w:rFonts w:ascii="Arial" w:hAnsi="Arial" w:cs="Arial"/>
                <w:lang w:val="en-GB" w:eastAsia="en-IN"/>
              </w:rPr>
              <w:t>Tax</w:t>
            </w:r>
          </w:p>
        </w:tc>
        <w:tc>
          <w:tcPr>
            <w:tcW w:w="1064" w:type="dxa"/>
            <w:noWrap/>
            <w:vAlign w:val="center"/>
          </w:tcPr>
          <w:p w14:paraId="1E574511" w14:textId="4C5B40AF" w:rsidR="00243E71" w:rsidRPr="004A6259" w:rsidRDefault="00243E71" w:rsidP="00901C27">
            <w:pPr>
              <w:contextualSpacing/>
              <w:jc w:val="right"/>
              <w:rPr>
                <w:rFonts w:ascii="Arial" w:hAnsi="Arial" w:cs="Arial"/>
                <w:lang w:val="en-GB" w:eastAsia="en-IN"/>
              </w:rPr>
            </w:pPr>
          </w:p>
        </w:tc>
        <w:tc>
          <w:tcPr>
            <w:tcW w:w="903" w:type="dxa"/>
            <w:noWrap/>
            <w:vAlign w:val="center"/>
          </w:tcPr>
          <w:p w14:paraId="15015753" w14:textId="63CD5463" w:rsidR="00243E71" w:rsidRPr="004A6259" w:rsidRDefault="00243E71" w:rsidP="00901C27">
            <w:pPr>
              <w:contextualSpacing/>
              <w:jc w:val="right"/>
              <w:rPr>
                <w:rFonts w:ascii="Arial" w:hAnsi="Arial" w:cs="Arial"/>
                <w:lang w:val="en-GB" w:eastAsia="en-IN"/>
              </w:rPr>
            </w:pPr>
          </w:p>
        </w:tc>
        <w:tc>
          <w:tcPr>
            <w:tcW w:w="984" w:type="dxa"/>
            <w:noWrap/>
            <w:vAlign w:val="center"/>
          </w:tcPr>
          <w:p w14:paraId="6F7FBCD4" w14:textId="3049ADAE" w:rsidR="00243E71" w:rsidRPr="004A6259" w:rsidRDefault="00243E71" w:rsidP="00901C27">
            <w:pPr>
              <w:contextualSpacing/>
              <w:jc w:val="right"/>
              <w:rPr>
                <w:rFonts w:ascii="Arial" w:hAnsi="Arial" w:cs="Arial"/>
                <w:lang w:val="en-GB" w:eastAsia="en-IN"/>
              </w:rPr>
            </w:pPr>
          </w:p>
        </w:tc>
      </w:tr>
      <w:tr w:rsidR="00243E71" w:rsidRPr="004A6259" w14:paraId="33242100" w14:textId="77777777" w:rsidTr="00D51D9E">
        <w:trPr>
          <w:trHeight w:val="21"/>
          <w:tblHeader/>
          <w:jc w:val="center"/>
        </w:trPr>
        <w:tc>
          <w:tcPr>
            <w:tcW w:w="3791" w:type="dxa"/>
            <w:noWrap/>
            <w:vAlign w:val="center"/>
            <w:hideMark/>
          </w:tcPr>
          <w:p w14:paraId="3963290F" w14:textId="17E8928F" w:rsidR="00243E71" w:rsidRPr="004A6259" w:rsidRDefault="00243E71" w:rsidP="00D00C0C">
            <w:pPr>
              <w:contextualSpacing/>
              <w:rPr>
                <w:rFonts w:ascii="Arial" w:hAnsi="Arial" w:cs="Arial"/>
                <w:lang w:val="en-GB" w:eastAsia="en-IN"/>
              </w:rPr>
            </w:pPr>
            <w:r w:rsidRPr="004A6259">
              <w:rPr>
                <w:rFonts w:ascii="Arial" w:hAnsi="Arial" w:cs="Arial"/>
                <w:lang w:val="en-GB" w:eastAsia="en-IN"/>
              </w:rPr>
              <w:t xml:space="preserve">Deferred </w:t>
            </w:r>
            <w:r>
              <w:rPr>
                <w:rFonts w:ascii="Arial" w:hAnsi="Arial" w:cs="Arial"/>
                <w:lang w:val="en-GB" w:eastAsia="en-IN"/>
              </w:rPr>
              <w:t>Tax</w:t>
            </w:r>
          </w:p>
        </w:tc>
        <w:tc>
          <w:tcPr>
            <w:tcW w:w="1064" w:type="dxa"/>
            <w:noWrap/>
            <w:vAlign w:val="center"/>
          </w:tcPr>
          <w:p w14:paraId="2C2AF79F"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590</w:t>
            </w:r>
          </w:p>
        </w:tc>
        <w:tc>
          <w:tcPr>
            <w:tcW w:w="903" w:type="dxa"/>
            <w:noWrap/>
            <w:vAlign w:val="center"/>
          </w:tcPr>
          <w:p w14:paraId="076A5A12"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16,193</w:t>
            </w:r>
          </w:p>
        </w:tc>
        <w:tc>
          <w:tcPr>
            <w:tcW w:w="984" w:type="dxa"/>
            <w:noWrap/>
            <w:vAlign w:val="center"/>
          </w:tcPr>
          <w:p w14:paraId="160E06B6"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(16,718)</w:t>
            </w:r>
          </w:p>
        </w:tc>
      </w:tr>
      <w:tr w:rsidR="00243E71" w:rsidRPr="004A6259" w14:paraId="61113CF4" w14:textId="77777777" w:rsidTr="00D51D9E">
        <w:trPr>
          <w:trHeight w:val="21"/>
          <w:tblHeader/>
          <w:jc w:val="center"/>
        </w:trPr>
        <w:tc>
          <w:tcPr>
            <w:tcW w:w="3791" w:type="dxa"/>
            <w:noWrap/>
            <w:vAlign w:val="center"/>
            <w:hideMark/>
          </w:tcPr>
          <w:p w14:paraId="0C12CF46" w14:textId="504B27C1" w:rsidR="00243E71" w:rsidRPr="004A6259" w:rsidRDefault="00243E71" w:rsidP="00D00C0C">
            <w:pPr>
              <w:contextualSpacing/>
              <w:rPr>
                <w:rFonts w:ascii="Arial" w:hAnsi="Arial" w:cs="Arial"/>
                <w:b/>
                <w:bCs/>
                <w:lang w:val="en-GB" w:eastAsia="en-IN"/>
              </w:rPr>
            </w:pPr>
            <w:r w:rsidRPr="004A6259">
              <w:rPr>
                <w:rFonts w:ascii="Arial" w:hAnsi="Arial" w:cs="Arial"/>
                <w:b/>
                <w:bCs/>
                <w:lang w:val="en-GB" w:eastAsia="en-IN"/>
              </w:rPr>
              <w:t xml:space="preserve">Profit for the </w:t>
            </w:r>
            <w:r>
              <w:rPr>
                <w:rFonts w:ascii="Arial" w:hAnsi="Arial" w:cs="Arial"/>
                <w:b/>
                <w:bCs/>
                <w:lang w:val="en-GB" w:eastAsia="en-IN"/>
              </w:rPr>
              <w:t>Year</w:t>
            </w:r>
            <w:r w:rsidRPr="004A6259">
              <w:rPr>
                <w:rFonts w:ascii="Arial" w:hAnsi="Arial" w:cs="Arial"/>
                <w:b/>
                <w:bCs/>
                <w:lang w:val="en-GB" w:eastAsia="en-IN"/>
              </w:rPr>
              <w:t xml:space="preserve"> </w:t>
            </w:r>
          </w:p>
        </w:tc>
        <w:tc>
          <w:tcPr>
            <w:tcW w:w="1064" w:type="dxa"/>
            <w:noWrap/>
            <w:vAlign w:val="center"/>
          </w:tcPr>
          <w:p w14:paraId="48A674D7"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(119,705)</w:t>
            </w:r>
          </w:p>
        </w:tc>
        <w:tc>
          <w:tcPr>
            <w:tcW w:w="903" w:type="dxa"/>
            <w:noWrap/>
            <w:vAlign w:val="center"/>
          </w:tcPr>
          <w:p w14:paraId="34DD2FBA"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(2,755,272)</w:t>
            </w:r>
          </w:p>
        </w:tc>
        <w:tc>
          <w:tcPr>
            <w:tcW w:w="984" w:type="dxa"/>
            <w:noWrap/>
            <w:vAlign w:val="center"/>
          </w:tcPr>
          <w:p w14:paraId="247CC152" w14:textId="77777777" w:rsidR="00243E71" w:rsidRPr="004A6259" w:rsidRDefault="00243E71" w:rsidP="00AE7298">
            <w:pPr>
              <w:contextualSpacing/>
              <w:jc w:val="right"/>
              <w:rPr>
                <w:rFonts w:ascii="Arial" w:hAnsi="Arial" w:cs="Arial"/>
                <w:b/>
                <w:lang w:val="en-GB" w:eastAsia="en-IN"/>
              </w:rPr>
            </w:pPr>
            <w:r w:rsidRPr="004A6259">
              <w:rPr>
                <w:rFonts w:ascii="Arial" w:hAnsi="Arial" w:cs="Arial"/>
                <w:b/>
                <w:lang w:val="en-GB"/>
              </w:rPr>
              <w:t>(16,687,109)</w:t>
            </w:r>
          </w:p>
        </w:tc>
      </w:tr>
      <w:tr w:rsidR="00243E71" w:rsidRPr="004A6259" w14:paraId="58A637A3" w14:textId="77777777" w:rsidTr="00D51D9E">
        <w:trPr>
          <w:trHeight w:val="21"/>
          <w:tblHeader/>
          <w:jc w:val="center"/>
        </w:trPr>
        <w:tc>
          <w:tcPr>
            <w:tcW w:w="3791" w:type="dxa"/>
            <w:noWrap/>
            <w:vAlign w:val="center"/>
            <w:hideMark/>
          </w:tcPr>
          <w:p w14:paraId="6D5C587F" w14:textId="6E40EC9B" w:rsidR="00243E71" w:rsidRPr="004A6259" w:rsidRDefault="00243E71" w:rsidP="00D00C0C">
            <w:pPr>
              <w:contextualSpacing/>
              <w:rPr>
                <w:rFonts w:ascii="Arial" w:hAnsi="Arial" w:cs="Arial"/>
                <w:lang w:val="en-GB" w:eastAsia="en-IN"/>
              </w:rPr>
            </w:pPr>
            <w:r>
              <w:rPr>
                <w:rFonts w:ascii="Arial" w:hAnsi="Arial" w:cs="Arial"/>
                <w:lang w:val="en-GB" w:eastAsia="en-IN"/>
              </w:rPr>
              <w:t>Earnings per Share</w:t>
            </w:r>
          </w:p>
        </w:tc>
        <w:tc>
          <w:tcPr>
            <w:tcW w:w="1064" w:type="dxa"/>
            <w:noWrap/>
            <w:vAlign w:val="center"/>
          </w:tcPr>
          <w:p w14:paraId="0ABBE3A5"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(24)</w:t>
            </w:r>
          </w:p>
        </w:tc>
        <w:tc>
          <w:tcPr>
            <w:tcW w:w="903" w:type="dxa"/>
            <w:noWrap/>
            <w:vAlign w:val="center"/>
          </w:tcPr>
          <w:p w14:paraId="6518ECCF" w14:textId="77777777"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(501)</w:t>
            </w:r>
          </w:p>
        </w:tc>
        <w:tc>
          <w:tcPr>
            <w:tcW w:w="984" w:type="dxa"/>
            <w:noWrap/>
            <w:vAlign w:val="center"/>
          </w:tcPr>
          <w:p w14:paraId="0841A010" w14:textId="17010042" w:rsidR="00243E71" w:rsidRPr="004A6259" w:rsidRDefault="00243E71" w:rsidP="00AE7298">
            <w:pPr>
              <w:contextualSpacing/>
              <w:jc w:val="right"/>
              <w:rPr>
                <w:rFonts w:ascii="Arial" w:hAnsi="Arial" w:cs="Arial"/>
                <w:lang w:val="en-GB" w:eastAsia="en-IN"/>
              </w:rPr>
            </w:pPr>
            <w:r w:rsidRPr="004A6259">
              <w:rPr>
                <w:rFonts w:ascii="Arial" w:hAnsi="Arial" w:cs="Arial"/>
                <w:lang w:val="en-GB"/>
              </w:rPr>
              <w:t>(2</w:t>
            </w:r>
            <w:r>
              <w:rPr>
                <w:rFonts w:ascii="Arial" w:hAnsi="Arial" w:cs="Arial"/>
                <w:lang w:val="en-GB"/>
              </w:rPr>
              <w:t>,</w:t>
            </w:r>
            <w:r w:rsidRPr="004A6259">
              <w:rPr>
                <w:rFonts w:ascii="Arial" w:hAnsi="Arial" w:cs="Arial"/>
                <w:lang w:val="en-GB"/>
              </w:rPr>
              <w:t>509)</w:t>
            </w:r>
          </w:p>
        </w:tc>
      </w:tr>
    </w:tbl>
    <w:p w14:paraId="57D7E0BC" w14:textId="77777777" w:rsidR="00243E71" w:rsidRPr="004A6259" w:rsidRDefault="00243E71" w:rsidP="00B955A7">
      <w:pPr>
        <w:jc w:val="both"/>
        <w:rPr>
          <w:rFonts w:ascii="Arial" w:hAnsi="Arial" w:cs="Arial"/>
          <w:sz w:val="17"/>
          <w:szCs w:val="17"/>
          <w:lang w:val="en-GB"/>
        </w:rPr>
      </w:pPr>
    </w:p>
    <w:p w14:paraId="4D22A1CF" w14:textId="1FD075D3" w:rsidR="00243E71" w:rsidRDefault="00243E71" w:rsidP="00B955A7">
      <w:pPr>
        <w:pStyle w:val="Footnote"/>
        <w:rPr>
          <w:lang w:val="en-GB"/>
        </w:rPr>
      </w:pPr>
      <w:r>
        <w:rPr>
          <w:lang w:val="en-GB"/>
        </w:rPr>
        <w:t>Note:</w:t>
      </w:r>
      <w:r w:rsidRPr="00ED1192">
        <w:t xml:space="preserve"> </w:t>
      </w:r>
      <w:r w:rsidRPr="00ED1192">
        <w:rPr>
          <w:lang w:val="en-GB"/>
        </w:rPr>
        <w:t>₹ = INR = Indian rupee</w:t>
      </w:r>
      <w:r>
        <w:rPr>
          <w:lang w:val="en-GB"/>
        </w:rPr>
        <w:t>.</w:t>
      </w:r>
    </w:p>
    <w:p w14:paraId="7BB16066" w14:textId="65F86DC5" w:rsidR="00243E71" w:rsidRPr="004A6259" w:rsidRDefault="00243E71" w:rsidP="00B955A7">
      <w:pPr>
        <w:pStyle w:val="Footnote"/>
        <w:rPr>
          <w:lang w:val="en-GB"/>
        </w:rPr>
      </w:pPr>
      <w:r w:rsidRPr="004A6259">
        <w:rPr>
          <w:lang w:val="en-GB"/>
        </w:rPr>
        <w:t xml:space="preserve">Source: </w:t>
      </w:r>
      <w:r w:rsidR="001D04ED">
        <w:rPr>
          <w:lang w:val="en-GB"/>
        </w:rPr>
        <w:t>Company files.</w:t>
      </w:r>
    </w:p>
    <w:p w14:paraId="5ECC1061" w14:textId="12A8B861" w:rsidR="00243E71" w:rsidRPr="004A6259" w:rsidRDefault="00243E71" w:rsidP="00B955A7">
      <w:pPr>
        <w:jc w:val="both"/>
        <w:rPr>
          <w:rFonts w:ascii="Arial" w:hAnsi="Arial" w:cs="Arial"/>
          <w:b/>
          <w:caps/>
          <w:lang w:val="en-GB"/>
        </w:rPr>
      </w:pPr>
    </w:p>
    <w:p w14:paraId="6DB60C52" w14:textId="77777777" w:rsidR="00243E71" w:rsidRPr="004A6259" w:rsidRDefault="00243E71" w:rsidP="00B955A7">
      <w:pPr>
        <w:jc w:val="both"/>
        <w:rPr>
          <w:rFonts w:ascii="Arial" w:hAnsi="Arial" w:cs="Arial"/>
          <w:b/>
          <w:caps/>
          <w:lang w:val="en-GB"/>
        </w:rPr>
      </w:pPr>
    </w:p>
    <w:p w14:paraId="559D45A9" w14:textId="731B0E52" w:rsidR="00243E71" w:rsidRPr="004A6259" w:rsidRDefault="00243E71" w:rsidP="00B955A7">
      <w:pPr>
        <w:jc w:val="center"/>
        <w:rPr>
          <w:rFonts w:ascii="Arial" w:hAnsi="Arial" w:cs="Arial"/>
          <w:b/>
          <w:lang w:val="en-GB"/>
        </w:rPr>
      </w:pPr>
      <w:r w:rsidRPr="004A6259">
        <w:rPr>
          <w:rFonts w:ascii="Arial" w:hAnsi="Arial" w:cs="Arial"/>
          <w:b/>
          <w:caps/>
          <w:lang w:val="en-GB"/>
        </w:rPr>
        <w:t xml:space="preserve">Exhibit </w:t>
      </w:r>
      <w:r>
        <w:rPr>
          <w:rFonts w:ascii="Arial" w:hAnsi="Arial" w:cs="Arial"/>
          <w:b/>
          <w:caps/>
          <w:lang w:val="en-GB"/>
        </w:rPr>
        <w:t>4:</w:t>
      </w:r>
      <w:r w:rsidRPr="004A6259">
        <w:rPr>
          <w:rFonts w:ascii="Arial" w:hAnsi="Arial" w:cs="Arial"/>
          <w:b/>
          <w:caps/>
          <w:lang w:val="en-GB"/>
        </w:rPr>
        <w:t xml:space="preserve"> </w:t>
      </w:r>
      <w:r w:rsidRPr="004A6259">
        <w:rPr>
          <w:rFonts w:ascii="Arial" w:hAnsi="Arial" w:cs="Arial"/>
          <w:b/>
          <w:lang w:val="en-GB"/>
        </w:rPr>
        <w:t>SIRONA HYGIENE</w:t>
      </w:r>
      <w:r>
        <w:rPr>
          <w:rFonts w:ascii="Arial" w:hAnsi="Arial" w:cs="Arial"/>
          <w:b/>
          <w:lang w:val="en-GB"/>
        </w:rPr>
        <w:t>,</w:t>
      </w:r>
      <w:r w:rsidRPr="004A6259">
        <w:rPr>
          <w:rFonts w:ascii="Arial" w:hAnsi="Arial" w:cs="Arial"/>
          <w:b/>
          <w:lang w:val="en-GB"/>
        </w:rPr>
        <w:t xml:space="preserve"> VISION AND MISSION</w:t>
      </w:r>
    </w:p>
    <w:p w14:paraId="0D8637DE" w14:textId="77777777" w:rsidR="00243E71" w:rsidRPr="004A6259" w:rsidRDefault="00243E71" w:rsidP="00B955A7">
      <w:pPr>
        <w:jc w:val="center"/>
        <w:rPr>
          <w:rFonts w:ascii="Arial" w:hAnsi="Arial" w:cs="Arial"/>
          <w:b/>
          <w:lang w:val="en-GB"/>
        </w:rPr>
      </w:pPr>
    </w:p>
    <w:p w14:paraId="711A0075" w14:textId="77777777" w:rsidR="00243E71" w:rsidRPr="004A6259" w:rsidRDefault="00243E71" w:rsidP="00B955A7">
      <w:pPr>
        <w:tabs>
          <w:tab w:val="left" w:pos="0"/>
        </w:tabs>
        <w:jc w:val="center"/>
        <w:rPr>
          <w:rFonts w:ascii="Arial" w:hAnsi="Arial" w:cs="Arial"/>
          <w:lang w:val="en-GB"/>
        </w:rPr>
      </w:pPr>
      <w:r w:rsidRPr="004A6259">
        <w:rPr>
          <w:rFonts w:ascii="Arial" w:hAnsi="Arial" w:cs="Arial"/>
          <w:b/>
          <w:bCs/>
          <w:lang w:val="en-GB"/>
        </w:rPr>
        <w:t>Vision</w:t>
      </w:r>
      <w:r w:rsidRPr="00AE7298">
        <w:rPr>
          <w:rFonts w:ascii="Arial" w:hAnsi="Arial" w:cs="Arial"/>
          <w:lang w:val="en-GB"/>
        </w:rPr>
        <w:t xml:space="preserve">: </w:t>
      </w:r>
      <w:r w:rsidRPr="004A6259">
        <w:rPr>
          <w:rFonts w:ascii="Arial" w:hAnsi="Arial" w:cs="Arial"/>
          <w:lang w:val="en-GB"/>
        </w:rPr>
        <w:t>To break the stigma around intimate hygiene and redefine femininity for modern times.</w:t>
      </w:r>
    </w:p>
    <w:p w14:paraId="0D908D48" w14:textId="77777777" w:rsidR="00243E71" w:rsidRPr="004A6259" w:rsidRDefault="00243E71" w:rsidP="00B955A7">
      <w:pPr>
        <w:tabs>
          <w:tab w:val="left" w:pos="0"/>
        </w:tabs>
        <w:jc w:val="center"/>
        <w:rPr>
          <w:rFonts w:ascii="Arial" w:hAnsi="Arial" w:cs="Arial"/>
          <w:lang w:val="en-GB"/>
        </w:rPr>
      </w:pPr>
    </w:p>
    <w:p w14:paraId="7D88B189" w14:textId="46DDD214" w:rsidR="00243E71" w:rsidRPr="004A6259" w:rsidRDefault="00243E71" w:rsidP="00B955A7">
      <w:pPr>
        <w:jc w:val="center"/>
        <w:rPr>
          <w:rFonts w:ascii="Arial" w:hAnsi="Arial" w:cs="Arial"/>
          <w:lang w:val="en-GB"/>
        </w:rPr>
      </w:pPr>
      <w:r w:rsidRPr="004A6259">
        <w:rPr>
          <w:rFonts w:ascii="Arial" w:hAnsi="Arial" w:cs="Arial"/>
          <w:b/>
          <w:bCs/>
          <w:lang w:val="en-GB"/>
        </w:rPr>
        <w:t>Mission</w:t>
      </w:r>
      <w:r w:rsidRPr="00AE7298">
        <w:rPr>
          <w:rFonts w:ascii="Arial" w:hAnsi="Arial" w:cs="Arial"/>
          <w:lang w:val="en-GB"/>
        </w:rPr>
        <w:t>:</w:t>
      </w:r>
      <w:r w:rsidRPr="004A6259">
        <w:rPr>
          <w:rFonts w:ascii="Arial" w:hAnsi="Arial" w:cs="Arial"/>
          <w:b/>
          <w:bCs/>
          <w:lang w:val="en-GB"/>
        </w:rPr>
        <w:t xml:space="preserve"> </w:t>
      </w:r>
      <w:r w:rsidRPr="004A6259">
        <w:rPr>
          <w:rFonts w:ascii="Arial" w:hAnsi="Arial" w:cs="Arial"/>
          <w:lang w:val="en-GB"/>
        </w:rPr>
        <w:t xml:space="preserve">To impact our customers’ </w:t>
      </w:r>
      <w:r>
        <w:rPr>
          <w:rFonts w:ascii="Arial" w:hAnsi="Arial" w:cs="Arial"/>
          <w:lang w:val="en-GB"/>
        </w:rPr>
        <w:t>lives</w:t>
      </w:r>
      <w:r w:rsidRPr="004A6259">
        <w:rPr>
          <w:rFonts w:ascii="Arial" w:hAnsi="Arial" w:cs="Arial"/>
          <w:lang w:val="en-GB"/>
        </w:rPr>
        <w:t xml:space="preserve"> positively by solving unaddressed intimate </w:t>
      </w:r>
      <w:r>
        <w:rPr>
          <w:rFonts w:ascii="Arial" w:hAnsi="Arial" w:cs="Arial"/>
          <w:lang w:val="en-GB"/>
        </w:rPr>
        <w:t>and menstrual</w:t>
      </w:r>
      <w:r w:rsidRPr="004A6259">
        <w:rPr>
          <w:rFonts w:ascii="Arial" w:hAnsi="Arial" w:cs="Arial"/>
          <w:lang w:val="en-GB"/>
        </w:rPr>
        <w:t xml:space="preserve"> hygiene issues with our innovative </w:t>
      </w:r>
      <w:r>
        <w:rPr>
          <w:rFonts w:ascii="Arial" w:hAnsi="Arial" w:cs="Arial"/>
          <w:lang w:val="en-GB"/>
        </w:rPr>
        <w:t>and</w:t>
      </w:r>
      <w:r w:rsidRPr="004A6259">
        <w:rPr>
          <w:rFonts w:ascii="Arial" w:hAnsi="Arial" w:cs="Arial"/>
          <w:lang w:val="en-GB"/>
        </w:rPr>
        <w:t xml:space="preserve"> sustainable products. With this we aim to grow </w:t>
      </w:r>
      <w:r>
        <w:rPr>
          <w:rFonts w:ascii="Arial" w:hAnsi="Arial" w:cs="Arial"/>
          <w:lang w:val="en-GB"/>
        </w:rPr>
        <w:t>three times</w:t>
      </w:r>
      <w:r w:rsidRPr="004A6259">
        <w:rPr>
          <w:rFonts w:ascii="Arial" w:hAnsi="Arial" w:cs="Arial"/>
          <w:lang w:val="en-GB"/>
        </w:rPr>
        <w:t xml:space="preserve"> by 2022.</w:t>
      </w:r>
    </w:p>
    <w:p w14:paraId="2FD097F4" w14:textId="77777777" w:rsidR="00243E71" w:rsidRPr="004A6259" w:rsidRDefault="00243E71" w:rsidP="00B955A7">
      <w:pPr>
        <w:jc w:val="center"/>
        <w:rPr>
          <w:rFonts w:ascii="Arial" w:hAnsi="Arial" w:cs="Arial"/>
          <w:sz w:val="17"/>
          <w:szCs w:val="17"/>
          <w:lang w:val="en-GB"/>
        </w:rPr>
      </w:pPr>
    </w:p>
    <w:p w14:paraId="000FBF52" w14:textId="340F7E3F" w:rsidR="00243E71" w:rsidRPr="004A6259" w:rsidRDefault="00243E71" w:rsidP="00B955A7">
      <w:pPr>
        <w:pStyle w:val="Footnote"/>
        <w:rPr>
          <w:lang w:val="en-GB"/>
        </w:rPr>
      </w:pPr>
      <w:r w:rsidRPr="004A6259">
        <w:rPr>
          <w:lang w:val="en-GB"/>
        </w:rPr>
        <w:t xml:space="preserve">Source: Company </w:t>
      </w:r>
      <w:r w:rsidR="001D04ED">
        <w:rPr>
          <w:lang w:val="en-GB"/>
        </w:rPr>
        <w:t>files.</w:t>
      </w:r>
    </w:p>
    <w:p w14:paraId="772B6BA7" w14:textId="70624447" w:rsidR="00243E71" w:rsidRPr="004A6259" w:rsidRDefault="00243E71" w:rsidP="00B955A7">
      <w:pPr>
        <w:pStyle w:val="ExhibitHeading"/>
        <w:rPr>
          <w:lang w:val="en-GB"/>
        </w:rPr>
      </w:pPr>
    </w:p>
    <w:p w14:paraId="04E2536E" w14:textId="77777777" w:rsidR="00243E71" w:rsidRPr="004A6259" w:rsidRDefault="00243E71" w:rsidP="00B955A7">
      <w:pPr>
        <w:pStyle w:val="ExhibitHeading"/>
        <w:rPr>
          <w:lang w:val="en-GB"/>
        </w:rPr>
      </w:pPr>
    </w:p>
    <w:p w14:paraId="57CDCEB8" w14:textId="3453FF40" w:rsidR="00243E71" w:rsidRPr="004A6259" w:rsidRDefault="00243E71" w:rsidP="00B955A7">
      <w:pPr>
        <w:jc w:val="center"/>
        <w:rPr>
          <w:rFonts w:ascii="Arial" w:hAnsi="Arial" w:cs="Arial"/>
          <w:b/>
          <w:caps/>
          <w:lang w:val="en-GB"/>
        </w:rPr>
      </w:pPr>
      <w:r w:rsidRPr="004A6259">
        <w:rPr>
          <w:rFonts w:ascii="Arial" w:hAnsi="Arial" w:cs="Arial"/>
          <w:b/>
          <w:caps/>
          <w:lang w:val="en-GB"/>
        </w:rPr>
        <w:t xml:space="preserve">Exhibit </w:t>
      </w:r>
      <w:r>
        <w:rPr>
          <w:rFonts w:ascii="Arial" w:hAnsi="Arial" w:cs="Arial"/>
          <w:b/>
          <w:caps/>
          <w:lang w:val="en-GB"/>
        </w:rPr>
        <w:t>5</w:t>
      </w:r>
      <w:r w:rsidRPr="004A6259">
        <w:rPr>
          <w:rFonts w:ascii="Arial" w:hAnsi="Arial" w:cs="Arial"/>
          <w:b/>
          <w:caps/>
          <w:lang w:val="en-GB"/>
        </w:rPr>
        <w:t xml:space="preserve">: PEEBUDDY Product RANGE </w:t>
      </w:r>
    </w:p>
    <w:p w14:paraId="060543D5" w14:textId="77777777" w:rsidR="00243E71" w:rsidRPr="004A6259" w:rsidRDefault="00243E71" w:rsidP="00B955A7">
      <w:pPr>
        <w:jc w:val="center"/>
        <w:rPr>
          <w:rFonts w:ascii="Arial" w:hAnsi="Arial" w:cs="Arial"/>
          <w:b/>
          <w:caps/>
          <w:lang w:val="en-GB"/>
        </w:rPr>
      </w:pPr>
    </w:p>
    <w:tbl>
      <w:tblPr>
        <w:tblStyle w:val="TableGrid"/>
        <w:tblW w:w="8995" w:type="dxa"/>
        <w:jc w:val="center"/>
        <w:tblLook w:val="04A0" w:firstRow="1" w:lastRow="0" w:firstColumn="1" w:lastColumn="0" w:noHBand="0" w:noVBand="1"/>
        <w:tblCaption w:val="EXHIBIT 5: PEEBUDDY PRODUCT RANGE"/>
        <w:tblDescription w:val="Product, SKU Information and Price (₹)"/>
      </w:tblPr>
      <w:tblGrid>
        <w:gridCol w:w="2695"/>
        <w:gridCol w:w="4770"/>
        <w:gridCol w:w="1530"/>
      </w:tblGrid>
      <w:tr w:rsidR="00243E71" w:rsidRPr="004A6259" w14:paraId="18FF630C" w14:textId="77777777" w:rsidTr="00D51D9E">
        <w:trPr>
          <w:trHeight w:val="20"/>
          <w:tblHeader/>
          <w:jc w:val="center"/>
        </w:trPr>
        <w:tc>
          <w:tcPr>
            <w:tcW w:w="2695" w:type="dxa"/>
            <w:vAlign w:val="center"/>
          </w:tcPr>
          <w:p w14:paraId="0D80436F" w14:textId="15740734" w:rsidR="00243E71" w:rsidRPr="00402298" w:rsidRDefault="00243E71" w:rsidP="00AE7298">
            <w:pPr>
              <w:rPr>
                <w:rFonts w:ascii="Arial" w:hAnsi="Arial" w:cs="Arial"/>
                <w:b/>
                <w:bCs/>
                <w:i/>
                <w:caps/>
                <w:lang w:val="en-GB"/>
              </w:rPr>
            </w:pPr>
            <w:r w:rsidRPr="00402298">
              <w:rPr>
                <w:rFonts w:ascii="Arial" w:hAnsi="Arial" w:cs="Arial"/>
                <w:b/>
                <w:bCs/>
                <w:i/>
                <w:lang w:val="en-GB"/>
              </w:rPr>
              <w:t>Product</w:t>
            </w:r>
          </w:p>
        </w:tc>
        <w:tc>
          <w:tcPr>
            <w:tcW w:w="4770" w:type="dxa"/>
            <w:vAlign w:val="center"/>
          </w:tcPr>
          <w:p w14:paraId="0CA7C3F5" w14:textId="77777777" w:rsidR="00243E71" w:rsidRPr="004A6259" w:rsidRDefault="00243E71" w:rsidP="00AE7298">
            <w:pPr>
              <w:jc w:val="center"/>
              <w:rPr>
                <w:rFonts w:ascii="Arial" w:hAnsi="Arial" w:cs="Arial"/>
                <w:b/>
                <w:bCs/>
                <w:caps/>
                <w:lang w:val="en-GB"/>
              </w:rPr>
            </w:pPr>
            <w:r w:rsidRPr="004A6259">
              <w:rPr>
                <w:rFonts w:ascii="Arial" w:hAnsi="Arial" w:cs="Arial"/>
                <w:b/>
                <w:bCs/>
                <w:lang w:val="en-GB"/>
              </w:rPr>
              <w:t>SKU Information</w:t>
            </w:r>
          </w:p>
        </w:tc>
        <w:tc>
          <w:tcPr>
            <w:tcW w:w="1530" w:type="dxa"/>
            <w:vAlign w:val="center"/>
          </w:tcPr>
          <w:p w14:paraId="1B153E2F" w14:textId="77777777" w:rsidR="00243E71" w:rsidRPr="004A6259" w:rsidRDefault="00243E71" w:rsidP="00AE7298">
            <w:pPr>
              <w:jc w:val="center"/>
              <w:rPr>
                <w:rFonts w:ascii="Arial" w:hAnsi="Arial" w:cs="Arial"/>
                <w:b/>
                <w:bCs/>
                <w:caps/>
                <w:lang w:val="en-GB"/>
              </w:rPr>
            </w:pPr>
            <w:r w:rsidRPr="004A6259">
              <w:rPr>
                <w:rFonts w:ascii="Arial" w:hAnsi="Arial" w:cs="Arial"/>
                <w:b/>
                <w:bCs/>
                <w:lang w:val="en-GB"/>
              </w:rPr>
              <w:t xml:space="preserve">Price </w:t>
            </w:r>
            <w:r w:rsidRPr="004A6259">
              <w:rPr>
                <w:rFonts w:ascii="Arial" w:hAnsi="Arial" w:cs="Arial"/>
                <w:b/>
                <w:caps/>
                <w:lang w:val="en-GB"/>
              </w:rPr>
              <w:t>( ₹)</w:t>
            </w:r>
          </w:p>
        </w:tc>
      </w:tr>
      <w:tr w:rsidR="00243E71" w:rsidRPr="004A6259" w14:paraId="2BB1C8E1" w14:textId="77777777" w:rsidTr="00D51D9E">
        <w:trPr>
          <w:trHeight w:val="20"/>
          <w:tblHeader/>
          <w:jc w:val="center"/>
        </w:trPr>
        <w:tc>
          <w:tcPr>
            <w:tcW w:w="2695" w:type="dxa"/>
            <w:vAlign w:val="center"/>
          </w:tcPr>
          <w:p w14:paraId="1B423CE2" w14:textId="1F451E46" w:rsidR="00243E71" w:rsidRPr="004A6259" w:rsidRDefault="00243E71" w:rsidP="00AE7298">
            <w:pPr>
              <w:rPr>
                <w:rFonts w:ascii="Arial" w:hAnsi="Arial" w:cs="Arial"/>
                <w:b/>
                <w:caps/>
                <w:lang w:val="en-GB"/>
              </w:rPr>
            </w:pPr>
            <w:r w:rsidRPr="004A6259">
              <w:rPr>
                <w:rFonts w:ascii="Arial" w:hAnsi="Arial" w:cs="Arial"/>
                <w:lang w:val="en-GB"/>
              </w:rPr>
              <w:t xml:space="preserve">Foldable </w:t>
            </w:r>
            <w:r>
              <w:rPr>
                <w:rFonts w:ascii="Arial" w:hAnsi="Arial" w:cs="Arial"/>
                <w:lang w:val="en-GB"/>
              </w:rPr>
              <w:t>Female Urination</w:t>
            </w:r>
            <w:r w:rsidRPr="004A6259">
              <w:rPr>
                <w:rFonts w:ascii="Arial" w:hAnsi="Arial" w:cs="Arial"/>
                <w:lang w:val="en-GB"/>
              </w:rPr>
              <w:t xml:space="preserve"> Device</w:t>
            </w:r>
          </w:p>
        </w:tc>
        <w:tc>
          <w:tcPr>
            <w:tcW w:w="4770" w:type="dxa"/>
            <w:vAlign w:val="center"/>
          </w:tcPr>
          <w:p w14:paraId="572667FE" w14:textId="52807E64" w:rsidR="00243E71" w:rsidRPr="004A6259" w:rsidRDefault="00243E71" w:rsidP="00AE7298">
            <w:pPr>
              <w:rPr>
                <w:rFonts w:ascii="Arial" w:hAnsi="Arial" w:cs="Arial"/>
                <w:b/>
                <w:caps/>
                <w:lang w:val="en-GB"/>
              </w:rPr>
            </w:pPr>
            <w:r w:rsidRPr="004A6259">
              <w:rPr>
                <w:rFonts w:ascii="Arial" w:hAnsi="Arial" w:cs="Arial"/>
                <w:lang w:val="en-GB"/>
              </w:rPr>
              <w:t>Packs of 5</w:t>
            </w:r>
            <w:r>
              <w:rPr>
                <w:rFonts w:ascii="Arial" w:hAnsi="Arial" w:cs="Arial"/>
                <w:lang w:val="en-GB"/>
              </w:rPr>
              <w:t xml:space="preserve">, </w:t>
            </w:r>
            <w:r w:rsidRPr="004A6259">
              <w:rPr>
                <w:rFonts w:ascii="Arial" w:hAnsi="Arial" w:cs="Arial"/>
                <w:lang w:val="en-GB"/>
              </w:rPr>
              <w:t>10</w:t>
            </w:r>
            <w:r>
              <w:rPr>
                <w:rFonts w:ascii="Arial" w:hAnsi="Arial" w:cs="Arial"/>
                <w:lang w:val="en-GB"/>
              </w:rPr>
              <w:t>,</w:t>
            </w:r>
            <w:r w:rsidRPr="004A6259">
              <w:rPr>
                <w:rFonts w:ascii="Arial" w:hAnsi="Arial" w:cs="Arial"/>
                <w:lang w:val="en-GB"/>
              </w:rPr>
              <w:t xml:space="preserve"> 20</w:t>
            </w:r>
            <w:r>
              <w:rPr>
                <w:rFonts w:ascii="Arial" w:hAnsi="Arial" w:cs="Arial"/>
                <w:lang w:val="en-GB"/>
              </w:rPr>
              <w:t>,</w:t>
            </w:r>
            <w:r w:rsidRPr="004A6259">
              <w:rPr>
                <w:rFonts w:ascii="Arial" w:hAnsi="Arial" w:cs="Arial"/>
                <w:lang w:val="en-GB"/>
              </w:rPr>
              <w:t xml:space="preserve"> 40</w:t>
            </w:r>
            <w:r>
              <w:rPr>
                <w:rFonts w:ascii="Arial" w:hAnsi="Arial" w:cs="Arial"/>
                <w:lang w:val="en-GB"/>
              </w:rPr>
              <w:t>, and</w:t>
            </w:r>
            <w:r w:rsidRPr="004A6259">
              <w:rPr>
                <w:rFonts w:ascii="Arial" w:hAnsi="Arial" w:cs="Arial"/>
                <w:lang w:val="en-GB"/>
              </w:rPr>
              <w:t xml:space="preserve"> 80 units</w:t>
            </w:r>
          </w:p>
        </w:tc>
        <w:tc>
          <w:tcPr>
            <w:tcW w:w="1530" w:type="dxa"/>
            <w:vAlign w:val="center"/>
          </w:tcPr>
          <w:p w14:paraId="77705675" w14:textId="267D93ED" w:rsidR="00243E71" w:rsidRPr="004A6259" w:rsidRDefault="00243E71" w:rsidP="00AE7298">
            <w:pPr>
              <w:jc w:val="right"/>
              <w:rPr>
                <w:rFonts w:ascii="Arial" w:hAnsi="Arial" w:cs="Arial"/>
                <w:b/>
                <w:caps/>
                <w:lang w:val="en-GB"/>
              </w:rPr>
            </w:pPr>
            <w:r w:rsidRPr="004A6259">
              <w:rPr>
                <w:rFonts w:ascii="Arial" w:hAnsi="Arial" w:cs="Arial"/>
                <w:lang w:val="en-GB"/>
              </w:rPr>
              <w:t>120</w:t>
            </w:r>
            <w:r>
              <w:rPr>
                <w:rFonts w:ascii="Arial" w:hAnsi="Arial" w:cs="Arial"/>
                <w:lang w:val="en-GB"/>
              </w:rPr>
              <w:t>–</w:t>
            </w:r>
            <w:r w:rsidRPr="004A6259">
              <w:rPr>
                <w:rFonts w:ascii="Arial" w:hAnsi="Arial" w:cs="Arial"/>
                <w:lang w:val="en-GB"/>
              </w:rPr>
              <w:t>1</w:t>
            </w:r>
            <w:r>
              <w:rPr>
                <w:rFonts w:ascii="Arial" w:hAnsi="Arial" w:cs="Arial"/>
                <w:lang w:val="en-GB"/>
              </w:rPr>
              <w:t>,</w:t>
            </w:r>
            <w:r w:rsidRPr="004A6259">
              <w:rPr>
                <w:rFonts w:ascii="Arial" w:hAnsi="Arial" w:cs="Arial"/>
                <w:lang w:val="en-GB"/>
              </w:rPr>
              <w:t>250</w:t>
            </w:r>
          </w:p>
        </w:tc>
      </w:tr>
      <w:tr w:rsidR="00243E71" w:rsidRPr="004A6259" w14:paraId="3CC2C12B" w14:textId="77777777" w:rsidTr="00D51D9E">
        <w:trPr>
          <w:trHeight w:val="20"/>
          <w:tblHeader/>
          <w:jc w:val="center"/>
        </w:trPr>
        <w:tc>
          <w:tcPr>
            <w:tcW w:w="2695" w:type="dxa"/>
            <w:vAlign w:val="center"/>
          </w:tcPr>
          <w:p w14:paraId="5E743BAC" w14:textId="77777777" w:rsidR="00243E71" w:rsidRPr="004A6259" w:rsidRDefault="00243E71" w:rsidP="00AE7298">
            <w:pPr>
              <w:rPr>
                <w:rFonts w:ascii="Arial" w:hAnsi="Arial" w:cs="Arial"/>
                <w:b/>
                <w:caps/>
                <w:lang w:val="en-GB"/>
              </w:rPr>
            </w:pPr>
            <w:r w:rsidRPr="004A6259">
              <w:rPr>
                <w:rFonts w:ascii="Arial" w:hAnsi="Arial" w:cs="Arial"/>
                <w:lang w:val="en-GB"/>
              </w:rPr>
              <w:t>Reusable Urination Funnel</w:t>
            </w:r>
          </w:p>
        </w:tc>
        <w:tc>
          <w:tcPr>
            <w:tcW w:w="4770" w:type="dxa"/>
            <w:vAlign w:val="center"/>
          </w:tcPr>
          <w:p w14:paraId="2C2230D1" w14:textId="3AA0BD85" w:rsidR="00243E71" w:rsidRPr="004A6259" w:rsidRDefault="00243E71" w:rsidP="00AE7298">
            <w:pPr>
              <w:rPr>
                <w:rFonts w:ascii="Arial" w:hAnsi="Arial" w:cs="Arial"/>
                <w:b/>
                <w:caps/>
                <w:lang w:val="en-GB"/>
              </w:rPr>
            </w:pPr>
            <w:r w:rsidRPr="004A6259">
              <w:rPr>
                <w:rFonts w:ascii="Arial" w:hAnsi="Arial" w:cs="Arial"/>
                <w:lang w:val="en-GB"/>
              </w:rPr>
              <w:t>Single unit</w:t>
            </w:r>
          </w:p>
        </w:tc>
        <w:tc>
          <w:tcPr>
            <w:tcW w:w="1530" w:type="dxa"/>
            <w:vAlign w:val="center"/>
          </w:tcPr>
          <w:p w14:paraId="36B79B04" w14:textId="77777777" w:rsidR="00243E71" w:rsidRPr="004A6259" w:rsidRDefault="00243E71" w:rsidP="00AE7298">
            <w:pPr>
              <w:jc w:val="right"/>
              <w:rPr>
                <w:rFonts w:ascii="Arial" w:hAnsi="Arial" w:cs="Arial"/>
                <w:b/>
                <w:caps/>
                <w:lang w:val="en-GB"/>
              </w:rPr>
            </w:pPr>
            <w:r w:rsidRPr="004A6259">
              <w:rPr>
                <w:rFonts w:ascii="Arial" w:hAnsi="Arial" w:cs="Arial"/>
                <w:lang w:val="en-GB"/>
              </w:rPr>
              <w:t>275</w:t>
            </w:r>
          </w:p>
        </w:tc>
      </w:tr>
      <w:tr w:rsidR="00243E71" w:rsidRPr="004A6259" w14:paraId="0054FCD9" w14:textId="77777777" w:rsidTr="00D51D9E">
        <w:trPr>
          <w:trHeight w:val="20"/>
          <w:tblHeader/>
          <w:jc w:val="center"/>
        </w:trPr>
        <w:tc>
          <w:tcPr>
            <w:tcW w:w="2695" w:type="dxa"/>
            <w:vAlign w:val="center"/>
          </w:tcPr>
          <w:p w14:paraId="16796ADC" w14:textId="77777777" w:rsidR="00243E71" w:rsidRPr="004A6259" w:rsidRDefault="00243E71" w:rsidP="00AE7298">
            <w:pPr>
              <w:rPr>
                <w:rFonts w:ascii="Arial" w:hAnsi="Arial" w:cs="Arial"/>
                <w:b/>
                <w:caps/>
                <w:lang w:val="en-GB"/>
              </w:rPr>
            </w:pPr>
            <w:r w:rsidRPr="004A6259">
              <w:rPr>
                <w:rFonts w:ascii="Arial" w:hAnsi="Arial" w:cs="Arial"/>
                <w:lang w:val="en-GB"/>
              </w:rPr>
              <w:t>Travel Hygiene Kit</w:t>
            </w:r>
          </w:p>
        </w:tc>
        <w:tc>
          <w:tcPr>
            <w:tcW w:w="4770" w:type="dxa"/>
            <w:vAlign w:val="center"/>
          </w:tcPr>
          <w:p w14:paraId="4B054466" w14:textId="0066A775" w:rsidR="00243E71" w:rsidRPr="004A6259" w:rsidRDefault="00243E71" w:rsidP="00AE7298">
            <w:pPr>
              <w:rPr>
                <w:rFonts w:ascii="Arial" w:hAnsi="Arial" w:cs="Arial"/>
                <w:lang w:val="en-GB"/>
              </w:rPr>
            </w:pPr>
            <w:r w:rsidRPr="004A6259">
              <w:rPr>
                <w:rFonts w:ascii="Arial" w:hAnsi="Arial" w:cs="Arial"/>
                <w:lang w:val="en-GB"/>
              </w:rPr>
              <w:t xml:space="preserve">Standard </w:t>
            </w:r>
            <w:r>
              <w:rPr>
                <w:rFonts w:ascii="Arial" w:hAnsi="Arial" w:cs="Arial"/>
                <w:lang w:val="en-GB"/>
              </w:rPr>
              <w:t>pack</w:t>
            </w:r>
            <w:r w:rsidRPr="004A6259">
              <w:rPr>
                <w:rFonts w:ascii="Arial" w:hAnsi="Arial" w:cs="Arial"/>
                <w:lang w:val="en-GB"/>
              </w:rPr>
              <w:t xml:space="preserve">: </w:t>
            </w:r>
            <w:r>
              <w:rPr>
                <w:rFonts w:ascii="Arial" w:hAnsi="Arial" w:cs="Arial"/>
                <w:lang w:val="en-GB"/>
              </w:rPr>
              <w:t>An assortment</w:t>
            </w:r>
            <w:r w:rsidRPr="004A6259">
              <w:rPr>
                <w:rFonts w:ascii="Arial" w:hAnsi="Arial" w:cs="Arial"/>
                <w:lang w:val="en-GB"/>
              </w:rPr>
              <w:t xml:space="preserve"> of PeeBuddy, pain</w:t>
            </w:r>
            <w:r>
              <w:rPr>
                <w:rFonts w:ascii="Arial" w:hAnsi="Arial" w:cs="Arial"/>
                <w:lang w:val="en-GB"/>
              </w:rPr>
              <w:t>-relief</w:t>
            </w:r>
            <w:r w:rsidRPr="004A6259">
              <w:rPr>
                <w:rFonts w:ascii="Arial" w:hAnsi="Arial" w:cs="Arial"/>
                <w:lang w:val="en-GB"/>
              </w:rPr>
              <w:t xml:space="preserve"> patches, disposal bags, intimate wipes, underarm sweat pads, mosquito repellent patches</w:t>
            </w:r>
          </w:p>
          <w:p w14:paraId="241DEC07" w14:textId="0ED44FD7" w:rsidR="00243E71" w:rsidRPr="004A6259" w:rsidRDefault="00243E71" w:rsidP="00AE7298">
            <w:pPr>
              <w:rPr>
                <w:rFonts w:ascii="Arial" w:hAnsi="Arial" w:cs="Arial"/>
                <w:b/>
                <w:caps/>
                <w:lang w:val="en-GB"/>
              </w:rPr>
            </w:pPr>
            <w:r w:rsidRPr="004A6259">
              <w:rPr>
                <w:rFonts w:ascii="Arial" w:hAnsi="Arial" w:cs="Arial"/>
                <w:lang w:val="en-GB"/>
              </w:rPr>
              <w:t xml:space="preserve">Premium pack: </w:t>
            </w:r>
            <w:r>
              <w:rPr>
                <w:rFonts w:ascii="Arial" w:hAnsi="Arial" w:cs="Arial"/>
                <w:lang w:val="en-GB"/>
              </w:rPr>
              <w:t xml:space="preserve">All </w:t>
            </w:r>
            <w:r w:rsidRPr="004A6259">
              <w:rPr>
                <w:rFonts w:ascii="Arial" w:hAnsi="Arial" w:cs="Arial"/>
                <w:lang w:val="en-GB"/>
              </w:rPr>
              <w:t xml:space="preserve">of the above + </w:t>
            </w:r>
            <w:r>
              <w:rPr>
                <w:rFonts w:ascii="Arial" w:hAnsi="Arial" w:cs="Arial"/>
                <w:lang w:val="en-GB"/>
              </w:rPr>
              <w:t>multi-use</w:t>
            </w:r>
            <w:r w:rsidRPr="004A6259">
              <w:rPr>
                <w:rFonts w:ascii="Arial" w:hAnsi="Arial" w:cs="Arial"/>
                <w:lang w:val="en-GB"/>
              </w:rPr>
              <w:t xml:space="preserve"> wipes</w:t>
            </w:r>
          </w:p>
        </w:tc>
        <w:tc>
          <w:tcPr>
            <w:tcW w:w="1530" w:type="dxa"/>
            <w:vAlign w:val="center"/>
          </w:tcPr>
          <w:p w14:paraId="2AF47C65" w14:textId="0207B1D8" w:rsidR="00243E71" w:rsidRPr="004A6259" w:rsidRDefault="00243E71" w:rsidP="00AE7298">
            <w:pPr>
              <w:jc w:val="right"/>
              <w:rPr>
                <w:rFonts w:ascii="Arial" w:hAnsi="Arial" w:cs="Arial"/>
                <w:b/>
                <w:caps/>
                <w:lang w:val="en-GB"/>
              </w:rPr>
            </w:pPr>
            <w:r w:rsidRPr="004A6259">
              <w:rPr>
                <w:rFonts w:ascii="Arial" w:hAnsi="Arial" w:cs="Arial"/>
                <w:lang w:val="en-GB"/>
              </w:rPr>
              <w:t>299</w:t>
            </w:r>
            <w:r>
              <w:rPr>
                <w:rFonts w:ascii="Arial" w:hAnsi="Arial" w:cs="Arial"/>
                <w:lang w:val="en-GB"/>
              </w:rPr>
              <w:t>–</w:t>
            </w:r>
            <w:r w:rsidRPr="004A6259">
              <w:rPr>
                <w:rFonts w:ascii="Arial" w:hAnsi="Arial" w:cs="Arial"/>
                <w:lang w:val="en-GB"/>
              </w:rPr>
              <w:t>999</w:t>
            </w:r>
          </w:p>
        </w:tc>
      </w:tr>
      <w:tr w:rsidR="00243E71" w:rsidRPr="004A6259" w14:paraId="2953A756" w14:textId="77777777" w:rsidTr="00D51D9E">
        <w:trPr>
          <w:trHeight w:val="20"/>
          <w:tblHeader/>
          <w:jc w:val="center"/>
        </w:trPr>
        <w:tc>
          <w:tcPr>
            <w:tcW w:w="2695" w:type="dxa"/>
            <w:vAlign w:val="center"/>
          </w:tcPr>
          <w:p w14:paraId="5774AF40" w14:textId="7C3E4A90" w:rsidR="00243E71" w:rsidRPr="004A6259" w:rsidRDefault="00243E71" w:rsidP="00AE7298">
            <w:pPr>
              <w:rPr>
                <w:rFonts w:ascii="Arial" w:hAnsi="Arial" w:cs="Arial"/>
                <w:b/>
                <w:caps/>
                <w:lang w:val="en-GB"/>
              </w:rPr>
            </w:pPr>
            <w:r w:rsidRPr="004A6259">
              <w:rPr>
                <w:rFonts w:ascii="Arial" w:hAnsi="Arial" w:cs="Arial"/>
                <w:lang w:val="en-GB"/>
              </w:rPr>
              <w:t>Flushable Toilet</w:t>
            </w:r>
            <w:r>
              <w:rPr>
                <w:rFonts w:ascii="Arial" w:hAnsi="Arial" w:cs="Arial"/>
                <w:lang w:val="en-GB"/>
              </w:rPr>
              <w:t>-Seat</w:t>
            </w:r>
            <w:r w:rsidRPr="004A6259">
              <w:rPr>
                <w:rFonts w:ascii="Arial" w:hAnsi="Arial" w:cs="Arial"/>
                <w:lang w:val="en-GB"/>
              </w:rPr>
              <w:t xml:space="preserve"> Cover</w:t>
            </w:r>
          </w:p>
        </w:tc>
        <w:tc>
          <w:tcPr>
            <w:tcW w:w="4770" w:type="dxa"/>
            <w:vAlign w:val="center"/>
          </w:tcPr>
          <w:p w14:paraId="327420B7" w14:textId="7CBF5EC3" w:rsidR="00243E71" w:rsidRPr="004A6259" w:rsidRDefault="00243E71" w:rsidP="00AE7298">
            <w:pPr>
              <w:rPr>
                <w:rFonts w:ascii="Arial" w:hAnsi="Arial" w:cs="Arial"/>
                <w:b/>
                <w:caps/>
                <w:lang w:val="en-GB"/>
              </w:rPr>
            </w:pPr>
            <w:r w:rsidRPr="004A6259">
              <w:rPr>
                <w:rFonts w:ascii="Arial" w:hAnsi="Arial" w:cs="Arial"/>
                <w:lang w:val="en-GB"/>
              </w:rPr>
              <w:t xml:space="preserve">Single </w:t>
            </w:r>
            <w:r>
              <w:rPr>
                <w:rFonts w:ascii="Arial" w:hAnsi="Arial" w:cs="Arial"/>
                <w:lang w:val="en-GB"/>
              </w:rPr>
              <w:t>pack</w:t>
            </w:r>
            <w:r w:rsidRPr="004A6259">
              <w:rPr>
                <w:rFonts w:ascii="Arial" w:hAnsi="Arial" w:cs="Arial"/>
                <w:lang w:val="en-GB"/>
              </w:rPr>
              <w:t>: 20 seat covers</w:t>
            </w:r>
          </w:p>
        </w:tc>
        <w:tc>
          <w:tcPr>
            <w:tcW w:w="1530" w:type="dxa"/>
            <w:vAlign w:val="center"/>
          </w:tcPr>
          <w:p w14:paraId="2C17D503" w14:textId="77777777" w:rsidR="00243E71" w:rsidRPr="004A6259" w:rsidRDefault="00243E71" w:rsidP="00AE7298">
            <w:pPr>
              <w:jc w:val="right"/>
              <w:rPr>
                <w:rFonts w:ascii="Arial" w:hAnsi="Arial" w:cs="Arial"/>
                <w:b/>
                <w:caps/>
                <w:lang w:val="en-GB"/>
              </w:rPr>
            </w:pPr>
            <w:r w:rsidRPr="004A6259">
              <w:rPr>
                <w:rFonts w:ascii="Arial" w:hAnsi="Arial" w:cs="Arial"/>
                <w:lang w:val="en-GB"/>
              </w:rPr>
              <w:t>175</w:t>
            </w:r>
          </w:p>
        </w:tc>
      </w:tr>
      <w:tr w:rsidR="00243E71" w:rsidRPr="004A6259" w14:paraId="46160788" w14:textId="77777777" w:rsidTr="00D51D9E">
        <w:trPr>
          <w:trHeight w:val="20"/>
          <w:tblHeader/>
          <w:jc w:val="center"/>
        </w:trPr>
        <w:tc>
          <w:tcPr>
            <w:tcW w:w="2695" w:type="dxa"/>
            <w:vAlign w:val="center"/>
          </w:tcPr>
          <w:p w14:paraId="09476084" w14:textId="54A357B3" w:rsidR="00243E71" w:rsidRPr="004A6259" w:rsidRDefault="00243E71" w:rsidP="00AE7298">
            <w:pPr>
              <w:rPr>
                <w:rFonts w:ascii="Arial" w:hAnsi="Arial" w:cs="Arial"/>
                <w:b/>
                <w:caps/>
                <w:lang w:val="en-GB"/>
              </w:rPr>
            </w:pPr>
            <w:r w:rsidRPr="004A6259">
              <w:rPr>
                <w:rFonts w:ascii="Arial" w:hAnsi="Arial" w:cs="Arial"/>
                <w:lang w:val="en-GB"/>
              </w:rPr>
              <w:t>Waterproof Toilet</w:t>
            </w:r>
            <w:r>
              <w:rPr>
                <w:rFonts w:ascii="Arial" w:hAnsi="Arial" w:cs="Arial"/>
                <w:lang w:val="en-GB"/>
              </w:rPr>
              <w:t>-Seat</w:t>
            </w:r>
            <w:r w:rsidRPr="004A6259">
              <w:rPr>
                <w:rFonts w:ascii="Arial" w:hAnsi="Arial" w:cs="Arial"/>
                <w:lang w:val="en-GB"/>
              </w:rPr>
              <w:t xml:space="preserve"> Cover</w:t>
            </w:r>
          </w:p>
        </w:tc>
        <w:tc>
          <w:tcPr>
            <w:tcW w:w="4770" w:type="dxa"/>
            <w:vAlign w:val="center"/>
          </w:tcPr>
          <w:p w14:paraId="124E6C5E" w14:textId="1968476B" w:rsidR="00243E71" w:rsidRPr="004A6259" w:rsidRDefault="00243E71" w:rsidP="00AE7298">
            <w:pPr>
              <w:rPr>
                <w:rFonts w:ascii="Arial" w:hAnsi="Arial" w:cs="Arial"/>
                <w:b/>
                <w:caps/>
                <w:lang w:val="en-GB"/>
              </w:rPr>
            </w:pPr>
            <w:r w:rsidRPr="004A6259">
              <w:rPr>
                <w:rFonts w:ascii="Arial" w:hAnsi="Arial" w:cs="Arial"/>
                <w:lang w:val="en-GB"/>
              </w:rPr>
              <w:t xml:space="preserve">Single </w:t>
            </w:r>
            <w:r>
              <w:rPr>
                <w:rFonts w:ascii="Arial" w:hAnsi="Arial" w:cs="Arial"/>
                <w:lang w:val="en-GB"/>
              </w:rPr>
              <w:t>pack</w:t>
            </w:r>
            <w:r w:rsidRPr="004A6259">
              <w:rPr>
                <w:rFonts w:ascii="Arial" w:hAnsi="Arial" w:cs="Arial"/>
                <w:lang w:val="en-GB"/>
              </w:rPr>
              <w:t>: 5 seat covers</w:t>
            </w:r>
          </w:p>
        </w:tc>
        <w:tc>
          <w:tcPr>
            <w:tcW w:w="1530" w:type="dxa"/>
            <w:vAlign w:val="center"/>
          </w:tcPr>
          <w:p w14:paraId="659FFF67" w14:textId="77777777" w:rsidR="00243E71" w:rsidRPr="004A6259" w:rsidRDefault="00243E71" w:rsidP="00AE7298">
            <w:pPr>
              <w:jc w:val="right"/>
              <w:rPr>
                <w:rFonts w:ascii="Arial" w:hAnsi="Arial" w:cs="Arial"/>
                <w:b/>
                <w:caps/>
                <w:lang w:val="en-GB"/>
              </w:rPr>
            </w:pPr>
            <w:r w:rsidRPr="004A6259">
              <w:rPr>
                <w:rFonts w:ascii="Arial" w:hAnsi="Arial" w:cs="Arial"/>
                <w:lang w:val="en-GB"/>
              </w:rPr>
              <w:t>200</w:t>
            </w:r>
          </w:p>
        </w:tc>
      </w:tr>
      <w:tr w:rsidR="00243E71" w:rsidRPr="004A6259" w14:paraId="703AF8E4" w14:textId="77777777" w:rsidTr="00D51D9E">
        <w:trPr>
          <w:trHeight w:val="20"/>
          <w:tblHeader/>
          <w:jc w:val="center"/>
        </w:trPr>
        <w:tc>
          <w:tcPr>
            <w:tcW w:w="2695" w:type="dxa"/>
            <w:vAlign w:val="center"/>
          </w:tcPr>
          <w:p w14:paraId="562BC293" w14:textId="77777777" w:rsidR="00243E71" w:rsidRPr="004A6259" w:rsidRDefault="00243E71" w:rsidP="00AE7298">
            <w:pPr>
              <w:rPr>
                <w:rFonts w:ascii="Arial" w:hAnsi="Arial" w:cs="Arial"/>
                <w:b/>
                <w:caps/>
                <w:lang w:val="en-GB"/>
              </w:rPr>
            </w:pPr>
            <w:r w:rsidRPr="004A6259">
              <w:rPr>
                <w:rFonts w:ascii="Arial" w:hAnsi="Arial" w:cs="Arial"/>
                <w:lang w:val="en-GB"/>
              </w:rPr>
              <w:t>PregRx</w:t>
            </w:r>
          </w:p>
        </w:tc>
        <w:tc>
          <w:tcPr>
            <w:tcW w:w="4770" w:type="dxa"/>
            <w:vAlign w:val="center"/>
          </w:tcPr>
          <w:p w14:paraId="67D456E5" w14:textId="77777777" w:rsidR="00243E71" w:rsidRPr="004A6259" w:rsidRDefault="00243E71" w:rsidP="00AE7298">
            <w:pPr>
              <w:rPr>
                <w:rFonts w:ascii="Arial" w:hAnsi="Arial" w:cs="Arial"/>
                <w:b/>
                <w:caps/>
                <w:lang w:val="en-GB"/>
              </w:rPr>
            </w:pPr>
            <w:r w:rsidRPr="004A6259">
              <w:rPr>
                <w:rFonts w:ascii="Arial" w:hAnsi="Arial" w:cs="Arial"/>
                <w:lang w:val="en-GB"/>
              </w:rPr>
              <w:t>Single pack: 3 tests</w:t>
            </w:r>
          </w:p>
        </w:tc>
        <w:tc>
          <w:tcPr>
            <w:tcW w:w="1530" w:type="dxa"/>
            <w:vAlign w:val="center"/>
          </w:tcPr>
          <w:p w14:paraId="581672B2" w14:textId="77777777" w:rsidR="00243E71" w:rsidRPr="004A6259" w:rsidRDefault="00243E71" w:rsidP="00AE7298">
            <w:pPr>
              <w:jc w:val="right"/>
              <w:rPr>
                <w:rFonts w:ascii="Arial" w:hAnsi="Arial" w:cs="Arial"/>
                <w:b/>
                <w:caps/>
                <w:lang w:val="en-GB"/>
              </w:rPr>
            </w:pPr>
            <w:r w:rsidRPr="004A6259">
              <w:rPr>
                <w:rFonts w:ascii="Arial" w:hAnsi="Arial" w:cs="Arial"/>
                <w:lang w:val="en-GB"/>
              </w:rPr>
              <w:t>225</w:t>
            </w:r>
          </w:p>
        </w:tc>
      </w:tr>
    </w:tbl>
    <w:p w14:paraId="3BDCDF4B" w14:textId="76E4AA2E" w:rsidR="00243E71" w:rsidRDefault="00243E71" w:rsidP="00BC29F7">
      <w:pPr>
        <w:rPr>
          <w:rFonts w:ascii="Arial" w:hAnsi="Arial" w:cs="Arial"/>
          <w:bCs/>
          <w:caps/>
          <w:lang w:val="en-GB"/>
        </w:rPr>
      </w:pPr>
    </w:p>
    <w:p w14:paraId="394FB6D7" w14:textId="77777777" w:rsidR="00243E71" w:rsidRDefault="00243E71" w:rsidP="00BC29F7">
      <w:pPr>
        <w:pStyle w:val="Footnote"/>
        <w:rPr>
          <w:lang w:val="en-GB"/>
        </w:rPr>
      </w:pPr>
      <w:r>
        <w:rPr>
          <w:lang w:val="en-GB"/>
        </w:rPr>
        <w:t xml:space="preserve">Note: </w:t>
      </w:r>
      <w:r w:rsidRPr="00ED1192">
        <w:rPr>
          <w:lang w:val="en-GB"/>
        </w:rPr>
        <w:t>₹ = INR = Indian rupee</w:t>
      </w:r>
      <w:r>
        <w:rPr>
          <w:lang w:val="en-GB"/>
        </w:rPr>
        <w:t>;</w:t>
      </w:r>
      <w:r w:rsidRPr="00ED1192">
        <w:rPr>
          <w:lang w:val="en-GB"/>
        </w:rPr>
        <w:t xml:space="preserve"> </w:t>
      </w:r>
      <w:r>
        <w:rPr>
          <w:lang w:val="en-GB"/>
        </w:rPr>
        <w:t>SKU = stock-keeping unit.</w:t>
      </w:r>
    </w:p>
    <w:p w14:paraId="3D61ABB6" w14:textId="39697DEA" w:rsidR="00243E71" w:rsidRPr="00AE7298" w:rsidRDefault="00243E71" w:rsidP="00AE7298">
      <w:pPr>
        <w:pStyle w:val="Footnote"/>
        <w:rPr>
          <w:lang w:val="en-GB"/>
        </w:rPr>
      </w:pPr>
      <w:r>
        <w:rPr>
          <w:lang w:val="en-GB"/>
        </w:rPr>
        <w:t>Source:</w:t>
      </w:r>
      <w:r w:rsidR="001D04ED">
        <w:rPr>
          <w:lang w:val="en-GB"/>
        </w:rPr>
        <w:t xml:space="preserve"> Created by </w:t>
      </w:r>
      <w:r w:rsidR="00C65A97">
        <w:rPr>
          <w:lang w:val="en-GB"/>
        </w:rPr>
        <w:t xml:space="preserve">the </w:t>
      </w:r>
      <w:r w:rsidR="001D04ED">
        <w:rPr>
          <w:lang w:val="en-GB"/>
        </w:rPr>
        <w:t>authors from company files.</w:t>
      </w:r>
      <w:r>
        <w:rPr>
          <w:lang w:val="en-GB"/>
        </w:rPr>
        <w:t xml:space="preserve"> </w:t>
      </w:r>
    </w:p>
    <w:p w14:paraId="2A3C6AE8" w14:textId="5088A218" w:rsidR="00243E71" w:rsidRPr="004A6259" w:rsidRDefault="00243E71">
      <w:pPr>
        <w:spacing w:after="200" w:line="276" w:lineRule="auto"/>
        <w:rPr>
          <w:rFonts w:ascii="Arial" w:hAnsi="Arial" w:cs="Arial"/>
          <w:b/>
          <w:caps/>
          <w:lang w:val="en-GB"/>
        </w:rPr>
      </w:pPr>
    </w:p>
    <w:p w14:paraId="2BB7F311" w14:textId="5D8C31B8" w:rsidR="00243E71" w:rsidRPr="004A6259" w:rsidRDefault="00243E71" w:rsidP="00B955A7">
      <w:pPr>
        <w:jc w:val="center"/>
        <w:rPr>
          <w:rFonts w:ascii="Arial" w:hAnsi="Arial" w:cs="Arial"/>
          <w:b/>
          <w:caps/>
          <w:lang w:val="en-GB"/>
        </w:rPr>
      </w:pPr>
      <w:r w:rsidRPr="004A6259">
        <w:rPr>
          <w:rFonts w:ascii="Arial" w:hAnsi="Arial" w:cs="Arial"/>
          <w:b/>
          <w:caps/>
          <w:lang w:val="en-GB"/>
        </w:rPr>
        <w:lastRenderedPageBreak/>
        <w:t xml:space="preserve">Exhibit </w:t>
      </w:r>
      <w:r>
        <w:rPr>
          <w:rFonts w:ascii="Arial" w:hAnsi="Arial" w:cs="Arial"/>
          <w:b/>
          <w:caps/>
          <w:lang w:val="en-GB"/>
        </w:rPr>
        <w:t>6</w:t>
      </w:r>
      <w:r w:rsidRPr="004A6259">
        <w:rPr>
          <w:rFonts w:ascii="Arial" w:hAnsi="Arial" w:cs="Arial"/>
          <w:b/>
          <w:caps/>
          <w:lang w:val="en-GB"/>
        </w:rPr>
        <w:t>: SIRONA</w:t>
      </w:r>
      <w:r>
        <w:rPr>
          <w:rFonts w:ascii="Arial" w:hAnsi="Arial" w:cs="Arial"/>
          <w:b/>
          <w:caps/>
          <w:lang w:val="en-GB"/>
        </w:rPr>
        <w:t xml:space="preserve"> </w:t>
      </w:r>
      <w:r w:rsidRPr="004A6259">
        <w:rPr>
          <w:rFonts w:ascii="Arial" w:hAnsi="Arial" w:cs="Arial"/>
          <w:b/>
          <w:caps/>
          <w:lang w:val="en-GB"/>
        </w:rPr>
        <w:t xml:space="preserve">Product RANGE </w:t>
      </w:r>
    </w:p>
    <w:p w14:paraId="62614686" w14:textId="77777777" w:rsidR="00243E71" w:rsidRPr="004A6259" w:rsidRDefault="00243E71" w:rsidP="00B955A7">
      <w:pPr>
        <w:jc w:val="center"/>
        <w:rPr>
          <w:rFonts w:ascii="Arial" w:hAnsi="Arial" w:cs="Arial"/>
          <w:b/>
          <w:caps/>
          <w:lang w:val="en-GB"/>
        </w:rPr>
      </w:pPr>
    </w:p>
    <w:tbl>
      <w:tblPr>
        <w:tblStyle w:val="TableGrid"/>
        <w:tblW w:w="9265" w:type="dxa"/>
        <w:jc w:val="center"/>
        <w:tblLook w:val="04A0" w:firstRow="1" w:lastRow="0" w:firstColumn="1" w:lastColumn="0" w:noHBand="0" w:noVBand="1"/>
        <w:tblCaption w:val="Exhibit 6: Sironal Product Range"/>
        <w:tblDescription w:val="Product, SKU Information and Price (₹)"/>
      </w:tblPr>
      <w:tblGrid>
        <w:gridCol w:w="2785"/>
        <w:gridCol w:w="4230"/>
        <w:gridCol w:w="2250"/>
      </w:tblGrid>
      <w:tr w:rsidR="00243E71" w:rsidRPr="004A6259" w14:paraId="2A5814E2" w14:textId="77777777" w:rsidTr="00D51D9E">
        <w:trPr>
          <w:tblHeader/>
          <w:jc w:val="center"/>
        </w:trPr>
        <w:tc>
          <w:tcPr>
            <w:tcW w:w="2785" w:type="dxa"/>
          </w:tcPr>
          <w:p w14:paraId="4AF48C92" w14:textId="665C40B9" w:rsidR="00243E71" w:rsidRPr="004A6259" w:rsidRDefault="00243E71" w:rsidP="00402298">
            <w:pPr>
              <w:jc w:val="center"/>
              <w:rPr>
                <w:rFonts w:ascii="Arial" w:hAnsi="Arial" w:cs="Arial"/>
                <w:b/>
                <w:bCs/>
                <w:caps/>
                <w:lang w:val="en-GB"/>
              </w:rPr>
            </w:pPr>
            <w:r>
              <w:rPr>
                <w:rFonts w:ascii="Arial" w:hAnsi="Arial" w:cs="Arial"/>
                <w:b/>
                <w:bCs/>
                <w:lang w:val="en-GB"/>
              </w:rPr>
              <w:t>Product</w:t>
            </w:r>
          </w:p>
        </w:tc>
        <w:tc>
          <w:tcPr>
            <w:tcW w:w="4230" w:type="dxa"/>
            <w:vAlign w:val="center"/>
          </w:tcPr>
          <w:p w14:paraId="22C19C20" w14:textId="77777777" w:rsidR="00243E71" w:rsidRPr="004A6259" w:rsidRDefault="00243E71" w:rsidP="00AE7298">
            <w:pPr>
              <w:jc w:val="center"/>
              <w:rPr>
                <w:rFonts w:ascii="Arial" w:hAnsi="Arial" w:cs="Arial"/>
                <w:b/>
                <w:bCs/>
                <w:caps/>
                <w:lang w:val="en-GB"/>
              </w:rPr>
            </w:pPr>
            <w:r w:rsidRPr="004A6259">
              <w:rPr>
                <w:rFonts w:ascii="Arial" w:hAnsi="Arial" w:cs="Arial"/>
                <w:b/>
                <w:bCs/>
                <w:lang w:val="en-GB"/>
              </w:rPr>
              <w:t>SKU Information</w:t>
            </w:r>
          </w:p>
        </w:tc>
        <w:tc>
          <w:tcPr>
            <w:tcW w:w="2250" w:type="dxa"/>
            <w:vAlign w:val="center"/>
          </w:tcPr>
          <w:p w14:paraId="788F3E5B" w14:textId="77777777" w:rsidR="00243E71" w:rsidRPr="004A6259" w:rsidRDefault="00243E71" w:rsidP="00AE7298">
            <w:pPr>
              <w:jc w:val="center"/>
              <w:rPr>
                <w:rFonts w:ascii="Arial" w:hAnsi="Arial" w:cs="Arial"/>
                <w:b/>
                <w:bCs/>
                <w:caps/>
                <w:lang w:val="en-GB"/>
              </w:rPr>
            </w:pPr>
            <w:r w:rsidRPr="004A6259">
              <w:rPr>
                <w:rFonts w:ascii="Arial" w:hAnsi="Arial" w:cs="Arial"/>
                <w:b/>
                <w:bCs/>
                <w:lang w:val="en-GB"/>
              </w:rPr>
              <w:t>Price</w:t>
            </w:r>
            <w:r w:rsidRPr="004A6259">
              <w:rPr>
                <w:rFonts w:ascii="Arial" w:hAnsi="Arial" w:cs="Arial"/>
                <w:b/>
                <w:caps/>
                <w:lang w:val="en-GB"/>
              </w:rPr>
              <w:t xml:space="preserve"> (₹)</w:t>
            </w:r>
          </w:p>
        </w:tc>
      </w:tr>
      <w:tr w:rsidR="00243E71" w:rsidRPr="004A6259" w14:paraId="352F6F3C" w14:textId="77777777" w:rsidTr="00D51D9E">
        <w:trPr>
          <w:tblHeader/>
          <w:jc w:val="center"/>
        </w:trPr>
        <w:tc>
          <w:tcPr>
            <w:tcW w:w="2785" w:type="dxa"/>
            <w:vAlign w:val="center"/>
          </w:tcPr>
          <w:p w14:paraId="1025E444" w14:textId="77777777" w:rsidR="00243E71" w:rsidRPr="004A6259" w:rsidRDefault="00243E71" w:rsidP="00AE7298">
            <w:pPr>
              <w:rPr>
                <w:rFonts w:ascii="Arial" w:hAnsi="Arial" w:cs="Arial"/>
                <w:b/>
                <w:caps/>
                <w:lang w:val="en-GB"/>
              </w:rPr>
            </w:pPr>
            <w:r w:rsidRPr="004A6259">
              <w:rPr>
                <w:rFonts w:ascii="Arial" w:hAnsi="Arial" w:cs="Arial"/>
                <w:lang w:val="en-GB"/>
              </w:rPr>
              <w:t>Sanitary Pads</w:t>
            </w:r>
          </w:p>
        </w:tc>
        <w:tc>
          <w:tcPr>
            <w:tcW w:w="4230" w:type="dxa"/>
            <w:vAlign w:val="center"/>
          </w:tcPr>
          <w:p w14:paraId="18B2C718" w14:textId="43FDE34C" w:rsidR="00243E71" w:rsidRPr="004A6259" w:rsidRDefault="00243E71" w:rsidP="00D00C0C">
            <w:pPr>
              <w:rPr>
                <w:rFonts w:ascii="Arial" w:hAnsi="Arial" w:cs="Arial"/>
                <w:b/>
                <w:caps/>
                <w:lang w:val="en-GB"/>
              </w:rPr>
            </w:pPr>
            <w:r w:rsidRPr="004A6259">
              <w:rPr>
                <w:rFonts w:ascii="Arial" w:hAnsi="Arial" w:cs="Arial"/>
                <w:lang w:val="en-GB"/>
              </w:rPr>
              <w:t>Day</w:t>
            </w:r>
            <w:r>
              <w:rPr>
                <w:rFonts w:ascii="Arial" w:hAnsi="Arial" w:cs="Arial"/>
                <w:lang w:val="en-GB"/>
              </w:rPr>
              <w:t xml:space="preserve"> and</w:t>
            </w:r>
            <w:r w:rsidRPr="004A6259">
              <w:rPr>
                <w:rFonts w:ascii="Arial" w:hAnsi="Arial" w:cs="Arial"/>
                <w:lang w:val="en-GB"/>
              </w:rPr>
              <w:t xml:space="preserve"> night pads in large</w:t>
            </w:r>
            <w:r>
              <w:rPr>
                <w:rFonts w:ascii="Arial" w:hAnsi="Arial" w:cs="Arial"/>
                <w:lang w:val="en-GB"/>
              </w:rPr>
              <w:t xml:space="preserve"> and</w:t>
            </w:r>
            <w:r w:rsidRPr="004A6259">
              <w:rPr>
                <w:rFonts w:ascii="Arial" w:hAnsi="Arial" w:cs="Arial"/>
                <w:lang w:val="en-GB"/>
              </w:rPr>
              <w:t xml:space="preserve"> small sizes (pack of 10)</w:t>
            </w:r>
          </w:p>
        </w:tc>
        <w:tc>
          <w:tcPr>
            <w:tcW w:w="2250" w:type="dxa"/>
            <w:vAlign w:val="center"/>
          </w:tcPr>
          <w:p w14:paraId="1D8C94A6" w14:textId="584D8727" w:rsidR="00243E71" w:rsidRPr="004A6259" w:rsidRDefault="00243E71" w:rsidP="00AE7298">
            <w:pPr>
              <w:jc w:val="right"/>
              <w:rPr>
                <w:rFonts w:ascii="Arial" w:hAnsi="Arial" w:cs="Arial"/>
                <w:b/>
                <w:caps/>
                <w:lang w:val="en-GB"/>
              </w:rPr>
            </w:pPr>
            <w:r w:rsidRPr="004A6259">
              <w:rPr>
                <w:rFonts w:ascii="Arial" w:hAnsi="Arial" w:cs="Arial"/>
                <w:lang w:val="en-GB"/>
              </w:rPr>
              <w:t>249</w:t>
            </w:r>
            <w:r>
              <w:rPr>
                <w:rFonts w:ascii="Arial" w:hAnsi="Arial" w:cs="Arial"/>
                <w:lang w:val="en-GB"/>
              </w:rPr>
              <w:t>–</w:t>
            </w:r>
            <w:r w:rsidRPr="004A6259">
              <w:rPr>
                <w:rFonts w:ascii="Arial" w:hAnsi="Arial" w:cs="Arial"/>
                <w:lang w:val="en-GB"/>
              </w:rPr>
              <w:t>259</w:t>
            </w:r>
          </w:p>
        </w:tc>
      </w:tr>
      <w:tr w:rsidR="00243E71" w:rsidRPr="004A6259" w14:paraId="4FF98337" w14:textId="77777777" w:rsidTr="00D51D9E">
        <w:trPr>
          <w:tblHeader/>
          <w:jc w:val="center"/>
        </w:trPr>
        <w:tc>
          <w:tcPr>
            <w:tcW w:w="2785" w:type="dxa"/>
            <w:vAlign w:val="center"/>
          </w:tcPr>
          <w:p w14:paraId="77CB1CD9" w14:textId="79ABB827" w:rsidR="00243E71" w:rsidRPr="004A6259" w:rsidRDefault="00243E71" w:rsidP="0018450A">
            <w:pPr>
              <w:rPr>
                <w:rFonts w:ascii="Arial" w:hAnsi="Arial" w:cs="Arial"/>
                <w:b/>
                <w:caps/>
                <w:lang w:val="en-GB"/>
              </w:rPr>
            </w:pPr>
            <w:r w:rsidRPr="004A6259">
              <w:rPr>
                <w:rFonts w:ascii="Arial" w:hAnsi="Arial" w:cs="Arial"/>
                <w:lang w:val="en-GB"/>
              </w:rPr>
              <w:t>Super Pads</w:t>
            </w:r>
          </w:p>
        </w:tc>
        <w:tc>
          <w:tcPr>
            <w:tcW w:w="4230" w:type="dxa"/>
            <w:vAlign w:val="center"/>
          </w:tcPr>
          <w:p w14:paraId="461E98AF" w14:textId="7E05C288" w:rsidR="00243E71" w:rsidRPr="004A6259" w:rsidRDefault="00243E71" w:rsidP="00D00C0C">
            <w:pPr>
              <w:rPr>
                <w:rFonts w:ascii="Arial" w:hAnsi="Arial" w:cs="Arial"/>
                <w:b/>
                <w:caps/>
                <w:lang w:val="en-GB"/>
              </w:rPr>
            </w:pPr>
            <w:r>
              <w:rPr>
                <w:rFonts w:ascii="Arial" w:hAnsi="Arial" w:cs="Arial"/>
                <w:lang w:val="en-GB"/>
              </w:rPr>
              <w:t>“Super plus heavy flow”</w:t>
            </w:r>
            <w:r w:rsidRPr="004A6259">
              <w:rPr>
                <w:rFonts w:ascii="Arial" w:hAnsi="Arial" w:cs="Arial"/>
                <w:lang w:val="en-GB"/>
              </w:rPr>
              <w:t xml:space="preserve"> (pack of 8)</w:t>
            </w:r>
          </w:p>
        </w:tc>
        <w:tc>
          <w:tcPr>
            <w:tcW w:w="2250" w:type="dxa"/>
            <w:vAlign w:val="center"/>
          </w:tcPr>
          <w:p w14:paraId="1ED44220" w14:textId="77777777" w:rsidR="00243E71" w:rsidRPr="004A6259" w:rsidRDefault="00243E71" w:rsidP="00AE7298">
            <w:pPr>
              <w:jc w:val="right"/>
              <w:rPr>
                <w:rFonts w:ascii="Arial" w:hAnsi="Arial" w:cs="Arial"/>
                <w:b/>
                <w:caps/>
                <w:lang w:val="en-GB"/>
              </w:rPr>
            </w:pPr>
            <w:r w:rsidRPr="004A6259">
              <w:rPr>
                <w:rFonts w:ascii="Arial" w:hAnsi="Arial" w:cs="Arial"/>
                <w:lang w:val="en-GB"/>
              </w:rPr>
              <w:t>289</w:t>
            </w:r>
          </w:p>
        </w:tc>
      </w:tr>
      <w:tr w:rsidR="00243E71" w:rsidRPr="004A6259" w14:paraId="69CB35BD" w14:textId="77777777" w:rsidTr="00D51D9E">
        <w:trPr>
          <w:tblHeader/>
          <w:jc w:val="center"/>
        </w:trPr>
        <w:tc>
          <w:tcPr>
            <w:tcW w:w="2785" w:type="dxa"/>
            <w:vAlign w:val="center"/>
          </w:tcPr>
          <w:p w14:paraId="322BBAA9" w14:textId="77777777" w:rsidR="00243E71" w:rsidRPr="004A6259" w:rsidRDefault="00243E71" w:rsidP="00AE7298">
            <w:pPr>
              <w:rPr>
                <w:rFonts w:ascii="Arial" w:hAnsi="Arial" w:cs="Arial"/>
                <w:b/>
                <w:caps/>
                <w:lang w:val="en-GB"/>
              </w:rPr>
            </w:pPr>
            <w:r w:rsidRPr="004A6259">
              <w:rPr>
                <w:rFonts w:ascii="Arial" w:hAnsi="Arial" w:cs="Arial"/>
                <w:lang w:val="en-GB"/>
              </w:rPr>
              <w:t>100% Organic Cotton Tampons</w:t>
            </w:r>
          </w:p>
        </w:tc>
        <w:tc>
          <w:tcPr>
            <w:tcW w:w="4230" w:type="dxa"/>
            <w:vAlign w:val="center"/>
          </w:tcPr>
          <w:p w14:paraId="52A4AB87" w14:textId="3A88B90F" w:rsidR="00243E71" w:rsidRPr="004A6259" w:rsidRDefault="00243E71" w:rsidP="00D00C0C">
            <w:pPr>
              <w:rPr>
                <w:rFonts w:ascii="Arial" w:hAnsi="Arial" w:cs="Arial"/>
                <w:b/>
                <w:caps/>
                <w:lang w:val="en-GB"/>
              </w:rPr>
            </w:pPr>
            <w:r w:rsidRPr="004A6259">
              <w:rPr>
                <w:rFonts w:ascii="Arial" w:hAnsi="Arial" w:cs="Arial"/>
                <w:lang w:val="en-GB"/>
              </w:rPr>
              <w:t>Heavy</w:t>
            </w:r>
            <w:r>
              <w:rPr>
                <w:rFonts w:ascii="Arial" w:hAnsi="Arial" w:cs="Arial"/>
                <w:lang w:val="en-GB"/>
              </w:rPr>
              <w:t xml:space="preserve"> and</w:t>
            </w:r>
            <w:r w:rsidRPr="004A6259">
              <w:rPr>
                <w:rFonts w:ascii="Arial" w:hAnsi="Arial" w:cs="Arial"/>
                <w:lang w:val="en-GB"/>
              </w:rPr>
              <w:t xml:space="preserve"> </w:t>
            </w:r>
            <w:r>
              <w:rPr>
                <w:rFonts w:ascii="Arial" w:hAnsi="Arial" w:cs="Arial"/>
                <w:lang w:val="en-GB"/>
              </w:rPr>
              <w:t>regular flow</w:t>
            </w:r>
            <w:r w:rsidRPr="004A6259">
              <w:rPr>
                <w:rFonts w:ascii="Arial" w:hAnsi="Arial" w:cs="Arial"/>
                <w:lang w:val="en-GB"/>
              </w:rPr>
              <w:t xml:space="preserve"> (pack of 18)</w:t>
            </w:r>
          </w:p>
        </w:tc>
        <w:tc>
          <w:tcPr>
            <w:tcW w:w="2250" w:type="dxa"/>
            <w:vAlign w:val="center"/>
          </w:tcPr>
          <w:p w14:paraId="1255347C" w14:textId="2A303FE8" w:rsidR="00243E71" w:rsidRPr="004A6259" w:rsidRDefault="00243E71" w:rsidP="00AE7298">
            <w:pPr>
              <w:jc w:val="right"/>
              <w:rPr>
                <w:rFonts w:ascii="Arial" w:hAnsi="Arial" w:cs="Arial"/>
                <w:b/>
                <w:caps/>
                <w:lang w:val="en-GB"/>
              </w:rPr>
            </w:pPr>
            <w:r w:rsidRPr="004A6259">
              <w:rPr>
                <w:rFonts w:ascii="Arial" w:hAnsi="Arial" w:cs="Arial"/>
                <w:lang w:val="en-GB"/>
              </w:rPr>
              <w:t>399</w:t>
            </w:r>
            <w:r>
              <w:rPr>
                <w:rFonts w:ascii="Arial" w:hAnsi="Arial" w:cs="Arial"/>
                <w:lang w:val="en-GB"/>
              </w:rPr>
              <w:t>–</w:t>
            </w:r>
            <w:r w:rsidRPr="004A6259">
              <w:rPr>
                <w:rFonts w:ascii="Arial" w:hAnsi="Arial" w:cs="Arial"/>
                <w:lang w:val="en-GB"/>
              </w:rPr>
              <w:t>499</w:t>
            </w:r>
          </w:p>
        </w:tc>
      </w:tr>
      <w:tr w:rsidR="00243E71" w:rsidRPr="004A6259" w14:paraId="51250C7B" w14:textId="77777777" w:rsidTr="00D51D9E">
        <w:trPr>
          <w:tblHeader/>
          <w:jc w:val="center"/>
        </w:trPr>
        <w:tc>
          <w:tcPr>
            <w:tcW w:w="2785" w:type="dxa"/>
            <w:vAlign w:val="center"/>
          </w:tcPr>
          <w:p w14:paraId="33D97272" w14:textId="77777777" w:rsidR="00243E71" w:rsidRPr="004A6259" w:rsidRDefault="00243E71" w:rsidP="00AE7298">
            <w:pPr>
              <w:rPr>
                <w:rFonts w:ascii="Arial" w:hAnsi="Arial" w:cs="Arial"/>
                <w:b/>
                <w:caps/>
                <w:lang w:val="en-GB"/>
              </w:rPr>
            </w:pPr>
            <w:r w:rsidRPr="004A6259">
              <w:rPr>
                <w:rFonts w:ascii="Arial" w:hAnsi="Arial" w:cs="Arial"/>
                <w:lang w:val="en-GB"/>
              </w:rPr>
              <w:t>Applicator Tampon</w:t>
            </w:r>
          </w:p>
        </w:tc>
        <w:tc>
          <w:tcPr>
            <w:tcW w:w="4230" w:type="dxa"/>
            <w:vAlign w:val="center"/>
          </w:tcPr>
          <w:p w14:paraId="380850A3" w14:textId="2A7B688D" w:rsidR="00243E71" w:rsidRPr="004A6259" w:rsidRDefault="00243E71" w:rsidP="00D00C0C">
            <w:pPr>
              <w:rPr>
                <w:rFonts w:ascii="Arial" w:hAnsi="Arial" w:cs="Arial"/>
                <w:b/>
                <w:caps/>
                <w:lang w:val="en-GB"/>
              </w:rPr>
            </w:pPr>
            <w:r>
              <w:rPr>
                <w:rFonts w:ascii="Arial" w:hAnsi="Arial" w:cs="Arial"/>
                <w:lang w:val="en-GB"/>
              </w:rPr>
              <w:t xml:space="preserve">Mix pack: </w:t>
            </w:r>
            <w:r w:rsidRPr="004A6259">
              <w:rPr>
                <w:rFonts w:ascii="Arial" w:hAnsi="Arial" w:cs="Arial"/>
                <w:lang w:val="en-GB"/>
              </w:rPr>
              <w:t>Heavy flow (16 pieces)</w:t>
            </w:r>
            <w:r>
              <w:rPr>
                <w:rFonts w:ascii="Arial" w:hAnsi="Arial" w:cs="Arial"/>
                <w:lang w:val="en-GB"/>
              </w:rPr>
              <w:t>,</w:t>
            </w:r>
            <w:r w:rsidRPr="004A6259">
              <w:rPr>
                <w:rFonts w:ascii="Arial" w:hAnsi="Arial" w:cs="Arial"/>
                <w:lang w:val="en-GB"/>
              </w:rPr>
              <w:t xml:space="preserve"> </w:t>
            </w:r>
            <w:r>
              <w:rPr>
                <w:rFonts w:ascii="Arial" w:hAnsi="Arial" w:cs="Arial"/>
                <w:lang w:val="en-GB"/>
              </w:rPr>
              <w:t>regular</w:t>
            </w:r>
            <w:r w:rsidRPr="004A6259">
              <w:rPr>
                <w:rFonts w:ascii="Arial" w:hAnsi="Arial" w:cs="Arial"/>
                <w:lang w:val="en-GB"/>
              </w:rPr>
              <w:t xml:space="preserve"> flow (16 pieces), </w:t>
            </w:r>
            <w:r>
              <w:rPr>
                <w:rFonts w:ascii="Arial" w:hAnsi="Arial" w:cs="Arial"/>
                <w:lang w:val="en-GB"/>
              </w:rPr>
              <w:t>and mix</w:t>
            </w:r>
            <w:r w:rsidRPr="004A6259">
              <w:rPr>
                <w:rFonts w:ascii="Arial" w:hAnsi="Arial" w:cs="Arial"/>
                <w:lang w:val="en-GB"/>
              </w:rPr>
              <w:t xml:space="preserve"> pack (8 pieces)</w:t>
            </w:r>
          </w:p>
        </w:tc>
        <w:tc>
          <w:tcPr>
            <w:tcW w:w="2250" w:type="dxa"/>
            <w:vAlign w:val="center"/>
          </w:tcPr>
          <w:p w14:paraId="320A5329" w14:textId="5B66A683" w:rsidR="00243E71" w:rsidRPr="004A6259" w:rsidRDefault="00243E71" w:rsidP="00AE7298">
            <w:pPr>
              <w:jc w:val="right"/>
              <w:rPr>
                <w:rFonts w:ascii="Arial" w:hAnsi="Arial" w:cs="Arial"/>
                <w:b/>
                <w:caps/>
                <w:lang w:val="en-GB"/>
              </w:rPr>
            </w:pPr>
            <w:r w:rsidRPr="004A6259">
              <w:rPr>
                <w:rFonts w:ascii="Arial" w:hAnsi="Arial" w:cs="Arial"/>
                <w:lang w:val="en-GB"/>
              </w:rPr>
              <w:t>350</w:t>
            </w:r>
            <w:r>
              <w:rPr>
                <w:rFonts w:ascii="Arial" w:hAnsi="Arial" w:cs="Arial"/>
                <w:lang w:val="en-GB"/>
              </w:rPr>
              <w:t>–</w:t>
            </w:r>
            <w:r w:rsidRPr="004A6259">
              <w:rPr>
                <w:rFonts w:ascii="Arial" w:hAnsi="Arial" w:cs="Arial"/>
                <w:lang w:val="en-GB"/>
              </w:rPr>
              <w:t>690</w:t>
            </w:r>
          </w:p>
        </w:tc>
      </w:tr>
      <w:tr w:rsidR="00243E71" w:rsidRPr="004A6259" w14:paraId="4D9B3DD5" w14:textId="77777777" w:rsidTr="00D51D9E">
        <w:trPr>
          <w:tblHeader/>
          <w:jc w:val="center"/>
        </w:trPr>
        <w:tc>
          <w:tcPr>
            <w:tcW w:w="2785" w:type="dxa"/>
            <w:vAlign w:val="center"/>
          </w:tcPr>
          <w:p w14:paraId="155CBA8E" w14:textId="31AAEC18" w:rsidR="00243E71" w:rsidRPr="004A6259" w:rsidRDefault="00243E71" w:rsidP="00AE7298">
            <w:pPr>
              <w:rPr>
                <w:rFonts w:ascii="Arial" w:hAnsi="Arial" w:cs="Arial"/>
                <w:b/>
                <w:caps/>
                <w:lang w:val="en-GB"/>
              </w:rPr>
            </w:pPr>
            <w:r w:rsidRPr="004A6259">
              <w:rPr>
                <w:rFonts w:ascii="Arial" w:hAnsi="Arial" w:cs="Arial"/>
                <w:lang w:val="en-GB"/>
              </w:rPr>
              <w:t xml:space="preserve">Premium </w:t>
            </w:r>
            <w:r>
              <w:rPr>
                <w:rFonts w:ascii="Arial" w:hAnsi="Arial" w:cs="Arial"/>
                <w:lang w:val="en-GB"/>
              </w:rPr>
              <w:t>Non-applicator Tampons</w:t>
            </w:r>
          </w:p>
        </w:tc>
        <w:tc>
          <w:tcPr>
            <w:tcW w:w="4230" w:type="dxa"/>
            <w:vAlign w:val="center"/>
          </w:tcPr>
          <w:p w14:paraId="216D9455" w14:textId="576CB776" w:rsidR="00243E71" w:rsidRPr="004A6259" w:rsidRDefault="00243E71" w:rsidP="00D00C0C">
            <w:pPr>
              <w:rPr>
                <w:rFonts w:ascii="Arial" w:hAnsi="Arial" w:cs="Arial"/>
                <w:b/>
                <w:caps/>
                <w:lang w:val="en-GB"/>
              </w:rPr>
            </w:pPr>
            <w:r w:rsidRPr="004A6259">
              <w:rPr>
                <w:rFonts w:ascii="Arial" w:hAnsi="Arial" w:cs="Arial"/>
                <w:lang w:val="en-GB"/>
              </w:rPr>
              <w:t>Regular</w:t>
            </w:r>
            <w:r>
              <w:rPr>
                <w:rFonts w:ascii="Arial" w:hAnsi="Arial" w:cs="Arial"/>
                <w:lang w:val="en-GB"/>
              </w:rPr>
              <w:t xml:space="preserve"> and</w:t>
            </w:r>
            <w:r w:rsidRPr="004A6259">
              <w:rPr>
                <w:rFonts w:ascii="Arial" w:hAnsi="Arial" w:cs="Arial"/>
                <w:lang w:val="en-GB"/>
              </w:rPr>
              <w:t xml:space="preserve"> super (pack</w:t>
            </w:r>
            <w:r>
              <w:rPr>
                <w:rFonts w:ascii="Arial" w:hAnsi="Arial" w:cs="Arial"/>
                <w:lang w:val="en-GB"/>
              </w:rPr>
              <w:t>s</w:t>
            </w:r>
            <w:r w:rsidRPr="004A6259">
              <w:rPr>
                <w:rFonts w:ascii="Arial" w:hAnsi="Arial" w:cs="Arial"/>
                <w:lang w:val="en-GB"/>
              </w:rPr>
              <w:t xml:space="preserve"> of 12 </w:t>
            </w:r>
            <w:r>
              <w:rPr>
                <w:rFonts w:ascii="Arial" w:hAnsi="Arial" w:cs="Arial"/>
                <w:lang w:val="en-GB"/>
              </w:rPr>
              <w:t>and</w:t>
            </w:r>
            <w:r w:rsidRPr="004A6259">
              <w:rPr>
                <w:rFonts w:ascii="Arial" w:hAnsi="Arial" w:cs="Arial"/>
                <w:lang w:val="en-GB"/>
              </w:rPr>
              <w:t xml:space="preserve"> 20)</w:t>
            </w:r>
          </w:p>
        </w:tc>
        <w:tc>
          <w:tcPr>
            <w:tcW w:w="2250" w:type="dxa"/>
            <w:vAlign w:val="center"/>
          </w:tcPr>
          <w:p w14:paraId="03E043F2" w14:textId="00C719F7" w:rsidR="00243E71" w:rsidRPr="004A6259" w:rsidRDefault="00243E71" w:rsidP="00AE7298">
            <w:pPr>
              <w:jc w:val="right"/>
              <w:rPr>
                <w:rFonts w:ascii="Arial" w:hAnsi="Arial" w:cs="Arial"/>
                <w:b/>
                <w:caps/>
                <w:lang w:val="en-GB"/>
              </w:rPr>
            </w:pPr>
            <w:r w:rsidRPr="004A6259">
              <w:rPr>
                <w:rFonts w:ascii="Arial" w:hAnsi="Arial" w:cs="Arial"/>
                <w:lang w:val="en-GB"/>
              </w:rPr>
              <w:t>215</w:t>
            </w:r>
            <w:r>
              <w:rPr>
                <w:rFonts w:ascii="Arial" w:hAnsi="Arial" w:cs="Arial"/>
                <w:lang w:val="en-GB"/>
              </w:rPr>
              <w:t>–</w:t>
            </w:r>
            <w:r w:rsidRPr="004A6259">
              <w:rPr>
                <w:rFonts w:ascii="Arial" w:hAnsi="Arial" w:cs="Arial"/>
                <w:lang w:val="en-GB"/>
              </w:rPr>
              <w:t>315</w:t>
            </w:r>
          </w:p>
        </w:tc>
      </w:tr>
      <w:tr w:rsidR="00243E71" w:rsidRPr="004A6259" w14:paraId="1E4F9DCB" w14:textId="77777777" w:rsidTr="00D51D9E">
        <w:trPr>
          <w:tblHeader/>
          <w:jc w:val="center"/>
        </w:trPr>
        <w:tc>
          <w:tcPr>
            <w:tcW w:w="2785" w:type="dxa"/>
            <w:vAlign w:val="center"/>
          </w:tcPr>
          <w:p w14:paraId="579FE094" w14:textId="77777777" w:rsidR="00243E71" w:rsidRPr="004A6259" w:rsidRDefault="00243E71" w:rsidP="00AE7298">
            <w:pPr>
              <w:rPr>
                <w:rFonts w:ascii="Arial" w:hAnsi="Arial" w:cs="Arial"/>
                <w:b/>
                <w:caps/>
                <w:lang w:val="en-GB"/>
              </w:rPr>
            </w:pPr>
            <w:r w:rsidRPr="004A6259">
              <w:rPr>
                <w:rFonts w:ascii="Arial" w:hAnsi="Arial" w:cs="Arial"/>
                <w:lang w:val="en-GB"/>
              </w:rPr>
              <w:t>Menstrual Cup</w:t>
            </w:r>
          </w:p>
        </w:tc>
        <w:tc>
          <w:tcPr>
            <w:tcW w:w="4230" w:type="dxa"/>
            <w:vAlign w:val="center"/>
          </w:tcPr>
          <w:p w14:paraId="2B77838E" w14:textId="713BC203" w:rsidR="00243E71" w:rsidRPr="004A6259" w:rsidRDefault="00243E71" w:rsidP="00D00C0C">
            <w:pPr>
              <w:rPr>
                <w:rFonts w:ascii="Arial" w:hAnsi="Arial" w:cs="Arial"/>
                <w:b/>
                <w:caps/>
                <w:lang w:val="en-GB"/>
              </w:rPr>
            </w:pPr>
            <w:r>
              <w:rPr>
                <w:rFonts w:ascii="Arial" w:hAnsi="Arial" w:cs="Arial"/>
                <w:lang w:val="en-GB"/>
              </w:rPr>
              <w:t>Small, medium, and large</w:t>
            </w:r>
            <w:r w:rsidRPr="004A6259">
              <w:rPr>
                <w:rFonts w:ascii="Arial" w:hAnsi="Arial" w:cs="Arial"/>
                <w:lang w:val="en-GB"/>
              </w:rPr>
              <w:t xml:space="preserve"> (1 unit)</w:t>
            </w:r>
          </w:p>
        </w:tc>
        <w:tc>
          <w:tcPr>
            <w:tcW w:w="2250" w:type="dxa"/>
            <w:vAlign w:val="center"/>
          </w:tcPr>
          <w:p w14:paraId="22FEA6BE" w14:textId="77777777" w:rsidR="00243E71" w:rsidRPr="004A6259" w:rsidRDefault="00243E71" w:rsidP="00AE7298">
            <w:pPr>
              <w:jc w:val="right"/>
              <w:rPr>
                <w:rFonts w:ascii="Arial" w:hAnsi="Arial" w:cs="Arial"/>
                <w:b/>
                <w:caps/>
                <w:lang w:val="en-GB"/>
              </w:rPr>
            </w:pPr>
            <w:r w:rsidRPr="004A6259">
              <w:rPr>
                <w:rFonts w:ascii="Arial" w:hAnsi="Arial" w:cs="Arial"/>
                <w:lang w:val="en-GB"/>
              </w:rPr>
              <w:t>399-799</w:t>
            </w:r>
          </w:p>
        </w:tc>
      </w:tr>
      <w:tr w:rsidR="00243E71" w:rsidRPr="004A6259" w14:paraId="1B6D0FFF" w14:textId="77777777" w:rsidTr="00D51D9E">
        <w:trPr>
          <w:tblHeader/>
          <w:jc w:val="center"/>
        </w:trPr>
        <w:tc>
          <w:tcPr>
            <w:tcW w:w="2785" w:type="dxa"/>
            <w:vAlign w:val="center"/>
          </w:tcPr>
          <w:p w14:paraId="6F653542" w14:textId="77777777" w:rsidR="00243E71" w:rsidRPr="004A6259" w:rsidRDefault="00243E71" w:rsidP="00AE7298">
            <w:pPr>
              <w:rPr>
                <w:rFonts w:ascii="Arial" w:hAnsi="Arial" w:cs="Arial"/>
                <w:b/>
                <w:caps/>
                <w:lang w:val="en-GB"/>
              </w:rPr>
            </w:pPr>
            <w:r w:rsidRPr="004A6259">
              <w:rPr>
                <w:rFonts w:ascii="Arial" w:hAnsi="Arial" w:cs="Arial"/>
                <w:lang w:val="en-GB"/>
              </w:rPr>
              <w:t>Menstrual Cup Wash</w:t>
            </w:r>
          </w:p>
        </w:tc>
        <w:tc>
          <w:tcPr>
            <w:tcW w:w="4230" w:type="dxa"/>
            <w:vAlign w:val="center"/>
          </w:tcPr>
          <w:p w14:paraId="18B90DE1" w14:textId="1837164D" w:rsidR="00243E71" w:rsidRPr="004A6259" w:rsidRDefault="00243E71" w:rsidP="00D00C0C">
            <w:pPr>
              <w:rPr>
                <w:rFonts w:ascii="Arial" w:hAnsi="Arial" w:cs="Arial"/>
                <w:b/>
                <w:caps/>
                <w:lang w:val="en-GB"/>
              </w:rPr>
            </w:pPr>
            <w:r w:rsidRPr="004A6259">
              <w:rPr>
                <w:rFonts w:ascii="Arial" w:hAnsi="Arial" w:cs="Arial"/>
                <w:lang w:val="en-GB"/>
              </w:rPr>
              <w:t>100</w:t>
            </w:r>
            <w:r>
              <w:rPr>
                <w:rFonts w:ascii="Arial" w:hAnsi="Arial" w:cs="Arial"/>
                <w:lang w:val="en-GB"/>
              </w:rPr>
              <w:t xml:space="preserve"> </w:t>
            </w:r>
            <w:r w:rsidRPr="004A6259">
              <w:rPr>
                <w:rFonts w:ascii="Arial" w:hAnsi="Arial" w:cs="Arial"/>
                <w:lang w:val="en-GB"/>
              </w:rPr>
              <w:t>ml bottle</w:t>
            </w:r>
          </w:p>
        </w:tc>
        <w:tc>
          <w:tcPr>
            <w:tcW w:w="2250" w:type="dxa"/>
            <w:vAlign w:val="center"/>
          </w:tcPr>
          <w:p w14:paraId="0E562F9B" w14:textId="77777777" w:rsidR="00243E71" w:rsidRPr="004A6259" w:rsidRDefault="00243E71" w:rsidP="00AE7298">
            <w:pPr>
              <w:jc w:val="right"/>
              <w:rPr>
                <w:rFonts w:ascii="Arial" w:hAnsi="Arial" w:cs="Arial"/>
                <w:b/>
                <w:caps/>
                <w:lang w:val="en-GB"/>
              </w:rPr>
            </w:pPr>
            <w:r w:rsidRPr="004A6259">
              <w:rPr>
                <w:rFonts w:ascii="Arial" w:hAnsi="Arial" w:cs="Arial"/>
                <w:lang w:val="en-GB"/>
              </w:rPr>
              <w:t>249</w:t>
            </w:r>
          </w:p>
        </w:tc>
      </w:tr>
      <w:tr w:rsidR="00243E71" w:rsidRPr="004A6259" w14:paraId="76CD99B3" w14:textId="77777777" w:rsidTr="00D51D9E">
        <w:trPr>
          <w:tblHeader/>
          <w:jc w:val="center"/>
        </w:trPr>
        <w:tc>
          <w:tcPr>
            <w:tcW w:w="2785" w:type="dxa"/>
            <w:vAlign w:val="center"/>
          </w:tcPr>
          <w:p w14:paraId="420B7670" w14:textId="77777777" w:rsidR="00243E71" w:rsidRPr="004A6259" w:rsidRDefault="00243E71" w:rsidP="00AE7298">
            <w:pPr>
              <w:rPr>
                <w:rFonts w:ascii="Arial" w:hAnsi="Arial" w:cs="Arial"/>
                <w:lang w:val="en-GB"/>
              </w:rPr>
            </w:pPr>
            <w:r w:rsidRPr="004A6259">
              <w:rPr>
                <w:rFonts w:ascii="Arial" w:hAnsi="Arial" w:cs="Arial"/>
                <w:lang w:val="en-GB"/>
              </w:rPr>
              <w:t>Menstrual Cup Sterilizer</w:t>
            </w:r>
          </w:p>
        </w:tc>
        <w:tc>
          <w:tcPr>
            <w:tcW w:w="4230" w:type="dxa"/>
            <w:vAlign w:val="center"/>
          </w:tcPr>
          <w:p w14:paraId="4CCB877F" w14:textId="77777777" w:rsidR="00243E71" w:rsidRPr="004A6259" w:rsidRDefault="00243E71" w:rsidP="00D00C0C">
            <w:pPr>
              <w:rPr>
                <w:rFonts w:ascii="Arial" w:hAnsi="Arial" w:cs="Arial"/>
                <w:lang w:val="en-GB"/>
              </w:rPr>
            </w:pPr>
            <w:r w:rsidRPr="004A6259">
              <w:rPr>
                <w:rFonts w:ascii="Arial" w:hAnsi="Arial" w:cs="Arial"/>
                <w:lang w:val="en-GB"/>
              </w:rPr>
              <w:t>Single unit</w:t>
            </w:r>
          </w:p>
        </w:tc>
        <w:tc>
          <w:tcPr>
            <w:tcW w:w="2250" w:type="dxa"/>
            <w:vAlign w:val="center"/>
          </w:tcPr>
          <w:p w14:paraId="3719E0B0" w14:textId="04ABC1F7" w:rsidR="00243E71" w:rsidRPr="004A6259" w:rsidRDefault="00243E71" w:rsidP="00AE7298">
            <w:pPr>
              <w:jc w:val="right"/>
              <w:rPr>
                <w:rFonts w:ascii="Arial" w:hAnsi="Arial" w:cs="Arial"/>
                <w:lang w:val="en-GB"/>
              </w:rPr>
            </w:pPr>
            <w:r w:rsidRPr="004A6259">
              <w:rPr>
                <w:rFonts w:ascii="Arial" w:hAnsi="Arial" w:cs="Arial"/>
                <w:lang w:val="en-GB"/>
              </w:rPr>
              <w:t>2</w:t>
            </w:r>
            <w:r>
              <w:rPr>
                <w:rFonts w:ascii="Arial" w:hAnsi="Arial" w:cs="Arial"/>
                <w:lang w:val="en-GB"/>
              </w:rPr>
              <w:t>,</w:t>
            </w:r>
            <w:r w:rsidRPr="004A6259">
              <w:rPr>
                <w:rFonts w:ascii="Arial" w:hAnsi="Arial" w:cs="Arial"/>
                <w:lang w:val="en-GB"/>
              </w:rPr>
              <w:t>499</w:t>
            </w:r>
          </w:p>
        </w:tc>
      </w:tr>
      <w:tr w:rsidR="00243E71" w:rsidRPr="004A6259" w14:paraId="03137DB0" w14:textId="77777777" w:rsidTr="00D51D9E">
        <w:trPr>
          <w:tblHeader/>
          <w:jc w:val="center"/>
        </w:trPr>
        <w:tc>
          <w:tcPr>
            <w:tcW w:w="2785" w:type="dxa"/>
            <w:vAlign w:val="center"/>
          </w:tcPr>
          <w:p w14:paraId="488E5918" w14:textId="77777777" w:rsidR="00243E71" w:rsidRPr="004A6259" w:rsidRDefault="00243E71" w:rsidP="00AE7298">
            <w:pPr>
              <w:rPr>
                <w:rFonts w:ascii="Arial" w:hAnsi="Arial" w:cs="Arial"/>
                <w:lang w:val="en-GB"/>
              </w:rPr>
            </w:pPr>
            <w:r w:rsidRPr="004A6259">
              <w:rPr>
                <w:rFonts w:ascii="Arial" w:hAnsi="Arial" w:cs="Arial"/>
                <w:lang w:val="en-GB"/>
              </w:rPr>
              <w:t>Panty Liners</w:t>
            </w:r>
          </w:p>
        </w:tc>
        <w:tc>
          <w:tcPr>
            <w:tcW w:w="4230" w:type="dxa"/>
            <w:vAlign w:val="center"/>
          </w:tcPr>
          <w:p w14:paraId="17FCCB4F" w14:textId="32ADCDE6" w:rsidR="00243E71" w:rsidRPr="004A6259" w:rsidRDefault="00243E71" w:rsidP="00D00C0C">
            <w:pPr>
              <w:rPr>
                <w:rFonts w:ascii="Arial" w:hAnsi="Arial" w:cs="Arial"/>
                <w:lang w:val="en-GB"/>
              </w:rPr>
            </w:pPr>
            <w:r w:rsidRPr="004A6259">
              <w:rPr>
                <w:rFonts w:ascii="Arial" w:hAnsi="Arial" w:cs="Arial"/>
                <w:lang w:val="en-GB"/>
              </w:rPr>
              <w:t>Bundles of 1</w:t>
            </w:r>
            <w:r>
              <w:rPr>
                <w:rFonts w:ascii="Arial" w:hAnsi="Arial" w:cs="Arial"/>
                <w:lang w:val="en-GB"/>
              </w:rPr>
              <w:t>,</w:t>
            </w:r>
            <w:r w:rsidRPr="004A6259">
              <w:rPr>
                <w:rFonts w:ascii="Arial" w:hAnsi="Arial" w:cs="Arial"/>
                <w:lang w:val="en-GB"/>
              </w:rPr>
              <w:t xml:space="preserve"> 2</w:t>
            </w:r>
            <w:r>
              <w:rPr>
                <w:rFonts w:ascii="Arial" w:hAnsi="Arial" w:cs="Arial"/>
                <w:lang w:val="en-GB"/>
              </w:rPr>
              <w:t>, and</w:t>
            </w:r>
            <w:r w:rsidRPr="004A6259">
              <w:rPr>
                <w:rFonts w:ascii="Arial" w:hAnsi="Arial" w:cs="Arial"/>
                <w:lang w:val="en-GB"/>
              </w:rPr>
              <w:t xml:space="preserve"> 3 packs (30 liners/pack)</w:t>
            </w:r>
          </w:p>
        </w:tc>
        <w:tc>
          <w:tcPr>
            <w:tcW w:w="2250" w:type="dxa"/>
            <w:vAlign w:val="center"/>
          </w:tcPr>
          <w:p w14:paraId="58104427" w14:textId="50C0B124" w:rsidR="00243E71" w:rsidRPr="004A6259" w:rsidRDefault="00243E71" w:rsidP="00AE7298">
            <w:pPr>
              <w:jc w:val="right"/>
              <w:rPr>
                <w:rFonts w:ascii="Arial" w:hAnsi="Arial" w:cs="Arial"/>
                <w:lang w:val="en-GB"/>
              </w:rPr>
            </w:pPr>
            <w:r w:rsidRPr="004A6259">
              <w:rPr>
                <w:rFonts w:ascii="Arial" w:hAnsi="Arial" w:cs="Arial"/>
                <w:lang w:val="en-GB"/>
              </w:rPr>
              <w:t>175</w:t>
            </w:r>
            <w:r>
              <w:rPr>
                <w:rFonts w:ascii="Arial" w:hAnsi="Arial" w:cs="Arial"/>
                <w:lang w:val="en-GB"/>
              </w:rPr>
              <w:t>–</w:t>
            </w:r>
            <w:r w:rsidRPr="004A6259">
              <w:rPr>
                <w:rFonts w:ascii="Arial" w:hAnsi="Arial" w:cs="Arial"/>
                <w:lang w:val="en-GB"/>
              </w:rPr>
              <w:t>525</w:t>
            </w:r>
          </w:p>
        </w:tc>
      </w:tr>
      <w:tr w:rsidR="00243E71" w:rsidRPr="004A6259" w14:paraId="1471B53C" w14:textId="77777777" w:rsidTr="00D51D9E">
        <w:trPr>
          <w:tblHeader/>
          <w:jc w:val="center"/>
        </w:trPr>
        <w:tc>
          <w:tcPr>
            <w:tcW w:w="2785" w:type="dxa"/>
            <w:vAlign w:val="center"/>
          </w:tcPr>
          <w:p w14:paraId="1DC98389" w14:textId="77777777" w:rsidR="00243E71" w:rsidRPr="004A6259" w:rsidRDefault="00243E71" w:rsidP="00AE7298">
            <w:pPr>
              <w:rPr>
                <w:rFonts w:ascii="Arial" w:hAnsi="Arial" w:cs="Arial"/>
                <w:lang w:val="en-GB"/>
              </w:rPr>
            </w:pPr>
            <w:r w:rsidRPr="004A6259">
              <w:rPr>
                <w:rFonts w:ascii="Arial" w:hAnsi="Arial" w:cs="Arial"/>
                <w:lang w:val="en-GB"/>
              </w:rPr>
              <w:t>Refreshing Intimate Wash</w:t>
            </w:r>
          </w:p>
        </w:tc>
        <w:tc>
          <w:tcPr>
            <w:tcW w:w="4230" w:type="dxa"/>
            <w:vAlign w:val="center"/>
          </w:tcPr>
          <w:p w14:paraId="56C7D3E5" w14:textId="06768BEA" w:rsidR="00243E71" w:rsidRPr="004A6259" w:rsidRDefault="00243E71" w:rsidP="00D00C0C">
            <w:pPr>
              <w:rPr>
                <w:rFonts w:ascii="Arial" w:hAnsi="Arial" w:cs="Arial"/>
                <w:lang w:val="en-GB"/>
              </w:rPr>
            </w:pPr>
            <w:r w:rsidRPr="004A6259">
              <w:rPr>
                <w:rFonts w:ascii="Arial" w:hAnsi="Arial" w:cs="Arial"/>
                <w:lang w:val="en-GB"/>
              </w:rPr>
              <w:t>60</w:t>
            </w:r>
            <w:r>
              <w:rPr>
                <w:rFonts w:ascii="Arial" w:hAnsi="Arial" w:cs="Arial"/>
                <w:lang w:val="en-GB"/>
              </w:rPr>
              <w:t xml:space="preserve"> </w:t>
            </w:r>
            <w:r w:rsidRPr="004A6259">
              <w:rPr>
                <w:rFonts w:ascii="Arial" w:hAnsi="Arial" w:cs="Arial"/>
                <w:lang w:val="en-GB"/>
              </w:rPr>
              <w:t>ml spray bottle</w:t>
            </w:r>
          </w:p>
        </w:tc>
        <w:tc>
          <w:tcPr>
            <w:tcW w:w="2250" w:type="dxa"/>
            <w:vAlign w:val="center"/>
          </w:tcPr>
          <w:p w14:paraId="4B18E0B7" w14:textId="77777777" w:rsidR="00243E71" w:rsidRPr="004A6259" w:rsidRDefault="00243E71" w:rsidP="00AE7298">
            <w:pPr>
              <w:jc w:val="right"/>
              <w:rPr>
                <w:rFonts w:ascii="Arial" w:hAnsi="Arial" w:cs="Arial"/>
                <w:lang w:val="en-GB"/>
              </w:rPr>
            </w:pPr>
            <w:r w:rsidRPr="004A6259">
              <w:rPr>
                <w:rFonts w:ascii="Arial" w:hAnsi="Arial" w:cs="Arial"/>
                <w:lang w:val="en-GB"/>
              </w:rPr>
              <w:t>199</w:t>
            </w:r>
          </w:p>
        </w:tc>
      </w:tr>
      <w:tr w:rsidR="00243E71" w:rsidRPr="004A6259" w14:paraId="554F8013" w14:textId="77777777" w:rsidTr="00D51D9E">
        <w:trPr>
          <w:tblHeader/>
          <w:jc w:val="center"/>
        </w:trPr>
        <w:tc>
          <w:tcPr>
            <w:tcW w:w="2785" w:type="dxa"/>
            <w:vAlign w:val="center"/>
          </w:tcPr>
          <w:p w14:paraId="69426FB9" w14:textId="6249A205" w:rsidR="00243E71" w:rsidRPr="004A6259" w:rsidRDefault="00243E71" w:rsidP="00AE7298">
            <w:pPr>
              <w:rPr>
                <w:rFonts w:ascii="Arial" w:hAnsi="Arial" w:cs="Arial"/>
                <w:lang w:val="en-GB"/>
              </w:rPr>
            </w:pPr>
            <w:r w:rsidRPr="004A6259">
              <w:rPr>
                <w:rFonts w:ascii="Arial" w:hAnsi="Arial" w:cs="Arial"/>
                <w:lang w:val="en-GB"/>
              </w:rPr>
              <w:t>Feminine</w:t>
            </w:r>
            <w:r>
              <w:rPr>
                <w:rFonts w:ascii="Arial" w:hAnsi="Arial" w:cs="Arial"/>
                <w:lang w:val="en-GB"/>
              </w:rPr>
              <w:t>-Pain-Relief</w:t>
            </w:r>
            <w:r w:rsidRPr="004A6259">
              <w:rPr>
                <w:rFonts w:ascii="Arial" w:hAnsi="Arial" w:cs="Arial"/>
                <w:lang w:val="en-GB"/>
              </w:rPr>
              <w:t xml:space="preserve"> Patch</w:t>
            </w:r>
          </w:p>
        </w:tc>
        <w:tc>
          <w:tcPr>
            <w:tcW w:w="4230" w:type="dxa"/>
            <w:vAlign w:val="center"/>
          </w:tcPr>
          <w:p w14:paraId="34C4FD80" w14:textId="77777777" w:rsidR="00243E71" w:rsidRPr="004A6259" w:rsidRDefault="00243E71" w:rsidP="00D00C0C">
            <w:pPr>
              <w:rPr>
                <w:rFonts w:ascii="Arial" w:hAnsi="Arial" w:cs="Arial"/>
                <w:lang w:val="en-GB"/>
              </w:rPr>
            </w:pPr>
            <w:r w:rsidRPr="004A6259">
              <w:rPr>
                <w:rFonts w:ascii="Arial" w:hAnsi="Arial" w:cs="Arial"/>
                <w:lang w:val="en-GB"/>
              </w:rPr>
              <w:t xml:space="preserve">Pack of 5 patches </w:t>
            </w:r>
          </w:p>
        </w:tc>
        <w:tc>
          <w:tcPr>
            <w:tcW w:w="2250" w:type="dxa"/>
            <w:vAlign w:val="center"/>
          </w:tcPr>
          <w:p w14:paraId="043DE38E" w14:textId="77777777" w:rsidR="00243E71" w:rsidRPr="004A6259" w:rsidRDefault="00243E71" w:rsidP="00AE7298">
            <w:pPr>
              <w:jc w:val="right"/>
              <w:rPr>
                <w:rFonts w:ascii="Arial" w:hAnsi="Arial" w:cs="Arial"/>
                <w:lang w:val="en-GB"/>
              </w:rPr>
            </w:pPr>
            <w:r w:rsidRPr="004A6259">
              <w:rPr>
                <w:rFonts w:ascii="Arial" w:hAnsi="Arial" w:cs="Arial"/>
                <w:lang w:val="en-GB"/>
              </w:rPr>
              <w:t>249</w:t>
            </w:r>
          </w:p>
        </w:tc>
      </w:tr>
      <w:tr w:rsidR="00243E71" w:rsidRPr="004A6259" w14:paraId="5E922FD6" w14:textId="77777777" w:rsidTr="00D51D9E">
        <w:trPr>
          <w:tblHeader/>
          <w:jc w:val="center"/>
        </w:trPr>
        <w:tc>
          <w:tcPr>
            <w:tcW w:w="2785" w:type="dxa"/>
            <w:vAlign w:val="center"/>
          </w:tcPr>
          <w:p w14:paraId="65F1294C" w14:textId="77777777" w:rsidR="00243E71" w:rsidRPr="004A6259" w:rsidRDefault="00243E71" w:rsidP="00AE7298">
            <w:pPr>
              <w:rPr>
                <w:rFonts w:ascii="Arial" w:hAnsi="Arial" w:cs="Arial"/>
                <w:lang w:val="en-GB"/>
              </w:rPr>
            </w:pPr>
            <w:r w:rsidRPr="004A6259">
              <w:rPr>
                <w:rFonts w:ascii="Arial" w:hAnsi="Arial" w:cs="Arial"/>
                <w:lang w:val="en-GB"/>
              </w:rPr>
              <w:t>Anti-Chafing Rash Cream</w:t>
            </w:r>
          </w:p>
        </w:tc>
        <w:tc>
          <w:tcPr>
            <w:tcW w:w="4230" w:type="dxa"/>
            <w:vAlign w:val="center"/>
          </w:tcPr>
          <w:p w14:paraId="6FCA44FD" w14:textId="3DD9833E" w:rsidR="00243E71" w:rsidRPr="004A6259" w:rsidRDefault="00243E71" w:rsidP="00D00C0C">
            <w:pPr>
              <w:rPr>
                <w:rFonts w:ascii="Arial" w:hAnsi="Arial" w:cs="Arial"/>
                <w:lang w:val="en-GB"/>
              </w:rPr>
            </w:pPr>
            <w:r w:rsidRPr="004A6259">
              <w:rPr>
                <w:rFonts w:ascii="Arial" w:hAnsi="Arial" w:cs="Arial"/>
                <w:lang w:val="en-GB"/>
              </w:rPr>
              <w:t>Single unit (25 g)</w:t>
            </w:r>
          </w:p>
        </w:tc>
        <w:tc>
          <w:tcPr>
            <w:tcW w:w="2250" w:type="dxa"/>
            <w:vAlign w:val="center"/>
          </w:tcPr>
          <w:p w14:paraId="3DC58BD5" w14:textId="77777777" w:rsidR="00243E71" w:rsidRPr="004A6259" w:rsidRDefault="00243E71" w:rsidP="00AE7298">
            <w:pPr>
              <w:jc w:val="right"/>
              <w:rPr>
                <w:rFonts w:ascii="Arial" w:hAnsi="Arial" w:cs="Arial"/>
                <w:lang w:val="en-GB"/>
              </w:rPr>
            </w:pPr>
            <w:r w:rsidRPr="004A6259">
              <w:rPr>
                <w:rFonts w:ascii="Arial" w:hAnsi="Arial" w:cs="Arial"/>
                <w:lang w:val="en-GB"/>
              </w:rPr>
              <w:t>395</w:t>
            </w:r>
          </w:p>
        </w:tc>
      </w:tr>
      <w:tr w:rsidR="00243E71" w:rsidRPr="004A6259" w14:paraId="074BB40E" w14:textId="77777777" w:rsidTr="00D51D9E">
        <w:trPr>
          <w:tblHeader/>
          <w:jc w:val="center"/>
        </w:trPr>
        <w:tc>
          <w:tcPr>
            <w:tcW w:w="2785" w:type="dxa"/>
            <w:vAlign w:val="center"/>
          </w:tcPr>
          <w:p w14:paraId="29420D32" w14:textId="77777777" w:rsidR="00243E71" w:rsidRPr="004A6259" w:rsidRDefault="00243E71" w:rsidP="00AE7298">
            <w:pPr>
              <w:rPr>
                <w:rFonts w:ascii="Arial" w:hAnsi="Arial" w:cs="Arial"/>
                <w:lang w:val="en-GB"/>
              </w:rPr>
            </w:pPr>
            <w:r w:rsidRPr="004A6259">
              <w:rPr>
                <w:rFonts w:ascii="Arial" w:hAnsi="Arial" w:cs="Arial"/>
                <w:lang w:val="en-GB"/>
              </w:rPr>
              <w:t>Sanitary Disposal Bags</w:t>
            </w:r>
          </w:p>
        </w:tc>
        <w:tc>
          <w:tcPr>
            <w:tcW w:w="4230" w:type="dxa"/>
            <w:vAlign w:val="center"/>
          </w:tcPr>
          <w:p w14:paraId="6600F295" w14:textId="1B816D0A" w:rsidR="00243E71" w:rsidRPr="004A6259" w:rsidRDefault="00243E71" w:rsidP="00D00C0C">
            <w:pPr>
              <w:rPr>
                <w:rFonts w:ascii="Arial" w:hAnsi="Arial" w:cs="Arial"/>
                <w:lang w:val="en-GB"/>
              </w:rPr>
            </w:pPr>
            <w:r w:rsidRPr="004A6259">
              <w:rPr>
                <w:rFonts w:ascii="Arial" w:hAnsi="Arial" w:cs="Arial"/>
                <w:lang w:val="en-GB"/>
              </w:rPr>
              <w:t>Packs of 15</w:t>
            </w:r>
            <w:r>
              <w:rPr>
                <w:rFonts w:ascii="Arial" w:hAnsi="Arial" w:cs="Arial"/>
                <w:lang w:val="en-GB"/>
              </w:rPr>
              <w:t>,</w:t>
            </w:r>
            <w:r w:rsidRPr="004A6259">
              <w:rPr>
                <w:rFonts w:ascii="Arial" w:hAnsi="Arial" w:cs="Arial"/>
                <w:lang w:val="en-GB"/>
              </w:rPr>
              <w:t xml:space="preserve"> 45</w:t>
            </w:r>
            <w:r>
              <w:rPr>
                <w:rFonts w:ascii="Arial" w:hAnsi="Arial" w:cs="Arial"/>
                <w:lang w:val="en-GB"/>
              </w:rPr>
              <w:t>, and</w:t>
            </w:r>
            <w:r w:rsidRPr="004A6259">
              <w:rPr>
                <w:rFonts w:ascii="Arial" w:hAnsi="Arial" w:cs="Arial"/>
                <w:lang w:val="en-GB"/>
              </w:rPr>
              <w:t xml:space="preserve"> 75 bags</w:t>
            </w:r>
          </w:p>
        </w:tc>
        <w:tc>
          <w:tcPr>
            <w:tcW w:w="2250" w:type="dxa"/>
            <w:vAlign w:val="center"/>
          </w:tcPr>
          <w:p w14:paraId="4D67198A" w14:textId="4F40E80E" w:rsidR="00243E71" w:rsidRPr="004A6259" w:rsidRDefault="00243E71" w:rsidP="00AE7298">
            <w:pPr>
              <w:jc w:val="right"/>
              <w:rPr>
                <w:rFonts w:ascii="Arial" w:hAnsi="Arial" w:cs="Arial"/>
                <w:lang w:val="en-GB"/>
              </w:rPr>
            </w:pPr>
            <w:r w:rsidRPr="004A6259">
              <w:rPr>
                <w:rFonts w:ascii="Arial" w:hAnsi="Arial" w:cs="Arial"/>
                <w:lang w:val="en-GB"/>
              </w:rPr>
              <w:t>99</w:t>
            </w:r>
            <w:r>
              <w:rPr>
                <w:rFonts w:ascii="Arial" w:hAnsi="Arial" w:cs="Arial"/>
                <w:lang w:val="en-GB"/>
              </w:rPr>
              <w:t>–</w:t>
            </w:r>
            <w:r w:rsidRPr="004A6259">
              <w:rPr>
                <w:rFonts w:ascii="Arial" w:hAnsi="Arial" w:cs="Arial"/>
                <w:lang w:val="en-GB"/>
              </w:rPr>
              <w:t>495</w:t>
            </w:r>
          </w:p>
        </w:tc>
      </w:tr>
      <w:tr w:rsidR="00243E71" w:rsidRPr="004A6259" w14:paraId="6E5DA280" w14:textId="77777777" w:rsidTr="00D51D9E">
        <w:trPr>
          <w:tblHeader/>
          <w:jc w:val="center"/>
        </w:trPr>
        <w:tc>
          <w:tcPr>
            <w:tcW w:w="2785" w:type="dxa"/>
            <w:vAlign w:val="center"/>
          </w:tcPr>
          <w:p w14:paraId="7E47264B" w14:textId="77777777" w:rsidR="00243E71" w:rsidRPr="004A6259" w:rsidRDefault="00243E71" w:rsidP="00AE7298">
            <w:pPr>
              <w:rPr>
                <w:rFonts w:ascii="Arial" w:hAnsi="Arial" w:cs="Arial"/>
                <w:lang w:val="en-GB"/>
              </w:rPr>
            </w:pPr>
            <w:r w:rsidRPr="004A6259">
              <w:rPr>
                <w:rFonts w:ascii="Arial" w:hAnsi="Arial" w:cs="Arial"/>
                <w:lang w:val="en-GB"/>
              </w:rPr>
              <w:t>Intimate Wipes</w:t>
            </w:r>
          </w:p>
        </w:tc>
        <w:tc>
          <w:tcPr>
            <w:tcW w:w="4230" w:type="dxa"/>
            <w:vAlign w:val="center"/>
          </w:tcPr>
          <w:p w14:paraId="0A9507B5" w14:textId="5B2BF3C7" w:rsidR="00243E71" w:rsidRPr="004A6259" w:rsidRDefault="00243E71" w:rsidP="00D00C0C">
            <w:pPr>
              <w:rPr>
                <w:rFonts w:ascii="Arial" w:hAnsi="Arial" w:cs="Arial"/>
                <w:lang w:val="en-GB"/>
              </w:rPr>
            </w:pPr>
            <w:r w:rsidRPr="004A6259">
              <w:rPr>
                <w:rFonts w:ascii="Arial" w:hAnsi="Arial" w:cs="Arial"/>
                <w:lang w:val="en-GB"/>
              </w:rPr>
              <w:t>Bundles of 1</w:t>
            </w:r>
            <w:r>
              <w:rPr>
                <w:rFonts w:ascii="Arial" w:hAnsi="Arial" w:cs="Arial"/>
                <w:lang w:val="en-GB"/>
              </w:rPr>
              <w:t>,</w:t>
            </w:r>
            <w:r w:rsidRPr="004A6259">
              <w:rPr>
                <w:rFonts w:ascii="Arial" w:hAnsi="Arial" w:cs="Arial"/>
                <w:lang w:val="en-GB"/>
              </w:rPr>
              <w:t xml:space="preserve"> 3</w:t>
            </w:r>
            <w:r>
              <w:rPr>
                <w:rFonts w:ascii="Arial" w:hAnsi="Arial" w:cs="Arial"/>
                <w:lang w:val="en-GB"/>
              </w:rPr>
              <w:t>, or</w:t>
            </w:r>
            <w:r w:rsidRPr="004A6259">
              <w:rPr>
                <w:rFonts w:ascii="Arial" w:hAnsi="Arial" w:cs="Arial"/>
                <w:lang w:val="en-GB"/>
              </w:rPr>
              <w:t xml:space="preserve"> </w:t>
            </w:r>
            <w:r>
              <w:rPr>
                <w:rFonts w:ascii="Arial" w:hAnsi="Arial" w:cs="Arial"/>
                <w:lang w:val="en-GB"/>
              </w:rPr>
              <w:t>and</w:t>
            </w:r>
            <w:r w:rsidRPr="004A6259">
              <w:rPr>
                <w:rFonts w:ascii="Arial" w:hAnsi="Arial" w:cs="Arial"/>
                <w:lang w:val="en-GB"/>
              </w:rPr>
              <w:t xml:space="preserve"> packs (10 wipes/pack)</w:t>
            </w:r>
          </w:p>
        </w:tc>
        <w:tc>
          <w:tcPr>
            <w:tcW w:w="2250" w:type="dxa"/>
            <w:vAlign w:val="center"/>
          </w:tcPr>
          <w:p w14:paraId="125552FE" w14:textId="40340231" w:rsidR="00243E71" w:rsidRPr="004A6259" w:rsidRDefault="00243E71" w:rsidP="00AE7298">
            <w:pPr>
              <w:jc w:val="right"/>
              <w:rPr>
                <w:rFonts w:ascii="Arial" w:hAnsi="Arial" w:cs="Arial"/>
                <w:lang w:val="en-GB"/>
              </w:rPr>
            </w:pPr>
            <w:r w:rsidRPr="004A6259">
              <w:rPr>
                <w:rFonts w:ascii="Arial" w:hAnsi="Arial" w:cs="Arial"/>
                <w:lang w:val="en-GB"/>
              </w:rPr>
              <w:t>75</w:t>
            </w:r>
            <w:r>
              <w:rPr>
                <w:rFonts w:ascii="Arial" w:hAnsi="Arial" w:cs="Arial"/>
                <w:lang w:val="en-GB"/>
              </w:rPr>
              <w:t>–</w:t>
            </w:r>
            <w:r w:rsidRPr="004A6259">
              <w:rPr>
                <w:rFonts w:ascii="Arial" w:hAnsi="Arial" w:cs="Arial"/>
                <w:lang w:val="en-GB"/>
              </w:rPr>
              <w:t>375</w:t>
            </w:r>
          </w:p>
        </w:tc>
      </w:tr>
      <w:tr w:rsidR="00243E71" w:rsidRPr="004A6259" w14:paraId="110CBB8E" w14:textId="77777777" w:rsidTr="00D51D9E">
        <w:trPr>
          <w:tblHeader/>
          <w:jc w:val="center"/>
        </w:trPr>
        <w:tc>
          <w:tcPr>
            <w:tcW w:w="2785" w:type="dxa"/>
            <w:vAlign w:val="center"/>
          </w:tcPr>
          <w:p w14:paraId="19300C9A" w14:textId="2644F708" w:rsidR="00243E71" w:rsidRPr="004A6259" w:rsidRDefault="00243E71" w:rsidP="00AE7298">
            <w:pPr>
              <w:rPr>
                <w:rFonts w:ascii="Arial" w:hAnsi="Arial" w:cs="Arial"/>
                <w:lang w:val="en-GB"/>
              </w:rPr>
            </w:pPr>
            <w:r w:rsidRPr="004A6259">
              <w:rPr>
                <w:rFonts w:ascii="Arial" w:hAnsi="Arial" w:cs="Arial"/>
                <w:lang w:val="en-GB"/>
              </w:rPr>
              <w:t>Multi-</w:t>
            </w:r>
            <w:r>
              <w:rPr>
                <w:rFonts w:ascii="Arial" w:hAnsi="Arial" w:cs="Arial"/>
                <w:lang w:val="en-GB"/>
              </w:rPr>
              <w:t>Use</w:t>
            </w:r>
            <w:r w:rsidRPr="004A6259">
              <w:rPr>
                <w:rFonts w:ascii="Arial" w:hAnsi="Arial" w:cs="Arial"/>
                <w:lang w:val="en-GB"/>
              </w:rPr>
              <w:t xml:space="preserve"> Wipes</w:t>
            </w:r>
          </w:p>
        </w:tc>
        <w:tc>
          <w:tcPr>
            <w:tcW w:w="4230" w:type="dxa"/>
            <w:vAlign w:val="center"/>
          </w:tcPr>
          <w:p w14:paraId="63602C69" w14:textId="4B1994A0" w:rsidR="00243E71" w:rsidRPr="004A6259" w:rsidRDefault="00243E71" w:rsidP="00D00C0C">
            <w:pPr>
              <w:rPr>
                <w:rFonts w:ascii="Arial" w:hAnsi="Arial" w:cs="Arial"/>
                <w:lang w:val="en-GB"/>
              </w:rPr>
            </w:pPr>
            <w:r w:rsidRPr="004A6259">
              <w:rPr>
                <w:rFonts w:ascii="Arial" w:hAnsi="Arial" w:cs="Arial"/>
                <w:lang w:val="en-GB"/>
              </w:rPr>
              <w:t>Bundles of 1</w:t>
            </w:r>
            <w:r>
              <w:rPr>
                <w:rFonts w:ascii="Arial" w:hAnsi="Arial" w:cs="Arial"/>
                <w:lang w:val="en-GB"/>
              </w:rPr>
              <w:t>,</w:t>
            </w:r>
            <w:r w:rsidRPr="004A6259">
              <w:rPr>
                <w:rFonts w:ascii="Arial" w:hAnsi="Arial" w:cs="Arial"/>
                <w:lang w:val="en-GB"/>
              </w:rPr>
              <w:t xml:space="preserve"> 3</w:t>
            </w:r>
            <w:r>
              <w:rPr>
                <w:rFonts w:ascii="Arial" w:hAnsi="Arial" w:cs="Arial"/>
                <w:lang w:val="en-GB"/>
              </w:rPr>
              <w:t>,</w:t>
            </w:r>
            <w:r w:rsidRPr="004A6259">
              <w:rPr>
                <w:rFonts w:ascii="Arial" w:hAnsi="Arial" w:cs="Arial"/>
                <w:lang w:val="en-GB"/>
              </w:rPr>
              <w:t xml:space="preserve"> </w:t>
            </w:r>
            <w:r>
              <w:rPr>
                <w:rFonts w:ascii="Arial" w:hAnsi="Arial" w:cs="Arial"/>
                <w:lang w:val="en-GB"/>
              </w:rPr>
              <w:t xml:space="preserve">and </w:t>
            </w:r>
            <w:r w:rsidRPr="004A6259">
              <w:rPr>
                <w:rFonts w:ascii="Arial" w:hAnsi="Arial" w:cs="Arial"/>
                <w:lang w:val="en-GB"/>
              </w:rPr>
              <w:t>5 packs (10 wipes/pack</w:t>
            </w:r>
            <w:r>
              <w:rPr>
                <w:rFonts w:ascii="Arial" w:hAnsi="Arial" w:cs="Arial"/>
                <w:lang w:val="en-GB"/>
              </w:rPr>
              <w:t>)</w:t>
            </w:r>
          </w:p>
        </w:tc>
        <w:tc>
          <w:tcPr>
            <w:tcW w:w="2250" w:type="dxa"/>
            <w:vAlign w:val="center"/>
          </w:tcPr>
          <w:p w14:paraId="7B94A862" w14:textId="2F678BAD" w:rsidR="00243E71" w:rsidRPr="004A6259" w:rsidRDefault="00243E71" w:rsidP="00AE7298">
            <w:pPr>
              <w:jc w:val="right"/>
              <w:rPr>
                <w:rFonts w:ascii="Arial" w:hAnsi="Arial" w:cs="Arial"/>
                <w:lang w:val="en-GB"/>
              </w:rPr>
            </w:pPr>
            <w:r w:rsidRPr="004A6259">
              <w:rPr>
                <w:rFonts w:ascii="Arial" w:hAnsi="Arial" w:cs="Arial"/>
                <w:lang w:val="en-GB"/>
              </w:rPr>
              <w:t>45</w:t>
            </w:r>
            <w:r>
              <w:rPr>
                <w:rFonts w:ascii="Arial" w:hAnsi="Arial" w:cs="Arial"/>
                <w:lang w:val="en-GB"/>
              </w:rPr>
              <w:t>–</w:t>
            </w:r>
            <w:r w:rsidRPr="004A6259">
              <w:rPr>
                <w:rFonts w:ascii="Arial" w:hAnsi="Arial" w:cs="Arial"/>
                <w:lang w:val="en-GB"/>
              </w:rPr>
              <w:t>225</w:t>
            </w:r>
          </w:p>
        </w:tc>
      </w:tr>
      <w:tr w:rsidR="00243E71" w:rsidRPr="004A6259" w14:paraId="2920A088" w14:textId="77777777" w:rsidTr="00D51D9E">
        <w:trPr>
          <w:tblHeader/>
          <w:jc w:val="center"/>
        </w:trPr>
        <w:tc>
          <w:tcPr>
            <w:tcW w:w="2785" w:type="dxa"/>
            <w:vAlign w:val="center"/>
          </w:tcPr>
          <w:p w14:paraId="3083E51E" w14:textId="77777777" w:rsidR="00243E71" w:rsidRPr="004A6259" w:rsidRDefault="00243E71" w:rsidP="00AE7298">
            <w:pPr>
              <w:rPr>
                <w:rFonts w:ascii="Arial" w:hAnsi="Arial" w:cs="Arial"/>
                <w:lang w:val="en-GB"/>
              </w:rPr>
            </w:pPr>
            <w:r w:rsidRPr="004A6259">
              <w:rPr>
                <w:rFonts w:ascii="Arial" w:hAnsi="Arial" w:cs="Arial"/>
                <w:lang w:val="en-GB"/>
              </w:rPr>
              <w:t>Luxury Body and Soul Collection</w:t>
            </w:r>
          </w:p>
        </w:tc>
        <w:tc>
          <w:tcPr>
            <w:tcW w:w="4230" w:type="dxa"/>
            <w:vAlign w:val="center"/>
          </w:tcPr>
          <w:p w14:paraId="4EF98205" w14:textId="699DCA2B" w:rsidR="00243E71" w:rsidRPr="004A6259" w:rsidRDefault="00243E71" w:rsidP="00D00C0C">
            <w:pPr>
              <w:rPr>
                <w:rFonts w:ascii="Arial" w:hAnsi="Arial" w:cs="Arial"/>
                <w:lang w:val="en-GB"/>
              </w:rPr>
            </w:pPr>
            <w:r w:rsidRPr="004A6259">
              <w:rPr>
                <w:rFonts w:ascii="Arial" w:hAnsi="Arial" w:cs="Arial"/>
                <w:lang w:val="en-GB"/>
              </w:rPr>
              <w:t xml:space="preserve">Single unit: </w:t>
            </w:r>
            <w:r>
              <w:rPr>
                <w:rFonts w:ascii="Arial" w:hAnsi="Arial" w:cs="Arial"/>
                <w:lang w:val="en-GB"/>
              </w:rPr>
              <w:t>Therapeutic</w:t>
            </w:r>
            <w:r w:rsidRPr="004A6259">
              <w:rPr>
                <w:rFonts w:ascii="Arial" w:hAnsi="Arial" w:cs="Arial"/>
                <w:lang w:val="en-GB"/>
              </w:rPr>
              <w:t xml:space="preserve"> body wash, </w:t>
            </w:r>
            <w:r>
              <w:rPr>
                <w:rFonts w:ascii="Arial" w:hAnsi="Arial" w:cs="Arial"/>
                <w:lang w:val="en-GB"/>
              </w:rPr>
              <w:t>deep-cleansing</w:t>
            </w:r>
            <w:r w:rsidRPr="004A6259">
              <w:rPr>
                <w:rFonts w:ascii="Arial" w:hAnsi="Arial" w:cs="Arial"/>
                <w:lang w:val="en-GB"/>
              </w:rPr>
              <w:t xml:space="preserve"> face pack, exfoliating face</w:t>
            </w:r>
            <w:r>
              <w:rPr>
                <w:rFonts w:ascii="Arial" w:hAnsi="Arial" w:cs="Arial"/>
                <w:lang w:val="en-GB"/>
              </w:rPr>
              <w:t xml:space="preserve"> </w:t>
            </w:r>
            <w:r w:rsidRPr="004A6259">
              <w:rPr>
                <w:rFonts w:ascii="Arial" w:hAnsi="Arial" w:cs="Arial"/>
                <w:lang w:val="en-GB"/>
              </w:rPr>
              <w:t>wash, refreshing intimate wash</w:t>
            </w:r>
            <w:r>
              <w:rPr>
                <w:rFonts w:ascii="Arial" w:hAnsi="Arial" w:cs="Arial"/>
                <w:lang w:val="en-GB"/>
              </w:rPr>
              <w:t>, and</w:t>
            </w:r>
            <w:r w:rsidRPr="004A6259">
              <w:rPr>
                <w:rFonts w:ascii="Arial" w:hAnsi="Arial" w:cs="Arial"/>
                <w:lang w:val="en-GB"/>
              </w:rPr>
              <w:t xml:space="preserve"> anti-chafing rash cream</w:t>
            </w:r>
          </w:p>
        </w:tc>
        <w:tc>
          <w:tcPr>
            <w:tcW w:w="2250" w:type="dxa"/>
            <w:vAlign w:val="center"/>
          </w:tcPr>
          <w:p w14:paraId="54FDD6A7" w14:textId="16F18AFB" w:rsidR="00243E71" w:rsidRPr="004A6259" w:rsidRDefault="00243E71" w:rsidP="00AE7298">
            <w:pPr>
              <w:jc w:val="right"/>
              <w:rPr>
                <w:rFonts w:ascii="Arial" w:hAnsi="Arial" w:cs="Arial"/>
                <w:lang w:val="en-GB"/>
              </w:rPr>
            </w:pPr>
            <w:r w:rsidRPr="004A6259">
              <w:rPr>
                <w:rFonts w:ascii="Arial" w:hAnsi="Arial" w:cs="Arial"/>
                <w:lang w:val="en-GB"/>
              </w:rPr>
              <w:t>2</w:t>
            </w:r>
            <w:r>
              <w:rPr>
                <w:rFonts w:ascii="Arial" w:hAnsi="Arial" w:cs="Arial"/>
                <w:lang w:val="en-GB"/>
              </w:rPr>
              <w:t>,</w:t>
            </w:r>
            <w:r w:rsidRPr="004A6259">
              <w:rPr>
                <w:rFonts w:ascii="Arial" w:hAnsi="Arial" w:cs="Arial"/>
                <w:lang w:val="en-GB"/>
              </w:rPr>
              <w:t>299</w:t>
            </w:r>
          </w:p>
        </w:tc>
      </w:tr>
    </w:tbl>
    <w:p w14:paraId="63BB4F68" w14:textId="03297EC1" w:rsidR="00243E71" w:rsidRDefault="00243E71" w:rsidP="00B955A7">
      <w:pPr>
        <w:jc w:val="center"/>
        <w:rPr>
          <w:rFonts w:ascii="Arial" w:hAnsi="Arial" w:cs="Arial"/>
          <w:b/>
          <w:caps/>
          <w:lang w:val="en-GB"/>
        </w:rPr>
      </w:pPr>
    </w:p>
    <w:p w14:paraId="69F05E65" w14:textId="7963C759" w:rsidR="00243E71" w:rsidRDefault="00243E71" w:rsidP="00230AE8">
      <w:pPr>
        <w:pStyle w:val="Footnote"/>
        <w:rPr>
          <w:lang w:val="en-GB"/>
        </w:rPr>
      </w:pPr>
      <w:r w:rsidRPr="00230AE8">
        <w:rPr>
          <w:lang w:val="en-GB"/>
        </w:rPr>
        <w:t>Note: ₹ = INR = Indian rupee; SKU = stock-keeping unit</w:t>
      </w:r>
      <w:r>
        <w:rPr>
          <w:lang w:val="en-GB"/>
        </w:rPr>
        <w:t>; ml = millilitre; g = grams.</w:t>
      </w:r>
    </w:p>
    <w:p w14:paraId="5B3CCF76" w14:textId="1F1058B8" w:rsidR="00243E71" w:rsidRPr="004A6259" w:rsidRDefault="00243E71" w:rsidP="00AE7298">
      <w:pPr>
        <w:pStyle w:val="Footnote"/>
        <w:rPr>
          <w:lang w:val="en-GB"/>
        </w:rPr>
      </w:pPr>
      <w:r>
        <w:rPr>
          <w:lang w:val="en-GB"/>
        </w:rPr>
        <w:t>Source:</w:t>
      </w:r>
      <w:r w:rsidR="00D94D7A" w:rsidRPr="00D94D7A">
        <w:rPr>
          <w:lang w:val="en-GB"/>
        </w:rPr>
        <w:t xml:space="preserve"> </w:t>
      </w:r>
      <w:r w:rsidR="00693294">
        <w:rPr>
          <w:lang w:val="en-GB"/>
        </w:rPr>
        <w:t xml:space="preserve">Created by </w:t>
      </w:r>
      <w:r w:rsidR="00C65A97">
        <w:rPr>
          <w:lang w:val="en-GB"/>
        </w:rPr>
        <w:t xml:space="preserve">the </w:t>
      </w:r>
      <w:r w:rsidR="00693294">
        <w:rPr>
          <w:lang w:val="en-GB"/>
        </w:rPr>
        <w:t>authors from company files.</w:t>
      </w:r>
    </w:p>
    <w:p w14:paraId="1169F5FA" w14:textId="47C85A93" w:rsidR="00243E71" w:rsidRDefault="00243E71" w:rsidP="00D00C0C">
      <w:pPr>
        <w:jc w:val="center"/>
        <w:rPr>
          <w:rFonts w:ascii="Arial" w:hAnsi="Arial" w:cs="Arial"/>
          <w:b/>
          <w:caps/>
          <w:lang w:val="en-GB"/>
        </w:rPr>
      </w:pPr>
    </w:p>
    <w:p w14:paraId="6C479CFB" w14:textId="77777777" w:rsidR="007F3737" w:rsidRDefault="007F3737" w:rsidP="00D00C0C">
      <w:pPr>
        <w:jc w:val="center"/>
        <w:rPr>
          <w:rFonts w:ascii="Arial" w:hAnsi="Arial" w:cs="Arial"/>
          <w:b/>
          <w:caps/>
          <w:lang w:val="en-GB"/>
        </w:rPr>
      </w:pPr>
    </w:p>
    <w:p w14:paraId="2ED894D2" w14:textId="66717609" w:rsidR="00243E71" w:rsidRPr="004A6259" w:rsidRDefault="00243E71" w:rsidP="00AE7298">
      <w:pPr>
        <w:spacing w:after="200" w:line="276" w:lineRule="auto"/>
        <w:jc w:val="center"/>
        <w:rPr>
          <w:rFonts w:ascii="Arial" w:hAnsi="Arial" w:cs="Arial"/>
          <w:b/>
          <w:caps/>
          <w:lang w:val="en-GB"/>
        </w:rPr>
      </w:pPr>
      <w:r w:rsidRPr="004A6259">
        <w:rPr>
          <w:rFonts w:ascii="Arial" w:hAnsi="Arial" w:cs="Arial"/>
          <w:b/>
          <w:caps/>
          <w:lang w:val="en-GB"/>
        </w:rPr>
        <w:t xml:space="preserve">Exhibit </w:t>
      </w:r>
      <w:r>
        <w:rPr>
          <w:rFonts w:ascii="Arial" w:hAnsi="Arial" w:cs="Arial"/>
          <w:b/>
          <w:caps/>
          <w:lang w:val="en-GB"/>
        </w:rPr>
        <w:t>7</w:t>
      </w:r>
      <w:r w:rsidRPr="004A6259">
        <w:rPr>
          <w:rFonts w:ascii="Arial" w:hAnsi="Arial" w:cs="Arial"/>
          <w:b/>
          <w:caps/>
          <w:lang w:val="en-GB"/>
        </w:rPr>
        <w:t xml:space="preserve">: BODYGUARD Product RANGE </w:t>
      </w:r>
    </w:p>
    <w:tbl>
      <w:tblPr>
        <w:tblStyle w:val="TableGrid"/>
        <w:tblW w:w="7915" w:type="dxa"/>
        <w:jc w:val="center"/>
        <w:tblLook w:val="04A0" w:firstRow="1" w:lastRow="0" w:firstColumn="1" w:lastColumn="0" w:noHBand="0" w:noVBand="1"/>
        <w:tblCaption w:val="Exhibit 7: BodyGuard Product Range"/>
        <w:tblDescription w:val="Product, SKU Information and Price (₹)"/>
      </w:tblPr>
      <w:tblGrid>
        <w:gridCol w:w="2605"/>
        <w:gridCol w:w="3870"/>
        <w:gridCol w:w="1440"/>
      </w:tblGrid>
      <w:tr w:rsidR="00243E71" w:rsidRPr="004A6259" w14:paraId="1D86671D" w14:textId="77777777" w:rsidTr="00D51D9E">
        <w:trPr>
          <w:tblHeader/>
          <w:jc w:val="center"/>
        </w:trPr>
        <w:tc>
          <w:tcPr>
            <w:tcW w:w="2605" w:type="dxa"/>
            <w:vAlign w:val="center"/>
          </w:tcPr>
          <w:p w14:paraId="35D8599D" w14:textId="29CA165B" w:rsidR="00243E71" w:rsidRPr="004A6259" w:rsidRDefault="00243E71" w:rsidP="00402298">
            <w:pPr>
              <w:jc w:val="center"/>
              <w:rPr>
                <w:rFonts w:ascii="Arial" w:hAnsi="Arial" w:cs="Arial"/>
                <w:b/>
                <w:bCs/>
                <w:caps/>
                <w:lang w:val="en-GB"/>
              </w:rPr>
            </w:pPr>
            <w:r>
              <w:rPr>
                <w:rFonts w:ascii="Arial" w:hAnsi="Arial" w:cs="Arial"/>
                <w:b/>
                <w:bCs/>
                <w:lang w:val="en-GB"/>
              </w:rPr>
              <w:t>Product</w:t>
            </w:r>
          </w:p>
        </w:tc>
        <w:tc>
          <w:tcPr>
            <w:tcW w:w="3870" w:type="dxa"/>
            <w:vAlign w:val="center"/>
          </w:tcPr>
          <w:p w14:paraId="47F2BBCB" w14:textId="77777777" w:rsidR="00243E71" w:rsidRPr="004A6259" w:rsidRDefault="00243E71" w:rsidP="00AE7298">
            <w:pPr>
              <w:jc w:val="center"/>
              <w:rPr>
                <w:rFonts w:ascii="Arial" w:hAnsi="Arial" w:cs="Arial"/>
                <w:b/>
                <w:bCs/>
                <w:caps/>
                <w:lang w:val="en-GB"/>
              </w:rPr>
            </w:pPr>
            <w:r w:rsidRPr="004A6259">
              <w:rPr>
                <w:rFonts w:ascii="Arial" w:hAnsi="Arial" w:cs="Arial"/>
                <w:b/>
                <w:bCs/>
                <w:lang w:val="en-GB"/>
              </w:rPr>
              <w:t>SKU Information</w:t>
            </w:r>
          </w:p>
        </w:tc>
        <w:tc>
          <w:tcPr>
            <w:tcW w:w="1440" w:type="dxa"/>
            <w:vAlign w:val="center"/>
          </w:tcPr>
          <w:p w14:paraId="461B39D4" w14:textId="48C867CA" w:rsidR="00243E71" w:rsidRPr="004A6259" w:rsidRDefault="00243E71" w:rsidP="00AE7298">
            <w:pPr>
              <w:jc w:val="center"/>
              <w:rPr>
                <w:rFonts w:ascii="Arial" w:hAnsi="Arial" w:cs="Arial"/>
                <w:b/>
                <w:bCs/>
                <w:caps/>
                <w:lang w:val="en-GB"/>
              </w:rPr>
            </w:pPr>
            <w:r w:rsidRPr="004A6259">
              <w:rPr>
                <w:rFonts w:ascii="Arial" w:hAnsi="Arial" w:cs="Arial"/>
                <w:b/>
                <w:bCs/>
                <w:lang w:val="en-GB"/>
              </w:rPr>
              <w:t xml:space="preserve">Price </w:t>
            </w:r>
            <w:r w:rsidRPr="004A6259">
              <w:rPr>
                <w:rFonts w:ascii="Arial" w:hAnsi="Arial" w:cs="Arial"/>
                <w:b/>
                <w:caps/>
                <w:lang w:val="en-GB"/>
              </w:rPr>
              <w:t>(₹)</w:t>
            </w:r>
          </w:p>
        </w:tc>
      </w:tr>
      <w:tr w:rsidR="00243E71" w:rsidRPr="004A6259" w14:paraId="5F141752" w14:textId="77777777" w:rsidTr="00D51D9E">
        <w:trPr>
          <w:tblHeader/>
          <w:jc w:val="center"/>
        </w:trPr>
        <w:tc>
          <w:tcPr>
            <w:tcW w:w="2605" w:type="dxa"/>
            <w:vAlign w:val="center"/>
          </w:tcPr>
          <w:p w14:paraId="482E88FE" w14:textId="77777777" w:rsidR="00243E71" w:rsidRPr="004A6259" w:rsidRDefault="00243E71" w:rsidP="00AE7298">
            <w:pPr>
              <w:rPr>
                <w:rFonts w:ascii="Arial" w:hAnsi="Arial" w:cs="Arial"/>
                <w:b/>
                <w:caps/>
                <w:lang w:val="en-GB"/>
              </w:rPr>
            </w:pPr>
            <w:r w:rsidRPr="004A6259">
              <w:rPr>
                <w:rFonts w:ascii="Arial" w:hAnsi="Arial" w:cs="Arial"/>
                <w:lang w:val="en-GB"/>
              </w:rPr>
              <w:t>Hand Sanitizer</w:t>
            </w:r>
          </w:p>
        </w:tc>
        <w:tc>
          <w:tcPr>
            <w:tcW w:w="3870" w:type="dxa"/>
            <w:vAlign w:val="center"/>
          </w:tcPr>
          <w:p w14:paraId="3C4A60B9" w14:textId="4B429C34" w:rsidR="00243E71" w:rsidRPr="004A6259" w:rsidRDefault="00243E71" w:rsidP="00AE7298">
            <w:pPr>
              <w:rPr>
                <w:rFonts w:ascii="Arial" w:hAnsi="Arial" w:cs="Arial"/>
                <w:b/>
                <w:caps/>
                <w:lang w:val="en-GB"/>
              </w:rPr>
            </w:pPr>
            <w:r w:rsidRPr="004A6259">
              <w:rPr>
                <w:rFonts w:ascii="Arial" w:hAnsi="Arial" w:cs="Arial"/>
                <w:lang w:val="en-GB"/>
              </w:rPr>
              <w:t xml:space="preserve"> 50 </w:t>
            </w:r>
            <w:r>
              <w:rPr>
                <w:rFonts w:ascii="Arial" w:hAnsi="Arial" w:cs="Arial"/>
                <w:lang w:val="en-GB"/>
              </w:rPr>
              <w:t xml:space="preserve">ml and </w:t>
            </w:r>
            <w:r w:rsidRPr="004A6259">
              <w:rPr>
                <w:rFonts w:ascii="Arial" w:hAnsi="Arial" w:cs="Arial"/>
                <w:lang w:val="en-GB"/>
              </w:rPr>
              <w:t>500</w:t>
            </w:r>
            <w:r>
              <w:rPr>
                <w:rFonts w:ascii="Arial" w:hAnsi="Arial" w:cs="Arial"/>
                <w:lang w:val="en-GB"/>
              </w:rPr>
              <w:t xml:space="preserve"> </w:t>
            </w:r>
            <w:r w:rsidRPr="004A6259">
              <w:rPr>
                <w:rFonts w:ascii="Arial" w:hAnsi="Arial" w:cs="Arial"/>
                <w:lang w:val="en-GB"/>
              </w:rPr>
              <w:t>ml bottles</w:t>
            </w:r>
          </w:p>
        </w:tc>
        <w:tc>
          <w:tcPr>
            <w:tcW w:w="1440" w:type="dxa"/>
            <w:vAlign w:val="center"/>
          </w:tcPr>
          <w:p w14:paraId="0C6D7AFE" w14:textId="556F5F57" w:rsidR="00243E71" w:rsidRPr="00D00C0C" w:rsidRDefault="00243E71" w:rsidP="00AE7298">
            <w:pPr>
              <w:jc w:val="right"/>
              <w:rPr>
                <w:rFonts w:ascii="Arial" w:hAnsi="Arial" w:cs="Arial"/>
                <w:b/>
                <w:caps/>
                <w:lang w:val="en-GB"/>
              </w:rPr>
            </w:pPr>
            <w:r w:rsidRPr="00D00C0C">
              <w:rPr>
                <w:rFonts w:ascii="Arial" w:hAnsi="Arial" w:cs="Arial"/>
                <w:lang w:val="en-GB"/>
              </w:rPr>
              <w:t>80</w:t>
            </w:r>
            <w:r>
              <w:rPr>
                <w:rFonts w:ascii="Arial" w:hAnsi="Arial" w:cs="Arial"/>
                <w:lang w:val="en-GB"/>
              </w:rPr>
              <w:t>–</w:t>
            </w:r>
            <w:r w:rsidRPr="00D00C0C">
              <w:rPr>
                <w:rFonts w:ascii="Arial" w:hAnsi="Arial" w:cs="Arial"/>
                <w:lang w:val="en-GB"/>
              </w:rPr>
              <w:t>250</w:t>
            </w:r>
          </w:p>
        </w:tc>
      </w:tr>
      <w:tr w:rsidR="00243E71" w:rsidRPr="004A6259" w14:paraId="77ABFB32" w14:textId="77777777" w:rsidTr="00D51D9E">
        <w:trPr>
          <w:tblHeader/>
          <w:jc w:val="center"/>
        </w:trPr>
        <w:tc>
          <w:tcPr>
            <w:tcW w:w="2605" w:type="dxa"/>
            <w:vAlign w:val="center"/>
          </w:tcPr>
          <w:p w14:paraId="20CF95B5" w14:textId="77777777" w:rsidR="00243E71" w:rsidRPr="004A6259" w:rsidRDefault="00243E71" w:rsidP="00AE7298">
            <w:pPr>
              <w:rPr>
                <w:rFonts w:ascii="Arial" w:hAnsi="Arial" w:cs="Arial"/>
                <w:b/>
                <w:caps/>
                <w:lang w:val="en-GB"/>
              </w:rPr>
            </w:pPr>
            <w:r w:rsidRPr="004A6259">
              <w:rPr>
                <w:rFonts w:ascii="Arial" w:hAnsi="Arial" w:cs="Arial"/>
                <w:lang w:val="en-GB"/>
              </w:rPr>
              <w:t>Dust and Pollution Mask</w:t>
            </w:r>
          </w:p>
        </w:tc>
        <w:tc>
          <w:tcPr>
            <w:tcW w:w="3870" w:type="dxa"/>
            <w:vAlign w:val="center"/>
          </w:tcPr>
          <w:p w14:paraId="56AF1054" w14:textId="49ADFECB" w:rsidR="00243E71" w:rsidRPr="004A6259" w:rsidRDefault="00243E71" w:rsidP="00AE7298">
            <w:pPr>
              <w:rPr>
                <w:rFonts w:ascii="Arial" w:hAnsi="Arial" w:cs="Arial"/>
                <w:b/>
                <w:caps/>
                <w:lang w:val="en-GB"/>
              </w:rPr>
            </w:pPr>
            <w:r w:rsidRPr="004A6259">
              <w:rPr>
                <w:rFonts w:ascii="Arial" w:hAnsi="Arial" w:cs="Arial"/>
                <w:lang w:val="en-GB"/>
              </w:rPr>
              <w:t>Small</w:t>
            </w:r>
            <w:r>
              <w:rPr>
                <w:rFonts w:ascii="Arial" w:hAnsi="Arial" w:cs="Arial"/>
                <w:lang w:val="en-GB"/>
              </w:rPr>
              <w:t>,</w:t>
            </w:r>
            <w:r w:rsidRPr="004A6259">
              <w:rPr>
                <w:rFonts w:ascii="Arial" w:hAnsi="Arial" w:cs="Arial"/>
                <w:lang w:val="en-GB"/>
              </w:rPr>
              <w:t xml:space="preserve"> medium</w:t>
            </w:r>
            <w:r>
              <w:rPr>
                <w:rFonts w:ascii="Arial" w:hAnsi="Arial" w:cs="Arial"/>
                <w:lang w:val="en-GB"/>
              </w:rPr>
              <w:t>, and</w:t>
            </w:r>
            <w:r w:rsidRPr="004A6259">
              <w:rPr>
                <w:rFonts w:ascii="Arial" w:hAnsi="Arial" w:cs="Arial"/>
                <w:lang w:val="en-GB"/>
              </w:rPr>
              <w:t xml:space="preserve"> large sizes</w:t>
            </w:r>
            <w:r>
              <w:rPr>
                <w:rFonts w:ascii="Arial" w:hAnsi="Arial" w:cs="Arial"/>
                <w:lang w:val="en-GB"/>
              </w:rPr>
              <w:t>,</w:t>
            </w:r>
            <w:r w:rsidRPr="004A6259">
              <w:rPr>
                <w:rFonts w:ascii="Arial" w:hAnsi="Arial" w:cs="Arial"/>
                <w:lang w:val="en-GB"/>
              </w:rPr>
              <w:t xml:space="preserve"> in packs of 1</w:t>
            </w:r>
            <w:r>
              <w:rPr>
                <w:rFonts w:ascii="Arial" w:hAnsi="Arial" w:cs="Arial"/>
                <w:lang w:val="en-GB"/>
              </w:rPr>
              <w:t>, 2, or 3</w:t>
            </w:r>
            <w:r w:rsidRPr="004A6259">
              <w:rPr>
                <w:rFonts w:ascii="Arial" w:hAnsi="Arial" w:cs="Arial"/>
                <w:lang w:val="en-GB"/>
              </w:rPr>
              <w:t xml:space="preserve"> masks</w:t>
            </w:r>
          </w:p>
        </w:tc>
        <w:tc>
          <w:tcPr>
            <w:tcW w:w="1440" w:type="dxa"/>
            <w:vAlign w:val="center"/>
          </w:tcPr>
          <w:p w14:paraId="15123C9C" w14:textId="33148165" w:rsidR="00243E71" w:rsidRPr="00AE7298" w:rsidRDefault="00243E71" w:rsidP="00AE7298">
            <w:pPr>
              <w:pStyle w:val="Footnote"/>
              <w:jc w:val="right"/>
              <w:rPr>
                <w:b/>
                <w:caps/>
                <w:sz w:val="20"/>
                <w:szCs w:val="20"/>
                <w:lang w:val="en-GB"/>
              </w:rPr>
            </w:pPr>
            <w:r w:rsidRPr="00AE7298">
              <w:rPr>
                <w:sz w:val="20"/>
                <w:szCs w:val="20"/>
                <w:lang w:val="en-GB"/>
              </w:rPr>
              <w:t>149</w:t>
            </w:r>
            <w:r>
              <w:rPr>
                <w:sz w:val="20"/>
                <w:szCs w:val="20"/>
                <w:lang w:val="en-GB"/>
              </w:rPr>
              <w:t>–</w:t>
            </w:r>
            <w:r w:rsidRPr="00AE7298">
              <w:rPr>
                <w:sz w:val="20"/>
                <w:szCs w:val="20"/>
                <w:lang w:val="en-GB"/>
              </w:rPr>
              <w:t>299</w:t>
            </w:r>
          </w:p>
        </w:tc>
      </w:tr>
      <w:tr w:rsidR="00243E71" w:rsidRPr="004A6259" w14:paraId="69ABB5D1" w14:textId="77777777" w:rsidTr="00D51D9E">
        <w:trPr>
          <w:tblHeader/>
          <w:jc w:val="center"/>
        </w:trPr>
        <w:tc>
          <w:tcPr>
            <w:tcW w:w="2605" w:type="dxa"/>
            <w:vAlign w:val="center"/>
          </w:tcPr>
          <w:p w14:paraId="1BD094CB" w14:textId="77777777" w:rsidR="00243E71" w:rsidRPr="004A6259" w:rsidRDefault="00243E71" w:rsidP="00AE7298">
            <w:pPr>
              <w:rPr>
                <w:rFonts w:ascii="Arial" w:hAnsi="Arial" w:cs="Arial"/>
                <w:b/>
                <w:caps/>
                <w:lang w:val="en-GB"/>
              </w:rPr>
            </w:pPr>
            <w:r w:rsidRPr="004A6259">
              <w:rPr>
                <w:rFonts w:ascii="Arial" w:hAnsi="Arial" w:cs="Arial"/>
                <w:lang w:val="en-GB"/>
              </w:rPr>
              <w:t>Baby Diaper Disposal Bags</w:t>
            </w:r>
          </w:p>
        </w:tc>
        <w:tc>
          <w:tcPr>
            <w:tcW w:w="3870" w:type="dxa"/>
            <w:vAlign w:val="center"/>
          </w:tcPr>
          <w:p w14:paraId="2BE8EB51" w14:textId="1985A285" w:rsidR="00243E71" w:rsidRPr="004A6259" w:rsidRDefault="00243E71" w:rsidP="00AE7298">
            <w:pPr>
              <w:rPr>
                <w:rFonts w:ascii="Arial" w:hAnsi="Arial" w:cs="Arial"/>
                <w:b/>
                <w:caps/>
                <w:lang w:val="en-GB"/>
              </w:rPr>
            </w:pPr>
            <w:r w:rsidRPr="004A6259">
              <w:rPr>
                <w:rFonts w:ascii="Arial" w:hAnsi="Arial" w:cs="Arial"/>
                <w:lang w:val="en-GB"/>
              </w:rPr>
              <w:t>Packs of 15</w:t>
            </w:r>
            <w:r>
              <w:rPr>
                <w:rFonts w:ascii="Arial" w:hAnsi="Arial" w:cs="Arial"/>
                <w:lang w:val="en-GB"/>
              </w:rPr>
              <w:t>,</w:t>
            </w:r>
            <w:r w:rsidRPr="004A6259">
              <w:rPr>
                <w:rFonts w:ascii="Arial" w:hAnsi="Arial" w:cs="Arial"/>
                <w:lang w:val="en-GB"/>
              </w:rPr>
              <w:t xml:space="preserve"> 45</w:t>
            </w:r>
            <w:r>
              <w:rPr>
                <w:rFonts w:ascii="Arial" w:hAnsi="Arial" w:cs="Arial"/>
                <w:lang w:val="en-GB"/>
              </w:rPr>
              <w:t>, and</w:t>
            </w:r>
            <w:r w:rsidRPr="004A6259">
              <w:rPr>
                <w:rFonts w:ascii="Arial" w:hAnsi="Arial" w:cs="Arial"/>
                <w:lang w:val="en-GB"/>
              </w:rPr>
              <w:t xml:space="preserve"> 75 bags</w:t>
            </w:r>
          </w:p>
        </w:tc>
        <w:tc>
          <w:tcPr>
            <w:tcW w:w="1440" w:type="dxa"/>
            <w:vAlign w:val="center"/>
          </w:tcPr>
          <w:p w14:paraId="2198456A" w14:textId="36B889F4" w:rsidR="00243E71" w:rsidRPr="00D00C0C" w:rsidRDefault="00243E71" w:rsidP="00AE7298">
            <w:pPr>
              <w:jc w:val="right"/>
              <w:rPr>
                <w:rFonts w:ascii="Arial" w:hAnsi="Arial" w:cs="Arial"/>
                <w:b/>
                <w:caps/>
                <w:lang w:val="en-GB"/>
              </w:rPr>
            </w:pPr>
            <w:r w:rsidRPr="00D00C0C">
              <w:rPr>
                <w:rFonts w:ascii="Arial" w:hAnsi="Arial" w:cs="Arial"/>
                <w:lang w:val="en-GB"/>
              </w:rPr>
              <w:t>99</w:t>
            </w:r>
            <w:r>
              <w:rPr>
                <w:rFonts w:ascii="Arial" w:hAnsi="Arial" w:cs="Arial"/>
                <w:lang w:val="en-GB"/>
              </w:rPr>
              <w:t>–</w:t>
            </w:r>
            <w:r w:rsidRPr="00D00C0C">
              <w:rPr>
                <w:rFonts w:ascii="Arial" w:hAnsi="Arial" w:cs="Arial"/>
                <w:lang w:val="en-GB"/>
              </w:rPr>
              <w:t>495</w:t>
            </w:r>
          </w:p>
        </w:tc>
      </w:tr>
      <w:tr w:rsidR="00243E71" w:rsidRPr="004A6259" w14:paraId="1390795E" w14:textId="77777777" w:rsidTr="00D51D9E">
        <w:trPr>
          <w:tblHeader/>
          <w:jc w:val="center"/>
        </w:trPr>
        <w:tc>
          <w:tcPr>
            <w:tcW w:w="2605" w:type="dxa"/>
            <w:vAlign w:val="center"/>
          </w:tcPr>
          <w:p w14:paraId="7B6B099C" w14:textId="609133F9" w:rsidR="00243E71" w:rsidRPr="004A6259" w:rsidRDefault="00243E71" w:rsidP="00AE7298">
            <w:pPr>
              <w:rPr>
                <w:rFonts w:ascii="Arial" w:hAnsi="Arial" w:cs="Arial"/>
                <w:b/>
                <w:caps/>
                <w:lang w:val="en-GB"/>
              </w:rPr>
            </w:pPr>
            <w:r w:rsidRPr="00456798">
              <w:rPr>
                <w:rFonts w:ascii="Arial" w:hAnsi="Arial" w:cs="Arial"/>
                <w:lang w:val="en-GB"/>
              </w:rPr>
              <w:t>Natural Anti-mosquito Patch</w:t>
            </w:r>
          </w:p>
        </w:tc>
        <w:tc>
          <w:tcPr>
            <w:tcW w:w="3870" w:type="dxa"/>
            <w:vAlign w:val="center"/>
          </w:tcPr>
          <w:p w14:paraId="545C9B15" w14:textId="23890942" w:rsidR="00243E71" w:rsidRPr="004A6259" w:rsidRDefault="00243E71" w:rsidP="00AE7298">
            <w:pPr>
              <w:rPr>
                <w:rFonts w:ascii="Arial" w:hAnsi="Arial" w:cs="Arial"/>
                <w:b/>
                <w:caps/>
                <w:lang w:val="en-GB"/>
              </w:rPr>
            </w:pPr>
            <w:r w:rsidRPr="004A6259">
              <w:rPr>
                <w:rFonts w:ascii="Arial" w:hAnsi="Arial" w:cs="Arial"/>
                <w:lang w:val="en-GB"/>
              </w:rPr>
              <w:t xml:space="preserve">Packs of </w:t>
            </w:r>
            <w:r>
              <w:rPr>
                <w:rFonts w:ascii="Arial" w:hAnsi="Arial" w:cs="Arial"/>
                <w:lang w:val="en-GB"/>
              </w:rPr>
              <w:t>12 and</w:t>
            </w:r>
            <w:r w:rsidRPr="004A6259">
              <w:rPr>
                <w:rFonts w:ascii="Arial" w:hAnsi="Arial" w:cs="Arial"/>
                <w:lang w:val="en-GB"/>
              </w:rPr>
              <w:t xml:space="preserve"> </w:t>
            </w:r>
            <w:r>
              <w:rPr>
                <w:rFonts w:ascii="Arial" w:hAnsi="Arial" w:cs="Arial"/>
                <w:lang w:val="en-GB"/>
              </w:rPr>
              <w:t>24</w:t>
            </w:r>
            <w:r w:rsidRPr="004A6259">
              <w:rPr>
                <w:rFonts w:ascii="Arial" w:hAnsi="Arial" w:cs="Arial"/>
                <w:lang w:val="en-GB"/>
              </w:rPr>
              <w:t xml:space="preserve"> patches</w:t>
            </w:r>
          </w:p>
        </w:tc>
        <w:tc>
          <w:tcPr>
            <w:tcW w:w="1440" w:type="dxa"/>
            <w:vAlign w:val="center"/>
          </w:tcPr>
          <w:p w14:paraId="7FB666BE" w14:textId="5B34EC43" w:rsidR="00243E71" w:rsidRPr="00D00C0C" w:rsidRDefault="00243E71" w:rsidP="00AE7298">
            <w:pPr>
              <w:jc w:val="right"/>
              <w:rPr>
                <w:rFonts w:ascii="Arial" w:hAnsi="Arial" w:cs="Arial"/>
                <w:b/>
                <w:caps/>
                <w:lang w:val="en-GB"/>
              </w:rPr>
            </w:pPr>
            <w:r w:rsidRPr="00D00C0C">
              <w:rPr>
                <w:rFonts w:ascii="Arial" w:hAnsi="Arial" w:cs="Arial"/>
                <w:lang w:val="en-GB"/>
              </w:rPr>
              <w:t>135</w:t>
            </w:r>
            <w:r>
              <w:rPr>
                <w:rFonts w:ascii="Arial" w:hAnsi="Arial" w:cs="Arial"/>
                <w:lang w:val="en-GB"/>
              </w:rPr>
              <w:t>–</w:t>
            </w:r>
            <w:r w:rsidRPr="00D00C0C">
              <w:rPr>
                <w:rFonts w:ascii="Arial" w:hAnsi="Arial" w:cs="Arial"/>
                <w:lang w:val="en-GB"/>
              </w:rPr>
              <w:t>240</w:t>
            </w:r>
          </w:p>
        </w:tc>
      </w:tr>
      <w:tr w:rsidR="00243E71" w:rsidRPr="004A6259" w14:paraId="70580830" w14:textId="77777777" w:rsidTr="00D51D9E">
        <w:trPr>
          <w:tblHeader/>
          <w:jc w:val="center"/>
        </w:trPr>
        <w:tc>
          <w:tcPr>
            <w:tcW w:w="2605" w:type="dxa"/>
            <w:vAlign w:val="center"/>
          </w:tcPr>
          <w:p w14:paraId="288CC5D2" w14:textId="77777777" w:rsidR="00243E71" w:rsidRPr="004A6259" w:rsidRDefault="00243E71" w:rsidP="00AE7298">
            <w:pPr>
              <w:rPr>
                <w:rFonts w:ascii="Arial" w:hAnsi="Arial" w:cs="Arial"/>
                <w:b/>
                <w:caps/>
                <w:lang w:val="en-GB"/>
              </w:rPr>
            </w:pPr>
            <w:r w:rsidRPr="004A6259">
              <w:rPr>
                <w:rFonts w:ascii="Arial" w:hAnsi="Arial" w:cs="Arial"/>
                <w:lang w:val="en-GB"/>
              </w:rPr>
              <w:t>Fabric Roll-On</w:t>
            </w:r>
          </w:p>
        </w:tc>
        <w:tc>
          <w:tcPr>
            <w:tcW w:w="3870" w:type="dxa"/>
            <w:vAlign w:val="center"/>
          </w:tcPr>
          <w:p w14:paraId="3B8DC562" w14:textId="1858A487" w:rsidR="00243E71" w:rsidRPr="004A6259" w:rsidRDefault="00243E71" w:rsidP="00AE7298">
            <w:pPr>
              <w:rPr>
                <w:rFonts w:ascii="Arial" w:hAnsi="Arial" w:cs="Arial"/>
                <w:b/>
                <w:caps/>
                <w:lang w:val="en-GB"/>
              </w:rPr>
            </w:pPr>
            <w:r>
              <w:rPr>
                <w:rFonts w:ascii="Arial" w:hAnsi="Arial" w:cs="Arial"/>
                <w:lang w:val="en-GB"/>
              </w:rPr>
              <w:t xml:space="preserve">10 </w:t>
            </w:r>
            <w:r w:rsidRPr="004A6259">
              <w:rPr>
                <w:rFonts w:ascii="Arial" w:hAnsi="Arial" w:cs="Arial"/>
                <w:lang w:val="en-GB"/>
              </w:rPr>
              <w:t>ml roll-on bottle</w:t>
            </w:r>
          </w:p>
        </w:tc>
        <w:tc>
          <w:tcPr>
            <w:tcW w:w="1440" w:type="dxa"/>
            <w:vAlign w:val="center"/>
          </w:tcPr>
          <w:p w14:paraId="48DA0E01" w14:textId="1BAC8EE2" w:rsidR="00243E71" w:rsidRPr="00D00C0C" w:rsidRDefault="00243E71" w:rsidP="00AE7298">
            <w:pPr>
              <w:jc w:val="right"/>
              <w:rPr>
                <w:rFonts w:ascii="Arial" w:hAnsi="Arial" w:cs="Arial"/>
                <w:b/>
                <w:caps/>
                <w:lang w:val="en-GB"/>
              </w:rPr>
            </w:pPr>
            <w:r w:rsidRPr="00D00C0C">
              <w:rPr>
                <w:rFonts w:ascii="Arial" w:hAnsi="Arial" w:cs="Arial"/>
                <w:lang w:val="en-GB"/>
              </w:rPr>
              <w:t>75</w:t>
            </w:r>
            <w:r>
              <w:rPr>
                <w:rFonts w:ascii="Arial" w:hAnsi="Arial" w:cs="Arial"/>
                <w:lang w:val="en-GB"/>
              </w:rPr>
              <w:t>–</w:t>
            </w:r>
            <w:r w:rsidRPr="00D00C0C">
              <w:rPr>
                <w:rFonts w:ascii="Arial" w:hAnsi="Arial" w:cs="Arial"/>
                <w:lang w:val="en-GB"/>
              </w:rPr>
              <w:t>150</w:t>
            </w:r>
          </w:p>
        </w:tc>
      </w:tr>
      <w:tr w:rsidR="00243E71" w:rsidRPr="004A6259" w14:paraId="207952EA" w14:textId="77777777" w:rsidTr="00D51D9E">
        <w:trPr>
          <w:tblHeader/>
          <w:jc w:val="center"/>
        </w:trPr>
        <w:tc>
          <w:tcPr>
            <w:tcW w:w="2605" w:type="dxa"/>
            <w:vAlign w:val="center"/>
          </w:tcPr>
          <w:p w14:paraId="7C3F12BE" w14:textId="77777777" w:rsidR="00243E71" w:rsidRPr="004A6259" w:rsidRDefault="00243E71" w:rsidP="00AE7298">
            <w:pPr>
              <w:rPr>
                <w:rFonts w:ascii="Arial" w:hAnsi="Arial" w:cs="Arial"/>
                <w:b/>
                <w:caps/>
                <w:lang w:val="en-GB"/>
              </w:rPr>
            </w:pPr>
            <w:r w:rsidRPr="004A6259">
              <w:rPr>
                <w:rFonts w:ascii="Arial" w:hAnsi="Arial" w:cs="Arial"/>
                <w:lang w:val="en-GB"/>
              </w:rPr>
              <w:t>Baby Wet Wipes</w:t>
            </w:r>
          </w:p>
        </w:tc>
        <w:tc>
          <w:tcPr>
            <w:tcW w:w="3870" w:type="dxa"/>
            <w:vAlign w:val="center"/>
          </w:tcPr>
          <w:p w14:paraId="1ABF063A" w14:textId="77777777" w:rsidR="00243E71" w:rsidRPr="004A6259" w:rsidRDefault="00243E71" w:rsidP="00AE7298">
            <w:pPr>
              <w:rPr>
                <w:rFonts w:ascii="Arial" w:hAnsi="Arial" w:cs="Arial"/>
                <w:b/>
                <w:caps/>
                <w:lang w:val="en-GB"/>
              </w:rPr>
            </w:pPr>
            <w:r w:rsidRPr="004A6259">
              <w:rPr>
                <w:rFonts w:ascii="Arial" w:hAnsi="Arial" w:cs="Arial"/>
                <w:lang w:val="en-GB"/>
              </w:rPr>
              <w:t>Single pack of 72 wipes</w:t>
            </w:r>
          </w:p>
        </w:tc>
        <w:tc>
          <w:tcPr>
            <w:tcW w:w="1440" w:type="dxa"/>
            <w:vAlign w:val="center"/>
          </w:tcPr>
          <w:p w14:paraId="2D5E94A5" w14:textId="77777777" w:rsidR="00243E71" w:rsidRPr="00D00C0C" w:rsidRDefault="00243E71" w:rsidP="00AE7298">
            <w:pPr>
              <w:jc w:val="right"/>
              <w:rPr>
                <w:rFonts w:ascii="Arial" w:hAnsi="Arial" w:cs="Arial"/>
                <w:b/>
                <w:caps/>
                <w:lang w:val="en-GB"/>
              </w:rPr>
            </w:pPr>
            <w:r w:rsidRPr="00D00C0C">
              <w:rPr>
                <w:rFonts w:ascii="Arial" w:hAnsi="Arial" w:cs="Arial"/>
                <w:lang w:val="en-GB"/>
              </w:rPr>
              <w:t>125</w:t>
            </w:r>
          </w:p>
        </w:tc>
      </w:tr>
      <w:tr w:rsidR="00243E71" w:rsidRPr="004A6259" w14:paraId="63DFC1FE" w14:textId="77777777" w:rsidTr="00D51D9E">
        <w:trPr>
          <w:tblHeader/>
          <w:jc w:val="center"/>
        </w:trPr>
        <w:tc>
          <w:tcPr>
            <w:tcW w:w="2605" w:type="dxa"/>
            <w:vAlign w:val="center"/>
          </w:tcPr>
          <w:p w14:paraId="696E8DBB" w14:textId="77777777" w:rsidR="00243E71" w:rsidRPr="004A6259" w:rsidRDefault="00243E71" w:rsidP="00AE7298">
            <w:pPr>
              <w:rPr>
                <w:rFonts w:ascii="Arial" w:hAnsi="Arial" w:cs="Arial"/>
                <w:lang w:val="en-GB"/>
              </w:rPr>
            </w:pPr>
            <w:r w:rsidRPr="004A6259">
              <w:rPr>
                <w:rFonts w:ascii="Arial" w:hAnsi="Arial" w:cs="Arial"/>
                <w:lang w:val="en-GB"/>
              </w:rPr>
              <w:t>Herbal Mosquito Repellent Spray</w:t>
            </w:r>
          </w:p>
        </w:tc>
        <w:tc>
          <w:tcPr>
            <w:tcW w:w="3870" w:type="dxa"/>
            <w:vAlign w:val="center"/>
          </w:tcPr>
          <w:p w14:paraId="51403E03" w14:textId="77777777" w:rsidR="00243E71" w:rsidRPr="004A6259" w:rsidRDefault="00243E71" w:rsidP="00AE7298">
            <w:pPr>
              <w:rPr>
                <w:rFonts w:ascii="Arial" w:hAnsi="Arial" w:cs="Arial"/>
                <w:lang w:val="en-GB"/>
              </w:rPr>
            </w:pPr>
            <w:r w:rsidRPr="004A6259">
              <w:rPr>
                <w:rFonts w:ascii="Arial" w:hAnsi="Arial" w:cs="Arial"/>
                <w:lang w:val="en-GB"/>
              </w:rPr>
              <w:t>Single unit</w:t>
            </w:r>
          </w:p>
        </w:tc>
        <w:tc>
          <w:tcPr>
            <w:tcW w:w="1440" w:type="dxa"/>
            <w:vAlign w:val="center"/>
          </w:tcPr>
          <w:p w14:paraId="2897D554" w14:textId="77777777" w:rsidR="00243E71" w:rsidRPr="00D00C0C" w:rsidRDefault="00243E71" w:rsidP="00AE7298">
            <w:pPr>
              <w:jc w:val="right"/>
              <w:rPr>
                <w:rFonts w:ascii="Arial" w:hAnsi="Arial" w:cs="Arial"/>
                <w:lang w:val="en-GB"/>
              </w:rPr>
            </w:pPr>
            <w:r w:rsidRPr="00D00C0C">
              <w:rPr>
                <w:rFonts w:ascii="Arial" w:hAnsi="Arial" w:cs="Arial"/>
                <w:lang w:val="en-GB"/>
              </w:rPr>
              <w:t>150</w:t>
            </w:r>
          </w:p>
        </w:tc>
      </w:tr>
    </w:tbl>
    <w:p w14:paraId="7484C7E2" w14:textId="77777777" w:rsidR="00243E71" w:rsidRPr="004A6259" w:rsidRDefault="00243E71" w:rsidP="00B955A7">
      <w:pPr>
        <w:jc w:val="center"/>
        <w:rPr>
          <w:rFonts w:ascii="Arial" w:hAnsi="Arial" w:cs="Arial"/>
          <w:sz w:val="17"/>
          <w:szCs w:val="17"/>
          <w:lang w:val="en-GB"/>
        </w:rPr>
      </w:pPr>
    </w:p>
    <w:p w14:paraId="1A221C3F" w14:textId="45F244A6" w:rsidR="00243E71" w:rsidRPr="004A6259" w:rsidRDefault="00243E71" w:rsidP="00B955A7">
      <w:pPr>
        <w:pStyle w:val="Footnote"/>
        <w:rPr>
          <w:lang w:val="en-GB"/>
        </w:rPr>
      </w:pPr>
      <w:r w:rsidRPr="004A6259">
        <w:rPr>
          <w:lang w:val="en-GB"/>
        </w:rPr>
        <w:t xml:space="preserve">Note: </w:t>
      </w:r>
      <w:r w:rsidRPr="00230AE8">
        <w:rPr>
          <w:lang w:val="en-GB"/>
        </w:rPr>
        <w:t>₹ = INR = Indian rupee</w:t>
      </w:r>
      <w:r>
        <w:rPr>
          <w:lang w:val="en-GB"/>
        </w:rPr>
        <w:t>; ml = millilitre.</w:t>
      </w:r>
    </w:p>
    <w:p w14:paraId="530030CF" w14:textId="13557A26" w:rsidR="00243E71" w:rsidRPr="004A6259" w:rsidRDefault="00243E71" w:rsidP="001B1048">
      <w:pPr>
        <w:pStyle w:val="Footnote"/>
        <w:rPr>
          <w:b/>
          <w:caps/>
          <w:lang w:val="en-GB"/>
        </w:rPr>
      </w:pPr>
      <w:r w:rsidRPr="004A6259">
        <w:rPr>
          <w:lang w:val="en-GB"/>
        </w:rPr>
        <w:t xml:space="preserve">Source: </w:t>
      </w:r>
      <w:r w:rsidR="00693294">
        <w:rPr>
          <w:lang w:val="en-GB"/>
        </w:rPr>
        <w:t xml:space="preserve">Created by </w:t>
      </w:r>
      <w:r w:rsidR="00C65A97">
        <w:rPr>
          <w:lang w:val="en-GB"/>
        </w:rPr>
        <w:t xml:space="preserve">the </w:t>
      </w:r>
      <w:r w:rsidR="00693294">
        <w:rPr>
          <w:lang w:val="en-GB"/>
        </w:rPr>
        <w:t>authors from company files.</w:t>
      </w:r>
    </w:p>
    <w:p w14:paraId="0F04C9DC" w14:textId="77777777" w:rsidR="00243E71" w:rsidRPr="004A6259" w:rsidRDefault="00243E71">
      <w:pPr>
        <w:spacing w:after="200" w:line="276" w:lineRule="auto"/>
        <w:rPr>
          <w:rFonts w:ascii="Arial" w:hAnsi="Arial" w:cs="Arial"/>
          <w:b/>
          <w:caps/>
          <w:lang w:val="en-GB"/>
        </w:rPr>
      </w:pPr>
      <w:r w:rsidRPr="004A6259">
        <w:rPr>
          <w:rFonts w:ascii="Arial" w:hAnsi="Arial" w:cs="Arial"/>
          <w:b/>
          <w:caps/>
          <w:lang w:val="en-GB"/>
        </w:rPr>
        <w:br w:type="page"/>
      </w:r>
    </w:p>
    <w:p w14:paraId="2087A521" w14:textId="03E3ABBB" w:rsidR="00243E71" w:rsidRPr="004A6259" w:rsidRDefault="00243E71" w:rsidP="00DA74DC">
      <w:pPr>
        <w:jc w:val="center"/>
        <w:rPr>
          <w:rFonts w:ascii="Arial" w:hAnsi="Arial" w:cs="Arial"/>
          <w:b/>
          <w:caps/>
          <w:lang w:val="en-GB"/>
        </w:rPr>
      </w:pPr>
      <w:r w:rsidRPr="004A6259">
        <w:rPr>
          <w:rFonts w:ascii="Arial" w:hAnsi="Arial" w:cs="Arial"/>
          <w:b/>
          <w:caps/>
          <w:lang w:val="en-GB"/>
        </w:rPr>
        <w:lastRenderedPageBreak/>
        <w:t xml:space="preserve">Exhibit </w:t>
      </w:r>
      <w:r>
        <w:rPr>
          <w:rFonts w:ascii="Arial" w:hAnsi="Arial" w:cs="Arial"/>
          <w:b/>
          <w:caps/>
          <w:lang w:val="en-GB"/>
        </w:rPr>
        <w:t>8</w:t>
      </w:r>
      <w:r w:rsidRPr="004A6259">
        <w:rPr>
          <w:rFonts w:ascii="Arial" w:hAnsi="Arial" w:cs="Arial"/>
          <w:b/>
          <w:caps/>
          <w:lang w:val="en-GB"/>
        </w:rPr>
        <w:t xml:space="preserve">: SIRONA </w:t>
      </w:r>
      <w:r>
        <w:rPr>
          <w:rFonts w:ascii="Arial" w:hAnsi="Arial" w:cs="Arial"/>
          <w:b/>
          <w:caps/>
          <w:lang w:val="en-GB"/>
        </w:rPr>
        <w:t xml:space="preserve">Hygiene, </w:t>
      </w:r>
      <w:r w:rsidRPr="004A6259">
        <w:rPr>
          <w:rFonts w:ascii="Arial" w:hAnsi="Arial" w:cs="Arial"/>
          <w:b/>
          <w:caps/>
          <w:lang w:val="en-GB"/>
        </w:rPr>
        <w:t xml:space="preserve">BRANDs </w:t>
      </w:r>
      <w:r>
        <w:rPr>
          <w:rFonts w:ascii="Arial" w:hAnsi="Arial" w:cs="Arial"/>
          <w:b/>
          <w:caps/>
          <w:lang w:val="en-GB"/>
        </w:rPr>
        <w:t>and</w:t>
      </w:r>
      <w:r w:rsidRPr="004A6259">
        <w:rPr>
          <w:rFonts w:ascii="Arial" w:hAnsi="Arial" w:cs="Arial"/>
          <w:b/>
          <w:caps/>
          <w:lang w:val="en-GB"/>
        </w:rPr>
        <w:t xml:space="preserve"> LOGOS</w:t>
      </w:r>
    </w:p>
    <w:p w14:paraId="0ED6A0A8" w14:textId="77777777" w:rsidR="00243E71" w:rsidRPr="004A6259" w:rsidRDefault="00243E71" w:rsidP="00DA74DC">
      <w:pPr>
        <w:jc w:val="center"/>
        <w:rPr>
          <w:rFonts w:ascii="Arial" w:hAnsi="Arial" w:cs="Arial"/>
          <w:b/>
          <w:caps/>
          <w:lang w:val="en-GB"/>
        </w:rPr>
      </w:pPr>
    </w:p>
    <w:tbl>
      <w:tblPr>
        <w:tblStyle w:val="TableGrid"/>
        <w:tblW w:w="0" w:type="auto"/>
        <w:tblLook w:val="04A0" w:firstRow="1" w:lastRow="0" w:firstColumn="1" w:lastColumn="0" w:noHBand="0" w:noVBand="1"/>
      </w:tblPr>
      <w:tblGrid>
        <w:gridCol w:w="4675"/>
        <w:gridCol w:w="4675"/>
      </w:tblGrid>
      <w:tr w:rsidR="00243E71" w:rsidRPr="004A6259" w14:paraId="1E8ABF81" w14:textId="77777777" w:rsidTr="00A16B59">
        <w:tc>
          <w:tcPr>
            <w:tcW w:w="4675" w:type="dxa"/>
          </w:tcPr>
          <w:p w14:paraId="5ADE1350" w14:textId="77777777" w:rsidR="00243E71" w:rsidRPr="004A6259" w:rsidRDefault="00243E71" w:rsidP="00A16B59">
            <w:pPr>
              <w:jc w:val="center"/>
              <w:rPr>
                <w:rFonts w:ascii="Arial" w:hAnsi="Arial" w:cs="Arial"/>
                <w:b/>
                <w:caps/>
                <w:lang w:val="en-GB"/>
              </w:rPr>
            </w:pPr>
            <w:r w:rsidRPr="004A6259">
              <w:rPr>
                <w:rFonts w:ascii="Arial" w:hAnsi="Arial" w:cs="Arial"/>
                <w:b/>
                <w:caps/>
                <w:noProof/>
                <w:lang w:val="en-CA" w:eastAsia="en-CA"/>
              </w:rPr>
              <w:drawing>
                <wp:inline distT="0" distB="0" distL="0" distR="0" wp14:anchorId="325E1583" wp14:editId="1B0F2D37">
                  <wp:extent cx="2686050" cy="784860"/>
                  <wp:effectExtent l="0" t="0" r="0" b="0"/>
                  <wp:docPr id="1" name="Picture 8" descr="Pee-Buddy Logo">
                    <a:extLst xmlns:a="http://schemas.openxmlformats.org/drawingml/2006/main">
                      <a:ext uri="{FF2B5EF4-FFF2-40B4-BE49-F238E27FC236}">
                        <a16:creationId xmlns:a16="http://schemas.microsoft.com/office/drawing/2014/main" id="{3215EEE6-A9A4-45F1-8D6D-ED068CD8773D}"/>
                      </a:ext>
                    </a:extLst>
                  </wp:docPr>
                  <wp:cNvGraphicFramePr/>
                  <a:graphic xmlns:a="http://schemas.openxmlformats.org/drawingml/2006/main">
                    <a:graphicData uri="http://schemas.openxmlformats.org/drawingml/2006/picture">
                      <pic:pic xmlns:pic="http://schemas.openxmlformats.org/drawingml/2006/picture">
                        <pic:nvPicPr>
                          <pic:cNvPr id="9" name="Picture 8" descr="Ladies, Now Stand and Pee– Pee Buddy">
                            <a:extLst>
                              <a:ext uri="{FF2B5EF4-FFF2-40B4-BE49-F238E27FC236}">
                                <a16:creationId xmlns:a16="http://schemas.microsoft.com/office/drawing/2014/main" id="{3215EEE6-A9A4-45F1-8D6D-ED068CD8773D}"/>
                              </a:ext>
                            </a:extLst>
                          </pic:cNvPr>
                          <pic:cNvPicPr/>
                        </pic:nvPicPr>
                        <pic:blipFill>
                          <a:blip r:embed="rId9" cstate="print">
                            <a:grayscl/>
                            <a:extLst>
                              <a:ext uri="{28A0092B-C50C-407E-A947-70E740481C1C}">
                                <a14:useLocalDpi xmlns:a14="http://schemas.microsoft.com/office/drawing/2010/main" val="0"/>
                              </a:ext>
                            </a:extLst>
                          </a:blip>
                          <a:stretch>
                            <a:fillRect/>
                          </a:stretch>
                        </pic:blipFill>
                        <pic:spPr bwMode="auto">
                          <a:xfrm>
                            <a:off x="0" y="0"/>
                            <a:ext cx="2687597" cy="785312"/>
                          </a:xfrm>
                          <a:prstGeom prst="rect">
                            <a:avLst/>
                          </a:prstGeom>
                          <a:noFill/>
                        </pic:spPr>
                      </pic:pic>
                    </a:graphicData>
                  </a:graphic>
                </wp:inline>
              </w:drawing>
            </w:r>
          </w:p>
        </w:tc>
        <w:tc>
          <w:tcPr>
            <w:tcW w:w="4675" w:type="dxa"/>
          </w:tcPr>
          <w:p w14:paraId="1497CC71" w14:textId="77777777" w:rsidR="00243E71" w:rsidRPr="004A6259" w:rsidRDefault="00243E71" w:rsidP="00A16B59">
            <w:pPr>
              <w:jc w:val="center"/>
              <w:rPr>
                <w:rFonts w:ascii="Arial" w:hAnsi="Arial" w:cs="Arial"/>
                <w:b/>
                <w:caps/>
                <w:lang w:val="en-GB"/>
              </w:rPr>
            </w:pPr>
            <w:r w:rsidRPr="004A6259">
              <w:rPr>
                <w:rFonts w:ascii="Arial" w:hAnsi="Arial" w:cs="Arial"/>
                <w:b/>
                <w:caps/>
                <w:noProof/>
                <w:lang w:val="en-CA" w:eastAsia="en-CA"/>
              </w:rPr>
              <w:drawing>
                <wp:inline distT="0" distB="0" distL="0" distR="0" wp14:anchorId="74FE7475" wp14:editId="72871676">
                  <wp:extent cx="2320787" cy="838405"/>
                  <wp:effectExtent l="0" t="0" r="3810" b="0"/>
                  <wp:docPr id="2" name="Picture 12" descr="BodyGuard Logo">
                    <a:extLst xmlns:a="http://schemas.openxmlformats.org/drawingml/2006/main">
                      <a:ext uri="{FF2B5EF4-FFF2-40B4-BE49-F238E27FC236}">
                        <a16:creationId xmlns:a16="http://schemas.microsoft.com/office/drawing/2014/main" id="{987B03BA-274B-405C-8720-0BB2FB9CAB75}"/>
                      </a:ext>
                    </a:extLst>
                  </wp:docPr>
                  <wp:cNvGraphicFramePr/>
                  <a:graphic xmlns:a="http://schemas.openxmlformats.org/drawingml/2006/main">
                    <a:graphicData uri="http://schemas.openxmlformats.org/drawingml/2006/picture">
                      <pic:pic xmlns:pic="http://schemas.openxmlformats.org/drawingml/2006/picture">
                        <pic:nvPicPr>
                          <pic:cNvPr id="13" name="Picture 12" descr="Medicalwale.com">
                            <a:extLst>
                              <a:ext uri="{FF2B5EF4-FFF2-40B4-BE49-F238E27FC236}">
                                <a16:creationId xmlns:a16="http://schemas.microsoft.com/office/drawing/2014/main" id="{987B03BA-274B-405C-8720-0BB2FB9CAB75}"/>
                              </a:ext>
                            </a:extLst>
                          </pic:cNvPr>
                          <pic:cNvPicPr/>
                        </pic:nvPicPr>
                        <pic:blipFill rotWithShape="1">
                          <a:blip r:embed="rId10" cstate="print">
                            <a:grayscl/>
                            <a:extLst>
                              <a:ext uri="{28A0092B-C50C-407E-A947-70E740481C1C}">
                                <a14:useLocalDpi xmlns:a14="http://schemas.microsoft.com/office/drawing/2010/main" val="0"/>
                              </a:ext>
                            </a:extLst>
                          </a:blip>
                          <a:srcRect l="17855" t="30501" r="17548" b="29316"/>
                          <a:stretch/>
                        </pic:blipFill>
                        <pic:spPr bwMode="auto">
                          <a:xfrm>
                            <a:off x="0" y="0"/>
                            <a:ext cx="2320787" cy="838405"/>
                          </a:xfrm>
                          <a:prstGeom prst="rect">
                            <a:avLst/>
                          </a:prstGeom>
                          <a:noFill/>
                          <a:extLst>
                            <a:ext uri="{53640926-AAD7-44D8-BBD7-CCE9431645EC}">
                              <a14:shadowObscured xmlns:a14="http://schemas.microsoft.com/office/drawing/2010/main"/>
                            </a:ext>
                          </a:extLst>
                        </pic:spPr>
                      </pic:pic>
                    </a:graphicData>
                  </a:graphic>
                </wp:inline>
              </w:drawing>
            </w:r>
          </w:p>
        </w:tc>
      </w:tr>
      <w:tr w:rsidR="00243E71" w:rsidRPr="004A6259" w14:paraId="5BE17EDF" w14:textId="77777777" w:rsidTr="00A16B59">
        <w:tc>
          <w:tcPr>
            <w:tcW w:w="4675" w:type="dxa"/>
          </w:tcPr>
          <w:p w14:paraId="4BE17108" w14:textId="77777777" w:rsidR="00243E71" w:rsidRPr="004A6259" w:rsidRDefault="00243E71" w:rsidP="00A16B59">
            <w:pPr>
              <w:jc w:val="center"/>
              <w:rPr>
                <w:rFonts w:ascii="Arial" w:hAnsi="Arial" w:cs="Arial"/>
                <w:b/>
                <w:caps/>
                <w:lang w:val="en-GB"/>
              </w:rPr>
            </w:pPr>
            <w:r w:rsidRPr="004A6259">
              <w:rPr>
                <w:rFonts w:ascii="Arial" w:hAnsi="Arial" w:cs="Arial"/>
                <w:b/>
                <w:caps/>
                <w:noProof/>
                <w:lang w:val="en-CA" w:eastAsia="en-CA"/>
              </w:rPr>
              <w:drawing>
                <wp:inline distT="0" distB="0" distL="0" distR="0" wp14:anchorId="3F1641EF" wp14:editId="41834070">
                  <wp:extent cx="2647950" cy="758825"/>
                  <wp:effectExtent l="0" t="0" r="0" b="3175"/>
                  <wp:docPr id="3" name="Picture 11" descr="Sirona Logo">
                    <a:extLst xmlns:a="http://schemas.openxmlformats.org/drawingml/2006/main">
                      <a:ext uri="{FF2B5EF4-FFF2-40B4-BE49-F238E27FC236}">
                        <a16:creationId xmlns:a16="http://schemas.microsoft.com/office/drawing/2014/main" id="{DB782559-F3C8-49DE-A943-5EEE33B209CC}"/>
                      </a:ext>
                    </a:extLst>
                  </wp:docPr>
                  <wp:cNvGraphicFramePr/>
                  <a:graphic xmlns:a="http://schemas.openxmlformats.org/drawingml/2006/main">
                    <a:graphicData uri="http://schemas.openxmlformats.org/drawingml/2006/picture">
                      <pic:pic xmlns:pic="http://schemas.openxmlformats.org/drawingml/2006/picture">
                        <pic:nvPicPr>
                          <pic:cNvPr id="12" name="Picture 11" descr="Sirona Hygiene Pvt Ltd (PeeBuddy | Sirona | BodyGuard) Award ...">
                            <a:extLst>
                              <a:ext uri="{FF2B5EF4-FFF2-40B4-BE49-F238E27FC236}">
                                <a16:creationId xmlns:a16="http://schemas.microsoft.com/office/drawing/2014/main" id="{DB782559-F3C8-49DE-A943-5EEE33B209CC}"/>
                              </a:ext>
                            </a:extLst>
                          </pic:cNvPr>
                          <pic:cNvPicPr/>
                        </pic:nvPicPr>
                        <pic:blipFill rotWithShape="1">
                          <a:blip r:embed="rId11">
                            <a:grayscl/>
                            <a:extLst>
                              <a:ext uri="{28A0092B-C50C-407E-A947-70E740481C1C}">
                                <a14:useLocalDpi xmlns:a14="http://schemas.microsoft.com/office/drawing/2010/main" val="0"/>
                              </a:ext>
                            </a:extLst>
                          </a:blip>
                          <a:srcRect t="15915" b="16423"/>
                          <a:stretch/>
                        </pic:blipFill>
                        <pic:spPr bwMode="auto">
                          <a:xfrm>
                            <a:off x="0" y="0"/>
                            <a:ext cx="2649057" cy="759142"/>
                          </a:xfrm>
                          <a:prstGeom prst="rect">
                            <a:avLst/>
                          </a:prstGeom>
                          <a:noFill/>
                          <a:extLst>
                            <a:ext uri="{53640926-AAD7-44D8-BBD7-CCE9431645EC}">
                              <a14:shadowObscured xmlns:a14="http://schemas.microsoft.com/office/drawing/2010/main"/>
                            </a:ext>
                          </a:extLst>
                        </pic:spPr>
                      </pic:pic>
                    </a:graphicData>
                  </a:graphic>
                </wp:inline>
              </w:drawing>
            </w:r>
          </w:p>
        </w:tc>
        <w:tc>
          <w:tcPr>
            <w:tcW w:w="4675" w:type="dxa"/>
          </w:tcPr>
          <w:p w14:paraId="22BA3073" w14:textId="77777777" w:rsidR="00243E71" w:rsidRPr="004A6259" w:rsidRDefault="00243E71" w:rsidP="00A16B59">
            <w:pPr>
              <w:jc w:val="center"/>
              <w:rPr>
                <w:rFonts w:ascii="Arial" w:hAnsi="Arial" w:cs="Arial"/>
                <w:b/>
                <w:caps/>
                <w:lang w:val="en-GB"/>
              </w:rPr>
            </w:pPr>
            <w:r w:rsidRPr="004A6259">
              <w:rPr>
                <w:rFonts w:ascii="Arial" w:hAnsi="Arial" w:cs="Arial"/>
                <w:b/>
                <w:caps/>
                <w:noProof/>
                <w:lang w:val="en-CA" w:eastAsia="en-CA"/>
              </w:rPr>
              <w:drawing>
                <wp:inline distT="0" distB="0" distL="0" distR="0" wp14:anchorId="2B57ECFE" wp14:editId="104CFB46">
                  <wp:extent cx="1752600" cy="866775"/>
                  <wp:effectExtent l="0" t="0" r="0" b="9525"/>
                  <wp:docPr id="5" name="Picture 3" descr="Second Sirona Logo">
                    <a:extLst xmlns:a="http://schemas.openxmlformats.org/drawingml/2006/main">
                      <a:ext uri="{FF2B5EF4-FFF2-40B4-BE49-F238E27FC236}">
                        <a16:creationId xmlns:a16="http://schemas.microsoft.com/office/drawing/2014/main" id="{F3A0A996-41FC-406C-B6E8-0343FCAB2B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a logo&#10;&#10;Description automatically generated">
                            <a:extLst>
                              <a:ext uri="{FF2B5EF4-FFF2-40B4-BE49-F238E27FC236}">
                                <a16:creationId xmlns:a16="http://schemas.microsoft.com/office/drawing/2014/main" id="{F3A0A996-41FC-406C-B6E8-0343FCAB2BE4}"/>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52600" cy="866775"/>
                          </a:xfrm>
                          <a:prstGeom prst="rect">
                            <a:avLst/>
                          </a:prstGeom>
                        </pic:spPr>
                      </pic:pic>
                    </a:graphicData>
                  </a:graphic>
                </wp:inline>
              </w:drawing>
            </w:r>
          </w:p>
        </w:tc>
      </w:tr>
    </w:tbl>
    <w:p w14:paraId="74CD1BB5" w14:textId="77777777" w:rsidR="00243E71" w:rsidRPr="004A6259" w:rsidRDefault="00243E71" w:rsidP="00DA74DC">
      <w:pPr>
        <w:jc w:val="center"/>
        <w:rPr>
          <w:rFonts w:ascii="Arial" w:hAnsi="Arial" w:cs="Arial"/>
          <w:sz w:val="17"/>
          <w:szCs w:val="17"/>
          <w:lang w:val="en-GB"/>
        </w:rPr>
      </w:pPr>
    </w:p>
    <w:p w14:paraId="7BACE1C4" w14:textId="4C5693B9" w:rsidR="00243E71" w:rsidRPr="004A6259" w:rsidRDefault="00243E71" w:rsidP="00DA74DC">
      <w:pPr>
        <w:pStyle w:val="Footnote"/>
        <w:jc w:val="left"/>
        <w:rPr>
          <w:b/>
          <w:caps/>
          <w:lang w:val="en-GB"/>
        </w:rPr>
      </w:pPr>
      <w:r w:rsidRPr="004A6259">
        <w:rPr>
          <w:lang w:val="en-GB"/>
        </w:rPr>
        <w:t xml:space="preserve">Source: </w:t>
      </w:r>
      <w:r w:rsidR="00D00B06">
        <w:rPr>
          <w:lang w:val="en-GB"/>
        </w:rPr>
        <w:t>Company files.</w:t>
      </w:r>
    </w:p>
    <w:p w14:paraId="245CF320" w14:textId="1CE7D3BD" w:rsidR="00243E71" w:rsidRDefault="00243E71" w:rsidP="00B955A7">
      <w:pPr>
        <w:jc w:val="center"/>
        <w:rPr>
          <w:rFonts w:ascii="Arial" w:hAnsi="Arial" w:cs="Arial"/>
          <w:b/>
          <w:caps/>
          <w:sz w:val="17"/>
          <w:szCs w:val="17"/>
          <w:lang w:val="en-GB"/>
        </w:rPr>
      </w:pPr>
    </w:p>
    <w:p w14:paraId="04B2CD95" w14:textId="77777777" w:rsidR="00243E71" w:rsidRPr="004A6259" w:rsidRDefault="00243E71" w:rsidP="00B955A7">
      <w:pPr>
        <w:jc w:val="center"/>
        <w:rPr>
          <w:rFonts w:ascii="Arial" w:hAnsi="Arial" w:cs="Arial"/>
          <w:sz w:val="17"/>
          <w:szCs w:val="17"/>
          <w:lang w:val="en-GB"/>
        </w:rPr>
      </w:pPr>
    </w:p>
    <w:p w14:paraId="7245A148" w14:textId="7450752F" w:rsidR="00243E71" w:rsidRPr="004A6259" w:rsidRDefault="00243E71" w:rsidP="00B955A7">
      <w:pPr>
        <w:pStyle w:val="ExhibitHeading"/>
        <w:rPr>
          <w:lang w:val="en-GB"/>
        </w:rPr>
      </w:pPr>
      <w:r w:rsidRPr="004A6259">
        <w:rPr>
          <w:lang w:val="en-GB"/>
        </w:rPr>
        <w:t xml:space="preserve">Exhibit </w:t>
      </w:r>
      <w:r>
        <w:rPr>
          <w:lang w:val="en-GB"/>
        </w:rPr>
        <w:t>9</w:t>
      </w:r>
      <w:r w:rsidRPr="004A6259">
        <w:rPr>
          <w:lang w:val="en-GB"/>
        </w:rPr>
        <w:t xml:space="preserve">: COMPETITIVE LANDSCAPE </w:t>
      </w:r>
      <w:r>
        <w:rPr>
          <w:lang w:val="en-GB"/>
        </w:rPr>
        <w:t xml:space="preserve">Of </w:t>
      </w:r>
      <w:r w:rsidRPr="004A6259">
        <w:rPr>
          <w:lang w:val="en-GB"/>
        </w:rPr>
        <w:t>FEMALE HYGIENE &amp; PROTECTION</w:t>
      </w:r>
      <w:r>
        <w:rPr>
          <w:lang w:val="en-GB"/>
        </w:rPr>
        <w:t xml:space="preserve"> Industry</w:t>
      </w:r>
    </w:p>
    <w:p w14:paraId="45D4CEE1" w14:textId="01F3B871" w:rsidR="00243E71" w:rsidRDefault="00243E71" w:rsidP="00B955A7">
      <w:pPr>
        <w:jc w:val="center"/>
        <w:rPr>
          <w:rFonts w:ascii="Arial" w:hAnsi="Arial" w:cs="Arial"/>
          <w:b/>
          <w:caps/>
          <w:lang w:val="en-GB"/>
        </w:rPr>
      </w:pPr>
    </w:p>
    <w:p w14:paraId="6E67DEA4" w14:textId="77777777" w:rsidR="00D51D9E" w:rsidRDefault="00D51D9E" w:rsidP="00D51D9E">
      <w:pPr>
        <w:jc w:val="both"/>
        <w:rPr>
          <w:rFonts w:ascii="Arial" w:hAnsi="Arial" w:cs="Arial"/>
          <w:b/>
          <w:bCs/>
          <w:lang w:val="en-GB"/>
        </w:rPr>
      </w:pPr>
      <w:r w:rsidRPr="004A6259">
        <w:rPr>
          <w:rFonts w:ascii="Arial" w:hAnsi="Arial" w:cs="Arial"/>
          <w:b/>
          <w:bCs/>
          <w:lang w:val="en-GB"/>
        </w:rPr>
        <w:t xml:space="preserve">Intimate </w:t>
      </w:r>
      <w:r>
        <w:rPr>
          <w:rFonts w:ascii="Arial" w:hAnsi="Arial" w:cs="Arial"/>
          <w:b/>
          <w:bCs/>
          <w:lang w:val="en-GB"/>
        </w:rPr>
        <w:t>Wellness and Hygiene</w:t>
      </w:r>
    </w:p>
    <w:p w14:paraId="0BE8817A" w14:textId="77777777" w:rsidR="00D51D9E" w:rsidRDefault="00D51D9E" w:rsidP="00D51D9E">
      <w:pPr>
        <w:jc w:val="both"/>
        <w:rPr>
          <w:rFonts w:ascii="Arial" w:hAnsi="Arial" w:cs="Arial"/>
          <w:lang w:val="en-GB"/>
        </w:rPr>
      </w:pPr>
    </w:p>
    <w:p w14:paraId="601CEF4C" w14:textId="21D53895" w:rsidR="00D51D9E" w:rsidRPr="004A6259" w:rsidRDefault="00D51D9E" w:rsidP="00D51D9E">
      <w:pPr>
        <w:jc w:val="both"/>
        <w:rPr>
          <w:rFonts w:ascii="Arial" w:hAnsi="Arial" w:cs="Arial"/>
          <w:lang w:val="en-GB"/>
        </w:rPr>
      </w:pPr>
      <w:r w:rsidRPr="004A6259">
        <w:rPr>
          <w:rFonts w:ascii="Arial" w:hAnsi="Arial" w:cs="Arial"/>
          <w:lang w:val="en-GB"/>
        </w:rPr>
        <w:t xml:space="preserve">India had advanced by leaps and bounds with </w:t>
      </w:r>
      <w:r>
        <w:rPr>
          <w:rFonts w:ascii="Arial" w:hAnsi="Arial" w:cs="Arial"/>
          <w:lang w:val="en-GB"/>
        </w:rPr>
        <w:t>regard to</w:t>
      </w:r>
      <w:r w:rsidRPr="004A6259">
        <w:rPr>
          <w:rFonts w:ascii="Arial" w:hAnsi="Arial" w:cs="Arial"/>
          <w:lang w:val="en-GB"/>
        </w:rPr>
        <w:t xml:space="preserve"> technology and manufacturing but remained considerably </w:t>
      </w:r>
      <w:r>
        <w:rPr>
          <w:rFonts w:ascii="Arial" w:hAnsi="Arial" w:cs="Arial"/>
          <w:lang w:val="en-GB"/>
        </w:rPr>
        <w:t>backward</w:t>
      </w:r>
      <w:r w:rsidRPr="004A6259">
        <w:rPr>
          <w:rFonts w:ascii="Arial" w:hAnsi="Arial" w:cs="Arial"/>
          <w:lang w:val="en-GB"/>
        </w:rPr>
        <w:t xml:space="preserve"> when it came to toilet hygiene. </w:t>
      </w:r>
      <w:r>
        <w:rPr>
          <w:rFonts w:ascii="Arial" w:hAnsi="Arial" w:cs="Arial"/>
          <w:lang w:val="en-GB"/>
        </w:rPr>
        <w:t>A large portion of the country’s residents indulged</w:t>
      </w:r>
      <w:r w:rsidRPr="004A6259">
        <w:rPr>
          <w:rFonts w:ascii="Arial" w:hAnsi="Arial" w:cs="Arial"/>
          <w:lang w:val="en-GB"/>
        </w:rPr>
        <w:t xml:space="preserve"> in open urination and defecation. </w:t>
      </w:r>
      <w:r>
        <w:rPr>
          <w:rFonts w:ascii="Arial" w:hAnsi="Arial" w:cs="Arial"/>
          <w:lang w:val="en-GB"/>
        </w:rPr>
        <w:t>However, with</w:t>
      </w:r>
      <w:r w:rsidRPr="004A6259">
        <w:rPr>
          <w:rFonts w:ascii="Arial" w:hAnsi="Arial" w:cs="Arial"/>
          <w:lang w:val="en-GB"/>
        </w:rPr>
        <w:t xml:space="preserve"> growing awareness</w:t>
      </w:r>
      <w:r>
        <w:rPr>
          <w:rFonts w:ascii="Arial" w:hAnsi="Arial" w:cs="Arial"/>
          <w:lang w:val="en-GB"/>
        </w:rPr>
        <w:t>, toilets were becoming available for use in public places</w:t>
      </w:r>
      <w:r w:rsidRPr="004A6259">
        <w:rPr>
          <w:rFonts w:ascii="Arial" w:hAnsi="Arial" w:cs="Arial"/>
          <w:lang w:val="en-GB"/>
        </w:rPr>
        <w:t xml:space="preserve">. However, </w:t>
      </w:r>
      <w:r>
        <w:rPr>
          <w:rFonts w:ascii="Arial" w:hAnsi="Arial" w:cs="Arial"/>
          <w:lang w:val="en-GB"/>
        </w:rPr>
        <w:t>these were insufficient</w:t>
      </w:r>
      <w:r w:rsidRPr="004A6259">
        <w:rPr>
          <w:rFonts w:ascii="Arial" w:hAnsi="Arial" w:cs="Arial"/>
          <w:lang w:val="en-GB"/>
        </w:rPr>
        <w:t xml:space="preserve"> considering the size of </w:t>
      </w:r>
      <w:r>
        <w:rPr>
          <w:rFonts w:ascii="Arial" w:hAnsi="Arial" w:cs="Arial"/>
          <w:lang w:val="en-GB"/>
        </w:rPr>
        <w:t>India’s</w:t>
      </w:r>
      <w:r w:rsidRPr="004A6259">
        <w:rPr>
          <w:rFonts w:ascii="Arial" w:hAnsi="Arial" w:cs="Arial"/>
          <w:lang w:val="en-GB"/>
        </w:rPr>
        <w:t xml:space="preserve"> population. </w:t>
      </w:r>
      <w:r>
        <w:rPr>
          <w:rFonts w:ascii="Arial" w:hAnsi="Arial" w:cs="Arial"/>
          <w:lang w:val="en-GB"/>
        </w:rPr>
        <w:t>Sometimes</w:t>
      </w:r>
      <w:r w:rsidRPr="004A6259">
        <w:rPr>
          <w:rFonts w:ascii="Arial" w:hAnsi="Arial" w:cs="Arial"/>
          <w:lang w:val="en-GB"/>
        </w:rPr>
        <w:t xml:space="preserve"> women </w:t>
      </w:r>
      <w:r>
        <w:rPr>
          <w:rFonts w:ascii="Arial" w:hAnsi="Arial" w:cs="Arial"/>
          <w:lang w:val="en-GB"/>
        </w:rPr>
        <w:t>faced</w:t>
      </w:r>
      <w:r w:rsidRPr="004A6259">
        <w:rPr>
          <w:rFonts w:ascii="Arial" w:hAnsi="Arial" w:cs="Arial"/>
          <w:lang w:val="en-GB"/>
        </w:rPr>
        <w:t xml:space="preserve"> the problem of either no toilets or </w:t>
      </w:r>
      <w:r>
        <w:rPr>
          <w:rFonts w:ascii="Arial" w:hAnsi="Arial" w:cs="Arial"/>
          <w:lang w:val="en-GB"/>
        </w:rPr>
        <w:t>unhygienic</w:t>
      </w:r>
      <w:r w:rsidRPr="004A6259">
        <w:rPr>
          <w:rFonts w:ascii="Arial" w:hAnsi="Arial" w:cs="Arial"/>
          <w:lang w:val="en-GB"/>
        </w:rPr>
        <w:t xml:space="preserve"> toilets</w:t>
      </w:r>
      <w:r>
        <w:rPr>
          <w:rFonts w:ascii="Arial" w:hAnsi="Arial" w:cs="Arial"/>
          <w:lang w:val="en-GB"/>
        </w:rPr>
        <w:t>. There was also an</w:t>
      </w:r>
      <w:r w:rsidRPr="004A6259">
        <w:rPr>
          <w:rFonts w:ascii="Arial" w:hAnsi="Arial" w:cs="Arial"/>
          <w:lang w:val="en-GB"/>
        </w:rPr>
        <w:t xml:space="preserve"> increasing prevalence of lifestyle diseases </w:t>
      </w:r>
      <w:r>
        <w:rPr>
          <w:rFonts w:ascii="Arial" w:hAnsi="Arial" w:cs="Arial"/>
          <w:lang w:val="en-GB"/>
        </w:rPr>
        <w:t>such as</w:t>
      </w:r>
      <w:r w:rsidRPr="004A6259">
        <w:rPr>
          <w:rFonts w:ascii="Arial" w:hAnsi="Arial" w:cs="Arial"/>
          <w:lang w:val="en-GB"/>
        </w:rPr>
        <w:t xml:space="preserve"> obesity, arthritis</w:t>
      </w:r>
      <w:r>
        <w:rPr>
          <w:rFonts w:ascii="Arial" w:hAnsi="Arial" w:cs="Arial"/>
          <w:lang w:val="en-GB"/>
        </w:rPr>
        <w:t>,</w:t>
      </w:r>
      <w:r w:rsidRPr="004A6259">
        <w:rPr>
          <w:rFonts w:ascii="Arial" w:hAnsi="Arial" w:cs="Arial"/>
          <w:lang w:val="en-GB"/>
        </w:rPr>
        <w:t xml:space="preserve"> and diabetes</w:t>
      </w:r>
      <w:r>
        <w:rPr>
          <w:rFonts w:ascii="Arial" w:hAnsi="Arial" w:cs="Arial"/>
          <w:lang w:val="en-GB"/>
        </w:rPr>
        <w:t>; diabetes</w:t>
      </w:r>
      <w:r w:rsidRPr="004A6259">
        <w:rPr>
          <w:rFonts w:ascii="Arial" w:hAnsi="Arial" w:cs="Arial"/>
          <w:lang w:val="en-GB"/>
        </w:rPr>
        <w:t xml:space="preserve"> </w:t>
      </w:r>
      <w:r>
        <w:rPr>
          <w:rFonts w:ascii="Arial" w:hAnsi="Arial" w:cs="Arial"/>
          <w:lang w:val="en-GB"/>
        </w:rPr>
        <w:t xml:space="preserve">led to the need for </w:t>
      </w:r>
      <w:r w:rsidRPr="004A6259">
        <w:rPr>
          <w:rFonts w:ascii="Arial" w:hAnsi="Arial" w:cs="Arial"/>
          <w:lang w:val="en-GB"/>
        </w:rPr>
        <w:t>frequent urination</w:t>
      </w:r>
      <w:r>
        <w:rPr>
          <w:rFonts w:ascii="Arial" w:hAnsi="Arial" w:cs="Arial"/>
          <w:lang w:val="en-GB"/>
        </w:rPr>
        <w:t>, and obesity and arthritis could pose physical challenges to</w:t>
      </w:r>
      <w:r w:rsidRPr="004A6259">
        <w:rPr>
          <w:rFonts w:ascii="Arial" w:hAnsi="Arial" w:cs="Arial"/>
          <w:lang w:val="en-GB"/>
        </w:rPr>
        <w:t xml:space="preserve"> sitting down on a toilet seat.</w:t>
      </w:r>
    </w:p>
    <w:p w14:paraId="5DAD2895" w14:textId="77777777" w:rsidR="00D51D9E" w:rsidRDefault="00D51D9E" w:rsidP="00D51D9E">
      <w:pPr>
        <w:rPr>
          <w:rFonts w:ascii="Arial" w:hAnsi="Arial" w:cs="Arial"/>
          <w:lang w:val="en-GB"/>
        </w:rPr>
      </w:pPr>
    </w:p>
    <w:p w14:paraId="6B09DDED" w14:textId="77777777" w:rsidR="00D51D9E" w:rsidRDefault="00D51D9E" w:rsidP="00D51D9E">
      <w:pPr>
        <w:rPr>
          <w:rFonts w:ascii="Arial" w:hAnsi="Arial" w:cs="Arial"/>
          <w:lang w:val="en-GB"/>
        </w:rPr>
      </w:pPr>
      <w:r w:rsidRPr="004A6259">
        <w:rPr>
          <w:rFonts w:ascii="Arial" w:hAnsi="Arial" w:cs="Arial"/>
          <w:lang w:val="en-GB"/>
        </w:rPr>
        <w:t>Most women did not recognize</w:t>
      </w:r>
      <w:r>
        <w:rPr>
          <w:rFonts w:ascii="Arial" w:hAnsi="Arial" w:cs="Arial"/>
          <w:lang w:val="en-GB"/>
        </w:rPr>
        <w:t xml:space="preserve"> the use of</w:t>
      </w:r>
      <w:r w:rsidRPr="004A6259">
        <w:rPr>
          <w:rFonts w:ascii="Arial" w:hAnsi="Arial" w:cs="Arial"/>
          <w:lang w:val="en-GB"/>
        </w:rPr>
        <w:t xml:space="preserve"> </w:t>
      </w:r>
      <w:r>
        <w:rPr>
          <w:rFonts w:ascii="Arial" w:hAnsi="Arial" w:cs="Arial"/>
          <w:lang w:val="en-GB"/>
        </w:rPr>
        <w:t>unhygienic toilets</w:t>
      </w:r>
      <w:r w:rsidRPr="004A6259">
        <w:rPr>
          <w:rFonts w:ascii="Arial" w:hAnsi="Arial" w:cs="Arial"/>
          <w:lang w:val="en-GB"/>
        </w:rPr>
        <w:t xml:space="preserve"> as a problem and would </w:t>
      </w:r>
      <w:r>
        <w:rPr>
          <w:rFonts w:ascii="Arial" w:hAnsi="Arial" w:cs="Arial"/>
          <w:lang w:val="en-GB"/>
        </w:rPr>
        <w:t>squat or use a chair over</w:t>
      </w:r>
      <w:r w:rsidRPr="004A6259">
        <w:rPr>
          <w:rFonts w:ascii="Arial" w:hAnsi="Arial" w:cs="Arial"/>
          <w:lang w:val="en-GB"/>
        </w:rPr>
        <w:t xml:space="preserve"> </w:t>
      </w:r>
      <w:r>
        <w:rPr>
          <w:rFonts w:ascii="Arial" w:hAnsi="Arial" w:cs="Arial"/>
          <w:lang w:val="en-GB"/>
        </w:rPr>
        <w:t>Indian-style</w:t>
      </w:r>
      <w:r w:rsidRPr="004A6259">
        <w:rPr>
          <w:rFonts w:ascii="Arial" w:hAnsi="Arial" w:cs="Arial"/>
          <w:lang w:val="en-GB"/>
        </w:rPr>
        <w:t xml:space="preserve"> toilet seats. </w:t>
      </w:r>
      <w:r>
        <w:rPr>
          <w:rFonts w:ascii="Arial" w:hAnsi="Arial" w:cs="Arial"/>
          <w:lang w:val="en-GB"/>
        </w:rPr>
        <w:t>Toilet-seat</w:t>
      </w:r>
      <w:r w:rsidRPr="004A6259">
        <w:rPr>
          <w:rFonts w:ascii="Arial" w:hAnsi="Arial" w:cs="Arial"/>
          <w:lang w:val="en-GB"/>
        </w:rPr>
        <w:t xml:space="preserve"> sprays</w:t>
      </w:r>
      <w:r>
        <w:rPr>
          <w:rFonts w:ascii="Arial" w:hAnsi="Arial" w:cs="Arial"/>
          <w:lang w:val="en-GB"/>
        </w:rPr>
        <w:t>, used</w:t>
      </w:r>
      <w:r w:rsidRPr="004A6259">
        <w:rPr>
          <w:rFonts w:ascii="Arial" w:hAnsi="Arial" w:cs="Arial"/>
          <w:lang w:val="en-GB"/>
        </w:rPr>
        <w:t xml:space="preserve"> </w:t>
      </w:r>
      <w:r>
        <w:rPr>
          <w:rFonts w:ascii="Arial" w:hAnsi="Arial" w:cs="Arial"/>
          <w:lang w:val="en-GB"/>
        </w:rPr>
        <w:t>for</w:t>
      </w:r>
      <w:r w:rsidRPr="004A6259">
        <w:rPr>
          <w:rFonts w:ascii="Arial" w:hAnsi="Arial" w:cs="Arial"/>
          <w:lang w:val="en-GB"/>
        </w:rPr>
        <w:t xml:space="preserve"> </w:t>
      </w:r>
      <w:r>
        <w:rPr>
          <w:rFonts w:ascii="Arial" w:hAnsi="Arial" w:cs="Arial"/>
          <w:lang w:val="en-GB"/>
        </w:rPr>
        <w:t>sanitizing</w:t>
      </w:r>
      <w:r w:rsidRPr="004A6259">
        <w:rPr>
          <w:rFonts w:ascii="Arial" w:hAnsi="Arial" w:cs="Arial"/>
          <w:lang w:val="en-GB"/>
        </w:rPr>
        <w:t xml:space="preserve"> toilet seats before </w:t>
      </w:r>
      <w:r>
        <w:rPr>
          <w:rFonts w:ascii="Arial" w:hAnsi="Arial" w:cs="Arial"/>
          <w:lang w:val="en-GB"/>
        </w:rPr>
        <w:t>use,</w:t>
      </w:r>
      <w:r w:rsidRPr="004A6259">
        <w:rPr>
          <w:rFonts w:ascii="Arial" w:hAnsi="Arial" w:cs="Arial"/>
          <w:lang w:val="en-GB"/>
        </w:rPr>
        <w:t xml:space="preserve"> were available in the market. After the introduction of PeeBuddy</w:t>
      </w:r>
      <w:r>
        <w:rPr>
          <w:rFonts w:ascii="Arial" w:hAnsi="Arial" w:cs="Arial"/>
          <w:lang w:val="en-GB"/>
        </w:rPr>
        <w:t xml:space="preserve">, other </w:t>
      </w:r>
      <w:r w:rsidRPr="004A6259">
        <w:rPr>
          <w:rFonts w:ascii="Arial" w:hAnsi="Arial" w:cs="Arial"/>
          <w:lang w:val="en-GB"/>
        </w:rPr>
        <w:t>local players</w:t>
      </w:r>
      <w:r>
        <w:rPr>
          <w:rFonts w:ascii="Arial" w:hAnsi="Arial" w:cs="Arial"/>
          <w:lang w:val="en-GB"/>
        </w:rPr>
        <w:t xml:space="preserve">—such as </w:t>
      </w:r>
      <w:r w:rsidRPr="004A6259">
        <w:rPr>
          <w:rFonts w:ascii="Arial" w:hAnsi="Arial" w:cs="Arial"/>
          <w:lang w:val="en-GB"/>
        </w:rPr>
        <w:t>Bey</w:t>
      </w:r>
      <w:r>
        <w:rPr>
          <w:rFonts w:ascii="Arial" w:hAnsi="Arial" w:cs="Arial"/>
          <w:lang w:val="en-GB"/>
        </w:rPr>
        <w:t xml:space="preserve"> </w:t>
      </w:r>
      <w:r w:rsidRPr="004A6259">
        <w:rPr>
          <w:rFonts w:ascii="Arial" w:hAnsi="Arial" w:cs="Arial"/>
          <w:lang w:val="en-GB"/>
        </w:rPr>
        <w:t xml:space="preserve">Bee, SanNap, Sanfe, </w:t>
      </w:r>
      <w:r>
        <w:rPr>
          <w:rFonts w:ascii="Arial" w:hAnsi="Arial" w:cs="Arial"/>
          <w:lang w:val="en-GB"/>
        </w:rPr>
        <w:t>Pee Safe—</w:t>
      </w:r>
      <w:r w:rsidRPr="004A6259">
        <w:rPr>
          <w:rFonts w:ascii="Arial" w:hAnsi="Arial" w:cs="Arial"/>
          <w:lang w:val="en-GB"/>
        </w:rPr>
        <w:t>recognized the opportunity</w:t>
      </w:r>
      <w:r>
        <w:rPr>
          <w:rFonts w:ascii="Arial" w:hAnsi="Arial" w:cs="Arial"/>
          <w:lang w:val="en-GB"/>
        </w:rPr>
        <w:t>,</w:t>
      </w:r>
      <w:r w:rsidRPr="004A6259">
        <w:rPr>
          <w:rFonts w:ascii="Arial" w:hAnsi="Arial" w:cs="Arial"/>
          <w:lang w:val="en-GB"/>
        </w:rPr>
        <w:t xml:space="preserve"> and a number of similar disposable and </w:t>
      </w:r>
      <w:r>
        <w:rPr>
          <w:rFonts w:ascii="Arial" w:hAnsi="Arial" w:cs="Arial"/>
          <w:lang w:val="en-GB"/>
        </w:rPr>
        <w:t>single-use</w:t>
      </w:r>
      <w:r w:rsidRPr="004A6259">
        <w:rPr>
          <w:rFonts w:ascii="Arial" w:hAnsi="Arial" w:cs="Arial"/>
          <w:lang w:val="en-GB"/>
        </w:rPr>
        <w:t xml:space="preserve"> products were soon available through online platforms as well </w:t>
      </w:r>
      <w:r>
        <w:rPr>
          <w:rFonts w:ascii="Arial" w:hAnsi="Arial" w:cs="Arial"/>
          <w:lang w:val="en-GB"/>
        </w:rPr>
        <w:t xml:space="preserve">as </w:t>
      </w:r>
      <w:r w:rsidRPr="004A6259">
        <w:rPr>
          <w:rFonts w:ascii="Arial" w:hAnsi="Arial" w:cs="Arial"/>
          <w:lang w:val="en-GB"/>
        </w:rPr>
        <w:t xml:space="preserve">at </w:t>
      </w:r>
      <w:r>
        <w:rPr>
          <w:rFonts w:ascii="Arial" w:hAnsi="Arial" w:cs="Arial"/>
          <w:lang w:val="en-GB"/>
        </w:rPr>
        <w:t xml:space="preserve">drugstores. </w:t>
      </w:r>
      <w:r w:rsidRPr="004A6259">
        <w:rPr>
          <w:rFonts w:ascii="Arial" w:hAnsi="Arial" w:cs="Arial"/>
          <w:lang w:val="en-GB"/>
        </w:rPr>
        <w:t>Brands like Pee</w:t>
      </w:r>
      <w:r>
        <w:rPr>
          <w:rFonts w:ascii="Arial" w:hAnsi="Arial" w:cs="Arial"/>
          <w:lang w:val="en-GB"/>
        </w:rPr>
        <w:t xml:space="preserve"> Safe</w:t>
      </w:r>
      <w:r w:rsidRPr="004A6259">
        <w:rPr>
          <w:rFonts w:ascii="Arial" w:hAnsi="Arial" w:cs="Arial"/>
          <w:lang w:val="en-GB"/>
        </w:rPr>
        <w:t xml:space="preserve"> also came up with </w:t>
      </w:r>
      <w:r>
        <w:rPr>
          <w:rFonts w:ascii="Arial" w:hAnsi="Arial" w:cs="Arial"/>
          <w:lang w:val="en-GB"/>
        </w:rPr>
        <w:t>a</w:t>
      </w:r>
      <w:r w:rsidRPr="004A6259">
        <w:rPr>
          <w:rFonts w:ascii="Arial" w:hAnsi="Arial" w:cs="Arial"/>
          <w:lang w:val="en-GB"/>
        </w:rPr>
        <w:t xml:space="preserve"> reusable </w:t>
      </w:r>
      <w:r>
        <w:rPr>
          <w:rFonts w:ascii="Arial" w:hAnsi="Arial" w:cs="Arial"/>
          <w:lang w:val="en-GB"/>
        </w:rPr>
        <w:t>funnel-shaped</w:t>
      </w:r>
      <w:r w:rsidRPr="004A6259">
        <w:rPr>
          <w:rFonts w:ascii="Arial" w:hAnsi="Arial" w:cs="Arial"/>
          <w:lang w:val="en-GB"/>
        </w:rPr>
        <w:t xml:space="preserve"> device </w:t>
      </w:r>
      <w:r>
        <w:rPr>
          <w:rFonts w:ascii="Arial" w:hAnsi="Arial" w:cs="Arial"/>
          <w:lang w:val="en-GB"/>
        </w:rPr>
        <w:t xml:space="preserve">made from silicone </w:t>
      </w:r>
      <w:r w:rsidRPr="004A6259">
        <w:rPr>
          <w:rFonts w:ascii="Arial" w:hAnsi="Arial" w:cs="Arial"/>
          <w:lang w:val="en-GB"/>
        </w:rPr>
        <w:t>that could be used for the same purpose</w:t>
      </w:r>
      <w:r>
        <w:rPr>
          <w:rFonts w:ascii="Arial" w:hAnsi="Arial" w:cs="Arial"/>
          <w:lang w:val="en-GB"/>
        </w:rPr>
        <w:t xml:space="preserve"> as </w:t>
      </w:r>
    </w:p>
    <w:p w14:paraId="64F5B79E" w14:textId="77777777" w:rsidR="00D51D9E" w:rsidRDefault="00D51D9E" w:rsidP="00D51D9E">
      <w:pPr>
        <w:rPr>
          <w:rFonts w:ascii="Arial" w:hAnsi="Arial" w:cs="Arial"/>
          <w:lang w:val="en-GB"/>
        </w:rPr>
      </w:pPr>
    </w:p>
    <w:p w14:paraId="7DF77427" w14:textId="26A8E467" w:rsidR="00D51D9E" w:rsidRDefault="00D51D9E" w:rsidP="00D51D9E">
      <w:pPr>
        <w:rPr>
          <w:rFonts w:ascii="Arial" w:hAnsi="Arial" w:cs="Arial"/>
          <w:lang w:val="en-GB"/>
        </w:rPr>
      </w:pPr>
      <w:r>
        <w:rPr>
          <w:rFonts w:ascii="Arial" w:hAnsi="Arial" w:cs="Arial"/>
          <w:lang w:val="en-GB"/>
        </w:rPr>
        <w:t>PeeBuddy’s disposable version</w:t>
      </w:r>
      <w:r w:rsidRPr="004A6259">
        <w:rPr>
          <w:rFonts w:ascii="Arial" w:hAnsi="Arial" w:cs="Arial"/>
          <w:lang w:val="en-GB"/>
        </w:rPr>
        <w:t xml:space="preserve">. For those </w:t>
      </w:r>
      <w:r>
        <w:rPr>
          <w:rFonts w:ascii="Arial" w:hAnsi="Arial" w:cs="Arial"/>
          <w:lang w:val="en-GB"/>
        </w:rPr>
        <w:t>who faced urination</w:t>
      </w:r>
      <w:r w:rsidRPr="004A6259">
        <w:rPr>
          <w:rFonts w:ascii="Arial" w:hAnsi="Arial" w:cs="Arial"/>
          <w:lang w:val="en-GB"/>
        </w:rPr>
        <w:t xml:space="preserve"> issues</w:t>
      </w:r>
      <w:r>
        <w:rPr>
          <w:rFonts w:ascii="Arial" w:hAnsi="Arial" w:cs="Arial"/>
          <w:lang w:val="en-GB"/>
        </w:rPr>
        <w:t xml:space="preserve"> due to medical problems,</w:t>
      </w:r>
      <w:r w:rsidRPr="004A6259">
        <w:rPr>
          <w:rFonts w:ascii="Arial" w:hAnsi="Arial" w:cs="Arial"/>
          <w:lang w:val="en-GB"/>
        </w:rPr>
        <w:t xml:space="preserve"> </w:t>
      </w:r>
      <w:r>
        <w:rPr>
          <w:rFonts w:ascii="Arial" w:hAnsi="Arial" w:cs="Arial"/>
          <w:lang w:val="en-GB"/>
        </w:rPr>
        <w:t>Maddak offered</w:t>
      </w:r>
      <w:r w:rsidRPr="004A6259">
        <w:rPr>
          <w:rFonts w:ascii="Arial" w:hAnsi="Arial" w:cs="Arial"/>
          <w:lang w:val="en-GB"/>
        </w:rPr>
        <w:t xml:space="preserve"> medically tested </w:t>
      </w:r>
      <w:r>
        <w:rPr>
          <w:rFonts w:ascii="Arial" w:hAnsi="Arial" w:cs="Arial"/>
          <w:lang w:val="en-GB"/>
        </w:rPr>
        <w:t>devices</w:t>
      </w:r>
      <w:r w:rsidRPr="004A6259">
        <w:rPr>
          <w:rFonts w:ascii="Arial" w:hAnsi="Arial" w:cs="Arial"/>
          <w:lang w:val="en-GB"/>
        </w:rPr>
        <w:t>.</w:t>
      </w:r>
    </w:p>
    <w:p w14:paraId="384F02BC" w14:textId="4A28AC6E" w:rsidR="00D51D9E" w:rsidRDefault="00D51D9E" w:rsidP="00D51D9E">
      <w:pPr>
        <w:rPr>
          <w:rFonts w:ascii="Arial" w:hAnsi="Arial" w:cs="Arial"/>
          <w:b/>
          <w:caps/>
          <w:lang w:val="en-GB"/>
        </w:rPr>
      </w:pPr>
    </w:p>
    <w:p w14:paraId="156BD267" w14:textId="6473761C" w:rsidR="00D51D9E" w:rsidRDefault="00D51D9E" w:rsidP="00D51D9E">
      <w:pPr>
        <w:rPr>
          <w:rFonts w:ascii="Arial" w:hAnsi="Arial" w:cs="Arial"/>
          <w:b/>
          <w:caps/>
          <w:lang w:val="en-GB"/>
        </w:rPr>
      </w:pPr>
    </w:p>
    <w:p w14:paraId="741F721A" w14:textId="77777777" w:rsidR="00D51D9E" w:rsidRDefault="00D51D9E" w:rsidP="00D51D9E">
      <w:pPr>
        <w:jc w:val="both"/>
        <w:rPr>
          <w:rFonts w:ascii="Arial" w:hAnsi="Arial" w:cs="Arial"/>
          <w:b/>
          <w:bCs/>
          <w:lang w:val="en-GB"/>
        </w:rPr>
      </w:pPr>
      <w:r w:rsidRPr="004A6259">
        <w:rPr>
          <w:rFonts w:ascii="Arial" w:hAnsi="Arial" w:cs="Arial"/>
          <w:b/>
          <w:bCs/>
          <w:lang w:val="en-GB"/>
        </w:rPr>
        <w:t xml:space="preserve">Menstrual Hygiene and </w:t>
      </w:r>
      <w:r>
        <w:rPr>
          <w:rFonts w:ascii="Arial" w:hAnsi="Arial" w:cs="Arial"/>
          <w:b/>
          <w:bCs/>
          <w:lang w:val="en-GB"/>
        </w:rPr>
        <w:t>Wellness</w:t>
      </w:r>
    </w:p>
    <w:p w14:paraId="64B13583" w14:textId="77777777" w:rsidR="00D51D9E" w:rsidRDefault="00D51D9E" w:rsidP="00D51D9E">
      <w:pPr>
        <w:jc w:val="both"/>
        <w:rPr>
          <w:rFonts w:ascii="Arial" w:hAnsi="Arial" w:cs="Arial"/>
          <w:spacing w:val="2"/>
          <w:shd w:val="clear" w:color="auto" w:fill="FFFFFF"/>
          <w:lang w:val="en-GB"/>
        </w:rPr>
      </w:pPr>
    </w:p>
    <w:p w14:paraId="495A013B" w14:textId="77777777" w:rsidR="00D51D9E" w:rsidRDefault="00D51D9E" w:rsidP="00D51D9E">
      <w:pPr>
        <w:jc w:val="both"/>
        <w:rPr>
          <w:rFonts w:ascii="Arial" w:hAnsi="Arial" w:cs="Arial"/>
          <w:spacing w:val="2"/>
          <w:shd w:val="clear" w:color="auto" w:fill="FFFFFF"/>
          <w:lang w:val="en-GB"/>
        </w:rPr>
      </w:pPr>
      <w:r w:rsidRPr="004A6259">
        <w:rPr>
          <w:rFonts w:ascii="Arial" w:hAnsi="Arial" w:cs="Arial"/>
          <w:spacing w:val="2"/>
          <w:shd w:val="clear" w:color="auto" w:fill="FFFFFF"/>
          <w:lang w:val="en-GB"/>
        </w:rPr>
        <w:t xml:space="preserve">Menstrual hygiene was still at a nascent stage in India, with sanitary </w:t>
      </w:r>
      <w:r>
        <w:rPr>
          <w:rFonts w:ascii="Arial" w:hAnsi="Arial" w:cs="Arial"/>
          <w:spacing w:val="2"/>
          <w:shd w:val="clear" w:color="auto" w:fill="FFFFFF"/>
          <w:lang w:val="en-GB"/>
        </w:rPr>
        <w:t>pads</w:t>
      </w:r>
      <w:r w:rsidRPr="004A6259">
        <w:rPr>
          <w:rFonts w:ascii="Arial" w:hAnsi="Arial" w:cs="Arial"/>
          <w:spacing w:val="2"/>
          <w:shd w:val="clear" w:color="auto" w:fill="FFFFFF"/>
          <w:lang w:val="en-GB"/>
        </w:rPr>
        <w:t xml:space="preserve"> accounting for almost 99</w:t>
      </w:r>
      <w:r>
        <w:rPr>
          <w:rFonts w:ascii="Arial" w:hAnsi="Arial" w:cs="Arial"/>
          <w:spacing w:val="2"/>
          <w:shd w:val="clear" w:color="auto" w:fill="FFFFFF"/>
          <w:lang w:val="en-GB"/>
        </w:rPr>
        <w:t>%</w:t>
      </w:r>
      <w:r w:rsidRPr="004A6259">
        <w:rPr>
          <w:rFonts w:ascii="Arial" w:hAnsi="Arial" w:cs="Arial"/>
          <w:spacing w:val="2"/>
          <w:shd w:val="clear" w:color="auto" w:fill="FFFFFF"/>
          <w:lang w:val="en-GB"/>
        </w:rPr>
        <w:t xml:space="preserve"> of the market. Further, the market was dominated by two major players</w:t>
      </w:r>
      <w:r>
        <w:rPr>
          <w:rFonts w:ascii="Arial" w:hAnsi="Arial" w:cs="Arial"/>
          <w:spacing w:val="2"/>
          <w:shd w:val="clear" w:color="auto" w:fill="FFFFFF"/>
          <w:lang w:val="en-GB"/>
        </w:rPr>
        <w:t>—</w:t>
      </w:r>
      <w:r w:rsidRPr="004A6259">
        <w:rPr>
          <w:rFonts w:ascii="Arial" w:hAnsi="Arial" w:cs="Arial"/>
          <w:spacing w:val="2"/>
          <w:shd w:val="clear" w:color="auto" w:fill="FFFFFF"/>
          <w:lang w:val="en-GB"/>
        </w:rPr>
        <w:t xml:space="preserve">Procter &amp; Gamble </w:t>
      </w:r>
      <w:r>
        <w:rPr>
          <w:rFonts w:ascii="Arial" w:hAnsi="Arial" w:cs="Arial"/>
          <w:spacing w:val="2"/>
          <w:shd w:val="clear" w:color="auto" w:fill="FFFFFF"/>
          <w:lang w:val="en-GB"/>
        </w:rPr>
        <w:t xml:space="preserve">Company (P&amp;G) </w:t>
      </w:r>
      <w:r w:rsidRPr="004A6259">
        <w:rPr>
          <w:rFonts w:ascii="Arial" w:hAnsi="Arial" w:cs="Arial"/>
          <w:spacing w:val="2"/>
          <w:shd w:val="clear" w:color="auto" w:fill="FFFFFF"/>
          <w:lang w:val="en-GB"/>
        </w:rPr>
        <w:t>(53.8%) and Johnson &amp; Johnson (32.2%)</w:t>
      </w:r>
      <w:r>
        <w:rPr>
          <w:rFonts w:ascii="Arial" w:hAnsi="Arial" w:cs="Arial"/>
          <w:spacing w:val="2"/>
          <w:shd w:val="clear" w:color="auto" w:fill="FFFFFF"/>
          <w:lang w:val="en-GB"/>
        </w:rPr>
        <w:t>.</w:t>
      </w:r>
      <w:r w:rsidRPr="004A6259">
        <w:rPr>
          <w:rFonts w:ascii="Arial" w:hAnsi="Arial" w:cs="Arial"/>
          <w:spacing w:val="2"/>
          <w:shd w:val="clear" w:color="auto" w:fill="FFFFFF"/>
          <w:lang w:val="en-GB"/>
        </w:rPr>
        <w:t xml:space="preserve"> The rest of the market was fragmented</w:t>
      </w:r>
      <w:r>
        <w:rPr>
          <w:rFonts w:ascii="Arial" w:hAnsi="Arial" w:cs="Arial"/>
          <w:spacing w:val="2"/>
          <w:shd w:val="clear" w:color="auto" w:fill="FFFFFF"/>
          <w:lang w:val="en-GB"/>
        </w:rPr>
        <w:t>,</w:t>
      </w:r>
      <w:r w:rsidRPr="004A6259">
        <w:rPr>
          <w:rFonts w:ascii="Arial" w:hAnsi="Arial" w:cs="Arial"/>
          <w:spacing w:val="2"/>
          <w:shd w:val="clear" w:color="auto" w:fill="FFFFFF"/>
          <w:lang w:val="en-GB"/>
        </w:rPr>
        <w:t xml:space="preserve"> with a host of big and small players </w:t>
      </w:r>
      <w:r>
        <w:rPr>
          <w:rFonts w:ascii="Arial" w:hAnsi="Arial" w:cs="Arial"/>
          <w:spacing w:val="2"/>
          <w:shd w:val="clear" w:color="auto" w:fill="FFFFFF"/>
          <w:lang w:val="en-GB"/>
        </w:rPr>
        <w:t>including</w:t>
      </w:r>
      <w:r w:rsidRPr="004A6259">
        <w:rPr>
          <w:rFonts w:ascii="Arial" w:hAnsi="Arial" w:cs="Arial"/>
          <w:spacing w:val="2"/>
          <w:shd w:val="clear" w:color="auto" w:fill="FFFFFF"/>
          <w:lang w:val="en-GB"/>
        </w:rPr>
        <w:t xml:space="preserve"> Kimberly-Clark </w:t>
      </w:r>
      <w:r>
        <w:rPr>
          <w:rFonts w:ascii="Arial" w:hAnsi="Arial" w:cs="Arial"/>
          <w:spacing w:val="2"/>
          <w:shd w:val="clear" w:color="auto" w:fill="FFFFFF"/>
          <w:lang w:val="en-GB"/>
        </w:rPr>
        <w:t>Corporation</w:t>
      </w:r>
      <w:r w:rsidRPr="004A6259">
        <w:rPr>
          <w:rFonts w:ascii="Arial" w:hAnsi="Arial" w:cs="Arial"/>
          <w:spacing w:val="2"/>
          <w:shd w:val="clear" w:color="auto" w:fill="FFFFFF"/>
          <w:lang w:val="en-GB"/>
        </w:rPr>
        <w:t>, Unicharm India</w:t>
      </w:r>
      <w:r>
        <w:rPr>
          <w:rFonts w:ascii="Arial" w:hAnsi="Arial" w:cs="Arial"/>
          <w:spacing w:val="2"/>
          <w:shd w:val="clear" w:color="auto" w:fill="FFFFFF"/>
          <w:lang w:val="en-GB"/>
        </w:rPr>
        <w:t xml:space="preserve"> Private Limited (Unicharm), </w:t>
      </w:r>
      <w:r w:rsidRPr="004A6259">
        <w:rPr>
          <w:rFonts w:ascii="Arial" w:hAnsi="Arial" w:cs="Arial"/>
          <w:spacing w:val="2"/>
          <w:shd w:val="clear" w:color="auto" w:fill="FFFFFF"/>
          <w:lang w:val="en-GB"/>
        </w:rPr>
        <w:t>Soothe</w:t>
      </w:r>
      <w:r>
        <w:rPr>
          <w:rFonts w:ascii="Arial" w:hAnsi="Arial" w:cs="Arial"/>
          <w:spacing w:val="2"/>
          <w:shd w:val="clear" w:color="auto" w:fill="FFFFFF"/>
          <w:lang w:val="en-GB"/>
        </w:rPr>
        <w:t xml:space="preserve"> Healthcare Private Limited</w:t>
      </w:r>
      <w:r w:rsidRPr="004A6259">
        <w:rPr>
          <w:rFonts w:ascii="Arial" w:hAnsi="Arial" w:cs="Arial"/>
          <w:spacing w:val="2"/>
          <w:shd w:val="clear" w:color="auto" w:fill="FFFFFF"/>
          <w:lang w:val="en-GB"/>
        </w:rPr>
        <w:t xml:space="preserve">, Gufic Biosciences </w:t>
      </w:r>
      <w:r>
        <w:rPr>
          <w:rFonts w:ascii="Arial" w:hAnsi="Arial" w:cs="Arial"/>
          <w:spacing w:val="2"/>
          <w:shd w:val="clear" w:color="auto" w:fill="FFFFFF"/>
          <w:lang w:val="en-GB"/>
        </w:rPr>
        <w:t xml:space="preserve">Ltd., </w:t>
      </w:r>
      <w:r w:rsidRPr="004A6259">
        <w:rPr>
          <w:rFonts w:ascii="Arial" w:hAnsi="Arial" w:cs="Arial"/>
          <w:spacing w:val="2"/>
          <w:shd w:val="clear" w:color="auto" w:fill="FFFFFF"/>
          <w:lang w:val="en-GB"/>
        </w:rPr>
        <w:t>and Emami</w:t>
      </w:r>
      <w:r>
        <w:rPr>
          <w:rFonts w:ascii="Arial" w:hAnsi="Arial" w:cs="Arial"/>
          <w:spacing w:val="2"/>
          <w:shd w:val="clear" w:color="auto" w:fill="FFFFFF"/>
          <w:lang w:val="en-GB"/>
        </w:rPr>
        <w:t xml:space="preserve"> Group</w:t>
      </w:r>
      <w:r w:rsidRPr="004A6259">
        <w:rPr>
          <w:rFonts w:ascii="Arial" w:hAnsi="Arial" w:cs="Arial"/>
          <w:spacing w:val="2"/>
          <w:shd w:val="clear" w:color="auto" w:fill="FFFFFF"/>
          <w:lang w:val="en-GB"/>
        </w:rPr>
        <w:t>.</w:t>
      </w:r>
      <w:r w:rsidRPr="004A6259">
        <w:rPr>
          <w:rFonts w:ascii="Arial" w:hAnsi="Arial" w:cs="Arial"/>
          <w:shd w:val="clear" w:color="auto" w:fill="FFFFFF"/>
          <w:lang w:val="en-GB"/>
        </w:rPr>
        <w:t xml:space="preserve"> </w:t>
      </w:r>
      <w:r w:rsidRPr="004A6259">
        <w:rPr>
          <w:rFonts w:ascii="Arial" w:hAnsi="Arial" w:cs="Arial"/>
          <w:spacing w:val="2"/>
          <w:shd w:val="clear" w:color="auto" w:fill="FFFFFF"/>
          <w:lang w:val="en-GB"/>
        </w:rPr>
        <w:t xml:space="preserve">The market also featured new entrants </w:t>
      </w:r>
      <w:r>
        <w:rPr>
          <w:rFonts w:ascii="Arial" w:hAnsi="Arial" w:cs="Arial"/>
          <w:spacing w:val="2"/>
          <w:shd w:val="clear" w:color="auto" w:fill="FFFFFF"/>
          <w:lang w:val="en-GB"/>
        </w:rPr>
        <w:t>such as Niine (</w:t>
      </w:r>
      <w:r w:rsidRPr="004A6259">
        <w:rPr>
          <w:rFonts w:ascii="Arial" w:hAnsi="Arial" w:cs="Arial"/>
          <w:spacing w:val="2"/>
          <w:shd w:val="clear" w:color="auto" w:fill="FFFFFF"/>
          <w:lang w:val="en-GB"/>
        </w:rPr>
        <w:t xml:space="preserve">under </w:t>
      </w:r>
      <w:r>
        <w:rPr>
          <w:rFonts w:ascii="Arial" w:hAnsi="Arial" w:cs="Arial"/>
          <w:spacing w:val="2"/>
          <w:shd w:val="clear" w:color="auto" w:fill="FFFFFF"/>
          <w:lang w:val="en-GB"/>
        </w:rPr>
        <w:t xml:space="preserve">the </w:t>
      </w:r>
      <w:r w:rsidRPr="004A6259">
        <w:rPr>
          <w:rFonts w:ascii="Arial" w:hAnsi="Arial" w:cs="Arial"/>
          <w:spacing w:val="2"/>
          <w:shd w:val="clear" w:color="auto" w:fill="FFFFFF"/>
          <w:lang w:val="en-GB"/>
        </w:rPr>
        <w:t xml:space="preserve">Shudh </w:t>
      </w:r>
      <w:r w:rsidRPr="004A6259">
        <w:rPr>
          <w:rFonts w:ascii="Arial" w:hAnsi="Arial" w:cs="Arial"/>
          <w:shd w:val="clear" w:color="auto" w:fill="FFFFFF"/>
          <w:lang w:val="en-GB"/>
        </w:rPr>
        <w:t>Plus Hygiene Products banner</w:t>
      </w:r>
      <w:r>
        <w:rPr>
          <w:rFonts w:ascii="Arial" w:hAnsi="Arial" w:cs="Arial"/>
          <w:shd w:val="clear" w:color="auto" w:fill="FFFFFF"/>
          <w:lang w:val="en-GB"/>
        </w:rPr>
        <w:t>)</w:t>
      </w:r>
      <w:r w:rsidRPr="004A6259">
        <w:rPr>
          <w:rFonts w:ascii="Arial" w:hAnsi="Arial" w:cs="Arial"/>
          <w:shd w:val="clear" w:color="auto" w:fill="FFFFFF"/>
          <w:lang w:val="en-GB"/>
        </w:rPr>
        <w:t xml:space="preserve"> and Sirona</w:t>
      </w:r>
      <w:r>
        <w:rPr>
          <w:rFonts w:ascii="Arial" w:hAnsi="Arial" w:cs="Arial"/>
          <w:shd w:val="clear" w:color="auto" w:fill="FFFFFF"/>
          <w:lang w:val="en-GB"/>
        </w:rPr>
        <w:t xml:space="preserve"> Hygiene</w:t>
      </w:r>
      <w:r w:rsidRPr="004A6259">
        <w:rPr>
          <w:rFonts w:ascii="Arial" w:hAnsi="Arial" w:cs="Arial"/>
          <w:shd w:val="clear" w:color="auto" w:fill="FFFFFF"/>
          <w:lang w:val="en-GB"/>
        </w:rPr>
        <w:t xml:space="preserve">. The competitive environment was likely to intensify, and product quality </w:t>
      </w:r>
      <w:r>
        <w:rPr>
          <w:rFonts w:ascii="Arial" w:hAnsi="Arial" w:cs="Arial"/>
          <w:shd w:val="clear" w:color="auto" w:fill="FFFFFF"/>
          <w:lang w:val="en-GB"/>
        </w:rPr>
        <w:t xml:space="preserve">and </w:t>
      </w:r>
      <w:r w:rsidRPr="004A6259">
        <w:rPr>
          <w:rFonts w:ascii="Arial" w:hAnsi="Arial" w:cs="Arial"/>
          <w:shd w:val="clear" w:color="auto" w:fill="FFFFFF"/>
          <w:lang w:val="en-GB"/>
        </w:rPr>
        <w:t>pricing would be important factors to consider for success.</w:t>
      </w:r>
      <w:r w:rsidRPr="004A6259">
        <w:rPr>
          <w:rFonts w:ascii="Arial" w:hAnsi="Arial" w:cs="Arial"/>
          <w:spacing w:val="2"/>
          <w:shd w:val="clear" w:color="auto" w:fill="FFFFFF"/>
          <w:lang w:val="en-GB"/>
        </w:rPr>
        <w:t xml:space="preserve"> </w:t>
      </w:r>
      <w:r>
        <w:rPr>
          <w:rFonts w:ascii="Arial" w:hAnsi="Arial" w:cs="Arial"/>
          <w:spacing w:val="2"/>
          <w:shd w:val="clear" w:color="auto" w:fill="FFFFFF"/>
          <w:lang w:val="en-GB"/>
        </w:rPr>
        <w:t xml:space="preserve">As Deep </w:t>
      </w:r>
      <w:r w:rsidRPr="004A6259">
        <w:rPr>
          <w:rFonts w:ascii="Arial" w:hAnsi="Arial" w:cs="Arial"/>
          <w:spacing w:val="2"/>
          <w:shd w:val="clear" w:color="auto" w:fill="FFFFFF"/>
          <w:lang w:val="en-GB"/>
        </w:rPr>
        <w:t>Bajaj observed</w:t>
      </w:r>
      <w:r>
        <w:rPr>
          <w:rFonts w:ascii="Arial" w:hAnsi="Arial" w:cs="Arial"/>
          <w:spacing w:val="2"/>
          <w:shd w:val="clear" w:color="auto" w:fill="FFFFFF"/>
          <w:lang w:val="en-GB"/>
        </w:rPr>
        <w:t>,</w:t>
      </w:r>
      <w:r w:rsidRPr="004A6259">
        <w:rPr>
          <w:rFonts w:ascii="Arial" w:hAnsi="Arial" w:cs="Arial"/>
          <w:spacing w:val="2"/>
          <w:shd w:val="clear" w:color="auto" w:fill="FFFFFF"/>
          <w:lang w:val="en-GB"/>
        </w:rPr>
        <w:t xml:space="preserve"> “</w:t>
      </w:r>
      <w:r>
        <w:rPr>
          <w:rFonts w:ascii="Arial" w:hAnsi="Arial" w:cs="Arial"/>
          <w:spacing w:val="2"/>
          <w:shd w:val="clear" w:color="auto" w:fill="FFFFFF"/>
          <w:lang w:val="en-GB"/>
        </w:rPr>
        <w:t>T</w:t>
      </w:r>
      <w:r w:rsidRPr="004A6259">
        <w:rPr>
          <w:rFonts w:ascii="Arial" w:hAnsi="Arial" w:cs="Arial"/>
          <w:spacing w:val="2"/>
          <w:shd w:val="clear" w:color="auto" w:fill="FFFFFF"/>
          <w:lang w:val="en-GB"/>
        </w:rPr>
        <w:t>he market is large and untapped</w:t>
      </w:r>
      <w:r>
        <w:rPr>
          <w:rFonts w:ascii="Arial" w:hAnsi="Arial" w:cs="Arial"/>
          <w:spacing w:val="2"/>
          <w:shd w:val="clear" w:color="auto" w:fill="FFFFFF"/>
          <w:lang w:val="en-GB"/>
        </w:rPr>
        <w:t>,</w:t>
      </w:r>
      <w:r w:rsidRPr="004A6259">
        <w:rPr>
          <w:rFonts w:ascii="Arial" w:hAnsi="Arial" w:cs="Arial"/>
          <w:spacing w:val="2"/>
          <w:shd w:val="clear" w:color="auto" w:fill="FFFFFF"/>
          <w:lang w:val="en-GB"/>
        </w:rPr>
        <w:t xml:space="preserve"> but</w:t>
      </w:r>
      <w:r w:rsidRPr="004A6259">
        <w:rPr>
          <w:rFonts w:ascii="Arial" w:hAnsi="Arial" w:cs="Arial"/>
          <w:lang w:val="en-GB"/>
        </w:rPr>
        <w:t xml:space="preserve"> only those who keep on innovating and improvising will survive.”</w:t>
      </w:r>
      <w:r w:rsidRPr="004A6259">
        <w:rPr>
          <w:rFonts w:ascii="Arial" w:hAnsi="Arial" w:cs="Arial"/>
          <w:spacing w:val="2"/>
          <w:shd w:val="clear" w:color="auto" w:fill="FFFFFF"/>
          <w:lang w:val="en-GB"/>
        </w:rPr>
        <w:t xml:space="preserve"> In a market where close to 800 million </w:t>
      </w:r>
      <w:r>
        <w:rPr>
          <w:rFonts w:ascii="Arial" w:hAnsi="Arial" w:cs="Arial"/>
          <w:spacing w:val="2"/>
          <w:shd w:val="clear" w:color="auto" w:fill="FFFFFF"/>
          <w:lang w:val="en-GB"/>
        </w:rPr>
        <w:t xml:space="preserve">people </w:t>
      </w:r>
      <w:r w:rsidRPr="004A6259">
        <w:rPr>
          <w:rFonts w:ascii="Arial" w:hAnsi="Arial" w:cs="Arial"/>
          <w:spacing w:val="2"/>
          <w:shd w:val="clear" w:color="auto" w:fill="FFFFFF"/>
          <w:lang w:val="en-GB"/>
        </w:rPr>
        <w:t xml:space="preserve">lived on less than </w:t>
      </w:r>
      <w:r>
        <w:rPr>
          <w:rFonts w:ascii="Arial" w:hAnsi="Arial" w:cs="Arial"/>
          <w:spacing w:val="2"/>
          <w:shd w:val="clear" w:color="auto" w:fill="FFFFFF"/>
          <w:lang w:val="en-GB"/>
        </w:rPr>
        <w:t>US</w:t>
      </w:r>
      <w:r w:rsidRPr="004A6259">
        <w:rPr>
          <w:rFonts w:ascii="Arial" w:hAnsi="Arial" w:cs="Arial"/>
          <w:spacing w:val="2"/>
          <w:shd w:val="clear" w:color="auto" w:fill="FFFFFF"/>
          <w:lang w:val="en-GB"/>
        </w:rPr>
        <w:t xml:space="preserve">$1.90 a day, a single sanitary pad </w:t>
      </w:r>
      <w:r>
        <w:rPr>
          <w:rFonts w:ascii="Arial" w:hAnsi="Arial" w:cs="Arial"/>
          <w:spacing w:val="2"/>
          <w:shd w:val="clear" w:color="auto" w:fill="FFFFFF"/>
          <w:lang w:val="en-GB"/>
        </w:rPr>
        <w:t>that ranged in price</w:t>
      </w:r>
      <w:r w:rsidRPr="004A6259">
        <w:rPr>
          <w:rFonts w:ascii="Arial" w:hAnsi="Arial" w:cs="Arial"/>
          <w:spacing w:val="2"/>
          <w:shd w:val="clear" w:color="auto" w:fill="FFFFFF"/>
          <w:lang w:val="en-GB"/>
        </w:rPr>
        <w:t xml:space="preserve"> between </w:t>
      </w:r>
      <w:r>
        <w:rPr>
          <w:rFonts w:ascii="Arial" w:hAnsi="Arial" w:cs="Arial"/>
          <w:spacing w:val="2"/>
          <w:shd w:val="clear" w:color="auto" w:fill="FFFFFF"/>
          <w:lang w:val="en-GB"/>
        </w:rPr>
        <w:t>US$0.0</w:t>
      </w:r>
      <w:r w:rsidRPr="004A6259">
        <w:rPr>
          <w:rFonts w:ascii="Arial" w:hAnsi="Arial" w:cs="Arial"/>
          <w:spacing w:val="2"/>
          <w:shd w:val="clear" w:color="auto" w:fill="FFFFFF"/>
          <w:lang w:val="en-GB"/>
        </w:rPr>
        <w:t xml:space="preserve">8 </w:t>
      </w:r>
      <w:r>
        <w:rPr>
          <w:rFonts w:ascii="Arial" w:hAnsi="Arial" w:cs="Arial"/>
          <w:spacing w:val="2"/>
          <w:shd w:val="clear" w:color="auto" w:fill="FFFFFF"/>
          <w:lang w:val="en-GB"/>
        </w:rPr>
        <w:t>and</w:t>
      </w:r>
      <w:r w:rsidRPr="004A6259">
        <w:rPr>
          <w:rFonts w:ascii="Arial" w:hAnsi="Arial" w:cs="Arial"/>
          <w:spacing w:val="2"/>
          <w:shd w:val="clear" w:color="auto" w:fill="FFFFFF"/>
          <w:lang w:val="en-GB"/>
        </w:rPr>
        <w:t xml:space="preserve"> </w:t>
      </w:r>
      <w:r>
        <w:rPr>
          <w:rFonts w:ascii="Arial" w:hAnsi="Arial" w:cs="Arial"/>
          <w:spacing w:val="2"/>
          <w:shd w:val="clear" w:color="auto" w:fill="FFFFFF"/>
          <w:lang w:val="en-GB"/>
        </w:rPr>
        <w:t>US$0.0</w:t>
      </w:r>
      <w:r w:rsidRPr="004A6259">
        <w:rPr>
          <w:rFonts w:ascii="Arial" w:hAnsi="Arial" w:cs="Arial"/>
          <w:spacing w:val="2"/>
          <w:shd w:val="clear" w:color="auto" w:fill="FFFFFF"/>
          <w:lang w:val="en-GB"/>
        </w:rPr>
        <w:t>8 was still considered a luxury product</w:t>
      </w:r>
      <w:r w:rsidRPr="004A6259">
        <w:rPr>
          <w:rFonts w:ascii="Arial" w:hAnsi="Arial" w:cs="Arial"/>
          <w:color w:val="333333"/>
          <w:shd w:val="clear" w:color="auto" w:fill="FFFFFF"/>
          <w:lang w:val="en-GB"/>
        </w:rPr>
        <w:t xml:space="preserve">. </w:t>
      </w:r>
      <w:r w:rsidRPr="004A6259">
        <w:rPr>
          <w:rFonts w:ascii="Arial" w:hAnsi="Arial" w:cs="Arial"/>
          <w:spacing w:val="2"/>
          <w:shd w:val="clear" w:color="auto" w:fill="FFFFFF"/>
          <w:lang w:val="en-GB"/>
        </w:rPr>
        <w:t xml:space="preserve">For the penetrated market, </w:t>
      </w:r>
      <w:r>
        <w:rPr>
          <w:rFonts w:ascii="Arial" w:hAnsi="Arial" w:cs="Arial"/>
          <w:spacing w:val="2"/>
          <w:shd w:val="clear" w:color="auto" w:fill="FFFFFF"/>
          <w:lang w:val="en-GB"/>
        </w:rPr>
        <w:t xml:space="preserve">there were </w:t>
      </w:r>
      <w:r w:rsidRPr="004A6259">
        <w:rPr>
          <w:rFonts w:ascii="Arial" w:hAnsi="Arial" w:cs="Arial"/>
          <w:spacing w:val="2"/>
          <w:shd w:val="clear" w:color="auto" w:fill="FFFFFF"/>
          <w:lang w:val="en-GB"/>
        </w:rPr>
        <w:t xml:space="preserve">concerns over some manufacturers using </w:t>
      </w:r>
      <w:r>
        <w:rPr>
          <w:rFonts w:ascii="Arial" w:hAnsi="Arial" w:cs="Arial"/>
          <w:spacing w:val="2"/>
          <w:shd w:val="clear" w:color="auto" w:fill="FFFFFF"/>
          <w:lang w:val="en-GB"/>
        </w:rPr>
        <w:t>low-quality</w:t>
      </w:r>
      <w:r w:rsidRPr="004A6259">
        <w:rPr>
          <w:rFonts w:ascii="Arial" w:hAnsi="Arial" w:cs="Arial"/>
          <w:spacing w:val="2"/>
          <w:shd w:val="clear" w:color="auto" w:fill="FFFFFF"/>
          <w:lang w:val="en-GB"/>
        </w:rPr>
        <w:t xml:space="preserve"> </w:t>
      </w:r>
      <w:r>
        <w:rPr>
          <w:rFonts w:ascii="Arial" w:hAnsi="Arial" w:cs="Arial"/>
          <w:spacing w:val="2"/>
          <w:shd w:val="clear" w:color="auto" w:fill="FFFFFF"/>
          <w:lang w:val="en-GB"/>
        </w:rPr>
        <w:t>raw materials that</w:t>
      </w:r>
      <w:r w:rsidRPr="004A6259">
        <w:rPr>
          <w:rFonts w:ascii="Arial" w:hAnsi="Arial" w:cs="Arial"/>
          <w:spacing w:val="2"/>
          <w:shd w:val="clear" w:color="auto" w:fill="FFFFFF"/>
          <w:lang w:val="en-GB"/>
        </w:rPr>
        <w:t xml:space="preserve"> </w:t>
      </w:r>
      <w:r>
        <w:rPr>
          <w:rFonts w:ascii="Arial" w:hAnsi="Arial" w:cs="Arial"/>
          <w:spacing w:val="2"/>
          <w:shd w:val="clear" w:color="auto" w:fill="FFFFFF"/>
          <w:lang w:val="en-GB"/>
        </w:rPr>
        <w:t>led</w:t>
      </w:r>
      <w:r w:rsidRPr="004A6259">
        <w:rPr>
          <w:rFonts w:ascii="Arial" w:hAnsi="Arial" w:cs="Arial"/>
          <w:spacing w:val="2"/>
          <w:shd w:val="clear" w:color="auto" w:fill="FFFFFF"/>
          <w:lang w:val="en-GB"/>
        </w:rPr>
        <w:t xml:space="preserve"> to female allergies</w:t>
      </w:r>
      <w:r>
        <w:rPr>
          <w:rFonts w:ascii="Arial" w:hAnsi="Arial" w:cs="Arial"/>
          <w:spacing w:val="2"/>
          <w:shd w:val="clear" w:color="auto" w:fill="FFFFFF"/>
          <w:lang w:val="en-GB"/>
        </w:rPr>
        <w:t>,</w:t>
      </w:r>
      <w:r w:rsidRPr="004A6259">
        <w:rPr>
          <w:rFonts w:ascii="Arial" w:hAnsi="Arial" w:cs="Arial"/>
          <w:spacing w:val="2"/>
          <w:shd w:val="clear" w:color="auto" w:fill="FFFFFF"/>
          <w:lang w:val="en-GB"/>
        </w:rPr>
        <w:t xml:space="preserve"> and vaginal infections </w:t>
      </w:r>
    </w:p>
    <w:p w14:paraId="761908E8" w14:textId="4A7B011C" w:rsidR="00D51D9E" w:rsidRDefault="00D51D9E" w:rsidP="00D51D9E">
      <w:pPr>
        <w:pStyle w:val="ExhibitHeading"/>
        <w:rPr>
          <w:shd w:val="clear" w:color="auto" w:fill="FFFFFF"/>
          <w:lang w:val="en-GB"/>
        </w:rPr>
      </w:pPr>
      <w:r>
        <w:rPr>
          <w:shd w:val="clear" w:color="auto" w:fill="FFFFFF"/>
          <w:lang w:val="en-GB"/>
        </w:rPr>
        <w:lastRenderedPageBreak/>
        <w:t>Exhibit 9 (Continued)</w:t>
      </w:r>
    </w:p>
    <w:p w14:paraId="3CA87F3F" w14:textId="77777777" w:rsidR="00D51D9E" w:rsidRDefault="00D51D9E" w:rsidP="00D51D9E">
      <w:pPr>
        <w:jc w:val="both"/>
        <w:rPr>
          <w:rFonts w:ascii="Arial" w:hAnsi="Arial" w:cs="Arial"/>
          <w:spacing w:val="2"/>
          <w:shd w:val="clear" w:color="auto" w:fill="FFFFFF"/>
          <w:lang w:val="en-GB"/>
        </w:rPr>
      </w:pPr>
    </w:p>
    <w:p w14:paraId="4C94691E" w14:textId="39779C00" w:rsidR="00D51D9E" w:rsidRDefault="00D51D9E" w:rsidP="00D51D9E">
      <w:pPr>
        <w:jc w:val="both"/>
        <w:rPr>
          <w:rFonts w:ascii="Arial" w:hAnsi="Arial" w:cs="Arial"/>
          <w:spacing w:val="2"/>
          <w:shd w:val="clear" w:color="auto" w:fill="FFFFFF"/>
          <w:lang w:val="en-GB"/>
        </w:rPr>
      </w:pPr>
      <w:r w:rsidRPr="004A6259">
        <w:rPr>
          <w:rFonts w:ascii="Arial" w:hAnsi="Arial" w:cs="Arial"/>
          <w:spacing w:val="2"/>
          <w:shd w:val="clear" w:color="auto" w:fill="FFFFFF"/>
          <w:lang w:val="en-GB"/>
        </w:rPr>
        <w:t xml:space="preserve">remained a problem. </w:t>
      </w:r>
      <w:r>
        <w:rPr>
          <w:rFonts w:ascii="Arial" w:hAnsi="Arial" w:cs="Arial"/>
          <w:spacing w:val="2"/>
          <w:shd w:val="clear" w:color="auto" w:fill="FFFFFF"/>
          <w:lang w:val="en-GB"/>
        </w:rPr>
        <w:t>Only</w:t>
      </w:r>
      <w:r w:rsidRPr="004A6259">
        <w:rPr>
          <w:rFonts w:ascii="Arial" w:hAnsi="Arial" w:cs="Arial"/>
          <w:spacing w:val="2"/>
          <w:shd w:val="clear" w:color="auto" w:fill="FFFFFF"/>
          <w:lang w:val="en-GB"/>
        </w:rPr>
        <w:t xml:space="preserve"> a handful</w:t>
      </w:r>
      <w:r>
        <w:rPr>
          <w:rFonts w:ascii="Arial" w:hAnsi="Arial" w:cs="Arial"/>
          <w:spacing w:val="2"/>
          <w:shd w:val="clear" w:color="auto" w:fill="FFFFFF"/>
          <w:lang w:val="en-GB"/>
        </w:rPr>
        <w:t xml:space="preserve"> of players, including</w:t>
      </w:r>
      <w:r w:rsidRPr="004A6259">
        <w:rPr>
          <w:rFonts w:ascii="Arial" w:hAnsi="Arial" w:cs="Arial"/>
          <w:spacing w:val="2"/>
          <w:shd w:val="clear" w:color="auto" w:fill="FFFFFF"/>
          <w:lang w:val="en-GB"/>
        </w:rPr>
        <w:t xml:space="preserve"> Sirona</w:t>
      </w:r>
      <w:r>
        <w:rPr>
          <w:rFonts w:ascii="Arial" w:hAnsi="Arial" w:cs="Arial"/>
          <w:spacing w:val="2"/>
          <w:shd w:val="clear" w:color="auto" w:fill="FFFFFF"/>
          <w:lang w:val="en-GB"/>
        </w:rPr>
        <w:t xml:space="preserve"> Hygiene</w:t>
      </w:r>
      <w:r w:rsidRPr="004A6259">
        <w:rPr>
          <w:rFonts w:ascii="Arial" w:hAnsi="Arial" w:cs="Arial"/>
          <w:spacing w:val="2"/>
          <w:shd w:val="clear" w:color="auto" w:fill="FFFFFF"/>
          <w:lang w:val="en-GB"/>
        </w:rPr>
        <w:t xml:space="preserve">, </w:t>
      </w:r>
      <w:r>
        <w:rPr>
          <w:rFonts w:ascii="Arial" w:hAnsi="Arial" w:cs="Arial"/>
          <w:spacing w:val="2"/>
          <w:shd w:val="clear" w:color="auto" w:fill="FFFFFF"/>
          <w:lang w:val="en-GB"/>
        </w:rPr>
        <w:t>Nua</w:t>
      </w:r>
      <w:r w:rsidRPr="004A6259">
        <w:rPr>
          <w:rFonts w:ascii="Arial" w:hAnsi="Arial" w:cs="Arial"/>
          <w:spacing w:val="2"/>
          <w:shd w:val="clear" w:color="auto" w:fill="FFFFFF"/>
          <w:lang w:val="en-GB"/>
        </w:rPr>
        <w:t>, Azah, Saathi</w:t>
      </w:r>
      <w:r>
        <w:rPr>
          <w:rFonts w:ascii="Arial" w:hAnsi="Arial" w:cs="Arial"/>
          <w:spacing w:val="2"/>
          <w:shd w:val="clear" w:color="auto" w:fill="FFFFFF"/>
          <w:lang w:val="en-GB"/>
        </w:rPr>
        <w:t>,</w:t>
      </w:r>
      <w:r w:rsidRPr="004A6259">
        <w:rPr>
          <w:rFonts w:ascii="Arial" w:hAnsi="Arial" w:cs="Arial"/>
          <w:spacing w:val="2"/>
          <w:shd w:val="clear" w:color="auto" w:fill="FFFFFF"/>
          <w:lang w:val="en-GB"/>
        </w:rPr>
        <w:t xml:space="preserve"> and Sakhi</w:t>
      </w:r>
      <w:r>
        <w:rPr>
          <w:rFonts w:ascii="Arial" w:hAnsi="Arial" w:cs="Arial"/>
          <w:spacing w:val="2"/>
          <w:shd w:val="clear" w:color="auto" w:fill="FFFFFF"/>
          <w:lang w:val="en-GB"/>
        </w:rPr>
        <w:t>,</w:t>
      </w:r>
      <w:r w:rsidRPr="004A6259">
        <w:rPr>
          <w:rFonts w:ascii="Arial" w:hAnsi="Arial" w:cs="Arial"/>
          <w:spacing w:val="2"/>
          <w:shd w:val="clear" w:color="auto" w:fill="FFFFFF"/>
          <w:lang w:val="en-GB"/>
        </w:rPr>
        <w:t xml:space="preserve"> were selling biodegradable sanitary napkins. This meant that India had to take care of a mammoth 580,000 tons of menstrual waste per year</w:t>
      </w:r>
      <w:r>
        <w:rPr>
          <w:rFonts w:ascii="Arial" w:hAnsi="Arial" w:cs="Arial"/>
          <w:spacing w:val="2"/>
          <w:shd w:val="clear" w:color="auto" w:fill="FFFFFF"/>
          <w:lang w:val="en-GB"/>
        </w:rPr>
        <w:t>, which</w:t>
      </w:r>
      <w:r w:rsidRPr="004A6259">
        <w:rPr>
          <w:rFonts w:ascii="Arial" w:hAnsi="Arial" w:cs="Arial"/>
          <w:spacing w:val="2"/>
          <w:shd w:val="clear" w:color="auto" w:fill="FFFFFF"/>
          <w:lang w:val="en-GB"/>
        </w:rPr>
        <w:t xml:space="preserve"> could take 700</w:t>
      </w:r>
      <w:r>
        <w:rPr>
          <w:rFonts w:ascii="Arial" w:hAnsi="Arial" w:cs="Arial"/>
          <w:spacing w:val="2"/>
          <w:shd w:val="clear" w:color="auto" w:fill="FFFFFF"/>
          <w:lang w:val="en-GB"/>
        </w:rPr>
        <w:sym w:font="Symbol" w:char="F02D"/>
      </w:r>
      <w:r w:rsidRPr="004A6259">
        <w:rPr>
          <w:rFonts w:ascii="Arial" w:hAnsi="Arial" w:cs="Arial"/>
          <w:spacing w:val="2"/>
          <w:shd w:val="clear" w:color="auto" w:fill="FFFFFF"/>
          <w:lang w:val="en-GB"/>
        </w:rPr>
        <w:t>800 years to decompose</w:t>
      </w:r>
      <w:r>
        <w:rPr>
          <w:rFonts w:ascii="Arial" w:hAnsi="Arial" w:cs="Arial"/>
          <w:spacing w:val="2"/>
          <w:shd w:val="clear" w:color="auto" w:fill="FFFFFF"/>
          <w:lang w:val="en-GB"/>
        </w:rPr>
        <w:t xml:space="preserve"> and thus posed</w:t>
      </w:r>
      <w:r w:rsidRPr="004A6259">
        <w:rPr>
          <w:rFonts w:ascii="Arial" w:hAnsi="Arial" w:cs="Arial"/>
          <w:spacing w:val="2"/>
          <w:shd w:val="clear" w:color="auto" w:fill="FFFFFF"/>
          <w:lang w:val="en-GB"/>
        </w:rPr>
        <w:t xml:space="preserve"> </w:t>
      </w:r>
      <w:r>
        <w:rPr>
          <w:rFonts w:ascii="Arial" w:hAnsi="Arial" w:cs="Arial"/>
          <w:spacing w:val="2"/>
          <w:shd w:val="clear" w:color="auto" w:fill="FFFFFF"/>
          <w:lang w:val="en-GB"/>
        </w:rPr>
        <w:t>a</w:t>
      </w:r>
      <w:r w:rsidRPr="004A6259">
        <w:rPr>
          <w:rFonts w:ascii="Arial" w:hAnsi="Arial" w:cs="Arial"/>
          <w:spacing w:val="2"/>
          <w:shd w:val="clear" w:color="auto" w:fill="FFFFFF"/>
          <w:lang w:val="en-GB"/>
        </w:rPr>
        <w:t xml:space="preserve"> serious environmental threat.</w:t>
      </w:r>
    </w:p>
    <w:p w14:paraId="38A30049" w14:textId="77777777" w:rsidR="00D51D9E" w:rsidRPr="004A6259" w:rsidRDefault="00D51D9E" w:rsidP="00D51D9E">
      <w:pPr>
        <w:jc w:val="both"/>
        <w:rPr>
          <w:rFonts w:ascii="Arial" w:hAnsi="Arial" w:cs="Arial"/>
          <w:spacing w:val="2"/>
          <w:shd w:val="clear" w:color="auto" w:fill="FFFFFF"/>
          <w:lang w:val="en-GB"/>
        </w:rPr>
      </w:pPr>
    </w:p>
    <w:p w14:paraId="3C86EEF5" w14:textId="1185FDD3" w:rsidR="00D51D9E" w:rsidRDefault="00D51D9E" w:rsidP="00D51D9E">
      <w:pPr>
        <w:jc w:val="both"/>
        <w:rPr>
          <w:rFonts w:ascii="Arial" w:hAnsi="Arial" w:cs="Arial"/>
          <w:lang w:val="en-GB"/>
        </w:rPr>
      </w:pPr>
      <w:r w:rsidRPr="004A6259">
        <w:rPr>
          <w:rFonts w:ascii="Arial" w:hAnsi="Arial" w:cs="Arial"/>
          <w:lang w:val="en-GB"/>
        </w:rPr>
        <w:t>Communication was crucial, and players had the dual task of spreading social awareness while increasing sales for their brands. Big players</w:t>
      </w:r>
      <w:r>
        <w:rPr>
          <w:rFonts w:ascii="Arial" w:hAnsi="Arial" w:cs="Arial"/>
          <w:lang w:val="en-GB"/>
        </w:rPr>
        <w:t xml:space="preserve"> such as</w:t>
      </w:r>
      <w:r w:rsidRPr="004A6259">
        <w:rPr>
          <w:rFonts w:ascii="Arial" w:hAnsi="Arial" w:cs="Arial"/>
          <w:lang w:val="en-GB"/>
        </w:rPr>
        <w:t xml:space="preserve"> </w:t>
      </w:r>
      <w:r>
        <w:rPr>
          <w:rFonts w:ascii="Arial" w:hAnsi="Arial" w:cs="Arial"/>
          <w:lang w:val="en-GB"/>
        </w:rPr>
        <w:t>P&amp;G,</w:t>
      </w:r>
      <w:r w:rsidRPr="004A6259">
        <w:rPr>
          <w:rFonts w:ascii="Arial" w:hAnsi="Arial" w:cs="Arial"/>
          <w:lang w:val="en-GB"/>
        </w:rPr>
        <w:t xml:space="preserve"> with </w:t>
      </w:r>
      <w:r>
        <w:rPr>
          <w:rFonts w:ascii="Arial" w:hAnsi="Arial" w:cs="Arial"/>
          <w:lang w:val="en-GB"/>
        </w:rPr>
        <w:t>its Whisper brand,</w:t>
      </w:r>
      <w:r w:rsidRPr="004A6259">
        <w:rPr>
          <w:rFonts w:ascii="Arial" w:hAnsi="Arial" w:cs="Arial"/>
          <w:lang w:val="en-GB"/>
        </w:rPr>
        <w:t xml:space="preserve"> campaigned for a lifestyle of liberal hygiene</w:t>
      </w:r>
      <w:r>
        <w:rPr>
          <w:rFonts w:ascii="Arial" w:hAnsi="Arial" w:cs="Arial"/>
          <w:lang w:val="en-GB"/>
        </w:rPr>
        <w:t>,</w:t>
      </w:r>
      <w:r w:rsidRPr="004A6259">
        <w:rPr>
          <w:rFonts w:ascii="Arial" w:hAnsi="Arial" w:cs="Arial"/>
          <w:lang w:val="en-GB"/>
        </w:rPr>
        <w:t xml:space="preserve"> with women and girls unapologetically discussing their menstrual stories. As early as 2017, Unicharm</w:t>
      </w:r>
      <w:r>
        <w:rPr>
          <w:rFonts w:ascii="Arial" w:hAnsi="Arial" w:cs="Arial"/>
          <w:lang w:val="en-GB"/>
        </w:rPr>
        <w:t xml:space="preserve">’s </w:t>
      </w:r>
      <w:r w:rsidRPr="004A6259">
        <w:rPr>
          <w:rFonts w:ascii="Arial" w:hAnsi="Arial" w:cs="Arial"/>
          <w:lang w:val="en-GB"/>
        </w:rPr>
        <w:t>Sofy brand went live with</w:t>
      </w:r>
      <w:r>
        <w:rPr>
          <w:rFonts w:ascii="Arial" w:hAnsi="Arial" w:cs="Arial"/>
          <w:lang w:val="en-GB"/>
        </w:rPr>
        <w:t xml:space="preserve"> its</w:t>
      </w:r>
      <w:r w:rsidRPr="004A6259">
        <w:rPr>
          <w:rFonts w:ascii="Arial" w:hAnsi="Arial" w:cs="Arial"/>
          <w:lang w:val="en-GB"/>
        </w:rPr>
        <w:t xml:space="preserve"> #EmbraceTheNew campaign. Hiroki Nada, </w:t>
      </w:r>
      <w:r>
        <w:rPr>
          <w:rFonts w:ascii="Arial" w:hAnsi="Arial" w:cs="Arial"/>
          <w:lang w:val="en-GB"/>
        </w:rPr>
        <w:t xml:space="preserve">brand manager for </w:t>
      </w:r>
      <w:r w:rsidRPr="004A6259">
        <w:rPr>
          <w:rFonts w:ascii="Arial" w:hAnsi="Arial" w:cs="Arial"/>
          <w:lang w:val="en-GB"/>
        </w:rPr>
        <w:t>Sofy in India</w:t>
      </w:r>
      <w:r>
        <w:rPr>
          <w:rFonts w:ascii="Arial" w:hAnsi="Arial" w:cs="Arial"/>
          <w:lang w:val="en-GB"/>
        </w:rPr>
        <w:t>,</w:t>
      </w:r>
      <w:r w:rsidRPr="004A6259">
        <w:rPr>
          <w:rFonts w:ascii="Arial" w:hAnsi="Arial" w:cs="Arial"/>
          <w:lang w:val="en-GB"/>
        </w:rPr>
        <w:t xml:space="preserve"> said, “</w:t>
      </w:r>
      <w:r w:rsidRPr="004A6259">
        <w:rPr>
          <w:rFonts w:ascii="Arial" w:hAnsi="Arial" w:cs="Arial"/>
          <w:shd w:val="clear" w:color="auto" w:fill="FFFFFF"/>
          <w:lang w:val="en-GB"/>
        </w:rPr>
        <w:t>While tampons have been on the shelf, no brand has taken the responsibility to educate the young</w:t>
      </w:r>
      <w:r>
        <w:rPr>
          <w:rFonts w:ascii="Arial" w:hAnsi="Arial" w:cs="Arial"/>
          <w:shd w:val="clear" w:color="auto" w:fill="FFFFFF"/>
          <w:lang w:val="en-GB"/>
        </w:rPr>
        <w:t>,</w:t>
      </w:r>
      <w:r w:rsidRPr="004A6259">
        <w:rPr>
          <w:rFonts w:ascii="Arial" w:hAnsi="Arial" w:cs="Arial"/>
          <w:shd w:val="clear" w:color="auto" w:fill="FFFFFF"/>
          <w:lang w:val="en-GB"/>
        </w:rPr>
        <w:t xml:space="preserve"> vibrant and </w:t>
      </w:r>
      <w:r>
        <w:rPr>
          <w:rFonts w:ascii="Arial" w:hAnsi="Arial" w:cs="Arial"/>
          <w:shd w:val="clear" w:color="auto" w:fill="FFFFFF"/>
          <w:lang w:val="en-GB"/>
        </w:rPr>
        <w:t>ever-evolving</w:t>
      </w:r>
      <w:r w:rsidRPr="004A6259">
        <w:rPr>
          <w:rFonts w:ascii="Arial" w:hAnsi="Arial" w:cs="Arial"/>
          <w:shd w:val="clear" w:color="auto" w:fill="FFFFFF"/>
          <w:lang w:val="en-GB"/>
        </w:rPr>
        <w:t xml:space="preserve"> Indian girl about the barriers and myths surrounding the usage of tampon. But better late than never! Search volumes have been rising</w:t>
      </w:r>
      <w:r>
        <w:rPr>
          <w:rFonts w:ascii="Arial" w:hAnsi="Arial" w:cs="Arial"/>
          <w:shd w:val="clear" w:color="auto" w:fill="FFFFFF"/>
          <w:lang w:val="en-GB"/>
        </w:rPr>
        <w:t>,</w:t>
      </w:r>
      <w:r w:rsidRPr="004A6259">
        <w:rPr>
          <w:rFonts w:ascii="Arial" w:hAnsi="Arial" w:cs="Arial"/>
          <w:shd w:val="clear" w:color="auto" w:fill="FFFFFF"/>
          <w:lang w:val="en-GB"/>
        </w:rPr>
        <w:t xml:space="preserve"> and</w:t>
      </w:r>
      <w:r>
        <w:rPr>
          <w:rFonts w:ascii="Arial" w:hAnsi="Arial" w:cs="Arial"/>
          <w:shd w:val="clear" w:color="auto" w:fill="FFFFFF"/>
          <w:lang w:val="en-GB"/>
        </w:rPr>
        <w:t xml:space="preserve"> [the]</w:t>
      </w:r>
      <w:r w:rsidRPr="004A6259">
        <w:rPr>
          <w:rFonts w:ascii="Arial" w:hAnsi="Arial" w:cs="Arial"/>
          <w:shd w:val="clear" w:color="auto" w:fill="FFFFFF"/>
          <w:lang w:val="en-GB"/>
        </w:rPr>
        <w:t xml:space="preserve"> category is also growing now</w:t>
      </w:r>
      <w:r>
        <w:rPr>
          <w:rFonts w:ascii="Arial" w:hAnsi="Arial" w:cs="Arial"/>
          <w:shd w:val="clear" w:color="auto" w:fill="FFFFFF"/>
          <w:lang w:val="en-GB"/>
        </w:rPr>
        <w:t>;</w:t>
      </w:r>
      <w:r w:rsidRPr="004A6259">
        <w:rPr>
          <w:rFonts w:ascii="Arial" w:hAnsi="Arial" w:cs="Arial"/>
          <w:shd w:val="clear" w:color="auto" w:fill="FFFFFF"/>
          <w:lang w:val="en-GB"/>
        </w:rPr>
        <w:t xml:space="preserve"> hence</w:t>
      </w:r>
      <w:r>
        <w:rPr>
          <w:rFonts w:ascii="Arial" w:hAnsi="Arial" w:cs="Arial"/>
          <w:shd w:val="clear" w:color="auto" w:fill="FFFFFF"/>
          <w:lang w:val="en-GB"/>
        </w:rPr>
        <w:t>,</w:t>
      </w:r>
      <w:r w:rsidRPr="004A6259">
        <w:rPr>
          <w:rFonts w:ascii="Arial" w:hAnsi="Arial" w:cs="Arial"/>
          <w:shd w:val="clear" w:color="auto" w:fill="FFFFFF"/>
          <w:lang w:val="en-GB"/>
        </w:rPr>
        <w:t xml:space="preserve"> we spotted this opportunity as a huge potential in the market.</w:t>
      </w:r>
      <w:r>
        <w:rPr>
          <w:rFonts w:ascii="Arial" w:hAnsi="Arial" w:cs="Arial"/>
          <w:shd w:val="clear" w:color="auto" w:fill="FFFFFF"/>
          <w:lang w:val="en-GB"/>
        </w:rPr>
        <w:t>”</w:t>
      </w:r>
      <w:r w:rsidRPr="004A6259">
        <w:rPr>
          <w:rFonts w:ascii="Arial" w:hAnsi="Arial" w:cs="Arial"/>
          <w:lang w:val="en-GB"/>
        </w:rPr>
        <w:t xml:space="preserve"> </w:t>
      </w:r>
    </w:p>
    <w:p w14:paraId="5C674E29" w14:textId="022E51D1" w:rsidR="00D51D9E" w:rsidRDefault="00D51D9E" w:rsidP="00D51D9E">
      <w:pPr>
        <w:jc w:val="both"/>
        <w:rPr>
          <w:rFonts w:ascii="Arial" w:hAnsi="Arial" w:cs="Arial"/>
          <w:b/>
          <w:caps/>
          <w:lang w:val="en-GB"/>
        </w:rPr>
      </w:pPr>
    </w:p>
    <w:p w14:paraId="46056703" w14:textId="584DBEC0" w:rsidR="00D51D9E" w:rsidRDefault="00D51D9E" w:rsidP="00D51D9E">
      <w:pPr>
        <w:jc w:val="both"/>
        <w:rPr>
          <w:rFonts w:ascii="Arial" w:hAnsi="Arial" w:cs="Arial"/>
          <w:b/>
          <w:caps/>
          <w:lang w:val="en-GB"/>
        </w:rPr>
      </w:pPr>
    </w:p>
    <w:p w14:paraId="399BA25E" w14:textId="7DF8A04C" w:rsidR="00D51D9E" w:rsidRDefault="00D51D9E" w:rsidP="00D51D9E">
      <w:pPr>
        <w:jc w:val="both"/>
        <w:rPr>
          <w:rFonts w:ascii="Arial" w:hAnsi="Arial" w:cs="Arial"/>
          <w:b/>
          <w:bCs/>
          <w:lang w:val="en-GB"/>
        </w:rPr>
      </w:pPr>
      <w:r w:rsidRPr="004A6259">
        <w:rPr>
          <w:rFonts w:ascii="Arial" w:hAnsi="Arial" w:cs="Arial"/>
          <w:b/>
          <w:bCs/>
          <w:lang w:val="en-GB"/>
        </w:rPr>
        <w:t xml:space="preserve">Wellness </w:t>
      </w:r>
      <w:r>
        <w:rPr>
          <w:rFonts w:ascii="Arial" w:hAnsi="Arial" w:cs="Arial"/>
          <w:b/>
          <w:bCs/>
          <w:lang w:val="en-GB"/>
        </w:rPr>
        <w:t>and</w:t>
      </w:r>
      <w:r w:rsidRPr="004A6259">
        <w:rPr>
          <w:rFonts w:ascii="Arial" w:hAnsi="Arial" w:cs="Arial"/>
          <w:b/>
          <w:bCs/>
          <w:lang w:val="en-GB"/>
        </w:rPr>
        <w:t xml:space="preserve"> Protection</w:t>
      </w:r>
    </w:p>
    <w:p w14:paraId="462A8E74" w14:textId="69A7C1F1" w:rsidR="00D51D9E" w:rsidRDefault="00D51D9E" w:rsidP="00D51D9E">
      <w:pPr>
        <w:jc w:val="both"/>
        <w:rPr>
          <w:rFonts w:ascii="Arial" w:hAnsi="Arial" w:cs="Arial"/>
          <w:b/>
          <w:caps/>
          <w:lang w:val="en-GB"/>
        </w:rPr>
      </w:pPr>
    </w:p>
    <w:p w14:paraId="63C83788" w14:textId="223EB0A7" w:rsidR="00D51D9E" w:rsidRDefault="00D51D9E" w:rsidP="00D51D9E">
      <w:pPr>
        <w:jc w:val="both"/>
        <w:rPr>
          <w:rFonts w:ascii="Arial" w:hAnsi="Arial" w:cs="Arial"/>
          <w:b/>
          <w:caps/>
          <w:lang w:val="en-GB"/>
        </w:rPr>
      </w:pPr>
      <w:r>
        <w:rPr>
          <w:rFonts w:ascii="Arial" w:hAnsi="Arial" w:cs="Arial"/>
          <w:lang w:val="en-GB"/>
        </w:rPr>
        <w:t>In India, the</w:t>
      </w:r>
      <w:r w:rsidRPr="004A6259">
        <w:rPr>
          <w:rFonts w:ascii="Arial" w:hAnsi="Arial" w:cs="Arial"/>
          <w:lang w:val="en-GB"/>
        </w:rPr>
        <w:t xml:space="preserve"> market for home insecticides was </w:t>
      </w:r>
      <w:r>
        <w:rPr>
          <w:rFonts w:ascii="Arial" w:hAnsi="Arial" w:cs="Arial"/>
          <w:lang w:val="en-GB"/>
        </w:rPr>
        <w:t xml:space="preserve">rapidly </w:t>
      </w:r>
      <w:r w:rsidRPr="004A6259">
        <w:rPr>
          <w:rFonts w:ascii="Arial" w:hAnsi="Arial" w:cs="Arial"/>
          <w:lang w:val="en-GB"/>
        </w:rPr>
        <w:t xml:space="preserve">growing at a </w:t>
      </w:r>
      <w:r>
        <w:rPr>
          <w:rFonts w:ascii="Arial" w:hAnsi="Arial" w:cs="Arial"/>
          <w:lang w:val="en-GB"/>
        </w:rPr>
        <w:t xml:space="preserve">compound annual growth </w:t>
      </w:r>
      <w:r w:rsidRPr="004A6259">
        <w:rPr>
          <w:rFonts w:ascii="Arial" w:hAnsi="Arial" w:cs="Arial"/>
          <w:lang w:val="en-GB"/>
        </w:rPr>
        <w:t xml:space="preserve">rate of 8% and reached a market size of </w:t>
      </w:r>
      <w:r>
        <w:rPr>
          <w:rFonts w:ascii="Arial" w:hAnsi="Arial" w:cs="Arial"/>
          <w:lang w:val="en-GB"/>
        </w:rPr>
        <w:t>₹</w:t>
      </w:r>
      <w:r w:rsidRPr="004A6259">
        <w:rPr>
          <w:rFonts w:ascii="Arial" w:hAnsi="Arial" w:cs="Arial"/>
          <w:lang w:val="en-GB"/>
        </w:rPr>
        <w:t xml:space="preserve">50.6 billion in 2018. The considerable recurrence of </w:t>
      </w:r>
      <w:r>
        <w:rPr>
          <w:rFonts w:ascii="Arial" w:hAnsi="Arial" w:cs="Arial"/>
          <w:lang w:val="en-GB"/>
        </w:rPr>
        <w:t>mosquito-related</w:t>
      </w:r>
      <w:r w:rsidRPr="004A6259">
        <w:rPr>
          <w:rFonts w:ascii="Arial" w:hAnsi="Arial" w:cs="Arial"/>
          <w:lang w:val="en-GB"/>
        </w:rPr>
        <w:t xml:space="preserve"> diseases</w:t>
      </w:r>
      <w:r>
        <w:rPr>
          <w:rFonts w:ascii="Arial" w:hAnsi="Arial" w:cs="Arial"/>
          <w:lang w:val="en-GB"/>
        </w:rPr>
        <w:t xml:space="preserve"> such as</w:t>
      </w:r>
      <w:r w:rsidRPr="004A6259">
        <w:rPr>
          <w:rFonts w:ascii="Arial" w:hAnsi="Arial" w:cs="Arial"/>
          <w:lang w:val="en-GB"/>
        </w:rPr>
        <w:t xml:space="preserve"> </w:t>
      </w:r>
      <w:r>
        <w:rPr>
          <w:rFonts w:ascii="Arial" w:hAnsi="Arial" w:cs="Arial"/>
          <w:lang w:val="en-GB"/>
        </w:rPr>
        <w:t>malaria</w:t>
      </w:r>
      <w:r w:rsidRPr="004A6259">
        <w:rPr>
          <w:rFonts w:ascii="Arial" w:hAnsi="Arial" w:cs="Arial"/>
          <w:lang w:val="en-GB"/>
        </w:rPr>
        <w:t xml:space="preserve">, </w:t>
      </w:r>
      <w:r>
        <w:rPr>
          <w:rFonts w:ascii="Arial" w:hAnsi="Arial" w:cs="Arial"/>
          <w:lang w:val="en-GB"/>
        </w:rPr>
        <w:t>dengue,</w:t>
      </w:r>
      <w:r w:rsidRPr="004A6259">
        <w:rPr>
          <w:rFonts w:ascii="Arial" w:hAnsi="Arial" w:cs="Arial"/>
          <w:lang w:val="en-GB"/>
        </w:rPr>
        <w:t xml:space="preserve"> and chikungunya</w:t>
      </w:r>
      <w:r>
        <w:rPr>
          <w:rFonts w:ascii="Arial" w:hAnsi="Arial" w:cs="Arial"/>
          <w:lang w:val="en-GB"/>
        </w:rPr>
        <w:t>,</w:t>
      </w:r>
      <w:r w:rsidRPr="004A6259">
        <w:rPr>
          <w:rFonts w:ascii="Arial" w:hAnsi="Arial" w:cs="Arial"/>
          <w:lang w:val="en-GB"/>
        </w:rPr>
        <w:t xml:space="preserve"> was fuelling the growth. Despite </w:t>
      </w:r>
      <w:r>
        <w:rPr>
          <w:rFonts w:ascii="Arial" w:hAnsi="Arial" w:cs="Arial"/>
          <w:lang w:val="en-GB"/>
        </w:rPr>
        <w:t>per-unit</w:t>
      </w:r>
      <w:r w:rsidRPr="004A6259">
        <w:rPr>
          <w:rFonts w:ascii="Arial" w:hAnsi="Arial" w:cs="Arial"/>
          <w:lang w:val="en-GB"/>
        </w:rPr>
        <w:t xml:space="preserve"> price increase, consumer products conglomerate Godrej</w:t>
      </w:r>
      <w:r>
        <w:rPr>
          <w:rFonts w:ascii="Arial" w:hAnsi="Arial" w:cs="Arial"/>
          <w:lang w:val="en-GB"/>
        </w:rPr>
        <w:t xml:space="preserve"> Group (Godrej)</w:t>
      </w:r>
      <w:r w:rsidRPr="004A6259">
        <w:rPr>
          <w:rFonts w:ascii="Arial" w:hAnsi="Arial" w:cs="Arial"/>
          <w:lang w:val="en-GB"/>
        </w:rPr>
        <w:t xml:space="preserve"> had 60% share of the market</w:t>
      </w:r>
      <w:r>
        <w:rPr>
          <w:rFonts w:ascii="Arial" w:hAnsi="Arial" w:cs="Arial"/>
          <w:lang w:val="en-GB"/>
        </w:rPr>
        <w:t xml:space="preserve"> in 2019 (</w:t>
      </w:r>
      <w:r w:rsidRPr="004A6259">
        <w:rPr>
          <w:rFonts w:ascii="Arial" w:hAnsi="Arial" w:cs="Arial"/>
          <w:lang w:val="en-GB"/>
        </w:rPr>
        <w:t>with</w:t>
      </w:r>
      <w:r>
        <w:rPr>
          <w:rFonts w:ascii="Arial" w:hAnsi="Arial" w:cs="Arial"/>
          <w:lang w:val="en-GB"/>
        </w:rPr>
        <w:t xml:space="preserve"> its</w:t>
      </w:r>
      <w:r w:rsidRPr="004A6259">
        <w:rPr>
          <w:rFonts w:ascii="Arial" w:hAnsi="Arial" w:cs="Arial"/>
          <w:lang w:val="en-GB"/>
        </w:rPr>
        <w:t xml:space="preserve"> </w:t>
      </w:r>
      <w:r>
        <w:rPr>
          <w:rFonts w:ascii="Arial" w:hAnsi="Arial" w:cs="Arial"/>
          <w:lang w:val="en-GB"/>
        </w:rPr>
        <w:t>Goodknight</w:t>
      </w:r>
      <w:r w:rsidRPr="004A6259">
        <w:rPr>
          <w:rFonts w:ascii="Arial" w:hAnsi="Arial" w:cs="Arial"/>
          <w:lang w:val="en-GB"/>
        </w:rPr>
        <w:t>, Hit</w:t>
      </w:r>
      <w:r>
        <w:rPr>
          <w:rFonts w:ascii="Arial" w:hAnsi="Arial" w:cs="Arial"/>
          <w:lang w:val="en-GB"/>
        </w:rPr>
        <w:t>,</w:t>
      </w:r>
      <w:r w:rsidRPr="004A6259">
        <w:rPr>
          <w:rFonts w:ascii="Arial" w:hAnsi="Arial" w:cs="Arial"/>
          <w:lang w:val="en-GB"/>
        </w:rPr>
        <w:t xml:space="preserve"> and other brands</w:t>
      </w:r>
      <w:r>
        <w:rPr>
          <w:rFonts w:ascii="Arial" w:hAnsi="Arial" w:cs="Arial"/>
          <w:lang w:val="en-GB"/>
        </w:rPr>
        <w:t>),</w:t>
      </w:r>
      <w:r w:rsidRPr="004A6259">
        <w:rPr>
          <w:rFonts w:ascii="Arial" w:hAnsi="Arial" w:cs="Arial"/>
          <w:lang w:val="en-GB"/>
        </w:rPr>
        <w:t xml:space="preserve"> when the market </w:t>
      </w:r>
      <w:r>
        <w:rPr>
          <w:rFonts w:ascii="Arial" w:hAnsi="Arial" w:cs="Arial"/>
          <w:lang w:val="en-GB"/>
        </w:rPr>
        <w:t xml:space="preserve">reached the </w:t>
      </w:r>
      <w:r>
        <w:rPr>
          <w:lang w:val="en-GB"/>
        </w:rPr>
        <w:t>₹</w:t>
      </w:r>
      <w:r w:rsidRPr="004A6259">
        <w:rPr>
          <w:rFonts w:ascii="Arial" w:hAnsi="Arial" w:cs="Arial"/>
          <w:lang w:val="en-GB"/>
        </w:rPr>
        <w:t>60 billion mark. Insecticide variants specific to cockroaches, mosquitoes</w:t>
      </w:r>
      <w:r>
        <w:rPr>
          <w:rFonts w:ascii="Arial" w:hAnsi="Arial" w:cs="Arial"/>
          <w:lang w:val="en-GB"/>
        </w:rPr>
        <w:t>,</w:t>
      </w:r>
      <w:r w:rsidRPr="004A6259">
        <w:rPr>
          <w:rFonts w:ascii="Arial" w:hAnsi="Arial" w:cs="Arial"/>
          <w:lang w:val="en-GB"/>
        </w:rPr>
        <w:t xml:space="preserve"> and flies were available. Other competitors</w:t>
      </w:r>
      <w:r>
        <w:rPr>
          <w:rFonts w:ascii="Arial" w:hAnsi="Arial" w:cs="Arial"/>
          <w:lang w:val="en-GB"/>
        </w:rPr>
        <w:t xml:space="preserve"> in the insecticides market </w:t>
      </w:r>
      <w:r w:rsidRPr="004A6259">
        <w:rPr>
          <w:rFonts w:ascii="Arial" w:hAnsi="Arial" w:cs="Arial"/>
          <w:lang w:val="en-GB"/>
        </w:rPr>
        <w:t xml:space="preserve">included multinationals like </w:t>
      </w:r>
      <w:r>
        <w:rPr>
          <w:rFonts w:ascii="Arial" w:hAnsi="Arial" w:cs="Arial"/>
          <w:lang w:val="en-GB"/>
        </w:rPr>
        <w:t>S. C.</w:t>
      </w:r>
      <w:r w:rsidRPr="004A6259">
        <w:rPr>
          <w:rFonts w:ascii="Arial" w:hAnsi="Arial" w:cs="Arial"/>
          <w:lang w:val="en-GB"/>
        </w:rPr>
        <w:t xml:space="preserve"> Johnson</w:t>
      </w:r>
      <w:r>
        <w:rPr>
          <w:rFonts w:ascii="Arial" w:hAnsi="Arial" w:cs="Arial"/>
          <w:lang w:val="en-GB"/>
        </w:rPr>
        <w:t xml:space="preserve"> &amp; Son. Inc.</w:t>
      </w:r>
      <w:r w:rsidRPr="004A6259">
        <w:rPr>
          <w:rFonts w:ascii="Arial" w:hAnsi="Arial" w:cs="Arial"/>
          <w:lang w:val="en-GB"/>
        </w:rPr>
        <w:t xml:space="preserve">, Reckitt Benckiser </w:t>
      </w:r>
      <w:r>
        <w:rPr>
          <w:rFonts w:ascii="Arial" w:hAnsi="Arial" w:cs="Arial"/>
          <w:lang w:val="en-GB"/>
        </w:rPr>
        <w:t xml:space="preserve">Group PLC, </w:t>
      </w:r>
      <w:r w:rsidRPr="004A6259">
        <w:rPr>
          <w:rFonts w:ascii="Arial" w:hAnsi="Arial" w:cs="Arial"/>
          <w:lang w:val="en-GB"/>
        </w:rPr>
        <w:t xml:space="preserve">and </w:t>
      </w:r>
      <w:r>
        <w:rPr>
          <w:rFonts w:ascii="Arial" w:hAnsi="Arial" w:cs="Arial"/>
          <w:lang w:val="en-GB"/>
        </w:rPr>
        <w:t xml:space="preserve">major </w:t>
      </w:r>
      <w:r w:rsidRPr="004A6259">
        <w:rPr>
          <w:rFonts w:ascii="Arial" w:hAnsi="Arial" w:cs="Arial"/>
          <w:lang w:val="en-GB"/>
        </w:rPr>
        <w:t xml:space="preserve">Indian </w:t>
      </w:r>
      <w:r>
        <w:rPr>
          <w:rFonts w:ascii="Arial" w:hAnsi="Arial" w:cs="Arial"/>
          <w:lang w:val="en-GB"/>
        </w:rPr>
        <w:t>players such as</w:t>
      </w:r>
      <w:r w:rsidRPr="004A6259">
        <w:rPr>
          <w:rFonts w:ascii="Arial" w:hAnsi="Arial" w:cs="Arial"/>
          <w:lang w:val="en-GB"/>
        </w:rPr>
        <w:t xml:space="preserve"> Dabur and </w:t>
      </w:r>
      <w:r w:rsidRPr="007C5156">
        <w:rPr>
          <w:rFonts w:ascii="Arial" w:hAnsi="Arial" w:cs="Arial"/>
          <w:lang w:val="en-GB"/>
        </w:rPr>
        <w:t>Jyothy Laboratories Limited</w:t>
      </w:r>
      <w:r w:rsidRPr="004A6259">
        <w:rPr>
          <w:rFonts w:ascii="Arial" w:hAnsi="Arial" w:cs="Arial"/>
          <w:lang w:val="en-GB"/>
        </w:rPr>
        <w:t>. However, volume growth</w:t>
      </w:r>
      <w:r>
        <w:rPr>
          <w:rFonts w:ascii="Arial" w:hAnsi="Arial" w:cs="Arial"/>
          <w:lang w:val="en-GB"/>
        </w:rPr>
        <w:t>,</w:t>
      </w:r>
      <w:r w:rsidRPr="004A6259">
        <w:rPr>
          <w:rFonts w:ascii="Arial" w:hAnsi="Arial" w:cs="Arial"/>
          <w:lang w:val="en-GB"/>
        </w:rPr>
        <w:t xml:space="preserve"> a series of launches</w:t>
      </w:r>
      <w:r>
        <w:rPr>
          <w:rFonts w:ascii="Arial" w:hAnsi="Arial" w:cs="Arial"/>
          <w:lang w:val="en-GB"/>
        </w:rPr>
        <w:t>,</w:t>
      </w:r>
      <w:r w:rsidRPr="004A6259">
        <w:rPr>
          <w:rFonts w:ascii="Arial" w:hAnsi="Arial" w:cs="Arial"/>
          <w:lang w:val="en-GB"/>
        </w:rPr>
        <w:t xml:space="preserve"> and aggressive consumer promotions by the market leader Godrej led to a 6% drop in </w:t>
      </w:r>
      <w:r>
        <w:rPr>
          <w:rFonts w:ascii="Arial" w:hAnsi="Arial" w:cs="Arial"/>
          <w:lang w:val="en-GB"/>
        </w:rPr>
        <w:t xml:space="preserve">the company’s </w:t>
      </w:r>
      <w:r w:rsidRPr="004A6259">
        <w:rPr>
          <w:rFonts w:ascii="Arial" w:hAnsi="Arial" w:cs="Arial"/>
          <w:lang w:val="en-GB"/>
        </w:rPr>
        <w:t>net realization of domestic sales in 2019.</w:t>
      </w:r>
    </w:p>
    <w:p w14:paraId="1696621D" w14:textId="77777777" w:rsidR="00D51D9E" w:rsidRDefault="00D51D9E" w:rsidP="00D51D9E">
      <w:pPr>
        <w:jc w:val="both"/>
        <w:rPr>
          <w:rFonts w:ascii="Arial" w:hAnsi="Arial" w:cs="Arial"/>
          <w:b/>
          <w:caps/>
          <w:lang w:val="en-GB"/>
        </w:rPr>
      </w:pPr>
    </w:p>
    <w:p w14:paraId="20C2C2EE" w14:textId="61ED5C3E" w:rsidR="00B955A7" w:rsidRPr="00AE7298" w:rsidRDefault="00BA37EB" w:rsidP="00B4028C">
      <w:pPr>
        <w:pStyle w:val="Footnote"/>
        <w:rPr>
          <w:lang w:val="en-GB"/>
        </w:rPr>
      </w:pPr>
      <w:r w:rsidRPr="00AE7298">
        <w:rPr>
          <w:lang w:val="en-GB"/>
        </w:rPr>
        <w:t xml:space="preserve">Source: </w:t>
      </w:r>
      <w:r w:rsidRPr="00BA37EB">
        <w:rPr>
          <w:lang w:val="en-GB"/>
        </w:rPr>
        <w:t xml:space="preserve">Virendra Pandit, “Sanitary Napkins: Nine Movement to More than Double Production Capacity in Uttar Pradesh,” </w:t>
      </w:r>
      <w:r w:rsidRPr="00AE7298">
        <w:rPr>
          <w:i/>
          <w:iCs/>
          <w:lang w:val="en-GB"/>
        </w:rPr>
        <w:t>Hindu BusinessLine</w:t>
      </w:r>
      <w:r w:rsidRPr="00BA37EB">
        <w:rPr>
          <w:lang w:val="en-GB"/>
        </w:rPr>
        <w:t>, August 25, 2018, accessed April 24, 2020, https://www.thehindubusinessline.com/companies/sanitary-napkins-niine-movement-to-more-than-double-production-capacity-in-uttar-pradesh/article24778708.ece#</w:t>
      </w:r>
      <w:r>
        <w:rPr>
          <w:lang w:val="en-GB"/>
        </w:rPr>
        <w:t xml:space="preserve">; </w:t>
      </w:r>
      <w:r w:rsidRPr="00BA37EB">
        <w:rPr>
          <w:lang w:val="en-GB"/>
        </w:rPr>
        <w:t>Leah Rodriguez, “The Indian Government May Soon Make Period Products More Affordable,” Global Citizen, August 26, 2019, accessed April 24, 2020, https://www.globalcitizen.org/en/content/india-to-control-prices-of-sanitary-pads/</w:t>
      </w:r>
      <w:r>
        <w:rPr>
          <w:lang w:val="en-GB"/>
        </w:rPr>
        <w:t xml:space="preserve">; </w:t>
      </w:r>
      <w:bookmarkStart w:id="14" w:name="_Hlk55917893"/>
      <w:r w:rsidR="00E95A1D" w:rsidRPr="00E95A1D">
        <w:rPr>
          <w:lang w:val="en-GB"/>
        </w:rPr>
        <w:t xml:space="preserve">Mordor Intelligence, </w:t>
      </w:r>
      <w:r w:rsidR="00E95A1D" w:rsidRPr="00AE7298">
        <w:rPr>
          <w:i/>
          <w:iCs/>
          <w:lang w:val="en-GB"/>
        </w:rPr>
        <w:t>Feminine Hygiene Market Growth, Trends and Forecasts (2020 – 2025)</w:t>
      </w:r>
      <w:r w:rsidR="00E95A1D" w:rsidRPr="00E95A1D">
        <w:rPr>
          <w:lang w:val="en-GB"/>
        </w:rPr>
        <w:t>, accessed April 24, 2020, https://www.mordorintelligence.com/industry-reports/feminine-hygiene-market</w:t>
      </w:r>
      <w:bookmarkEnd w:id="14"/>
      <w:r w:rsidR="00E95A1D">
        <w:rPr>
          <w:lang w:val="en-GB"/>
        </w:rPr>
        <w:t xml:space="preserve">; </w:t>
      </w:r>
      <w:r w:rsidR="00E95A1D" w:rsidRPr="00E95A1D">
        <w:rPr>
          <w:lang w:val="en-GB"/>
        </w:rPr>
        <w:t xml:space="preserve">Sadaf Shaikh, “7 Brands That Are Reinventing the Sanitary Napkin,” </w:t>
      </w:r>
      <w:r w:rsidR="00E95A1D" w:rsidRPr="00AE7298">
        <w:rPr>
          <w:i/>
          <w:iCs/>
          <w:lang w:val="en-GB"/>
        </w:rPr>
        <w:t>Verve</w:t>
      </w:r>
      <w:r w:rsidR="00E95A1D" w:rsidRPr="00E95A1D">
        <w:rPr>
          <w:lang w:val="en-GB"/>
        </w:rPr>
        <w:t>, accessed April 24, 2020, https://www.vervemagazine.in/fashion-and-beauty/7-brands-that-are-reinventing-the-sanitary-napkin</w:t>
      </w:r>
      <w:r w:rsidR="00E95A1D">
        <w:rPr>
          <w:lang w:val="en-GB"/>
        </w:rPr>
        <w:t xml:space="preserve">; </w:t>
      </w:r>
      <w:r w:rsidR="00E95A1D" w:rsidRPr="00E95A1D">
        <w:rPr>
          <w:lang w:val="en-GB"/>
        </w:rPr>
        <w:t xml:space="preserve">Dasra, </w:t>
      </w:r>
      <w:r w:rsidR="00E95A1D" w:rsidRPr="00AE7298">
        <w:rPr>
          <w:i/>
          <w:iCs/>
          <w:lang w:val="en-GB"/>
        </w:rPr>
        <w:t>Spot On! Improving Menstrual Health and Hygiene in India</w:t>
      </w:r>
      <w:r w:rsidR="00E95A1D" w:rsidRPr="00E95A1D">
        <w:rPr>
          <w:lang w:val="en-GB"/>
        </w:rPr>
        <w:t>, accessed April 24, 2020, https://www.dasra.org/assets/uploads/resources/Spot%20On%20-%20Improving%20Menstrual%20Management%20in%20India.pdf</w:t>
      </w:r>
      <w:r w:rsidR="00E95A1D">
        <w:rPr>
          <w:lang w:val="en-GB"/>
        </w:rPr>
        <w:t xml:space="preserve">; </w:t>
      </w:r>
      <w:r w:rsidR="00523A01" w:rsidRPr="00523A01">
        <w:rPr>
          <w:lang w:val="en-GB"/>
        </w:rPr>
        <w:t xml:space="preserve">“#EmbraceTheNew: Sofy Rolls Out India’s First Ad Campaign for Tampons,” </w:t>
      </w:r>
      <w:r w:rsidR="00523A01" w:rsidRPr="00AE7298">
        <w:rPr>
          <w:i/>
          <w:iCs/>
          <w:lang w:val="en-GB"/>
        </w:rPr>
        <w:t>ET BrandEquity</w:t>
      </w:r>
      <w:r w:rsidR="00523A01" w:rsidRPr="00523A01">
        <w:rPr>
          <w:lang w:val="en-GB"/>
        </w:rPr>
        <w:t>, September 19, 2017, accessed April 24, 2020, https://brandequity.economictimes.indiatimes.com/news/advertising/embracethenew-sofy-rolls-out-indias-first-tampon-ad-campaign/60729450</w:t>
      </w:r>
      <w:r w:rsidR="00523A01">
        <w:rPr>
          <w:lang w:val="en-GB"/>
        </w:rPr>
        <w:t xml:space="preserve">; </w:t>
      </w:r>
      <w:bookmarkStart w:id="15" w:name="_Hlk55917839"/>
      <w:r w:rsidR="00523A01" w:rsidRPr="00523A01">
        <w:rPr>
          <w:lang w:val="en-GB"/>
        </w:rPr>
        <w:t xml:space="preserve">Euromonitor International, </w:t>
      </w:r>
      <w:r w:rsidR="00523A01" w:rsidRPr="00AE7298">
        <w:rPr>
          <w:i/>
          <w:iCs/>
          <w:lang w:val="en-GB"/>
        </w:rPr>
        <w:t>Home Insecticides in India</w:t>
      </w:r>
      <w:r w:rsidR="00523A01" w:rsidRPr="00523A01">
        <w:rPr>
          <w:lang w:val="en-GB"/>
        </w:rPr>
        <w:t xml:space="preserve">, 2019, accessed </w:t>
      </w:r>
      <w:r w:rsidR="00D94D7A">
        <w:rPr>
          <w:lang w:val="en-GB"/>
        </w:rPr>
        <w:t>April 24, 2020</w:t>
      </w:r>
      <w:bookmarkEnd w:id="15"/>
      <w:r w:rsidR="009E2410">
        <w:rPr>
          <w:lang w:val="en-GB"/>
        </w:rPr>
        <w:t xml:space="preserve">; </w:t>
      </w:r>
      <w:r w:rsidR="009E2410" w:rsidRPr="009E2410">
        <w:rPr>
          <w:lang w:val="en-GB"/>
        </w:rPr>
        <w:t xml:space="preserve">“After Mats and Liquid Godrej Targets Mosquito Repellant Incence Market,” </w:t>
      </w:r>
      <w:r w:rsidR="009E2410" w:rsidRPr="00AE7298">
        <w:rPr>
          <w:i/>
          <w:iCs/>
          <w:lang w:val="en-GB"/>
        </w:rPr>
        <w:t>Economic Times</w:t>
      </w:r>
      <w:r w:rsidR="009E2410" w:rsidRPr="009E2410">
        <w:rPr>
          <w:lang w:val="en-GB"/>
        </w:rPr>
        <w:t>, June 14, 2019, accessed April 24, 2020, https://economictimes.indiatimes.com/industry/cons-products/fmcg/after-mats-and-liquid-godrej-targets-mosquito-repellant-incence-market/articleshow/69789945.cms?from=mdr</w:t>
      </w:r>
      <w:r w:rsidR="00CD739C">
        <w:rPr>
          <w:lang w:val="en-GB"/>
        </w:rPr>
        <w:t xml:space="preserve">; </w:t>
      </w:r>
      <w:bookmarkStart w:id="16" w:name="_Hlk55984018"/>
      <w:r w:rsidR="00CD739C" w:rsidRPr="00CD739C">
        <w:rPr>
          <w:lang w:val="en-GB"/>
        </w:rPr>
        <w:t xml:space="preserve">Pallavi Pengonda, “Godrej Consumer’s Q2 Show Muted on Revenue, but Margins Remain Robust,” </w:t>
      </w:r>
      <w:r w:rsidR="00CD739C" w:rsidRPr="00AE7298">
        <w:rPr>
          <w:i/>
          <w:iCs/>
          <w:lang w:val="en-GB"/>
        </w:rPr>
        <w:t>Mint</w:t>
      </w:r>
      <w:r w:rsidR="00CD739C" w:rsidRPr="00CD739C">
        <w:rPr>
          <w:lang w:val="en-GB"/>
        </w:rPr>
        <w:t>, November 7, 2019, accessed April 24, 2020, https://www.livemint.com/market/mark-to-market/godrej-consumer-s-q2-show-muted-on-revenue-but-margins-remain-robust-11573062008076.html.</w:t>
      </w:r>
      <w:bookmarkEnd w:id="16"/>
    </w:p>
    <w:bookmarkEnd w:id="0"/>
    <w:p w14:paraId="2FBABE6C" w14:textId="7681E08D" w:rsidR="003434E6" w:rsidRDefault="003434E6">
      <w:pPr>
        <w:spacing w:after="200" w:line="276" w:lineRule="auto"/>
        <w:rPr>
          <w:rFonts w:ascii="Arial" w:hAnsi="Arial" w:cs="Arial"/>
          <w:b/>
          <w:bCs/>
          <w:lang w:val="en-GB"/>
        </w:rPr>
      </w:pPr>
      <w:r>
        <w:rPr>
          <w:rFonts w:ascii="Arial" w:hAnsi="Arial" w:cs="Arial"/>
          <w:b/>
          <w:bCs/>
          <w:lang w:val="en-GB"/>
        </w:rPr>
        <w:br w:type="page"/>
      </w:r>
    </w:p>
    <w:p w14:paraId="6F90822C" w14:textId="70CA8907" w:rsidR="00B955A7" w:rsidRPr="004A6259" w:rsidRDefault="003434E6" w:rsidP="003434E6">
      <w:pPr>
        <w:pStyle w:val="Casehead1"/>
        <w:rPr>
          <w:lang w:val="en-GB"/>
        </w:rPr>
      </w:pPr>
      <w:bookmarkStart w:id="17" w:name="_GoBack"/>
      <w:r>
        <w:rPr>
          <w:lang w:val="en-GB"/>
        </w:rPr>
        <w:lastRenderedPageBreak/>
        <w:t>endnotes</w:t>
      </w:r>
      <w:bookmarkEnd w:id="17"/>
    </w:p>
    <w:sectPr w:rsidR="00B955A7" w:rsidRPr="004A6259" w:rsidSect="00751E0B">
      <w:headerReference w:type="default" r:id="rId13"/>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D0FE5" w16cex:dateUtc="2021-02-09T08:13:00Z"/>
  <w16cex:commentExtensible w16cex:durableId="23CD102B" w16cex:dateUtc="2021-02-09T08:14:00Z"/>
  <w16cex:commentExtensible w16cex:durableId="23CD104D" w16cex:dateUtc="2021-02-09T08:14:00Z"/>
  <w16cex:commentExtensible w16cex:durableId="23CD1071" w16cex:dateUtc="2021-02-09T08:15:00Z"/>
  <w16cex:commentExtensible w16cex:durableId="23CD108E" w16cex:dateUtc="2021-02-09T08:15:00Z"/>
  <w16cex:commentExtensible w16cex:durableId="23CD10D5" w16cex:dateUtc="2021-02-09T08:17:00Z"/>
  <w16cex:commentExtensible w16cex:durableId="23CD116D" w16cex:dateUtc="2021-02-09T08:19:00Z"/>
  <w16cex:commentExtensible w16cex:durableId="23CD1193" w16cex:dateUtc="2021-02-09T08:20:00Z"/>
  <w16cex:commentExtensible w16cex:durableId="23CD11AB" w16cex:dateUtc="2021-02-09T08:20:00Z"/>
  <w16cex:commentExtensible w16cex:durableId="23CD11C4" w16cex:dateUtc="2021-02-09T08:2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7C646" w14:textId="77777777" w:rsidR="00E273B3" w:rsidRDefault="00E273B3" w:rsidP="00D75295">
      <w:r>
        <w:separator/>
      </w:r>
    </w:p>
  </w:endnote>
  <w:endnote w:type="continuationSeparator" w:id="0">
    <w:p w14:paraId="41E4DB7A" w14:textId="77777777" w:rsidR="00E273B3" w:rsidRDefault="00E273B3" w:rsidP="00D75295">
      <w:r>
        <w:continuationSeparator/>
      </w:r>
    </w:p>
  </w:endnote>
  <w:endnote w:id="1">
    <w:p w14:paraId="6D12EC49" w14:textId="76C4ED1C" w:rsidR="003434E6" w:rsidRPr="00AE7298" w:rsidRDefault="003434E6">
      <w:pPr>
        <w:pStyle w:val="EndnoteText"/>
        <w:rPr>
          <w:rFonts w:ascii="Arial" w:hAnsi="Arial" w:cs="Arial"/>
          <w:sz w:val="17"/>
          <w:szCs w:val="17"/>
          <w:lang w:val="en-CA"/>
        </w:rPr>
      </w:pPr>
      <w:r w:rsidRPr="00AE7298">
        <w:rPr>
          <w:rStyle w:val="EndnoteReference"/>
          <w:rFonts w:ascii="Arial" w:hAnsi="Arial" w:cs="Arial"/>
          <w:sz w:val="17"/>
          <w:szCs w:val="17"/>
        </w:rPr>
        <w:endnoteRef/>
      </w:r>
      <w:r w:rsidRPr="00AE7298">
        <w:rPr>
          <w:rFonts w:ascii="Arial" w:hAnsi="Arial" w:cs="Arial"/>
          <w:sz w:val="17"/>
          <w:szCs w:val="17"/>
        </w:rPr>
        <w:t xml:space="preserve"> </w:t>
      </w:r>
      <w:bookmarkStart w:id="1" w:name="_Hlk55803022"/>
      <w:r w:rsidRPr="00AE7298">
        <w:rPr>
          <w:rFonts w:ascii="Arial" w:hAnsi="Arial" w:cs="Arial"/>
          <w:sz w:val="17"/>
          <w:szCs w:val="17"/>
          <w:lang w:val="en-CA"/>
        </w:rPr>
        <w:t>₹ = INR = Indian rupee; US$1 = ₹</w:t>
      </w:r>
      <w:r w:rsidRPr="00B54056">
        <w:t xml:space="preserve"> </w:t>
      </w:r>
      <w:r w:rsidRPr="00B54056">
        <w:rPr>
          <w:rFonts w:ascii="Arial" w:hAnsi="Arial" w:cs="Arial"/>
          <w:sz w:val="17"/>
          <w:szCs w:val="17"/>
          <w:lang w:val="en-CA"/>
        </w:rPr>
        <w:t>71.3112</w:t>
      </w:r>
      <w:r w:rsidRPr="00AE7298">
        <w:rPr>
          <w:rFonts w:ascii="Arial" w:hAnsi="Arial" w:cs="Arial"/>
          <w:sz w:val="17"/>
          <w:szCs w:val="17"/>
          <w:lang w:val="en-CA"/>
        </w:rPr>
        <w:t xml:space="preserve"> on December 30, 2019.</w:t>
      </w:r>
      <w:bookmarkEnd w:id="1"/>
      <w:r w:rsidRPr="00AE7298">
        <w:rPr>
          <w:rFonts w:ascii="Arial" w:hAnsi="Arial" w:cs="Arial"/>
          <w:sz w:val="17"/>
          <w:szCs w:val="17"/>
          <w:lang w:val="en-CA"/>
        </w:rPr>
        <w:t xml:space="preserve"> </w:t>
      </w:r>
    </w:p>
  </w:endnote>
  <w:endnote w:id="2">
    <w:p w14:paraId="410184DB" w14:textId="562F4DF5" w:rsidR="003434E6" w:rsidRPr="00AE7298" w:rsidRDefault="003434E6">
      <w:pPr>
        <w:pStyle w:val="EndnoteText"/>
        <w:rPr>
          <w:rFonts w:ascii="Arial" w:hAnsi="Arial" w:cs="Arial"/>
          <w:sz w:val="17"/>
          <w:szCs w:val="17"/>
          <w:lang w:val="en-CA"/>
        </w:rPr>
      </w:pPr>
      <w:r w:rsidRPr="00AE7298">
        <w:rPr>
          <w:rStyle w:val="EndnoteReference"/>
          <w:rFonts w:ascii="Arial" w:hAnsi="Arial" w:cs="Arial"/>
          <w:sz w:val="17"/>
          <w:szCs w:val="17"/>
        </w:rPr>
        <w:endnoteRef/>
      </w:r>
      <w:r w:rsidRPr="00AE7298">
        <w:rPr>
          <w:rFonts w:ascii="Arial" w:hAnsi="Arial" w:cs="Arial"/>
          <w:sz w:val="17"/>
          <w:szCs w:val="17"/>
        </w:rPr>
        <w:t xml:space="preserve"> </w:t>
      </w:r>
      <w:r w:rsidRPr="00AE7298">
        <w:rPr>
          <w:rFonts w:ascii="Arial" w:hAnsi="Arial" w:cs="Arial"/>
          <w:sz w:val="17"/>
          <w:szCs w:val="17"/>
          <w:lang w:val="en-CA"/>
        </w:rPr>
        <w:t>All dollar amounts are in US dollars.</w:t>
      </w:r>
    </w:p>
  </w:endnote>
  <w:endnote w:id="3">
    <w:p w14:paraId="67A8C876" w14:textId="5E7D7919" w:rsidR="003434E6" w:rsidRPr="004A6259" w:rsidRDefault="003434E6" w:rsidP="00B955A7">
      <w:pPr>
        <w:pStyle w:val="Footnote"/>
        <w:rPr>
          <w:b/>
          <w:lang w:val="en-GB"/>
        </w:rPr>
      </w:pPr>
      <w:r w:rsidRPr="004A6259">
        <w:rPr>
          <w:rStyle w:val="EndnoteReference"/>
          <w:lang w:val="en-GB"/>
        </w:rPr>
        <w:endnoteRef/>
      </w:r>
      <w:r>
        <w:rPr>
          <w:rFonts w:eastAsiaTheme="minorHAnsi"/>
          <w:lang w:val="en-GB"/>
        </w:rPr>
        <w:t xml:space="preserve"> </w:t>
      </w:r>
      <w:bookmarkStart w:id="2" w:name="_Hlk55917749"/>
      <w:r w:rsidRPr="004A6259">
        <w:rPr>
          <w:rFonts w:eastAsiaTheme="minorHAnsi"/>
          <w:lang w:val="en-GB"/>
        </w:rPr>
        <w:t xml:space="preserve">IMARC </w:t>
      </w:r>
      <w:r>
        <w:rPr>
          <w:rFonts w:eastAsiaTheme="minorHAnsi"/>
          <w:lang w:val="en-GB"/>
        </w:rPr>
        <w:t>Group,</w:t>
      </w:r>
      <w:r w:rsidRPr="004A6259">
        <w:rPr>
          <w:rFonts w:eastAsiaTheme="minorHAnsi"/>
          <w:lang w:val="en-GB"/>
        </w:rPr>
        <w:t xml:space="preserve"> </w:t>
      </w:r>
      <w:r w:rsidRPr="00AE7298">
        <w:rPr>
          <w:rFonts w:eastAsiaTheme="minorHAnsi"/>
          <w:i/>
          <w:iCs/>
          <w:lang w:val="en-GB"/>
        </w:rPr>
        <w:t>Feminine Hygiene Products Market: Global Industry Trends, Share, Size, Growth, Opportunity and Forecast 2020–2025</w:t>
      </w:r>
      <w:r>
        <w:rPr>
          <w:rFonts w:eastAsiaTheme="minorHAnsi"/>
          <w:lang w:val="en-GB"/>
        </w:rPr>
        <w:t xml:space="preserve">, </w:t>
      </w:r>
      <w:r>
        <w:rPr>
          <w:rStyle w:val="Hyperlink"/>
          <w:color w:val="auto"/>
          <w:u w:val="none"/>
          <w:lang w:val="en-GB"/>
        </w:rPr>
        <w:t>accessed</w:t>
      </w:r>
      <w:r w:rsidRPr="004A6259">
        <w:rPr>
          <w:rFonts w:eastAsiaTheme="minorHAnsi"/>
          <w:lang w:val="en-GB"/>
        </w:rPr>
        <w:t xml:space="preserve"> April 24, 2020</w:t>
      </w:r>
      <w:r>
        <w:rPr>
          <w:rFonts w:eastAsiaTheme="minorHAnsi"/>
          <w:lang w:val="en-GB"/>
        </w:rPr>
        <w:t xml:space="preserve">, </w:t>
      </w:r>
      <w:hyperlink r:id="rId1" w:history="1">
        <w:r w:rsidRPr="004A6259">
          <w:rPr>
            <w:rStyle w:val="Hyperlink"/>
            <w:color w:val="auto"/>
            <w:u w:val="none"/>
            <w:lang w:val="en-GB"/>
          </w:rPr>
          <w:t>https://www.imarcgroup.com/feminine-hygiene-products-market</w:t>
        </w:r>
      </w:hyperlink>
      <w:r w:rsidRPr="004A6259">
        <w:rPr>
          <w:rStyle w:val="Hyperlink"/>
          <w:color w:val="auto"/>
          <w:u w:val="none"/>
          <w:lang w:val="en-GB"/>
        </w:rPr>
        <w:t xml:space="preserve">. </w:t>
      </w:r>
      <w:bookmarkEnd w:id="2"/>
    </w:p>
  </w:endnote>
  <w:endnote w:id="4">
    <w:p w14:paraId="511F4563" w14:textId="52986F16"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w:t>
      </w:r>
      <w:proofErr w:type="spellStart"/>
      <w:r w:rsidRPr="004A6259">
        <w:rPr>
          <w:lang w:val="en-GB"/>
        </w:rPr>
        <w:t>Technavio</w:t>
      </w:r>
      <w:proofErr w:type="spellEnd"/>
      <w:r>
        <w:rPr>
          <w:lang w:val="en-GB"/>
        </w:rPr>
        <w:t xml:space="preserve">, </w:t>
      </w:r>
      <w:r w:rsidRPr="00AE7298">
        <w:rPr>
          <w:i/>
          <w:iCs/>
          <w:lang w:val="en-GB"/>
        </w:rPr>
        <w:t>Global Feminine Hygiene Products Market 2017–2021</w:t>
      </w:r>
      <w:r>
        <w:rPr>
          <w:lang w:val="en-GB"/>
        </w:rPr>
        <w:t xml:space="preserve">, March 2017, accessed April 24, 2020, </w:t>
      </w:r>
      <w:hyperlink r:id="rId2" w:anchor="?tnplus" w:history="1">
        <w:r w:rsidRPr="004A6259">
          <w:rPr>
            <w:rStyle w:val="Hyperlink"/>
            <w:color w:val="auto"/>
            <w:u w:val="none"/>
            <w:lang w:val="en-GB"/>
          </w:rPr>
          <w:t>https://www.technavio.com/report/global-health-and-wellness-global-feminine-hygiene-products-market-2017-2021#?tnplus</w:t>
        </w:r>
      </w:hyperlink>
      <w:r w:rsidRPr="004A6259">
        <w:rPr>
          <w:rStyle w:val="Hyperlink"/>
          <w:color w:val="auto"/>
          <w:u w:val="none"/>
          <w:lang w:val="en-GB"/>
        </w:rPr>
        <w:t>.</w:t>
      </w:r>
    </w:p>
  </w:endnote>
  <w:endnote w:id="5">
    <w:p w14:paraId="37B5BDBC" w14:textId="145B26D9"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Ibid</w:t>
      </w:r>
      <w:r>
        <w:rPr>
          <w:lang w:val="en-GB"/>
        </w:rPr>
        <w:t>.</w:t>
      </w:r>
    </w:p>
  </w:endnote>
  <w:endnote w:id="6">
    <w:p w14:paraId="523C95CF" w14:textId="30BF3D80"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Ibid</w:t>
      </w:r>
      <w:r>
        <w:rPr>
          <w:lang w:val="en-GB"/>
        </w:rPr>
        <w:t>.</w:t>
      </w:r>
      <w:r w:rsidRPr="002811F4">
        <w:rPr>
          <w:lang w:val="en-GB"/>
        </w:rPr>
        <w:t xml:space="preserve"> </w:t>
      </w:r>
    </w:p>
  </w:endnote>
  <w:endnote w:id="7">
    <w:p w14:paraId="794C0F18" w14:textId="29D32EBE"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Ibid</w:t>
      </w:r>
      <w:r>
        <w:rPr>
          <w:lang w:val="en-GB"/>
        </w:rPr>
        <w:t>.</w:t>
      </w:r>
      <w:r w:rsidRPr="002811F4">
        <w:rPr>
          <w:lang w:val="en-GB"/>
        </w:rPr>
        <w:t xml:space="preserve"> </w:t>
      </w:r>
    </w:p>
  </w:endnote>
  <w:endnote w:id="8">
    <w:p w14:paraId="61CF38C9" w14:textId="25B4FC93" w:rsidR="003434E6" w:rsidRPr="006E7D76" w:rsidRDefault="003434E6" w:rsidP="006E7D76">
      <w:pPr>
        <w:pStyle w:val="Footnote"/>
        <w:rPr>
          <w:lang w:val="en-IN"/>
        </w:rPr>
      </w:pPr>
      <w:r>
        <w:rPr>
          <w:rStyle w:val="EndnoteReference"/>
        </w:rPr>
        <w:endnoteRef/>
      </w:r>
      <w:r>
        <w:t xml:space="preserve"> </w:t>
      </w:r>
      <w:r w:rsidRPr="00D47ACC">
        <w:rPr>
          <w:lang w:val="en-GB"/>
        </w:rPr>
        <w:t>Aishwarya Upadhyay</w:t>
      </w:r>
      <w:r>
        <w:rPr>
          <w:lang w:val="en-GB"/>
        </w:rPr>
        <w:t>,</w:t>
      </w:r>
      <w:r w:rsidRPr="00D47ACC">
        <w:rPr>
          <w:lang w:val="en-GB"/>
        </w:rPr>
        <w:t xml:space="preserve"> </w:t>
      </w:r>
      <w:r>
        <w:rPr>
          <w:lang w:val="en-GB"/>
        </w:rPr>
        <w:t>“</w:t>
      </w:r>
      <w:r w:rsidRPr="00D47ACC">
        <w:rPr>
          <w:lang w:val="en-GB"/>
        </w:rPr>
        <w:t xml:space="preserve">Menstrual Hygiene Day Facts: Only 36 Percent of the Women in India Use Sanitary Pads </w:t>
      </w:r>
      <w:r>
        <w:rPr>
          <w:lang w:val="en-GB"/>
        </w:rPr>
        <w:t>d</w:t>
      </w:r>
      <w:r w:rsidRPr="00D47ACC">
        <w:rPr>
          <w:lang w:val="en-GB"/>
        </w:rPr>
        <w:t>uring Periods</w:t>
      </w:r>
      <w:r>
        <w:rPr>
          <w:lang w:val="en-GB"/>
        </w:rPr>
        <w:t xml:space="preserve">,” </w:t>
      </w:r>
      <w:r w:rsidRPr="00DC0776">
        <w:rPr>
          <w:lang w:val="en-GB"/>
        </w:rPr>
        <w:t>NDTV-Dettol Banega Swachh India</w:t>
      </w:r>
      <w:r>
        <w:rPr>
          <w:lang w:val="en-GB"/>
        </w:rPr>
        <w:t>, May 29, 2019,</w:t>
      </w:r>
      <w:r w:rsidRPr="004A6259">
        <w:rPr>
          <w:lang w:val="en-GB"/>
        </w:rPr>
        <w:t xml:space="preserve"> </w:t>
      </w:r>
      <w:r>
        <w:rPr>
          <w:lang w:val="en-GB"/>
        </w:rPr>
        <w:t xml:space="preserve">accessed April 24, 2020, </w:t>
      </w:r>
      <w:hyperlink r:id="rId3" w:history="1">
        <w:r w:rsidRPr="004A6259">
          <w:rPr>
            <w:rStyle w:val="Hyperlink"/>
            <w:color w:val="auto"/>
            <w:u w:val="none"/>
            <w:lang w:val="en-GB"/>
          </w:rPr>
          <w:t>https://swachhindia.ndtv.com/menstrual-hygiene-day-facts-26-percent-use-sanitary-pads-periods-34309/</w:t>
        </w:r>
      </w:hyperlink>
      <w:r w:rsidRPr="004A6259">
        <w:rPr>
          <w:rStyle w:val="Hyperlink"/>
          <w:color w:val="auto"/>
          <w:u w:val="none"/>
          <w:lang w:val="en-GB"/>
        </w:rPr>
        <w:t>.</w:t>
      </w:r>
    </w:p>
  </w:endnote>
  <w:endnote w:id="9">
    <w:p w14:paraId="75EC174F" w14:textId="0CFB5339" w:rsidR="003434E6" w:rsidRPr="004A6259" w:rsidRDefault="003434E6" w:rsidP="006E7D76">
      <w:pPr>
        <w:pStyle w:val="Footnote"/>
        <w:rPr>
          <w:lang w:val="en-GB"/>
        </w:rPr>
      </w:pPr>
      <w:r w:rsidRPr="004A6259">
        <w:rPr>
          <w:rStyle w:val="EndnoteReference"/>
          <w:lang w:val="en-GB"/>
        </w:rPr>
        <w:endnoteRef/>
      </w:r>
      <w:r w:rsidRPr="004A6259">
        <w:rPr>
          <w:lang w:val="en-GB"/>
        </w:rPr>
        <w:t xml:space="preserve"> </w:t>
      </w:r>
      <w:bookmarkStart w:id="3" w:name="_Hlk55917932"/>
      <w:r>
        <w:t xml:space="preserve">International Institute for Population Sciences, </w:t>
      </w:r>
      <w:r w:rsidRPr="00402298">
        <w:rPr>
          <w:i/>
        </w:rPr>
        <w:t>National Family Health Survey (NFHS-4), 2015-16</w:t>
      </w:r>
      <w:r>
        <w:rPr>
          <w:i/>
        </w:rPr>
        <w:t>:</w:t>
      </w:r>
      <w:r>
        <w:t xml:space="preserve"> </w:t>
      </w:r>
      <w:r w:rsidRPr="00402298">
        <w:rPr>
          <w:i/>
        </w:rPr>
        <w:t>India</w:t>
      </w:r>
      <w:r>
        <w:t>, Government of India, Ministry of Health and Family Welfare, 98</w:t>
      </w:r>
      <w:bookmarkEnd w:id="3"/>
      <w:r>
        <w:t>, December 2017.</w:t>
      </w:r>
    </w:p>
  </w:endnote>
  <w:endnote w:id="10">
    <w:p w14:paraId="7D471AD2" w14:textId="41AB9CB1"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w:t>
      </w:r>
      <w:bookmarkStart w:id="4" w:name="_Hlk55917963"/>
      <w:r w:rsidRPr="004A6259">
        <w:rPr>
          <w:lang w:val="en-GB"/>
        </w:rPr>
        <w:t>Dasra</w:t>
      </w:r>
      <w:r>
        <w:rPr>
          <w:lang w:val="en-GB"/>
        </w:rPr>
        <w:t>,</w:t>
      </w:r>
      <w:r w:rsidRPr="004A6259">
        <w:rPr>
          <w:lang w:val="en-GB"/>
        </w:rPr>
        <w:t xml:space="preserve"> </w:t>
      </w:r>
      <w:r w:rsidRPr="00AE7298">
        <w:rPr>
          <w:i/>
          <w:iCs/>
          <w:lang w:val="en-GB"/>
        </w:rPr>
        <w:t>Spot On! Improving Menstrual Health and Hygiene in India</w:t>
      </w:r>
      <w:r>
        <w:rPr>
          <w:lang w:val="en-GB"/>
        </w:rPr>
        <w:t xml:space="preserve">, accessed April 24, 2020, </w:t>
      </w:r>
      <w:hyperlink r:id="rId4" w:history="1">
        <w:r w:rsidRPr="004A6259">
          <w:rPr>
            <w:rStyle w:val="Hyperlink"/>
            <w:color w:val="auto"/>
            <w:u w:val="none"/>
            <w:lang w:val="en-GB"/>
          </w:rPr>
          <w:t>https://www.dasra.org/assets/uploads/resources/Spot%20On%20</w:t>
        </w:r>
        <w:r>
          <w:rPr>
            <w:rStyle w:val="Hyperlink"/>
            <w:color w:val="auto"/>
            <w:u w:val="none"/>
            <w:lang w:val="en-GB"/>
          </w:rPr>
          <w:t>-</w:t>
        </w:r>
        <w:r w:rsidRPr="004A6259">
          <w:rPr>
            <w:rStyle w:val="Hyperlink"/>
            <w:color w:val="auto"/>
            <w:u w:val="none"/>
            <w:lang w:val="en-GB"/>
          </w:rPr>
          <w:t>%20Improving%20Menstrual%20Management%20in%20India.pdf</w:t>
        </w:r>
      </w:hyperlink>
      <w:r w:rsidRPr="004A6259">
        <w:rPr>
          <w:rStyle w:val="Hyperlink"/>
          <w:color w:val="auto"/>
          <w:u w:val="none"/>
          <w:lang w:val="en-GB"/>
        </w:rPr>
        <w:t>.</w:t>
      </w:r>
      <w:r w:rsidRPr="004A6259">
        <w:rPr>
          <w:lang w:val="en-GB"/>
        </w:rPr>
        <w:t xml:space="preserve"> </w:t>
      </w:r>
      <w:bookmarkEnd w:id="4"/>
    </w:p>
  </w:endnote>
  <w:endnote w:id="11">
    <w:p w14:paraId="2BDCE480" w14:textId="49EEDF42"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w:t>
      </w:r>
      <w:r>
        <w:rPr>
          <w:lang w:val="en-GB"/>
        </w:rPr>
        <w:t xml:space="preserve">Pragya </w:t>
      </w:r>
      <w:r w:rsidRPr="004A6259">
        <w:rPr>
          <w:lang w:val="en-GB"/>
        </w:rPr>
        <w:t>Sood</w:t>
      </w:r>
      <w:r>
        <w:rPr>
          <w:lang w:val="en-GB"/>
        </w:rPr>
        <w:t>, “</w:t>
      </w:r>
      <w:r w:rsidRPr="00375F61">
        <w:rPr>
          <w:lang w:val="en-GB"/>
        </w:rPr>
        <w:t>Only 18% Women in India Have Access to Sanitary Hygiene in India</w:t>
      </w:r>
      <w:r>
        <w:rPr>
          <w:lang w:val="en-GB"/>
        </w:rPr>
        <w:t xml:space="preserve">,” </w:t>
      </w:r>
      <w:r w:rsidRPr="00AE7298">
        <w:rPr>
          <w:i/>
          <w:iCs/>
          <w:lang w:val="en-GB"/>
        </w:rPr>
        <w:t>Times of India</w:t>
      </w:r>
      <w:r>
        <w:rPr>
          <w:lang w:val="en-GB"/>
        </w:rPr>
        <w:t xml:space="preserve">, </w:t>
      </w:r>
      <w:r>
        <w:rPr>
          <w:rFonts w:eastAsiaTheme="minorHAnsi"/>
          <w:lang w:val="en-GB"/>
        </w:rPr>
        <w:t xml:space="preserve">accessed </w:t>
      </w:r>
      <w:r w:rsidRPr="004A6259">
        <w:rPr>
          <w:rFonts w:eastAsiaTheme="minorHAnsi"/>
          <w:lang w:val="en-GB"/>
        </w:rPr>
        <w:t>April 24, 2020</w:t>
      </w:r>
      <w:r>
        <w:rPr>
          <w:rFonts w:eastAsiaTheme="minorHAnsi"/>
          <w:lang w:val="en-GB"/>
        </w:rPr>
        <w:t xml:space="preserve">, </w:t>
      </w:r>
      <w:hyperlink r:id="rId5" w:history="1">
        <w:r w:rsidRPr="004A6259">
          <w:rPr>
            <w:rStyle w:val="Hyperlink"/>
            <w:color w:val="auto"/>
            <w:u w:val="none"/>
            <w:lang w:val="en-GB"/>
          </w:rPr>
          <w:t>https://timesofindia.indiatimes.com/life-style/health-fitness/health-news/only-18-women-in-india-have-access-to-sanitary-hygiene-in-india/articleshow/64931350.cms</w:t>
        </w:r>
      </w:hyperlink>
      <w:r w:rsidRPr="004A6259">
        <w:rPr>
          <w:rStyle w:val="Hyperlink"/>
          <w:color w:val="auto"/>
          <w:u w:val="none"/>
          <w:lang w:val="en-GB"/>
        </w:rPr>
        <w:t>.</w:t>
      </w:r>
      <w:r w:rsidRPr="004A6259">
        <w:rPr>
          <w:lang w:val="en-GB"/>
        </w:rPr>
        <w:t xml:space="preserve"> </w:t>
      </w:r>
    </w:p>
  </w:endnote>
  <w:endnote w:id="12">
    <w:p w14:paraId="5436BFDE" w14:textId="53AE6722" w:rsidR="003434E6" w:rsidRPr="004A6259" w:rsidRDefault="003434E6" w:rsidP="00B955A7">
      <w:pPr>
        <w:pStyle w:val="Footnote"/>
        <w:rPr>
          <w:shd w:val="clear" w:color="auto" w:fill="FFFFFF"/>
          <w:lang w:val="en-GB"/>
        </w:rPr>
      </w:pPr>
      <w:r w:rsidRPr="004A6259">
        <w:rPr>
          <w:rStyle w:val="EndnoteReference"/>
          <w:lang w:val="en-GB"/>
        </w:rPr>
        <w:endnoteRef/>
      </w:r>
      <w:r w:rsidRPr="004A6259">
        <w:rPr>
          <w:lang w:val="en-GB"/>
        </w:rPr>
        <w:t xml:space="preserve"> </w:t>
      </w:r>
      <w:bookmarkStart w:id="5" w:name="_Hlk55918098"/>
      <w:r w:rsidRPr="0091414E">
        <w:rPr>
          <w:lang w:val="en-GB"/>
        </w:rPr>
        <w:t>Tanvi Nitin Deshpande</w:t>
      </w:r>
      <w:r w:rsidRPr="0091414E" w:rsidDel="0091414E">
        <w:rPr>
          <w:lang w:val="en-GB"/>
        </w:rPr>
        <w:t xml:space="preserve"> </w:t>
      </w:r>
      <w:r>
        <w:rPr>
          <w:lang w:val="en-GB"/>
        </w:rPr>
        <w:t>et al., “</w:t>
      </w:r>
      <w:r w:rsidRPr="0091414E">
        <w:rPr>
          <w:shd w:val="clear" w:color="auto" w:fill="FFFFFF"/>
          <w:lang w:val="en-GB"/>
        </w:rPr>
        <w:t>Menstrual Hygiene among Adolescent Girls – a Study from Urban Slum Area</w:t>
      </w:r>
      <w:r>
        <w:rPr>
          <w:shd w:val="clear" w:color="auto" w:fill="FFFFFF"/>
          <w:lang w:val="en-GB"/>
        </w:rPr>
        <w:t>,”</w:t>
      </w:r>
      <w:r w:rsidRPr="0091414E" w:rsidDel="0091414E">
        <w:rPr>
          <w:shd w:val="clear" w:color="auto" w:fill="FFFFFF"/>
          <w:lang w:val="en-GB"/>
        </w:rPr>
        <w:t xml:space="preserve"> </w:t>
      </w:r>
      <w:r w:rsidRPr="00AE7298">
        <w:rPr>
          <w:i/>
          <w:shd w:val="clear" w:color="auto" w:fill="FFFFFF"/>
          <w:lang w:val="en-GB"/>
        </w:rPr>
        <w:t>Journal of Family Medicine and Primary Care</w:t>
      </w:r>
      <w:r w:rsidRPr="004A6259">
        <w:rPr>
          <w:shd w:val="clear" w:color="auto" w:fill="FFFFFF"/>
          <w:lang w:val="en-GB"/>
        </w:rPr>
        <w:t xml:space="preserve"> 7, no. 6, </w:t>
      </w:r>
      <w:r>
        <w:rPr>
          <w:shd w:val="clear" w:color="auto" w:fill="FFFFFF"/>
          <w:lang w:val="en-GB"/>
        </w:rPr>
        <w:t xml:space="preserve">(2018): </w:t>
      </w:r>
      <w:r w:rsidRPr="004A6259">
        <w:rPr>
          <w:shd w:val="clear" w:color="auto" w:fill="FFFFFF"/>
          <w:lang w:val="en-GB"/>
        </w:rPr>
        <w:t>1439</w:t>
      </w:r>
      <w:r>
        <w:rPr>
          <w:shd w:val="clear" w:color="auto" w:fill="FFFFFF"/>
          <w:lang w:val="en-GB"/>
        </w:rPr>
        <w:t>–</w:t>
      </w:r>
      <w:r w:rsidRPr="004A6259">
        <w:rPr>
          <w:shd w:val="clear" w:color="auto" w:fill="FFFFFF"/>
          <w:lang w:val="en-GB"/>
        </w:rPr>
        <w:t>1445.</w:t>
      </w:r>
      <w:bookmarkEnd w:id="5"/>
    </w:p>
  </w:endnote>
  <w:endnote w:id="13">
    <w:p w14:paraId="536B786C" w14:textId="35B15275"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Ibid</w:t>
      </w:r>
      <w:r>
        <w:rPr>
          <w:lang w:val="en-GB"/>
        </w:rPr>
        <w:t>.</w:t>
      </w:r>
    </w:p>
  </w:endnote>
  <w:endnote w:id="14">
    <w:p w14:paraId="5CF799BB" w14:textId="0857FBA0"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w:t>
      </w:r>
      <w:r w:rsidRPr="00097C68">
        <w:rPr>
          <w:lang w:val="en-GB"/>
        </w:rPr>
        <w:t>Sadaf Shaikh</w:t>
      </w:r>
      <w:r>
        <w:rPr>
          <w:lang w:val="en-GB"/>
        </w:rPr>
        <w:t>, “</w:t>
      </w:r>
      <w:r w:rsidRPr="00097C68">
        <w:rPr>
          <w:lang w:val="en-GB"/>
        </w:rPr>
        <w:t>7 Brands That Are Reinventing the Sanitary Napkin</w:t>
      </w:r>
      <w:r>
        <w:rPr>
          <w:lang w:val="en-GB"/>
        </w:rPr>
        <w:t xml:space="preserve">,” </w:t>
      </w:r>
      <w:r w:rsidRPr="00AE7298">
        <w:rPr>
          <w:i/>
          <w:iCs/>
          <w:lang w:val="en-GB"/>
        </w:rPr>
        <w:t>Verve</w:t>
      </w:r>
      <w:r>
        <w:rPr>
          <w:lang w:val="en-GB"/>
        </w:rPr>
        <w:t xml:space="preserve">, accessed April 24, 2020, </w:t>
      </w:r>
      <w:hyperlink r:id="rId6" w:history="1">
        <w:r w:rsidRPr="004A6259">
          <w:rPr>
            <w:rStyle w:val="Hyperlink"/>
            <w:color w:val="auto"/>
            <w:u w:val="none"/>
            <w:lang w:val="en-GB"/>
          </w:rPr>
          <w:t>https://www.vervemagazine.in/fashion-and-beauty/7-brands-that-are-reinventing-the-sanitary-napkin</w:t>
        </w:r>
      </w:hyperlink>
      <w:r w:rsidRPr="004A6259">
        <w:rPr>
          <w:lang w:val="en-GB"/>
        </w:rPr>
        <w:t>.</w:t>
      </w:r>
    </w:p>
  </w:endnote>
  <w:endnote w:id="15">
    <w:p w14:paraId="21D17440" w14:textId="2CC4CA4F"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w:t>
      </w:r>
      <w:r>
        <w:rPr>
          <w:lang w:val="en-GB"/>
        </w:rPr>
        <w:t xml:space="preserve">Tanvi </w:t>
      </w:r>
      <w:r w:rsidRPr="004A6259">
        <w:rPr>
          <w:lang w:val="en-GB"/>
        </w:rPr>
        <w:t>Patel</w:t>
      </w:r>
      <w:r>
        <w:rPr>
          <w:lang w:val="en-GB"/>
        </w:rPr>
        <w:t>, “</w:t>
      </w:r>
      <w:r w:rsidRPr="00097C68">
        <w:rPr>
          <w:lang w:val="en-GB"/>
        </w:rPr>
        <w:t>Don’t Hide It. Period: Time to Carry Your Sanitary Napkins in Style!</w:t>
      </w:r>
      <w:r>
        <w:rPr>
          <w:lang w:val="en-GB"/>
        </w:rPr>
        <w:t xml:space="preserve">,” The Better India, February 1, 2018, accessed July 31, 2020, </w:t>
      </w:r>
      <w:hyperlink r:id="rId7" w:history="1">
        <w:r w:rsidRPr="004A6259">
          <w:rPr>
            <w:rStyle w:val="Hyperlink"/>
            <w:color w:val="auto"/>
            <w:u w:val="none"/>
            <w:lang w:val="en-GB"/>
          </w:rPr>
          <w:t>https://www.thebetterindia.com/131162/dont-hide-it-sanitary-napkins/</w:t>
        </w:r>
      </w:hyperlink>
      <w:r w:rsidRPr="004A6259">
        <w:rPr>
          <w:lang w:val="en-GB"/>
        </w:rPr>
        <w:t xml:space="preserve">. </w:t>
      </w:r>
    </w:p>
  </w:endnote>
  <w:endnote w:id="16">
    <w:p w14:paraId="44F9FCA6" w14:textId="5F441D04" w:rsidR="003434E6" w:rsidRPr="004A6259" w:rsidRDefault="003434E6" w:rsidP="007E3A18">
      <w:pPr>
        <w:pStyle w:val="Footnote"/>
        <w:rPr>
          <w:lang w:val="en-GB"/>
        </w:rPr>
      </w:pPr>
      <w:r w:rsidRPr="004A6259">
        <w:rPr>
          <w:rStyle w:val="EndnoteReference"/>
          <w:lang w:val="en-GB"/>
        </w:rPr>
        <w:endnoteRef/>
      </w:r>
      <w:r w:rsidRPr="004A6259">
        <w:rPr>
          <w:lang w:val="en-GB"/>
        </w:rPr>
        <w:t xml:space="preserve"> </w:t>
      </w:r>
      <w:bookmarkStart w:id="6" w:name="_Hlk55983776"/>
      <w:r>
        <w:rPr>
          <w:lang w:val="en-GB"/>
        </w:rPr>
        <w:t>“</w:t>
      </w:r>
      <w:r w:rsidRPr="00AE7298">
        <w:rPr>
          <w:iCs/>
          <w:lang w:val="en-GB"/>
        </w:rPr>
        <w:t>Women Self-Help Groups to Promote Sanitary Habits</w:t>
      </w:r>
      <w:r>
        <w:rPr>
          <w:iCs/>
          <w:lang w:val="en-GB"/>
        </w:rPr>
        <w:t xml:space="preserve">,” </w:t>
      </w:r>
      <w:r w:rsidRPr="00AE7298">
        <w:rPr>
          <w:i/>
          <w:lang w:val="en-GB"/>
        </w:rPr>
        <w:t>Statesman</w:t>
      </w:r>
      <w:r>
        <w:rPr>
          <w:iCs/>
          <w:lang w:val="en-GB"/>
        </w:rPr>
        <w:t xml:space="preserve">, September 7, 2018, accessed April 24, 2020, </w:t>
      </w:r>
      <w:hyperlink r:id="rId8" w:history="1">
        <w:r w:rsidRPr="00D00C0C">
          <w:rPr>
            <w:rStyle w:val="Hyperlink"/>
            <w:iCs/>
            <w:color w:val="auto"/>
            <w:u w:val="none"/>
            <w:lang w:val="en-GB"/>
          </w:rPr>
          <w:t>https://www.thestatesman.com/cities/women-self-help-groups-to-promote-sanitary-habits-1502685513.html</w:t>
        </w:r>
      </w:hyperlink>
      <w:r w:rsidRPr="004A6259">
        <w:rPr>
          <w:rStyle w:val="Hyperlink"/>
          <w:color w:val="auto"/>
          <w:u w:val="none"/>
          <w:lang w:val="en-GB"/>
        </w:rPr>
        <w:t>.</w:t>
      </w:r>
      <w:bookmarkEnd w:id="6"/>
    </w:p>
  </w:endnote>
  <w:endnote w:id="17">
    <w:p w14:paraId="004C851B" w14:textId="7E003F69"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w:t>
      </w:r>
      <w:r>
        <w:rPr>
          <w:lang w:val="en-GB"/>
        </w:rPr>
        <w:t xml:space="preserve">The Hindi phrase </w:t>
      </w:r>
      <w:r w:rsidRPr="00AE7298">
        <w:rPr>
          <w:i/>
          <w:iCs/>
          <w:lang w:val="en-GB"/>
        </w:rPr>
        <w:t>Swachh India, Swasth India</w:t>
      </w:r>
      <w:r>
        <w:rPr>
          <w:lang w:val="en-GB"/>
        </w:rPr>
        <w:t xml:space="preserve"> meant </w:t>
      </w:r>
      <w:r w:rsidRPr="004A6259">
        <w:rPr>
          <w:lang w:val="en-GB"/>
        </w:rPr>
        <w:t>“Clean India, Healthy India</w:t>
      </w:r>
      <w:r>
        <w:rPr>
          <w:lang w:val="en-GB"/>
        </w:rPr>
        <w:t>.</w:t>
      </w:r>
      <w:r w:rsidRPr="004A6259">
        <w:rPr>
          <w:lang w:val="en-GB"/>
        </w:rPr>
        <w:t>”</w:t>
      </w:r>
    </w:p>
  </w:endnote>
  <w:endnote w:id="18">
    <w:p w14:paraId="129B0233" w14:textId="07B9DC57" w:rsidR="003434E6" w:rsidRPr="003D7D8A" w:rsidRDefault="003434E6" w:rsidP="006E7D76">
      <w:pPr>
        <w:pStyle w:val="Footnote"/>
        <w:rPr>
          <w:spacing w:val="-4"/>
        </w:rPr>
      </w:pPr>
      <w:r w:rsidRPr="003D7D8A">
        <w:rPr>
          <w:spacing w:val="-4"/>
          <w:vertAlign w:val="superscript"/>
        </w:rPr>
        <w:endnoteRef/>
      </w:r>
      <w:r w:rsidRPr="003D7D8A">
        <w:rPr>
          <w:spacing w:val="-4"/>
        </w:rPr>
        <w:t xml:space="preserve"> “Project to Supply Santiary Napkins to Girl Students in Five Mandals,” </w:t>
      </w:r>
      <w:r w:rsidRPr="003D7D8A">
        <w:rPr>
          <w:i/>
          <w:spacing w:val="-4"/>
        </w:rPr>
        <w:t>The Hindu</w:t>
      </w:r>
      <w:r w:rsidRPr="003D7D8A">
        <w:rPr>
          <w:spacing w:val="-4"/>
        </w:rPr>
        <w:t xml:space="preserve">, July 4, 2019, accessed April 24, 2020, </w:t>
      </w:r>
      <w:r w:rsidRPr="003D7D8A">
        <w:rPr>
          <w:rStyle w:val="Hyperlink"/>
          <w:color w:val="auto"/>
          <w:spacing w:val="-4"/>
          <w:u w:val="none"/>
        </w:rPr>
        <w:t>www.thehindu.com/news/cities/Hyderabad/project-to-supply-sanitary-napkins-to-girl-students-in-five-mandals/article28287376.ece.</w:t>
      </w:r>
    </w:p>
  </w:endnote>
  <w:endnote w:id="19">
    <w:p w14:paraId="5FB02A81" w14:textId="41D9A7AB"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w:t>
      </w:r>
      <w:bookmarkStart w:id="7" w:name="_Hlk55983883"/>
      <w:bookmarkStart w:id="8" w:name="_Hlk55738182"/>
      <w:r w:rsidRPr="007F4098">
        <w:rPr>
          <w:lang w:val="en-GB"/>
        </w:rPr>
        <w:t>Virendra Pandit</w:t>
      </w:r>
      <w:r>
        <w:rPr>
          <w:lang w:val="en-GB"/>
        </w:rPr>
        <w:t>, “</w:t>
      </w:r>
      <w:r w:rsidRPr="007F4098">
        <w:rPr>
          <w:lang w:val="en-GB"/>
        </w:rPr>
        <w:t>Sanitary Napkins: Nine Movement to More than Double Production Capacity in Uttar Pradesh</w:t>
      </w:r>
      <w:r>
        <w:rPr>
          <w:lang w:val="en-GB"/>
        </w:rPr>
        <w:t xml:space="preserve">,” </w:t>
      </w:r>
      <w:r w:rsidRPr="00AE7298">
        <w:rPr>
          <w:i/>
          <w:iCs/>
          <w:lang w:val="en-GB"/>
        </w:rPr>
        <w:t>Hindu BusinessLine</w:t>
      </w:r>
      <w:r>
        <w:rPr>
          <w:lang w:val="en-GB"/>
        </w:rPr>
        <w:t xml:space="preserve">, August 25, 2018, accessed April 24, 2020, </w:t>
      </w:r>
      <w:hyperlink r:id="rId9" w:history="1">
        <w:r w:rsidRPr="004A6259">
          <w:rPr>
            <w:rStyle w:val="Hyperlink"/>
            <w:color w:val="auto"/>
            <w:u w:val="none"/>
            <w:lang w:val="en-GB"/>
          </w:rPr>
          <w:t>https://www.thehindubusinessline.com/companies/sanitary-napkins-niine-movement-to-more-than-double-production-capacity-in-uttar-pradesh/article24778708.ece#</w:t>
        </w:r>
      </w:hyperlink>
      <w:r w:rsidRPr="004A6259">
        <w:rPr>
          <w:rStyle w:val="Hyperlink"/>
          <w:color w:val="auto"/>
          <w:u w:val="none"/>
          <w:lang w:val="en-GB"/>
        </w:rPr>
        <w:t>.</w:t>
      </w:r>
      <w:bookmarkEnd w:id="7"/>
      <w:r w:rsidRPr="004A6259">
        <w:rPr>
          <w:lang w:val="en-GB"/>
        </w:rPr>
        <w:t xml:space="preserve"> </w:t>
      </w:r>
      <w:bookmarkEnd w:id="8"/>
    </w:p>
  </w:endnote>
  <w:endnote w:id="20">
    <w:p w14:paraId="08E3FC46" w14:textId="56022928" w:rsidR="003434E6" w:rsidRPr="00AE7298" w:rsidRDefault="003434E6" w:rsidP="00882701">
      <w:pPr>
        <w:pStyle w:val="EndnoteText"/>
        <w:rPr>
          <w:rFonts w:ascii="Arial" w:hAnsi="Arial" w:cs="Arial"/>
          <w:sz w:val="17"/>
          <w:szCs w:val="17"/>
          <w:lang w:val="en-GB"/>
        </w:rPr>
      </w:pPr>
      <w:r w:rsidRPr="00AE7298">
        <w:rPr>
          <w:rStyle w:val="EndnoteReference"/>
          <w:rFonts w:ascii="Arial" w:hAnsi="Arial" w:cs="Arial"/>
          <w:sz w:val="17"/>
          <w:szCs w:val="17"/>
          <w:lang w:val="en-GB"/>
        </w:rPr>
        <w:endnoteRef/>
      </w:r>
      <w:r w:rsidRPr="00AE7298">
        <w:rPr>
          <w:rFonts w:ascii="Arial" w:hAnsi="Arial" w:cs="Arial"/>
          <w:sz w:val="17"/>
          <w:szCs w:val="17"/>
          <w:lang w:val="en-GB"/>
        </w:rPr>
        <w:t xml:space="preserve"> </w:t>
      </w:r>
      <w:r>
        <w:rPr>
          <w:rFonts w:ascii="Arial" w:hAnsi="Arial" w:cs="Arial"/>
          <w:sz w:val="17"/>
          <w:szCs w:val="17"/>
          <w:lang w:val="en-GB"/>
        </w:rPr>
        <w:t xml:space="preserve">Telugu was a language </w:t>
      </w:r>
      <w:r w:rsidRPr="00AE7298">
        <w:rPr>
          <w:rFonts w:ascii="Arial" w:hAnsi="Arial" w:cs="Arial"/>
          <w:sz w:val="17"/>
          <w:szCs w:val="17"/>
          <w:lang w:val="en-GB"/>
        </w:rPr>
        <w:t>spoken in Telangana (a southern state), India</w:t>
      </w:r>
      <w:r>
        <w:rPr>
          <w:rFonts w:ascii="Arial" w:hAnsi="Arial" w:cs="Arial"/>
          <w:sz w:val="17"/>
          <w:szCs w:val="17"/>
          <w:lang w:val="en-GB"/>
        </w:rPr>
        <w:t>.</w:t>
      </w:r>
      <w:r w:rsidRPr="00AE7298">
        <w:rPr>
          <w:rFonts w:ascii="Arial" w:hAnsi="Arial" w:cs="Arial"/>
          <w:sz w:val="17"/>
          <w:szCs w:val="17"/>
          <w:lang w:val="en-GB"/>
        </w:rPr>
        <w:t xml:space="preserve"> </w:t>
      </w:r>
    </w:p>
  </w:endnote>
  <w:endnote w:id="21">
    <w:p w14:paraId="045B861E" w14:textId="5F1E6F30"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w:t>
      </w:r>
      <w:r>
        <w:rPr>
          <w:lang w:val="en-GB"/>
        </w:rPr>
        <w:t>Pandit, op. cit.</w:t>
      </w:r>
    </w:p>
  </w:endnote>
  <w:endnote w:id="22">
    <w:p w14:paraId="4634DE20" w14:textId="78688CEA"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w:t>
      </w:r>
      <w:bookmarkStart w:id="9" w:name="_Hlk55917865"/>
      <w:r w:rsidRPr="00BD41D9">
        <w:rPr>
          <w:lang w:val="en-GB"/>
        </w:rPr>
        <w:t>Leah Rodriguez</w:t>
      </w:r>
      <w:r>
        <w:rPr>
          <w:lang w:val="en-GB"/>
        </w:rPr>
        <w:t>, “</w:t>
      </w:r>
      <w:r w:rsidRPr="00BD41D9">
        <w:rPr>
          <w:lang w:val="en-GB"/>
        </w:rPr>
        <w:t>The Indian Government May Soon Make Period Products More Affordable</w:t>
      </w:r>
      <w:r>
        <w:rPr>
          <w:lang w:val="en-GB"/>
        </w:rPr>
        <w:t xml:space="preserve">,” Global Citizen, August 26, 2019, accessed April 24, 2020, </w:t>
      </w:r>
      <w:hyperlink r:id="rId10" w:history="1">
        <w:r w:rsidRPr="004A6259">
          <w:rPr>
            <w:rStyle w:val="Hyperlink"/>
            <w:color w:val="auto"/>
            <w:u w:val="none"/>
            <w:lang w:val="en-GB"/>
          </w:rPr>
          <w:t>https://www.globalcitizen.org/en/content/india-to-control-prices-of-sanitary-pads/</w:t>
        </w:r>
      </w:hyperlink>
      <w:r w:rsidRPr="004A6259">
        <w:rPr>
          <w:rStyle w:val="Hyperlink"/>
          <w:color w:val="auto"/>
          <w:u w:val="none"/>
          <w:lang w:val="en-GB"/>
        </w:rPr>
        <w:t>.</w:t>
      </w:r>
      <w:bookmarkEnd w:id="9"/>
    </w:p>
  </w:endnote>
  <w:endnote w:id="23">
    <w:p w14:paraId="70257C8C" w14:textId="749375FC" w:rsidR="003434E6" w:rsidRPr="004A6259" w:rsidRDefault="003434E6" w:rsidP="009E140C">
      <w:pPr>
        <w:pStyle w:val="Footnote"/>
        <w:rPr>
          <w:b/>
          <w:lang w:val="en-GB"/>
        </w:rPr>
      </w:pPr>
      <w:r w:rsidRPr="004A6259">
        <w:rPr>
          <w:rStyle w:val="EndnoteReference"/>
          <w:lang w:val="en-GB"/>
        </w:rPr>
        <w:endnoteRef/>
      </w:r>
      <w:r w:rsidRPr="004A6259">
        <w:rPr>
          <w:lang w:val="en-GB"/>
        </w:rPr>
        <w:t xml:space="preserve"> Ibid</w:t>
      </w:r>
      <w:r>
        <w:rPr>
          <w:lang w:val="en-GB"/>
        </w:rPr>
        <w:t xml:space="preserve">. </w:t>
      </w:r>
    </w:p>
  </w:endnote>
  <w:endnote w:id="24">
    <w:p w14:paraId="5A5F2F87" w14:textId="62B7F3C4"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Ibid</w:t>
      </w:r>
      <w:r>
        <w:rPr>
          <w:lang w:val="en-GB"/>
        </w:rPr>
        <w:t xml:space="preserve">. </w:t>
      </w:r>
    </w:p>
  </w:endnote>
  <w:endnote w:id="25">
    <w:p w14:paraId="10AF3778" w14:textId="658B7DD8"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w:t>
      </w:r>
      <w:r>
        <w:rPr>
          <w:lang w:val="en-GB"/>
        </w:rPr>
        <w:t>“</w:t>
      </w:r>
      <w:r w:rsidRPr="00C35E64">
        <w:rPr>
          <w:lang w:val="en-GB"/>
        </w:rPr>
        <w:t>Peebuddy Raises Bridge Investment from Indian Angel Network</w:t>
      </w:r>
      <w:r>
        <w:rPr>
          <w:lang w:val="en-GB"/>
        </w:rPr>
        <w:t xml:space="preserve">,” </w:t>
      </w:r>
      <w:r w:rsidRPr="00AE7298">
        <w:rPr>
          <w:i/>
          <w:iCs/>
          <w:lang w:val="en-GB"/>
        </w:rPr>
        <w:t>Economic Times</w:t>
      </w:r>
      <w:r>
        <w:rPr>
          <w:lang w:val="en-GB"/>
        </w:rPr>
        <w:t>, July 2, 2019, accessed April 24, 2020,</w:t>
      </w:r>
      <w:r w:rsidRPr="004A6259">
        <w:rPr>
          <w:rStyle w:val="Hyperlink"/>
          <w:color w:val="auto"/>
          <w:u w:val="none"/>
          <w:lang w:val="en-GB"/>
        </w:rPr>
        <w:t xml:space="preserve"> </w:t>
      </w:r>
      <w:hyperlink r:id="rId11" w:history="1">
        <w:r w:rsidRPr="004A6259">
          <w:rPr>
            <w:rStyle w:val="Hyperlink"/>
            <w:color w:val="auto"/>
            <w:u w:val="none"/>
            <w:lang w:val="en-GB"/>
          </w:rPr>
          <w:t>https://economictimes.indiatimes.com/small-biz/startups/newsbuzz/peebuddy-raises-bridge-investment-from-indian-angel-network/articleshow/70037422.cms?from=mdr</w:t>
        </w:r>
      </w:hyperlink>
      <w:r>
        <w:rPr>
          <w:rStyle w:val="Hyperlink"/>
          <w:color w:val="auto"/>
          <w:u w:val="none"/>
          <w:lang w:val="en-GB"/>
        </w:rPr>
        <w:t>.</w:t>
      </w:r>
      <w:r w:rsidRPr="004A6259">
        <w:rPr>
          <w:lang w:val="en-GB"/>
        </w:rPr>
        <w:t xml:space="preserve"> </w:t>
      </w:r>
    </w:p>
  </w:endnote>
  <w:endnote w:id="26">
    <w:p w14:paraId="4E5090CE" w14:textId="650583C5" w:rsidR="003434E6" w:rsidRPr="004A6259" w:rsidRDefault="003434E6" w:rsidP="00B82FC3">
      <w:pPr>
        <w:pStyle w:val="Footnote"/>
        <w:rPr>
          <w:lang w:val="en-GB"/>
        </w:rPr>
      </w:pPr>
      <w:r w:rsidRPr="004A6259">
        <w:rPr>
          <w:rStyle w:val="EndnoteReference"/>
          <w:lang w:val="en-GB"/>
        </w:rPr>
        <w:endnoteRef/>
      </w:r>
      <w:r w:rsidRPr="004A6259">
        <w:rPr>
          <w:lang w:val="en-GB"/>
        </w:rPr>
        <w:t xml:space="preserve"> Ibid</w:t>
      </w:r>
      <w:r>
        <w:rPr>
          <w:lang w:val="en-GB"/>
        </w:rPr>
        <w:t>.</w:t>
      </w:r>
    </w:p>
  </w:endnote>
  <w:endnote w:id="27">
    <w:p w14:paraId="04A0C095" w14:textId="4B33A3F1"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Ibid</w:t>
      </w:r>
      <w:r>
        <w:rPr>
          <w:lang w:val="en-GB"/>
        </w:rPr>
        <w:t>.</w:t>
      </w:r>
    </w:p>
  </w:endnote>
  <w:endnote w:id="28">
    <w:p w14:paraId="2608BD31" w14:textId="24AE6A1E"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Ibid</w:t>
      </w:r>
      <w:r>
        <w:rPr>
          <w:lang w:val="en-GB"/>
        </w:rPr>
        <w:t>.</w:t>
      </w:r>
    </w:p>
  </w:endnote>
  <w:endnote w:id="29">
    <w:p w14:paraId="5FC51535" w14:textId="0C44B74D" w:rsidR="003434E6" w:rsidRPr="0068051E" w:rsidRDefault="003434E6" w:rsidP="0068051E">
      <w:pPr>
        <w:pStyle w:val="Footnote"/>
        <w:rPr>
          <w:lang w:val="en-IN"/>
        </w:rPr>
      </w:pPr>
      <w:r>
        <w:rPr>
          <w:rStyle w:val="EndnoteReference"/>
        </w:rPr>
        <w:endnoteRef/>
      </w:r>
      <w:r>
        <w:t xml:space="preserve"> Oxo-biodegradable plastics contain additives that cause them to break down when exposed to heat or sunlight. They will eventually be in a state where they can be digested by microorganisms. “Oxo-Biodegradable Plastics,” International Plastics, accessed December 15, 2020, </w:t>
      </w:r>
      <w:r w:rsidRPr="0068051E">
        <w:t>www.interplas.com/oxo-biodegradable-plastic</w:t>
      </w:r>
      <w:r>
        <w:t>.</w:t>
      </w:r>
    </w:p>
  </w:endnote>
  <w:endnote w:id="30">
    <w:p w14:paraId="3CE63F82" w14:textId="5229C9E1"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w:t>
      </w:r>
      <w:r>
        <w:rPr>
          <w:lang w:val="en-GB"/>
        </w:rPr>
        <w:t>The hormone hCG</w:t>
      </w:r>
      <w:r w:rsidRPr="004A6259">
        <w:rPr>
          <w:lang w:val="en-GB"/>
        </w:rPr>
        <w:t xml:space="preserve"> </w:t>
      </w:r>
      <w:r>
        <w:rPr>
          <w:lang w:val="en-GB"/>
        </w:rPr>
        <w:t>is</w:t>
      </w:r>
      <w:r w:rsidRPr="004A6259">
        <w:rPr>
          <w:shd w:val="clear" w:color="auto" w:fill="FFFFFF"/>
          <w:lang w:val="en-GB"/>
        </w:rPr>
        <w:t xml:space="preserve"> produced </w:t>
      </w:r>
      <w:r>
        <w:rPr>
          <w:shd w:val="clear" w:color="auto" w:fill="FFFFFF"/>
          <w:lang w:val="en-GB"/>
        </w:rPr>
        <w:t>during pregnancy.</w:t>
      </w:r>
    </w:p>
  </w:endnote>
  <w:endnote w:id="31">
    <w:p w14:paraId="681F20E9" w14:textId="5B84C60D"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w:t>
      </w:r>
      <w:r>
        <w:rPr>
          <w:lang w:val="en-GB"/>
        </w:rPr>
        <w:t>Press Trust of India, “</w:t>
      </w:r>
      <w:r w:rsidRPr="00226C56">
        <w:rPr>
          <w:lang w:val="en-GB"/>
        </w:rPr>
        <w:t>PeeBuddy Founder Deep Bajaj Launches PregRX, the World’s First Paper-Based Pee &amp; See Pregnancy Product</w:t>
      </w:r>
      <w:r>
        <w:rPr>
          <w:lang w:val="en-GB"/>
        </w:rPr>
        <w:t xml:space="preserve">,” Outlook, March 29, 2019, accessed April 28, 2020, </w:t>
      </w:r>
      <w:hyperlink r:id="rId12" w:history="1">
        <w:r w:rsidRPr="004A6259">
          <w:rPr>
            <w:rStyle w:val="Hyperlink"/>
            <w:color w:val="auto"/>
            <w:u w:val="none"/>
            <w:lang w:val="en-GB"/>
          </w:rPr>
          <w:t>https://www.outlookindia.com/newsscroll/peebuddy-founder-deep-bajaj-launches-pregrx-the-worlds-first-paperbased-pee--see-pregnancy-product/1505518</w:t>
        </w:r>
      </w:hyperlink>
      <w:r w:rsidRPr="004A6259">
        <w:rPr>
          <w:rStyle w:val="Hyperlink"/>
          <w:color w:val="auto"/>
          <w:u w:val="none"/>
          <w:lang w:val="en-GB"/>
        </w:rPr>
        <w:t xml:space="preserve">. </w:t>
      </w:r>
    </w:p>
  </w:endnote>
  <w:endnote w:id="32">
    <w:p w14:paraId="5E29D6C4" w14:textId="48F66168" w:rsidR="003434E6" w:rsidRPr="00AE7298" w:rsidRDefault="003434E6">
      <w:pPr>
        <w:pStyle w:val="EndnoteText"/>
        <w:rPr>
          <w:lang w:val="en-CA"/>
        </w:rPr>
      </w:pPr>
      <w:r w:rsidRPr="00AE7298">
        <w:rPr>
          <w:rStyle w:val="EndnoteReference"/>
          <w:rFonts w:ascii="Arial" w:hAnsi="Arial" w:cs="Arial"/>
          <w:sz w:val="17"/>
          <w:szCs w:val="17"/>
        </w:rPr>
        <w:endnoteRef/>
      </w:r>
      <w:r w:rsidRPr="00AE7298">
        <w:rPr>
          <w:rFonts w:ascii="Arial" w:hAnsi="Arial" w:cs="Arial"/>
          <w:sz w:val="17"/>
          <w:szCs w:val="17"/>
        </w:rPr>
        <w:t xml:space="preserve"> </w:t>
      </w:r>
      <w:r>
        <w:rPr>
          <w:rFonts w:ascii="Arial" w:hAnsi="Arial" w:cs="Arial"/>
          <w:sz w:val="17"/>
          <w:szCs w:val="17"/>
        </w:rPr>
        <w:t xml:space="preserve">Sirona Hygiene Private Limited (website), accessed </w:t>
      </w:r>
      <w:r>
        <w:rPr>
          <w:rFonts w:ascii="Arial" w:hAnsi="Arial" w:cs="Arial"/>
          <w:sz w:val="17"/>
          <w:szCs w:val="17"/>
          <w:lang w:val="en-IN"/>
        </w:rPr>
        <w:t>April 12, 2020</w:t>
      </w:r>
      <w:r>
        <w:rPr>
          <w:rFonts w:ascii="Arial" w:hAnsi="Arial" w:cs="Arial"/>
          <w:sz w:val="17"/>
          <w:szCs w:val="17"/>
        </w:rPr>
        <w:t xml:space="preserve">, </w:t>
      </w:r>
      <w:r w:rsidRPr="00AE7298">
        <w:rPr>
          <w:rFonts w:ascii="Arial" w:hAnsi="Arial" w:cs="Arial"/>
          <w:sz w:val="17"/>
          <w:szCs w:val="17"/>
          <w:lang w:val="en-GB"/>
        </w:rPr>
        <w:t>https://www.sironaindia.com/</w:t>
      </w:r>
      <w:r>
        <w:rPr>
          <w:rFonts w:ascii="Arial" w:hAnsi="Arial" w:cs="Arial"/>
          <w:sz w:val="17"/>
          <w:szCs w:val="17"/>
          <w:lang w:val="en-GB"/>
        </w:rPr>
        <w:t>.</w:t>
      </w:r>
    </w:p>
  </w:endnote>
  <w:endnote w:id="33">
    <w:p w14:paraId="53A97D75" w14:textId="1EF8CC2C"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w:t>
      </w:r>
      <w:r>
        <w:rPr>
          <w:lang w:val="en-GB"/>
        </w:rPr>
        <w:t>“</w:t>
      </w:r>
      <w:r w:rsidRPr="00253501">
        <w:rPr>
          <w:lang w:val="en-GB"/>
        </w:rPr>
        <w:t>Sirona’s New Campaign Encourages Women to ‘Rise Up with Menstrual Cups</w:t>
      </w:r>
      <w:r>
        <w:rPr>
          <w:lang w:val="en-GB"/>
        </w:rPr>
        <w:t>,</w:t>
      </w:r>
      <w:r w:rsidRPr="00253501">
        <w:rPr>
          <w:lang w:val="en-GB"/>
        </w:rPr>
        <w:t>’</w:t>
      </w:r>
      <w:r>
        <w:rPr>
          <w:lang w:val="en-GB"/>
        </w:rPr>
        <w:t xml:space="preserve">” Indian Television, February 20, 2019, accessed April 28, 2020, </w:t>
      </w:r>
      <w:hyperlink r:id="rId13" w:history="1">
        <w:r w:rsidRPr="004A6259">
          <w:rPr>
            <w:rStyle w:val="Hyperlink"/>
            <w:color w:val="auto"/>
            <w:u w:val="none"/>
            <w:lang w:val="en-GB"/>
          </w:rPr>
          <w:t>https://www.indiantelevision.com/mam/media-and-advertising/ad-campaigns/sirona-s-new-campaign-encourages-women-to-rise-up-with-menstrual-cups-190220</w:t>
        </w:r>
      </w:hyperlink>
      <w:r w:rsidRPr="004A6259">
        <w:rPr>
          <w:rStyle w:val="Hyperlink"/>
          <w:color w:val="auto"/>
          <w:u w:val="none"/>
          <w:lang w:val="en-GB"/>
        </w:rPr>
        <w:t xml:space="preserve">. </w:t>
      </w:r>
    </w:p>
  </w:endnote>
  <w:endnote w:id="34">
    <w:p w14:paraId="283ED2B0" w14:textId="2B1EA3FF"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Ibid</w:t>
      </w:r>
      <w:r>
        <w:rPr>
          <w:lang w:val="en-GB"/>
        </w:rPr>
        <w:t xml:space="preserve">. </w:t>
      </w:r>
    </w:p>
  </w:endnote>
  <w:endnote w:id="35">
    <w:p w14:paraId="0D2573F8" w14:textId="2B0C7B7C" w:rsidR="003434E6" w:rsidRPr="004A6259" w:rsidRDefault="003434E6" w:rsidP="00B955A7">
      <w:pPr>
        <w:pStyle w:val="Footnote"/>
        <w:rPr>
          <w:lang w:val="en-GB"/>
        </w:rPr>
      </w:pPr>
      <w:r w:rsidRPr="004A6259">
        <w:rPr>
          <w:rStyle w:val="EndnoteReference"/>
          <w:lang w:val="en-GB"/>
        </w:rPr>
        <w:endnoteRef/>
      </w:r>
      <w:r w:rsidRPr="004A6259">
        <w:rPr>
          <w:lang w:val="en-GB"/>
        </w:rPr>
        <w:t xml:space="preserve"> Ibid</w:t>
      </w:r>
      <w:r>
        <w:rPr>
          <w:lang w:val="en-GB"/>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C9D14" w14:textId="77777777" w:rsidR="00E273B3" w:rsidRDefault="00E273B3" w:rsidP="00D75295">
      <w:r>
        <w:separator/>
      </w:r>
    </w:p>
  </w:footnote>
  <w:footnote w:type="continuationSeparator" w:id="0">
    <w:p w14:paraId="49421DE0" w14:textId="77777777" w:rsidR="00E273B3" w:rsidRDefault="00E273B3"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48ACED40" w:rsidR="00E273B3" w:rsidRPr="00C92CC4" w:rsidRDefault="00E273B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16</w:t>
    </w:r>
    <w:r>
      <w:rPr>
        <w:rFonts w:ascii="Arial" w:hAnsi="Arial"/>
        <w:b/>
      </w:rPr>
      <w:fldChar w:fldCharType="end"/>
    </w:r>
    <w:r>
      <w:rPr>
        <w:rFonts w:ascii="Arial" w:hAnsi="Arial"/>
        <w:b/>
      </w:rPr>
      <w:tab/>
    </w:r>
    <w:r w:rsidR="007F3737">
      <w:rPr>
        <w:rFonts w:ascii="Arial" w:hAnsi="Arial"/>
        <w:b/>
      </w:rPr>
      <w:t>9B21A002</w:t>
    </w:r>
  </w:p>
  <w:p w14:paraId="2B53C0A0" w14:textId="77777777" w:rsidR="00E273B3" w:rsidRDefault="00E273B3" w:rsidP="00D13667">
    <w:pPr>
      <w:pStyle w:val="Header"/>
      <w:tabs>
        <w:tab w:val="clear" w:pos="4680"/>
      </w:tabs>
      <w:rPr>
        <w:sz w:val="18"/>
        <w:szCs w:val="18"/>
      </w:rPr>
    </w:pPr>
  </w:p>
  <w:p w14:paraId="47119730" w14:textId="77777777" w:rsidR="00E273B3" w:rsidRPr="00C92CC4" w:rsidRDefault="00E273B3"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3NDQ3NzAzM7QwszBS0lEKTi0uzszPAykwqQUAJ06kxiwAAAA="/>
  </w:docVars>
  <w:rsids>
    <w:rsidRoot w:val="008A4DC4"/>
    <w:rsid w:val="0000085A"/>
    <w:rsid w:val="000068C2"/>
    <w:rsid w:val="000077A6"/>
    <w:rsid w:val="00013360"/>
    <w:rsid w:val="00013709"/>
    <w:rsid w:val="00016759"/>
    <w:rsid w:val="0001735A"/>
    <w:rsid w:val="00017A4C"/>
    <w:rsid w:val="000216CE"/>
    <w:rsid w:val="00022203"/>
    <w:rsid w:val="00023CA7"/>
    <w:rsid w:val="00024ED4"/>
    <w:rsid w:val="00025DC7"/>
    <w:rsid w:val="00030087"/>
    <w:rsid w:val="000318FB"/>
    <w:rsid w:val="00034E91"/>
    <w:rsid w:val="00035F09"/>
    <w:rsid w:val="00037FE8"/>
    <w:rsid w:val="0004438F"/>
    <w:rsid w:val="00044ECC"/>
    <w:rsid w:val="00046591"/>
    <w:rsid w:val="00051FE2"/>
    <w:rsid w:val="000531D3"/>
    <w:rsid w:val="0005646B"/>
    <w:rsid w:val="000615D1"/>
    <w:rsid w:val="00065BF3"/>
    <w:rsid w:val="00071CED"/>
    <w:rsid w:val="0007462D"/>
    <w:rsid w:val="00076F9B"/>
    <w:rsid w:val="000806B5"/>
    <w:rsid w:val="000806D5"/>
    <w:rsid w:val="0008102D"/>
    <w:rsid w:val="000858D9"/>
    <w:rsid w:val="00086B26"/>
    <w:rsid w:val="00090793"/>
    <w:rsid w:val="00091B04"/>
    <w:rsid w:val="00092AB7"/>
    <w:rsid w:val="00094C0E"/>
    <w:rsid w:val="00095357"/>
    <w:rsid w:val="00096A3F"/>
    <w:rsid w:val="00097C68"/>
    <w:rsid w:val="00097F92"/>
    <w:rsid w:val="000A146D"/>
    <w:rsid w:val="000B6530"/>
    <w:rsid w:val="000B75C3"/>
    <w:rsid w:val="000C139A"/>
    <w:rsid w:val="000C4D68"/>
    <w:rsid w:val="000C6A3D"/>
    <w:rsid w:val="000C7E8A"/>
    <w:rsid w:val="000D2A2F"/>
    <w:rsid w:val="000D7091"/>
    <w:rsid w:val="000F0C22"/>
    <w:rsid w:val="000F4A6A"/>
    <w:rsid w:val="000F5CF6"/>
    <w:rsid w:val="000F5DEE"/>
    <w:rsid w:val="000F6A34"/>
    <w:rsid w:val="000F6B09"/>
    <w:rsid w:val="000F6FDC"/>
    <w:rsid w:val="00101E77"/>
    <w:rsid w:val="00104567"/>
    <w:rsid w:val="00104916"/>
    <w:rsid w:val="00104AA7"/>
    <w:rsid w:val="00107332"/>
    <w:rsid w:val="00111D70"/>
    <w:rsid w:val="00115A43"/>
    <w:rsid w:val="001243CD"/>
    <w:rsid w:val="00124422"/>
    <w:rsid w:val="00124E44"/>
    <w:rsid w:val="0012562A"/>
    <w:rsid w:val="00125E9B"/>
    <w:rsid w:val="0012732D"/>
    <w:rsid w:val="00130089"/>
    <w:rsid w:val="00130BD2"/>
    <w:rsid w:val="00131A92"/>
    <w:rsid w:val="00133264"/>
    <w:rsid w:val="001362C0"/>
    <w:rsid w:val="0014108E"/>
    <w:rsid w:val="00141D13"/>
    <w:rsid w:val="00142466"/>
    <w:rsid w:val="00143F25"/>
    <w:rsid w:val="00150547"/>
    <w:rsid w:val="00152682"/>
    <w:rsid w:val="00154FC9"/>
    <w:rsid w:val="00157CDE"/>
    <w:rsid w:val="001623CE"/>
    <w:rsid w:val="0016415A"/>
    <w:rsid w:val="00165C8E"/>
    <w:rsid w:val="00165EF9"/>
    <w:rsid w:val="00167817"/>
    <w:rsid w:val="0017038F"/>
    <w:rsid w:val="001726AF"/>
    <w:rsid w:val="00175078"/>
    <w:rsid w:val="00181A65"/>
    <w:rsid w:val="00181C08"/>
    <w:rsid w:val="00181DA0"/>
    <w:rsid w:val="00182170"/>
    <w:rsid w:val="0018450A"/>
    <w:rsid w:val="00185411"/>
    <w:rsid w:val="001901C0"/>
    <w:rsid w:val="0019241A"/>
    <w:rsid w:val="00192A18"/>
    <w:rsid w:val="001938B1"/>
    <w:rsid w:val="001A22D1"/>
    <w:rsid w:val="001A752D"/>
    <w:rsid w:val="001A757E"/>
    <w:rsid w:val="001A788F"/>
    <w:rsid w:val="001B1048"/>
    <w:rsid w:val="001B10B8"/>
    <w:rsid w:val="001B5032"/>
    <w:rsid w:val="001C2278"/>
    <w:rsid w:val="001C280D"/>
    <w:rsid w:val="001C4A44"/>
    <w:rsid w:val="001C4CC7"/>
    <w:rsid w:val="001C6CA0"/>
    <w:rsid w:val="001C7777"/>
    <w:rsid w:val="001D04ED"/>
    <w:rsid w:val="001D344B"/>
    <w:rsid w:val="001D5231"/>
    <w:rsid w:val="001D6F8A"/>
    <w:rsid w:val="001E0AE4"/>
    <w:rsid w:val="001E2753"/>
    <w:rsid w:val="001E364F"/>
    <w:rsid w:val="001E531A"/>
    <w:rsid w:val="001F2079"/>
    <w:rsid w:val="001F28DD"/>
    <w:rsid w:val="001F4222"/>
    <w:rsid w:val="00203AA1"/>
    <w:rsid w:val="00204645"/>
    <w:rsid w:val="002079F1"/>
    <w:rsid w:val="002115C8"/>
    <w:rsid w:val="00213E98"/>
    <w:rsid w:val="002151BA"/>
    <w:rsid w:val="002179D7"/>
    <w:rsid w:val="00221324"/>
    <w:rsid w:val="0022161E"/>
    <w:rsid w:val="0022389B"/>
    <w:rsid w:val="00226C56"/>
    <w:rsid w:val="00230150"/>
    <w:rsid w:val="0023081A"/>
    <w:rsid w:val="00230AE8"/>
    <w:rsid w:val="00232141"/>
    <w:rsid w:val="00233111"/>
    <w:rsid w:val="00240886"/>
    <w:rsid w:val="00242802"/>
    <w:rsid w:val="00243E71"/>
    <w:rsid w:val="00250756"/>
    <w:rsid w:val="00250D54"/>
    <w:rsid w:val="00253501"/>
    <w:rsid w:val="00260506"/>
    <w:rsid w:val="00263008"/>
    <w:rsid w:val="00265FA8"/>
    <w:rsid w:val="00267524"/>
    <w:rsid w:val="00267BD4"/>
    <w:rsid w:val="002811F4"/>
    <w:rsid w:val="00282643"/>
    <w:rsid w:val="00283167"/>
    <w:rsid w:val="002959B5"/>
    <w:rsid w:val="00297018"/>
    <w:rsid w:val="00297528"/>
    <w:rsid w:val="002A1838"/>
    <w:rsid w:val="002A3D72"/>
    <w:rsid w:val="002A5D10"/>
    <w:rsid w:val="002B1496"/>
    <w:rsid w:val="002B3ABF"/>
    <w:rsid w:val="002B40FF"/>
    <w:rsid w:val="002B710E"/>
    <w:rsid w:val="002C4E29"/>
    <w:rsid w:val="002D2A1E"/>
    <w:rsid w:val="002D65A9"/>
    <w:rsid w:val="002D7565"/>
    <w:rsid w:val="002E55A0"/>
    <w:rsid w:val="002F1574"/>
    <w:rsid w:val="002F29BE"/>
    <w:rsid w:val="002F460C"/>
    <w:rsid w:val="002F48D6"/>
    <w:rsid w:val="002F6031"/>
    <w:rsid w:val="0030037A"/>
    <w:rsid w:val="003059E0"/>
    <w:rsid w:val="00311BE6"/>
    <w:rsid w:val="00314584"/>
    <w:rsid w:val="00315D4A"/>
    <w:rsid w:val="00316CFF"/>
    <w:rsid w:val="00317391"/>
    <w:rsid w:val="00325302"/>
    <w:rsid w:val="003258EF"/>
    <w:rsid w:val="00326216"/>
    <w:rsid w:val="00327E9D"/>
    <w:rsid w:val="00327EC5"/>
    <w:rsid w:val="00334BA2"/>
    <w:rsid w:val="00335CAF"/>
    <w:rsid w:val="00336580"/>
    <w:rsid w:val="00337AAB"/>
    <w:rsid w:val="003434E6"/>
    <w:rsid w:val="003456FD"/>
    <w:rsid w:val="00346614"/>
    <w:rsid w:val="00353AD8"/>
    <w:rsid w:val="00354899"/>
    <w:rsid w:val="003555EE"/>
    <w:rsid w:val="00355FD6"/>
    <w:rsid w:val="003608B8"/>
    <w:rsid w:val="00361F22"/>
    <w:rsid w:val="00362708"/>
    <w:rsid w:val="00363113"/>
    <w:rsid w:val="0036317E"/>
    <w:rsid w:val="0036430A"/>
    <w:rsid w:val="00364A5C"/>
    <w:rsid w:val="0036516E"/>
    <w:rsid w:val="003664C2"/>
    <w:rsid w:val="00367893"/>
    <w:rsid w:val="003722B9"/>
    <w:rsid w:val="00373FB1"/>
    <w:rsid w:val="00375F61"/>
    <w:rsid w:val="003762C3"/>
    <w:rsid w:val="00376831"/>
    <w:rsid w:val="003845F0"/>
    <w:rsid w:val="00384DE4"/>
    <w:rsid w:val="00384ECD"/>
    <w:rsid w:val="003929D4"/>
    <w:rsid w:val="00392BCE"/>
    <w:rsid w:val="0039349A"/>
    <w:rsid w:val="00393BB0"/>
    <w:rsid w:val="00394F9F"/>
    <w:rsid w:val="003966DB"/>
    <w:rsid w:val="00396C76"/>
    <w:rsid w:val="003A06DD"/>
    <w:rsid w:val="003A0F2B"/>
    <w:rsid w:val="003B0B33"/>
    <w:rsid w:val="003B2E29"/>
    <w:rsid w:val="003B30D8"/>
    <w:rsid w:val="003B40E8"/>
    <w:rsid w:val="003B7EF2"/>
    <w:rsid w:val="003C0693"/>
    <w:rsid w:val="003C0F55"/>
    <w:rsid w:val="003C1F99"/>
    <w:rsid w:val="003C2E71"/>
    <w:rsid w:val="003C3FA4"/>
    <w:rsid w:val="003C7927"/>
    <w:rsid w:val="003D0BA1"/>
    <w:rsid w:val="003D2170"/>
    <w:rsid w:val="003D6AB1"/>
    <w:rsid w:val="003D7D8A"/>
    <w:rsid w:val="003E0720"/>
    <w:rsid w:val="003E083F"/>
    <w:rsid w:val="003E12A1"/>
    <w:rsid w:val="003E36D7"/>
    <w:rsid w:val="003E5834"/>
    <w:rsid w:val="003F0D5B"/>
    <w:rsid w:val="003F0FCC"/>
    <w:rsid w:val="003F2B0C"/>
    <w:rsid w:val="003F387A"/>
    <w:rsid w:val="003F6FAF"/>
    <w:rsid w:val="00402208"/>
    <w:rsid w:val="00402298"/>
    <w:rsid w:val="004105B2"/>
    <w:rsid w:val="004111CE"/>
    <w:rsid w:val="0041145A"/>
    <w:rsid w:val="00412081"/>
    <w:rsid w:val="00412900"/>
    <w:rsid w:val="004221E4"/>
    <w:rsid w:val="0042654F"/>
    <w:rsid w:val="004273F8"/>
    <w:rsid w:val="0043042C"/>
    <w:rsid w:val="0043227E"/>
    <w:rsid w:val="0043428F"/>
    <w:rsid w:val="0043440C"/>
    <w:rsid w:val="00434696"/>
    <w:rsid w:val="004355A3"/>
    <w:rsid w:val="00440BD8"/>
    <w:rsid w:val="004420AE"/>
    <w:rsid w:val="004425BB"/>
    <w:rsid w:val="00442A87"/>
    <w:rsid w:val="00446162"/>
    <w:rsid w:val="00446546"/>
    <w:rsid w:val="00446F49"/>
    <w:rsid w:val="004525FC"/>
    <w:rsid w:val="00452769"/>
    <w:rsid w:val="00454568"/>
    <w:rsid w:val="00454FA7"/>
    <w:rsid w:val="00456798"/>
    <w:rsid w:val="00456BBC"/>
    <w:rsid w:val="00463914"/>
    <w:rsid w:val="00464F11"/>
    <w:rsid w:val="00465348"/>
    <w:rsid w:val="0046629F"/>
    <w:rsid w:val="004666BC"/>
    <w:rsid w:val="00467416"/>
    <w:rsid w:val="0047641E"/>
    <w:rsid w:val="00487DE1"/>
    <w:rsid w:val="00490687"/>
    <w:rsid w:val="0049761C"/>
    <w:rsid w:val="004979A5"/>
    <w:rsid w:val="004A25E0"/>
    <w:rsid w:val="004A3B65"/>
    <w:rsid w:val="004A4EEE"/>
    <w:rsid w:val="004A6259"/>
    <w:rsid w:val="004B1A6F"/>
    <w:rsid w:val="004B1CCB"/>
    <w:rsid w:val="004B4648"/>
    <w:rsid w:val="004B632F"/>
    <w:rsid w:val="004C253C"/>
    <w:rsid w:val="004C3A1A"/>
    <w:rsid w:val="004D3FB1"/>
    <w:rsid w:val="004D5F1C"/>
    <w:rsid w:val="004D6CD7"/>
    <w:rsid w:val="004D6F21"/>
    <w:rsid w:val="004D73A5"/>
    <w:rsid w:val="004E2A49"/>
    <w:rsid w:val="004E32FB"/>
    <w:rsid w:val="004E33EF"/>
    <w:rsid w:val="004E5159"/>
    <w:rsid w:val="004E5565"/>
    <w:rsid w:val="004E6E78"/>
    <w:rsid w:val="004F345F"/>
    <w:rsid w:val="004F50F8"/>
    <w:rsid w:val="0050248E"/>
    <w:rsid w:val="00503CA0"/>
    <w:rsid w:val="00507038"/>
    <w:rsid w:val="005078D1"/>
    <w:rsid w:val="0050793B"/>
    <w:rsid w:val="00512030"/>
    <w:rsid w:val="00512E9B"/>
    <w:rsid w:val="005160F1"/>
    <w:rsid w:val="00517CB3"/>
    <w:rsid w:val="00520655"/>
    <w:rsid w:val="00521AF3"/>
    <w:rsid w:val="00523017"/>
    <w:rsid w:val="00523A01"/>
    <w:rsid w:val="00524F2F"/>
    <w:rsid w:val="00527E5C"/>
    <w:rsid w:val="005326D2"/>
    <w:rsid w:val="00532CF5"/>
    <w:rsid w:val="0053651A"/>
    <w:rsid w:val="0054093C"/>
    <w:rsid w:val="00541039"/>
    <w:rsid w:val="005415AE"/>
    <w:rsid w:val="005446E6"/>
    <w:rsid w:val="005447FC"/>
    <w:rsid w:val="00550CFF"/>
    <w:rsid w:val="005528CB"/>
    <w:rsid w:val="00553EA6"/>
    <w:rsid w:val="00555F22"/>
    <w:rsid w:val="00564BE4"/>
    <w:rsid w:val="00566771"/>
    <w:rsid w:val="00575F13"/>
    <w:rsid w:val="00577015"/>
    <w:rsid w:val="00580532"/>
    <w:rsid w:val="00581E2E"/>
    <w:rsid w:val="00584F15"/>
    <w:rsid w:val="005910D3"/>
    <w:rsid w:val="00592C95"/>
    <w:rsid w:val="00593553"/>
    <w:rsid w:val="0059389A"/>
    <w:rsid w:val="0059514B"/>
    <w:rsid w:val="005A1B0F"/>
    <w:rsid w:val="005A5299"/>
    <w:rsid w:val="005B11F2"/>
    <w:rsid w:val="005B1D30"/>
    <w:rsid w:val="005B372C"/>
    <w:rsid w:val="005B48A0"/>
    <w:rsid w:val="005B48AC"/>
    <w:rsid w:val="005B4CE6"/>
    <w:rsid w:val="005B5841"/>
    <w:rsid w:val="005B5DDE"/>
    <w:rsid w:val="005B5EFE"/>
    <w:rsid w:val="005B63B4"/>
    <w:rsid w:val="005C07CA"/>
    <w:rsid w:val="005C2228"/>
    <w:rsid w:val="005C2A10"/>
    <w:rsid w:val="005C364F"/>
    <w:rsid w:val="005C7A41"/>
    <w:rsid w:val="005D13D6"/>
    <w:rsid w:val="005D46E0"/>
    <w:rsid w:val="005E0605"/>
    <w:rsid w:val="005E1237"/>
    <w:rsid w:val="005E4940"/>
    <w:rsid w:val="005E5F39"/>
    <w:rsid w:val="005F125F"/>
    <w:rsid w:val="0060051D"/>
    <w:rsid w:val="00605312"/>
    <w:rsid w:val="00613CD1"/>
    <w:rsid w:val="00614134"/>
    <w:rsid w:val="006163F7"/>
    <w:rsid w:val="00616D3B"/>
    <w:rsid w:val="00616E2D"/>
    <w:rsid w:val="00621EFB"/>
    <w:rsid w:val="0062521C"/>
    <w:rsid w:val="00627C63"/>
    <w:rsid w:val="0063350B"/>
    <w:rsid w:val="00635388"/>
    <w:rsid w:val="0063698B"/>
    <w:rsid w:val="0065060D"/>
    <w:rsid w:val="00652606"/>
    <w:rsid w:val="00652F40"/>
    <w:rsid w:val="006558B5"/>
    <w:rsid w:val="00656E24"/>
    <w:rsid w:val="006612BC"/>
    <w:rsid w:val="00663FEF"/>
    <w:rsid w:val="00666665"/>
    <w:rsid w:val="00667E72"/>
    <w:rsid w:val="00670E00"/>
    <w:rsid w:val="00674780"/>
    <w:rsid w:val="00675B25"/>
    <w:rsid w:val="006802AD"/>
    <w:rsid w:val="0068051E"/>
    <w:rsid w:val="00680E37"/>
    <w:rsid w:val="0068730D"/>
    <w:rsid w:val="006900A3"/>
    <w:rsid w:val="00692451"/>
    <w:rsid w:val="00693294"/>
    <w:rsid w:val="006942BA"/>
    <w:rsid w:val="006946EE"/>
    <w:rsid w:val="006A58A9"/>
    <w:rsid w:val="006A606D"/>
    <w:rsid w:val="006A7668"/>
    <w:rsid w:val="006B169F"/>
    <w:rsid w:val="006C0371"/>
    <w:rsid w:val="006C08B6"/>
    <w:rsid w:val="006C0B1A"/>
    <w:rsid w:val="006C1597"/>
    <w:rsid w:val="006C29F2"/>
    <w:rsid w:val="006C5131"/>
    <w:rsid w:val="006C6065"/>
    <w:rsid w:val="006C7F9F"/>
    <w:rsid w:val="006D05F5"/>
    <w:rsid w:val="006D0B96"/>
    <w:rsid w:val="006D1D3A"/>
    <w:rsid w:val="006D42E1"/>
    <w:rsid w:val="006D4F00"/>
    <w:rsid w:val="006D63EE"/>
    <w:rsid w:val="006D7CC1"/>
    <w:rsid w:val="006E10A0"/>
    <w:rsid w:val="006E2F6D"/>
    <w:rsid w:val="006E3825"/>
    <w:rsid w:val="006E58F6"/>
    <w:rsid w:val="006E597E"/>
    <w:rsid w:val="006E77E1"/>
    <w:rsid w:val="006E7D76"/>
    <w:rsid w:val="006F131D"/>
    <w:rsid w:val="00702443"/>
    <w:rsid w:val="007024E8"/>
    <w:rsid w:val="0070381B"/>
    <w:rsid w:val="00711642"/>
    <w:rsid w:val="007124C3"/>
    <w:rsid w:val="00712D62"/>
    <w:rsid w:val="00717740"/>
    <w:rsid w:val="00721BE7"/>
    <w:rsid w:val="00722523"/>
    <w:rsid w:val="00732703"/>
    <w:rsid w:val="00736131"/>
    <w:rsid w:val="007375B3"/>
    <w:rsid w:val="00741814"/>
    <w:rsid w:val="00742C98"/>
    <w:rsid w:val="007507C6"/>
    <w:rsid w:val="00751043"/>
    <w:rsid w:val="00751852"/>
    <w:rsid w:val="00751E0B"/>
    <w:rsid w:val="00752345"/>
    <w:rsid w:val="007524ED"/>
    <w:rsid w:val="00752BCD"/>
    <w:rsid w:val="00756143"/>
    <w:rsid w:val="00757759"/>
    <w:rsid w:val="0076112E"/>
    <w:rsid w:val="0076426B"/>
    <w:rsid w:val="0076462F"/>
    <w:rsid w:val="007657F6"/>
    <w:rsid w:val="00766DA1"/>
    <w:rsid w:val="00772914"/>
    <w:rsid w:val="0077678E"/>
    <w:rsid w:val="00777140"/>
    <w:rsid w:val="00780D94"/>
    <w:rsid w:val="00783244"/>
    <w:rsid w:val="007866A6"/>
    <w:rsid w:val="0079382B"/>
    <w:rsid w:val="00795624"/>
    <w:rsid w:val="00795712"/>
    <w:rsid w:val="0079772A"/>
    <w:rsid w:val="007A130D"/>
    <w:rsid w:val="007A1C2A"/>
    <w:rsid w:val="007A25ED"/>
    <w:rsid w:val="007A7B85"/>
    <w:rsid w:val="007B3BBD"/>
    <w:rsid w:val="007B5BA0"/>
    <w:rsid w:val="007C0A24"/>
    <w:rsid w:val="007C2582"/>
    <w:rsid w:val="007C2644"/>
    <w:rsid w:val="007C29D8"/>
    <w:rsid w:val="007C458D"/>
    <w:rsid w:val="007C5156"/>
    <w:rsid w:val="007C54C9"/>
    <w:rsid w:val="007C5967"/>
    <w:rsid w:val="007C64DD"/>
    <w:rsid w:val="007C679F"/>
    <w:rsid w:val="007D1A2D"/>
    <w:rsid w:val="007D32E6"/>
    <w:rsid w:val="007D4102"/>
    <w:rsid w:val="007E0EF1"/>
    <w:rsid w:val="007E143A"/>
    <w:rsid w:val="007E37D4"/>
    <w:rsid w:val="007E3A18"/>
    <w:rsid w:val="007E54A7"/>
    <w:rsid w:val="007E563D"/>
    <w:rsid w:val="007E6108"/>
    <w:rsid w:val="007E6B20"/>
    <w:rsid w:val="007F1224"/>
    <w:rsid w:val="007F2410"/>
    <w:rsid w:val="007F3737"/>
    <w:rsid w:val="007F4098"/>
    <w:rsid w:val="007F43B7"/>
    <w:rsid w:val="007F48B0"/>
    <w:rsid w:val="007F772B"/>
    <w:rsid w:val="0080187E"/>
    <w:rsid w:val="00803F9E"/>
    <w:rsid w:val="00806452"/>
    <w:rsid w:val="00814188"/>
    <w:rsid w:val="0081461D"/>
    <w:rsid w:val="00821FFC"/>
    <w:rsid w:val="008271CA"/>
    <w:rsid w:val="0083456C"/>
    <w:rsid w:val="0083522A"/>
    <w:rsid w:val="008467D5"/>
    <w:rsid w:val="00847195"/>
    <w:rsid w:val="00853C9B"/>
    <w:rsid w:val="008619DB"/>
    <w:rsid w:val="00864143"/>
    <w:rsid w:val="008659C3"/>
    <w:rsid w:val="00866BB7"/>
    <w:rsid w:val="00870F48"/>
    <w:rsid w:val="00871F83"/>
    <w:rsid w:val="00872346"/>
    <w:rsid w:val="008760F9"/>
    <w:rsid w:val="00876161"/>
    <w:rsid w:val="00882701"/>
    <w:rsid w:val="008848C4"/>
    <w:rsid w:val="00884F8D"/>
    <w:rsid w:val="008908A3"/>
    <w:rsid w:val="0089342D"/>
    <w:rsid w:val="008A3B73"/>
    <w:rsid w:val="008A4DC4"/>
    <w:rsid w:val="008A523A"/>
    <w:rsid w:val="008A5F80"/>
    <w:rsid w:val="008B1196"/>
    <w:rsid w:val="008B1BBE"/>
    <w:rsid w:val="008B1D47"/>
    <w:rsid w:val="008B438C"/>
    <w:rsid w:val="008C2603"/>
    <w:rsid w:val="008D06CA"/>
    <w:rsid w:val="008D30B4"/>
    <w:rsid w:val="008D3A46"/>
    <w:rsid w:val="008E5285"/>
    <w:rsid w:val="008F2385"/>
    <w:rsid w:val="00901192"/>
    <w:rsid w:val="00901C27"/>
    <w:rsid w:val="009039B2"/>
    <w:rsid w:val="009067A4"/>
    <w:rsid w:val="00907414"/>
    <w:rsid w:val="00907F87"/>
    <w:rsid w:val="0091296F"/>
    <w:rsid w:val="0091414E"/>
    <w:rsid w:val="00914DC6"/>
    <w:rsid w:val="00917B4C"/>
    <w:rsid w:val="00921C0E"/>
    <w:rsid w:val="00921FE8"/>
    <w:rsid w:val="00922F50"/>
    <w:rsid w:val="009270C5"/>
    <w:rsid w:val="00927595"/>
    <w:rsid w:val="00930885"/>
    <w:rsid w:val="009326C9"/>
    <w:rsid w:val="0093333F"/>
    <w:rsid w:val="00933D68"/>
    <w:rsid w:val="009340DB"/>
    <w:rsid w:val="00937877"/>
    <w:rsid w:val="0094618C"/>
    <w:rsid w:val="00947559"/>
    <w:rsid w:val="00947A4C"/>
    <w:rsid w:val="009538D1"/>
    <w:rsid w:val="00955DBD"/>
    <w:rsid w:val="0095684B"/>
    <w:rsid w:val="00957B1F"/>
    <w:rsid w:val="00961E16"/>
    <w:rsid w:val="00963CCF"/>
    <w:rsid w:val="00966BEE"/>
    <w:rsid w:val="009671EB"/>
    <w:rsid w:val="0097225C"/>
    <w:rsid w:val="00972498"/>
    <w:rsid w:val="0097481F"/>
    <w:rsid w:val="00974CC6"/>
    <w:rsid w:val="00976AD4"/>
    <w:rsid w:val="0098126E"/>
    <w:rsid w:val="00986397"/>
    <w:rsid w:val="00993C65"/>
    <w:rsid w:val="00995547"/>
    <w:rsid w:val="009974F9"/>
    <w:rsid w:val="009A0922"/>
    <w:rsid w:val="009A312F"/>
    <w:rsid w:val="009A4025"/>
    <w:rsid w:val="009A4A2F"/>
    <w:rsid w:val="009A533B"/>
    <w:rsid w:val="009A5348"/>
    <w:rsid w:val="009A5E18"/>
    <w:rsid w:val="009B0AB7"/>
    <w:rsid w:val="009B5D20"/>
    <w:rsid w:val="009B658C"/>
    <w:rsid w:val="009B7B64"/>
    <w:rsid w:val="009C00EE"/>
    <w:rsid w:val="009C488B"/>
    <w:rsid w:val="009C5DA4"/>
    <w:rsid w:val="009C76D5"/>
    <w:rsid w:val="009C7B96"/>
    <w:rsid w:val="009E140C"/>
    <w:rsid w:val="009E2410"/>
    <w:rsid w:val="009E7C01"/>
    <w:rsid w:val="009F7AA4"/>
    <w:rsid w:val="00A04764"/>
    <w:rsid w:val="00A10AD7"/>
    <w:rsid w:val="00A10B35"/>
    <w:rsid w:val="00A14251"/>
    <w:rsid w:val="00A14E33"/>
    <w:rsid w:val="00A16B59"/>
    <w:rsid w:val="00A2081C"/>
    <w:rsid w:val="00A25816"/>
    <w:rsid w:val="00A323B0"/>
    <w:rsid w:val="00A368BE"/>
    <w:rsid w:val="00A40582"/>
    <w:rsid w:val="00A41266"/>
    <w:rsid w:val="00A42C0D"/>
    <w:rsid w:val="00A44744"/>
    <w:rsid w:val="00A4565C"/>
    <w:rsid w:val="00A45948"/>
    <w:rsid w:val="00A474E9"/>
    <w:rsid w:val="00A47EC1"/>
    <w:rsid w:val="00A50E7C"/>
    <w:rsid w:val="00A538DE"/>
    <w:rsid w:val="00A559DB"/>
    <w:rsid w:val="00A569EA"/>
    <w:rsid w:val="00A67320"/>
    <w:rsid w:val="00A676A0"/>
    <w:rsid w:val="00A71FA6"/>
    <w:rsid w:val="00A777A3"/>
    <w:rsid w:val="00A80520"/>
    <w:rsid w:val="00A82AEC"/>
    <w:rsid w:val="00A85768"/>
    <w:rsid w:val="00A8644B"/>
    <w:rsid w:val="00A97007"/>
    <w:rsid w:val="00A977D4"/>
    <w:rsid w:val="00AA1FFB"/>
    <w:rsid w:val="00AA6B85"/>
    <w:rsid w:val="00AB41D0"/>
    <w:rsid w:val="00AC14C8"/>
    <w:rsid w:val="00AC1813"/>
    <w:rsid w:val="00AC3E59"/>
    <w:rsid w:val="00AC4E56"/>
    <w:rsid w:val="00AC6A32"/>
    <w:rsid w:val="00AC7472"/>
    <w:rsid w:val="00AC780C"/>
    <w:rsid w:val="00AD24E4"/>
    <w:rsid w:val="00AD4497"/>
    <w:rsid w:val="00AD4577"/>
    <w:rsid w:val="00AD4C57"/>
    <w:rsid w:val="00AD4F75"/>
    <w:rsid w:val="00AD7A95"/>
    <w:rsid w:val="00AE4552"/>
    <w:rsid w:val="00AE7298"/>
    <w:rsid w:val="00AE7840"/>
    <w:rsid w:val="00AF03D5"/>
    <w:rsid w:val="00AF1A4D"/>
    <w:rsid w:val="00AF1C28"/>
    <w:rsid w:val="00AF2D80"/>
    <w:rsid w:val="00AF35FC"/>
    <w:rsid w:val="00AF5556"/>
    <w:rsid w:val="00B00306"/>
    <w:rsid w:val="00B03639"/>
    <w:rsid w:val="00B050E3"/>
    <w:rsid w:val="00B0652A"/>
    <w:rsid w:val="00B12A87"/>
    <w:rsid w:val="00B12CEE"/>
    <w:rsid w:val="00B2073B"/>
    <w:rsid w:val="00B22AF5"/>
    <w:rsid w:val="00B2681B"/>
    <w:rsid w:val="00B31E9B"/>
    <w:rsid w:val="00B32EC6"/>
    <w:rsid w:val="00B3597A"/>
    <w:rsid w:val="00B4028C"/>
    <w:rsid w:val="00B40937"/>
    <w:rsid w:val="00B423EF"/>
    <w:rsid w:val="00B42CA9"/>
    <w:rsid w:val="00B453DE"/>
    <w:rsid w:val="00B50B63"/>
    <w:rsid w:val="00B54056"/>
    <w:rsid w:val="00B54695"/>
    <w:rsid w:val="00B5639F"/>
    <w:rsid w:val="00B62497"/>
    <w:rsid w:val="00B62B71"/>
    <w:rsid w:val="00B62FD5"/>
    <w:rsid w:val="00B64FDE"/>
    <w:rsid w:val="00B66B89"/>
    <w:rsid w:val="00B67666"/>
    <w:rsid w:val="00B7204E"/>
    <w:rsid w:val="00B72597"/>
    <w:rsid w:val="00B73CF9"/>
    <w:rsid w:val="00B7558E"/>
    <w:rsid w:val="00B757E8"/>
    <w:rsid w:val="00B82FC3"/>
    <w:rsid w:val="00B87028"/>
    <w:rsid w:val="00B87DC0"/>
    <w:rsid w:val="00B901F9"/>
    <w:rsid w:val="00B93B9C"/>
    <w:rsid w:val="00B955A7"/>
    <w:rsid w:val="00B957B0"/>
    <w:rsid w:val="00BA37EB"/>
    <w:rsid w:val="00BA764F"/>
    <w:rsid w:val="00BA7D6C"/>
    <w:rsid w:val="00BC29F7"/>
    <w:rsid w:val="00BC4571"/>
    <w:rsid w:val="00BC4D98"/>
    <w:rsid w:val="00BC631B"/>
    <w:rsid w:val="00BD309F"/>
    <w:rsid w:val="00BD41D9"/>
    <w:rsid w:val="00BD6EFB"/>
    <w:rsid w:val="00BE15D6"/>
    <w:rsid w:val="00BE3A8E"/>
    <w:rsid w:val="00BE3DF5"/>
    <w:rsid w:val="00BE4D9D"/>
    <w:rsid w:val="00BE4E6D"/>
    <w:rsid w:val="00BE763C"/>
    <w:rsid w:val="00BF053C"/>
    <w:rsid w:val="00BF0FD7"/>
    <w:rsid w:val="00BF46B1"/>
    <w:rsid w:val="00BF4B6B"/>
    <w:rsid w:val="00BF5EAB"/>
    <w:rsid w:val="00BF6928"/>
    <w:rsid w:val="00C01686"/>
    <w:rsid w:val="00C02410"/>
    <w:rsid w:val="00C14647"/>
    <w:rsid w:val="00C1544E"/>
    <w:rsid w:val="00C1584D"/>
    <w:rsid w:val="00C15BE2"/>
    <w:rsid w:val="00C2688A"/>
    <w:rsid w:val="00C27B19"/>
    <w:rsid w:val="00C30B50"/>
    <w:rsid w:val="00C3226D"/>
    <w:rsid w:val="00C32784"/>
    <w:rsid w:val="00C3447F"/>
    <w:rsid w:val="00C3593D"/>
    <w:rsid w:val="00C35E64"/>
    <w:rsid w:val="00C44714"/>
    <w:rsid w:val="00C47279"/>
    <w:rsid w:val="00C47BEE"/>
    <w:rsid w:val="00C612A6"/>
    <w:rsid w:val="00C6265B"/>
    <w:rsid w:val="00C65A97"/>
    <w:rsid w:val="00C66405"/>
    <w:rsid w:val="00C67102"/>
    <w:rsid w:val="00C67378"/>
    <w:rsid w:val="00C67E04"/>
    <w:rsid w:val="00C7739D"/>
    <w:rsid w:val="00C77556"/>
    <w:rsid w:val="00C77A8D"/>
    <w:rsid w:val="00C81491"/>
    <w:rsid w:val="00C81676"/>
    <w:rsid w:val="00C81F7E"/>
    <w:rsid w:val="00C84FAE"/>
    <w:rsid w:val="00C85C5D"/>
    <w:rsid w:val="00C92CC4"/>
    <w:rsid w:val="00C94003"/>
    <w:rsid w:val="00C95103"/>
    <w:rsid w:val="00CA0AFB"/>
    <w:rsid w:val="00CA2239"/>
    <w:rsid w:val="00CA25BD"/>
    <w:rsid w:val="00CA2CE1"/>
    <w:rsid w:val="00CA3976"/>
    <w:rsid w:val="00CA4C99"/>
    <w:rsid w:val="00CA50E3"/>
    <w:rsid w:val="00CA757B"/>
    <w:rsid w:val="00CA7E0E"/>
    <w:rsid w:val="00CB1998"/>
    <w:rsid w:val="00CC1787"/>
    <w:rsid w:val="00CC182C"/>
    <w:rsid w:val="00CC5C7D"/>
    <w:rsid w:val="00CD0824"/>
    <w:rsid w:val="00CD2908"/>
    <w:rsid w:val="00CD3273"/>
    <w:rsid w:val="00CD3AA2"/>
    <w:rsid w:val="00CD5454"/>
    <w:rsid w:val="00CD739C"/>
    <w:rsid w:val="00CE09B4"/>
    <w:rsid w:val="00CE165B"/>
    <w:rsid w:val="00CE32DF"/>
    <w:rsid w:val="00CE4CA2"/>
    <w:rsid w:val="00CE5FF8"/>
    <w:rsid w:val="00CE7805"/>
    <w:rsid w:val="00CF2849"/>
    <w:rsid w:val="00CF587E"/>
    <w:rsid w:val="00D00B06"/>
    <w:rsid w:val="00D00C0C"/>
    <w:rsid w:val="00D03A82"/>
    <w:rsid w:val="00D03D97"/>
    <w:rsid w:val="00D0462A"/>
    <w:rsid w:val="00D11CD8"/>
    <w:rsid w:val="00D12A47"/>
    <w:rsid w:val="00D13667"/>
    <w:rsid w:val="00D15308"/>
    <w:rsid w:val="00D15344"/>
    <w:rsid w:val="00D23F57"/>
    <w:rsid w:val="00D314D7"/>
    <w:rsid w:val="00D317E0"/>
    <w:rsid w:val="00D31BEC"/>
    <w:rsid w:val="00D35B26"/>
    <w:rsid w:val="00D4211C"/>
    <w:rsid w:val="00D42FA6"/>
    <w:rsid w:val="00D4500F"/>
    <w:rsid w:val="00D45C00"/>
    <w:rsid w:val="00D47A26"/>
    <w:rsid w:val="00D47ACC"/>
    <w:rsid w:val="00D51D9E"/>
    <w:rsid w:val="00D51DF8"/>
    <w:rsid w:val="00D53D30"/>
    <w:rsid w:val="00D557FA"/>
    <w:rsid w:val="00D56981"/>
    <w:rsid w:val="00D63150"/>
    <w:rsid w:val="00D636BA"/>
    <w:rsid w:val="00D64A32"/>
    <w:rsid w:val="00D64EFC"/>
    <w:rsid w:val="00D65D4F"/>
    <w:rsid w:val="00D671A3"/>
    <w:rsid w:val="00D70699"/>
    <w:rsid w:val="00D72D16"/>
    <w:rsid w:val="00D75295"/>
    <w:rsid w:val="00D76CE9"/>
    <w:rsid w:val="00D82BF0"/>
    <w:rsid w:val="00D83C57"/>
    <w:rsid w:val="00D849AA"/>
    <w:rsid w:val="00D94D7A"/>
    <w:rsid w:val="00D97F12"/>
    <w:rsid w:val="00DA6095"/>
    <w:rsid w:val="00DA74DC"/>
    <w:rsid w:val="00DB05BF"/>
    <w:rsid w:val="00DB3A52"/>
    <w:rsid w:val="00DB3BA1"/>
    <w:rsid w:val="00DB4095"/>
    <w:rsid w:val="00DB42E7"/>
    <w:rsid w:val="00DC0776"/>
    <w:rsid w:val="00DC09D8"/>
    <w:rsid w:val="00DC248D"/>
    <w:rsid w:val="00DC29E1"/>
    <w:rsid w:val="00DC5B8A"/>
    <w:rsid w:val="00DD1D2E"/>
    <w:rsid w:val="00DD1D6B"/>
    <w:rsid w:val="00DD50BD"/>
    <w:rsid w:val="00DE01A6"/>
    <w:rsid w:val="00DE02A4"/>
    <w:rsid w:val="00DE0563"/>
    <w:rsid w:val="00DE11F1"/>
    <w:rsid w:val="00DE166A"/>
    <w:rsid w:val="00DE4A44"/>
    <w:rsid w:val="00DE7A98"/>
    <w:rsid w:val="00DF17F3"/>
    <w:rsid w:val="00DF30DA"/>
    <w:rsid w:val="00DF32C2"/>
    <w:rsid w:val="00DF7DD1"/>
    <w:rsid w:val="00E00ED7"/>
    <w:rsid w:val="00E01998"/>
    <w:rsid w:val="00E02105"/>
    <w:rsid w:val="00E110D1"/>
    <w:rsid w:val="00E14777"/>
    <w:rsid w:val="00E159C6"/>
    <w:rsid w:val="00E166BB"/>
    <w:rsid w:val="00E21936"/>
    <w:rsid w:val="00E250A4"/>
    <w:rsid w:val="00E25992"/>
    <w:rsid w:val="00E26909"/>
    <w:rsid w:val="00E273B3"/>
    <w:rsid w:val="00E3508E"/>
    <w:rsid w:val="00E41B14"/>
    <w:rsid w:val="00E444C1"/>
    <w:rsid w:val="00E456AF"/>
    <w:rsid w:val="00E471A7"/>
    <w:rsid w:val="00E502F0"/>
    <w:rsid w:val="00E52F61"/>
    <w:rsid w:val="00E565B7"/>
    <w:rsid w:val="00E57EF0"/>
    <w:rsid w:val="00E61B27"/>
    <w:rsid w:val="00E635CF"/>
    <w:rsid w:val="00E638F9"/>
    <w:rsid w:val="00E6614A"/>
    <w:rsid w:val="00E82A01"/>
    <w:rsid w:val="00E850ED"/>
    <w:rsid w:val="00E85781"/>
    <w:rsid w:val="00E90171"/>
    <w:rsid w:val="00E916E9"/>
    <w:rsid w:val="00E954FF"/>
    <w:rsid w:val="00E95A1D"/>
    <w:rsid w:val="00EA261E"/>
    <w:rsid w:val="00EA42AD"/>
    <w:rsid w:val="00EA6009"/>
    <w:rsid w:val="00EB124F"/>
    <w:rsid w:val="00EB1E3B"/>
    <w:rsid w:val="00EB2490"/>
    <w:rsid w:val="00EB6583"/>
    <w:rsid w:val="00EC25CD"/>
    <w:rsid w:val="00EC2C35"/>
    <w:rsid w:val="00EC2F57"/>
    <w:rsid w:val="00EC6E0A"/>
    <w:rsid w:val="00ED1192"/>
    <w:rsid w:val="00ED16B0"/>
    <w:rsid w:val="00ED1BCE"/>
    <w:rsid w:val="00ED1E20"/>
    <w:rsid w:val="00ED217D"/>
    <w:rsid w:val="00ED260E"/>
    <w:rsid w:val="00ED4E18"/>
    <w:rsid w:val="00ED7922"/>
    <w:rsid w:val="00EE02C4"/>
    <w:rsid w:val="00EE1F37"/>
    <w:rsid w:val="00EF038A"/>
    <w:rsid w:val="00EF2933"/>
    <w:rsid w:val="00EF3D95"/>
    <w:rsid w:val="00EF52D1"/>
    <w:rsid w:val="00F00B6F"/>
    <w:rsid w:val="00F0159C"/>
    <w:rsid w:val="00F04FEC"/>
    <w:rsid w:val="00F053B8"/>
    <w:rsid w:val="00F0715C"/>
    <w:rsid w:val="00F105B7"/>
    <w:rsid w:val="00F11058"/>
    <w:rsid w:val="00F13220"/>
    <w:rsid w:val="00F17A21"/>
    <w:rsid w:val="00F230EB"/>
    <w:rsid w:val="00F254CA"/>
    <w:rsid w:val="00F359F3"/>
    <w:rsid w:val="00F36FC2"/>
    <w:rsid w:val="00F37B27"/>
    <w:rsid w:val="00F40E94"/>
    <w:rsid w:val="00F40FBB"/>
    <w:rsid w:val="00F42B3D"/>
    <w:rsid w:val="00F45227"/>
    <w:rsid w:val="00F46556"/>
    <w:rsid w:val="00F50E91"/>
    <w:rsid w:val="00F5136C"/>
    <w:rsid w:val="00F546A7"/>
    <w:rsid w:val="00F558F8"/>
    <w:rsid w:val="00F56799"/>
    <w:rsid w:val="00F57D29"/>
    <w:rsid w:val="00F57D53"/>
    <w:rsid w:val="00F60786"/>
    <w:rsid w:val="00F63111"/>
    <w:rsid w:val="00F6410E"/>
    <w:rsid w:val="00F6431A"/>
    <w:rsid w:val="00F671DA"/>
    <w:rsid w:val="00F72251"/>
    <w:rsid w:val="00F722D7"/>
    <w:rsid w:val="00F72381"/>
    <w:rsid w:val="00F732B4"/>
    <w:rsid w:val="00F738A7"/>
    <w:rsid w:val="00F75DC2"/>
    <w:rsid w:val="00F803F4"/>
    <w:rsid w:val="00F9165E"/>
    <w:rsid w:val="00F91BC7"/>
    <w:rsid w:val="00F91CB5"/>
    <w:rsid w:val="00F94FD8"/>
    <w:rsid w:val="00F950A7"/>
    <w:rsid w:val="00F96201"/>
    <w:rsid w:val="00F975AD"/>
    <w:rsid w:val="00FA00AF"/>
    <w:rsid w:val="00FA1BBC"/>
    <w:rsid w:val="00FA2770"/>
    <w:rsid w:val="00FA4889"/>
    <w:rsid w:val="00FA6961"/>
    <w:rsid w:val="00FB2F9B"/>
    <w:rsid w:val="00FB6C9D"/>
    <w:rsid w:val="00FB72A6"/>
    <w:rsid w:val="00FC3AA3"/>
    <w:rsid w:val="00FC7385"/>
    <w:rsid w:val="00FD0B18"/>
    <w:rsid w:val="00FD2FAD"/>
    <w:rsid w:val="00FD4A16"/>
    <w:rsid w:val="00FD755C"/>
    <w:rsid w:val="00FE160C"/>
    <w:rsid w:val="00FE36A3"/>
    <w:rsid w:val="00FE714F"/>
    <w:rsid w:val="00FF4664"/>
    <w:rsid w:val="00FF6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PlaceholderText">
    <w:name w:val="Placeholder Text"/>
    <w:basedOn w:val="DefaultParagraphFont"/>
    <w:uiPriority w:val="99"/>
    <w:semiHidden/>
    <w:rsid w:val="001821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063603">
      <w:bodyDiv w:val="1"/>
      <w:marLeft w:val="0"/>
      <w:marRight w:val="0"/>
      <w:marTop w:val="0"/>
      <w:marBottom w:val="0"/>
      <w:divBdr>
        <w:top w:val="none" w:sz="0" w:space="0" w:color="auto"/>
        <w:left w:val="none" w:sz="0" w:space="0" w:color="auto"/>
        <w:bottom w:val="none" w:sz="0" w:space="0" w:color="auto"/>
        <w:right w:val="none" w:sz="0" w:space="0" w:color="auto"/>
      </w:divBdr>
      <w:divsChild>
        <w:div w:id="242958919">
          <w:marLeft w:val="0"/>
          <w:marRight w:val="0"/>
          <w:marTop w:val="0"/>
          <w:marBottom w:val="0"/>
          <w:divBdr>
            <w:top w:val="none" w:sz="0" w:space="0" w:color="auto"/>
            <w:left w:val="none" w:sz="0" w:space="0" w:color="auto"/>
            <w:bottom w:val="none" w:sz="0" w:space="0" w:color="auto"/>
            <w:right w:val="none" w:sz="0" w:space="0" w:color="auto"/>
          </w:divBdr>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thestatesman.com/cities/women-self-help-groups-to-promote-sanitary-habits-1502685513.html" TargetMode="External"/><Relationship Id="rId13" Type="http://schemas.openxmlformats.org/officeDocument/2006/relationships/hyperlink" Target="https://www.indiantelevision.com/mam/media-and-advertising/ad-campaigns/sirona-s-new-campaign-encourages-women-to-rise-up-with-menstrual-cups-190220" TargetMode="External"/><Relationship Id="rId3" Type="http://schemas.openxmlformats.org/officeDocument/2006/relationships/hyperlink" Target="https://swachhindia.ndtv.com/menstrual-hygiene-day-facts-26-percent-use-sanitary-pads-periods-34309/" TargetMode="External"/><Relationship Id="rId7" Type="http://schemas.openxmlformats.org/officeDocument/2006/relationships/hyperlink" Target="https://www.thebetterindia.com/131162/dont-hide-it-sanitary-napkins/" TargetMode="External"/><Relationship Id="rId12" Type="http://schemas.openxmlformats.org/officeDocument/2006/relationships/hyperlink" Target="https://www.outlookindia.com/newsscroll/peebuddy-founder-deep-bajaj-launches-pregrx-the-worlds-first-paperbased-pee--see-pregnancy-product/1505518" TargetMode="External"/><Relationship Id="rId2" Type="http://schemas.openxmlformats.org/officeDocument/2006/relationships/hyperlink" Target="https://www.technavio.com/report/global-health-and-wellness-global-feminine-hygiene-products-market-2017-2021" TargetMode="External"/><Relationship Id="rId1" Type="http://schemas.openxmlformats.org/officeDocument/2006/relationships/hyperlink" Target="https://www.imarcgroup.com/feminine-hygiene-products-market" TargetMode="External"/><Relationship Id="rId6" Type="http://schemas.openxmlformats.org/officeDocument/2006/relationships/hyperlink" Target="https://www.vervemagazine.in/fashion-and-beauty/7-brands-that-are-reinventing-the-sanitary-napkin" TargetMode="External"/><Relationship Id="rId11" Type="http://schemas.openxmlformats.org/officeDocument/2006/relationships/hyperlink" Target="https://economictimes.indiatimes.com/small-biz/startups/newsbuzz/peebuddy-raises-bridge-investment-from-indian-angel-network/articleshow/70037422.cms?from=mdr" TargetMode="External"/><Relationship Id="rId5" Type="http://schemas.openxmlformats.org/officeDocument/2006/relationships/hyperlink" Target="https://timesofindia.indiatimes.com/life-style/health-fitness/health-news/only-18-women-in-india-have-access-to-sanitary-hygiene-in-india/articleshow/64931350.cms" TargetMode="External"/><Relationship Id="rId10" Type="http://schemas.openxmlformats.org/officeDocument/2006/relationships/hyperlink" Target="https://www.globalcitizen.org/en/content/india-to-control-prices-of-sanitary-pads/" TargetMode="External"/><Relationship Id="rId4" Type="http://schemas.openxmlformats.org/officeDocument/2006/relationships/hyperlink" Target="https://www.dasra.org/assets/uploads/resources/Spot%20On%20-%20Improving%20Menstrual%20Management%20in%20India.pdf" TargetMode="External"/><Relationship Id="rId9" Type="http://schemas.openxmlformats.org/officeDocument/2006/relationships/hyperlink" Target="https://www.thehindubusinessline.com/companies/sanitary-napkins-niine-movement-to-more-than-double-production-capacity-in-uttar-pradesh/article24778708.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4B257-5FDB-4028-A6C9-30F3D0856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7274</Words>
  <Characters>41463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2015-03-04T20:34:00Z</cp:lastPrinted>
  <dcterms:created xsi:type="dcterms:W3CDTF">2021-02-10T18:59:00Z</dcterms:created>
  <dcterms:modified xsi:type="dcterms:W3CDTF">2021-02-10T19:01:00Z</dcterms:modified>
</cp:coreProperties>
</file>