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EEF1" w14:textId="1F1042CB" w:rsidR="00AE04C0" w:rsidRPr="00335657" w:rsidRDefault="00335657" w:rsidP="00C02410">
      <w:pPr>
        <w:pBdr>
          <w:bottom w:val="single" w:sz="18" w:space="1" w:color="auto"/>
        </w:pBdr>
        <w:tabs>
          <w:tab w:val="left" w:pos="-1440"/>
          <w:tab w:val="left" w:pos="-720"/>
          <w:tab w:val="left" w:pos="1"/>
        </w:tabs>
        <w:jc w:val="both"/>
        <w:rPr>
          <w:rFonts w:ascii="Arial" w:hAnsi="Arial"/>
          <w:b/>
          <w:noProof/>
          <w:sz w:val="24"/>
          <w:lang w:val="en-CA" w:eastAsia="en-CA"/>
        </w:rPr>
      </w:pPr>
      <w:r w:rsidRPr="00335657">
        <w:rPr>
          <w:rFonts w:ascii="Arial" w:hAnsi="Arial"/>
          <w:b/>
          <w:noProof/>
          <w:sz w:val="24"/>
          <w:lang w:val="en-CA" w:eastAsia="en-CA"/>
        </w:rPr>
        <w:drawing>
          <wp:inline distT="0" distB="0" distL="0" distR="0" wp14:anchorId="1ED9EA74" wp14:editId="2904251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9F08F87" w:rsidR="00C02410" w:rsidRPr="00335657" w:rsidRDefault="00335657" w:rsidP="00C02410">
      <w:pPr>
        <w:pStyle w:val="ProductNumber"/>
        <w:rPr>
          <w:lang w:val="en-CA"/>
        </w:rPr>
      </w:pPr>
      <w:r w:rsidRPr="00335657">
        <w:rPr>
          <w:lang w:val="en-CA"/>
        </w:rPr>
        <w:t>9B21A004</w:t>
      </w:r>
    </w:p>
    <w:p w14:paraId="4E057522" w14:textId="7A113CB1" w:rsidR="00D75295" w:rsidRPr="00335657" w:rsidRDefault="00D75295" w:rsidP="00D75295">
      <w:pPr>
        <w:jc w:val="right"/>
        <w:rPr>
          <w:rFonts w:ascii="Arial" w:hAnsi="Arial"/>
          <w:b/>
          <w:lang w:val="en-CA"/>
        </w:rPr>
      </w:pPr>
    </w:p>
    <w:p w14:paraId="02524312" w14:textId="77777777" w:rsidR="001901C0" w:rsidRPr="00335657" w:rsidRDefault="001901C0" w:rsidP="00D75295">
      <w:pPr>
        <w:jc w:val="right"/>
        <w:rPr>
          <w:rFonts w:ascii="Arial" w:hAnsi="Arial"/>
          <w:b/>
          <w:lang w:val="en-CA"/>
        </w:rPr>
      </w:pPr>
    </w:p>
    <w:p w14:paraId="2F03D26A" w14:textId="7E554F3B" w:rsidR="00D7763D" w:rsidRPr="00335657" w:rsidRDefault="00494C01" w:rsidP="00013360">
      <w:pPr>
        <w:pStyle w:val="CaseTitle"/>
        <w:spacing w:after="0" w:line="240" w:lineRule="auto"/>
        <w:rPr>
          <w:sz w:val="20"/>
          <w:szCs w:val="20"/>
          <w:lang w:val="en-CA"/>
        </w:rPr>
      </w:pPr>
      <w:r w:rsidRPr="00335657">
        <w:rPr>
          <w:lang w:val="en-CA"/>
        </w:rPr>
        <w:t>SpaceX: Starlink’s</w:t>
      </w:r>
      <w:r w:rsidR="00AE04C0" w:rsidRPr="00335657">
        <w:rPr>
          <w:lang w:val="en-CA"/>
        </w:rPr>
        <w:t xml:space="preserve"> UNCERTAIN DEMAND TRAJECTORY</w:t>
      </w:r>
      <w:r w:rsidR="00A37365" w:rsidRPr="00335657">
        <w:rPr>
          <w:rStyle w:val="EndnoteReference"/>
          <w:lang w:val="en-CA"/>
        </w:rPr>
        <w:endnoteReference w:id="1"/>
      </w:r>
    </w:p>
    <w:p w14:paraId="40ABF6FD" w14:textId="77777777" w:rsidR="00D7763D" w:rsidRPr="00335657" w:rsidRDefault="00D7763D" w:rsidP="00013360">
      <w:pPr>
        <w:pStyle w:val="CaseTitle"/>
        <w:spacing w:after="0" w:line="240" w:lineRule="auto"/>
        <w:rPr>
          <w:sz w:val="20"/>
          <w:szCs w:val="20"/>
          <w:lang w:val="en-CA"/>
        </w:rPr>
      </w:pPr>
    </w:p>
    <w:p w14:paraId="202F1085" w14:textId="77777777" w:rsidR="00D7763D" w:rsidRPr="00335657" w:rsidRDefault="00D7763D" w:rsidP="00013360">
      <w:pPr>
        <w:pStyle w:val="CaseTitle"/>
        <w:spacing w:after="0" w:line="240" w:lineRule="auto"/>
        <w:rPr>
          <w:sz w:val="20"/>
          <w:szCs w:val="20"/>
          <w:lang w:val="en-CA"/>
        </w:rPr>
      </w:pPr>
    </w:p>
    <w:p w14:paraId="58B0C73F" w14:textId="15A89F67" w:rsidR="00D7763D" w:rsidRPr="00335657" w:rsidRDefault="00D7763D" w:rsidP="00086B26">
      <w:pPr>
        <w:pStyle w:val="StyleCopyrightStatementAfter0ptBottomSinglesolidline1"/>
        <w:rPr>
          <w:lang w:val="en-CA"/>
        </w:rPr>
      </w:pPr>
      <w:r w:rsidRPr="00335657">
        <w:rPr>
          <w:lang w:val="en-CA"/>
        </w:rPr>
        <w:t>Arpita Agnihotri and Saurabh Bhattacharya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451267A2" w:rsidR="00D7763D" w:rsidRPr="00335657" w:rsidRDefault="00D7763D" w:rsidP="00086B26">
      <w:pPr>
        <w:pStyle w:val="StyleCopyrightStatementAfter0ptBottomSinglesolidline1"/>
        <w:rPr>
          <w:lang w:val="en-CA"/>
        </w:rPr>
      </w:pPr>
    </w:p>
    <w:p w14:paraId="40CD03D7" w14:textId="77777777" w:rsidR="00335657" w:rsidRPr="00335657" w:rsidRDefault="00335657" w:rsidP="00335657">
      <w:pPr>
        <w:pStyle w:val="StyleStyleCopyrightStatementAfter0ptBottomSinglesolid"/>
        <w:rPr>
          <w:rFonts w:cs="Arial"/>
          <w:color w:val="FFFFFF" w:themeColor="background1"/>
          <w:szCs w:val="16"/>
          <w:lang w:val="en-CA"/>
        </w:rPr>
      </w:pPr>
      <w:r w:rsidRPr="00335657">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335657">
        <w:rPr>
          <w:rFonts w:cs="Arial"/>
          <w:color w:val="FFFFFF" w:themeColor="background1"/>
          <w:szCs w:val="16"/>
          <w:lang w:val="en-CA"/>
        </w:rPr>
        <w:t>i1v2e5y5pubs</w:t>
      </w:r>
    </w:p>
    <w:p w14:paraId="26ABC1E9" w14:textId="77777777" w:rsidR="00335657" w:rsidRPr="00335657" w:rsidRDefault="00335657" w:rsidP="00335657">
      <w:pPr>
        <w:pStyle w:val="StyleStyleCopyrightStatementAfter0ptBottomSinglesolid"/>
        <w:rPr>
          <w:rFonts w:cs="Arial"/>
          <w:iCs w:val="0"/>
          <w:color w:val="auto"/>
          <w:szCs w:val="16"/>
          <w:lang w:val="en-CA"/>
        </w:rPr>
      </w:pPr>
    </w:p>
    <w:p w14:paraId="3922E14F" w14:textId="797D1A68" w:rsidR="00D7763D" w:rsidRPr="00335657" w:rsidRDefault="00335657" w:rsidP="00A323B0">
      <w:pPr>
        <w:pStyle w:val="StyleStyleCopyrightStatementAfter0ptBottomSinglesolid"/>
        <w:rPr>
          <w:rFonts w:cs="Arial"/>
          <w:color w:val="FFFFFF" w:themeColor="background1"/>
          <w:szCs w:val="16"/>
          <w:lang w:val="en-CA"/>
        </w:rPr>
      </w:pPr>
      <w:r w:rsidRPr="00335657">
        <w:rPr>
          <w:rFonts w:cs="Arial"/>
          <w:iCs w:val="0"/>
          <w:color w:val="auto"/>
          <w:szCs w:val="16"/>
          <w:lang w:val="en-CA"/>
        </w:rPr>
        <w:t>Copyright © 2021, Ivey Business School Foundation</w:t>
      </w:r>
      <w:r w:rsidR="00D7763D" w:rsidRPr="00335657">
        <w:rPr>
          <w:rFonts w:cs="Arial"/>
          <w:iCs w:val="0"/>
          <w:color w:val="auto"/>
          <w:szCs w:val="16"/>
          <w:lang w:val="en-CA"/>
        </w:rPr>
        <w:tab/>
      </w:r>
      <w:r w:rsidR="008075EF" w:rsidRPr="00335657">
        <w:rPr>
          <w:rFonts w:cs="Arial"/>
          <w:iCs w:val="0"/>
          <w:color w:val="auto"/>
          <w:szCs w:val="16"/>
          <w:lang w:val="en-CA"/>
        </w:rPr>
        <w:t>Version: 2021-</w:t>
      </w:r>
      <w:r w:rsidR="000D463B">
        <w:rPr>
          <w:rFonts w:cs="Arial"/>
          <w:iCs w:val="0"/>
          <w:color w:val="auto"/>
          <w:szCs w:val="16"/>
          <w:lang w:val="en-CA"/>
        </w:rPr>
        <w:t>10</w:t>
      </w:r>
      <w:r w:rsidR="00D7763D" w:rsidRPr="00335657">
        <w:rPr>
          <w:rFonts w:cs="Arial"/>
          <w:iCs w:val="0"/>
          <w:color w:val="auto"/>
          <w:szCs w:val="16"/>
          <w:lang w:val="en-CA"/>
        </w:rPr>
        <w:t>-</w:t>
      </w:r>
      <w:r w:rsidR="000D463B">
        <w:rPr>
          <w:rFonts w:cs="Arial"/>
          <w:iCs w:val="0"/>
          <w:color w:val="auto"/>
          <w:szCs w:val="16"/>
          <w:lang w:val="en-CA"/>
        </w:rPr>
        <w:t>08</w:t>
      </w:r>
      <w:bookmarkStart w:id="0" w:name="_GoBack"/>
      <w:bookmarkEnd w:id="0"/>
    </w:p>
    <w:p w14:paraId="0A2A54E4" w14:textId="0836A422" w:rsidR="00D7763D" w:rsidRPr="00335657" w:rsidRDefault="00D7763D" w:rsidP="00751E0B">
      <w:pPr>
        <w:pStyle w:val="StyleCopyrightStatementAfter0ptBottomSinglesolidline1"/>
        <w:rPr>
          <w:rFonts w:ascii="Times New Roman" w:hAnsi="Times New Roman"/>
          <w:sz w:val="20"/>
          <w:lang w:val="en-CA"/>
        </w:rPr>
      </w:pPr>
    </w:p>
    <w:p w14:paraId="334351D1" w14:textId="77777777" w:rsidR="00D7763D" w:rsidRPr="00335657" w:rsidRDefault="00D7763D" w:rsidP="00751E0B">
      <w:pPr>
        <w:pStyle w:val="StyleCopyrightStatementAfter0ptBottomSinglesolidline1"/>
        <w:rPr>
          <w:rFonts w:ascii="Times New Roman" w:hAnsi="Times New Roman"/>
          <w:sz w:val="20"/>
          <w:lang w:val="en-CA"/>
        </w:rPr>
      </w:pPr>
    </w:p>
    <w:p w14:paraId="6D0F1074" w14:textId="1A07F02A" w:rsidR="000D1C9B" w:rsidRPr="00335657" w:rsidRDefault="00D7763D" w:rsidP="00656526">
      <w:pPr>
        <w:pStyle w:val="BodyTextMain"/>
        <w:rPr>
          <w:spacing w:val="1"/>
          <w:lang w:val="en-CA"/>
        </w:rPr>
      </w:pPr>
      <w:r w:rsidRPr="00656526">
        <w:rPr>
          <w:spacing w:val="1"/>
          <w:lang w:val="en-CA"/>
        </w:rPr>
        <w:t xml:space="preserve">Elon R. Musk, founder and </w:t>
      </w:r>
      <w:r w:rsidR="002519CA" w:rsidRPr="00656526">
        <w:rPr>
          <w:spacing w:val="1"/>
          <w:lang w:val="en-CA"/>
        </w:rPr>
        <w:t>chief executive officer (</w:t>
      </w:r>
      <w:r w:rsidRPr="00656526">
        <w:rPr>
          <w:spacing w:val="1"/>
          <w:lang w:val="en-CA"/>
        </w:rPr>
        <w:t>CEO</w:t>
      </w:r>
      <w:r w:rsidR="002519CA" w:rsidRPr="00656526">
        <w:rPr>
          <w:spacing w:val="1"/>
          <w:lang w:val="en-CA"/>
        </w:rPr>
        <w:t>)</w:t>
      </w:r>
      <w:r w:rsidRPr="00656526">
        <w:rPr>
          <w:spacing w:val="1"/>
          <w:lang w:val="en-CA"/>
        </w:rPr>
        <w:t xml:space="preserve"> of </w:t>
      </w:r>
      <w:r w:rsidR="00F258E2" w:rsidRPr="00656526">
        <w:rPr>
          <w:spacing w:val="1"/>
          <w:lang w:val="en-CA"/>
        </w:rPr>
        <w:t xml:space="preserve">California-based </w:t>
      </w:r>
      <w:r w:rsidRPr="00656526">
        <w:rPr>
          <w:spacing w:val="1"/>
          <w:lang w:val="en-CA"/>
        </w:rPr>
        <w:t xml:space="preserve">Space Exploration Technologies Corp. (SpaceX), was developing </w:t>
      </w:r>
      <w:r w:rsidR="00214B32" w:rsidRPr="00656526">
        <w:rPr>
          <w:spacing w:val="1"/>
          <w:lang w:val="en-CA"/>
        </w:rPr>
        <w:t xml:space="preserve">Starlink, </w:t>
      </w:r>
      <w:r w:rsidRPr="00656526">
        <w:rPr>
          <w:spacing w:val="1"/>
          <w:lang w:val="en-CA"/>
        </w:rPr>
        <w:t>a high</w:t>
      </w:r>
      <w:r w:rsidR="00CD09F9" w:rsidRPr="00656526">
        <w:rPr>
          <w:spacing w:val="1"/>
          <w:lang w:val="en-CA"/>
        </w:rPr>
        <w:t>-</w:t>
      </w:r>
      <w:r w:rsidRPr="00656526">
        <w:rPr>
          <w:spacing w:val="1"/>
          <w:lang w:val="en-CA"/>
        </w:rPr>
        <w:t xml:space="preserve">speed, </w:t>
      </w:r>
      <w:r w:rsidRPr="00656526">
        <w:rPr>
          <w:lang w:val="en-CA"/>
        </w:rPr>
        <w:t>low</w:t>
      </w:r>
      <w:r w:rsidR="00CD09F9" w:rsidRPr="00656526">
        <w:rPr>
          <w:lang w:val="en-CA"/>
        </w:rPr>
        <w:t>-</w:t>
      </w:r>
      <w:r w:rsidRPr="00656526">
        <w:rPr>
          <w:lang w:val="en-CA"/>
        </w:rPr>
        <w:t>latency</w:t>
      </w:r>
      <w:r w:rsidR="009449A6" w:rsidRPr="00656526">
        <w:rPr>
          <w:lang w:val="en-CA"/>
        </w:rPr>
        <w:t>,</w:t>
      </w:r>
      <w:r w:rsidRPr="00656526">
        <w:rPr>
          <w:lang w:val="en-CA"/>
        </w:rPr>
        <w:t xml:space="preserve"> affordable, </w:t>
      </w:r>
      <w:r w:rsidR="00E97922" w:rsidRPr="00656526">
        <w:rPr>
          <w:lang w:val="en-CA"/>
        </w:rPr>
        <w:t xml:space="preserve">low Earth orbit (LEO) </w:t>
      </w:r>
      <w:r w:rsidRPr="00656526">
        <w:rPr>
          <w:lang w:val="en-CA"/>
        </w:rPr>
        <w:t>satellite</w:t>
      </w:r>
      <w:r w:rsidR="00D8090A" w:rsidRPr="00656526">
        <w:rPr>
          <w:lang w:val="en-CA"/>
        </w:rPr>
        <w:t>-</w:t>
      </w:r>
      <w:r w:rsidRPr="00656526">
        <w:rPr>
          <w:lang w:val="en-CA"/>
        </w:rPr>
        <w:t xml:space="preserve">based </w:t>
      </w:r>
      <w:r w:rsidR="009449A6" w:rsidRPr="00656526">
        <w:rPr>
          <w:lang w:val="en-CA"/>
        </w:rPr>
        <w:t>I</w:t>
      </w:r>
      <w:r w:rsidRPr="00656526">
        <w:rPr>
          <w:lang w:val="en-CA"/>
        </w:rPr>
        <w:t>nternet system</w:t>
      </w:r>
      <w:r w:rsidR="009449A6" w:rsidRPr="00656526">
        <w:rPr>
          <w:lang w:val="en-CA"/>
        </w:rPr>
        <w:t xml:space="preserve"> for consumers</w:t>
      </w:r>
      <w:r w:rsidRPr="00656526">
        <w:rPr>
          <w:lang w:val="en-CA"/>
        </w:rPr>
        <w:t xml:space="preserve"> </w:t>
      </w:r>
      <w:r w:rsidR="009449A6" w:rsidRPr="00656526">
        <w:rPr>
          <w:lang w:val="en-CA"/>
        </w:rPr>
        <w:t>(see Exhibit 1)</w:t>
      </w:r>
      <w:r w:rsidRPr="00656526">
        <w:rPr>
          <w:lang w:val="en-CA"/>
        </w:rPr>
        <w:t>.</w:t>
      </w:r>
      <w:r w:rsidR="00B6015C" w:rsidRPr="00656526">
        <w:rPr>
          <w:rStyle w:val="EndnoteReference"/>
          <w:lang w:val="en-CA"/>
        </w:rPr>
        <w:endnoteReference w:id="2"/>
      </w:r>
      <w:r w:rsidRPr="00656526">
        <w:rPr>
          <w:lang w:val="en-CA"/>
        </w:rPr>
        <w:t xml:space="preserve"> </w:t>
      </w:r>
      <w:r w:rsidR="00214B32" w:rsidRPr="00656526">
        <w:rPr>
          <w:lang w:val="en-CA"/>
        </w:rPr>
        <w:t>T</w:t>
      </w:r>
      <w:r w:rsidR="009449A6" w:rsidRPr="00656526">
        <w:rPr>
          <w:lang w:val="en-CA"/>
        </w:rPr>
        <w:t>he system</w:t>
      </w:r>
      <w:r w:rsidR="00D8090A" w:rsidRPr="00656526">
        <w:rPr>
          <w:lang w:val="en-CA"/>
        </w:rPr>
        <w:t>’</w:t>
      </w:r>
      <w:r w:rsidR="009449A6" w:rsidRPr="00656526">
        <w:rPr>
          <w:lang w:val="en-CA"/>
        </w:rPr>
        <w:t xml:space="preserve">s </w:t>
      </w:r>
      <w:r w:rsidRPr="00656526">
        <w:rPr>
          <w:lang w:val="en-CA"/>
        </w:rPr>
        <w:t xml:space="preserve">satellites were </w:t>
      </w:r>
      <w:r w:rsidR="00CD09F9" w:rsidRPr="00656526">
        <w:rPr>
          <w:lang w:val="en-CA"/>
        </w:rPr>
        <w:t>e</w:t>
      </w:r>
      <w:r w:rsidRPr="00656526">
        <w:rPr>
          <w:lang w:val="en-CA"/>
        </w:rPr>
        <w:t xml:space="preserve">specially meant </w:t>
      </w:r>
      <w:r w:rsidR="00367B3B" w:rsidRPr="00656526">
        <w:rPr>
          <w:lang w:val="en-CA"/>
        </w:rPr>
        <w:t xml:space="preserve">to service </w:t>
      </w:r>
      <w:r w:rsidRPr="00656526">
        <w:rPr>
          <w:lang w:val="en-CA"/>
        </w:rPr>
        <w:t xml:space="preserve">rural </w:t>
      </w:r>
      <w:r w:rsidR="0061736E" w:rsidRPr="00656526">
        <w:rPr>
          <w:lang w:val="en-CA"/>
        </w:rPr>
        <w:t xml:space="preserve">and remote </w:t>
      </w:r>
      <w:r w:rsidRPr="00656526">
        <w:rPr>
          <w:lang w:val="en-CA"/>
        </w:rPr>
        <w:t>areas where terrestrial broadband service could not be established.</w:t>
      </w:r>
      <w:r w:rsidR="00B6015C" w:rsidRPr="00656526">
        <w:rPr>
          <w:rStyle w:val="EndnoteReference"/>
          <w:lang w:val="en-CA"/>
        </w:rPr>
        <w:endnoteReference w:id="3"/>
      </w:r>
      <w:r w:rsidR="00B6015C" w:rsidRPr="00656526">
        <w:rPr>
          <w:lang w:val="en-CA"/>
        </w:rPr>
        <w:t xml:space="preserve"> </w:t>
      </w:r>
      <w:r w:rsidR="000D1C9B" w:rsidRPr="00656526">
        <w:rPr>
          <w:lang w:val="en-CA"/>
        </w:rPr>
        <w:t xml:space="preserve">If </w:t>
      </w:r>
      <w:r w:rsidR="00DA3169" w:rsidRPr="00656526">
        <w:rPr>
          <w:lang w:val="en-CA"/>
        </w:rPr>
        <w:t xml:space="preserve">the </w:t>
      </w:r>
      <w:r w:rsidR="000D1C9B" w:rsidRPr="00656526">
        <w:rPr>
          <w:lang w:val="en-CA"/>
        </w:rPr>
        <w:t>revenue projections were accurate, the project could be lucrative, which for</w:t>
      </w:r>
      <w:r w:rsidR="000D1C9B" w:rsidRPr="00656526">
        <w:rPr>
          <w:spacing w:val="1"/>
          <w:lang w:val="en-CA"/>
        </w:rPr>
        <w:t xml:space="preserve"> Musk meant that he could use the business of </w:t>
      </w:r>
      <w:r w:rsidR="000D1C9B" w:rsidRPr="00656526">
        <w:rPr>
          <w:lang w:val="en-CA"/>
        </w:rPr>
        <w:t>satellite Internet</w:t>
      </w:r>
      <w:r w:rsidR="000D1C9B" w:rsidRPr="00656526">
        <w:rPr>
          <w:spacing w:val="1"/>
          <w:lang w:val="en-CA"/>
        </w:rPr>
        <w:t xml:space="preserve"> to fund SpaceX’s ultimate </w:t>
      </w:r>
      <w:r w:rsidR="00E97922" w:rsidRPr="00656526">
        <w:rPr>
          <w:spacing w:val="1"/>
          <w:lang w:val="en-CA"/>
        </w:rPr>
        <w:t xml:space="preserve">and expensive </w:t>
      </w:r>
      <w:r w:rsidR="000D1C9B" w:rsidRPr="00656526">
        <w:rPr>
          <w:spacing w:val="1"/>
          <w:lang w:val="en-CA"/>
        </w:rPr>
        <w:t>mission of</w:t>
      </w:r>
      <w:r w:rsidR="000D1C9B" w:rsidRPr="00335657">
        <w:rPr>
          <w:spacing w:val="1"/>
          <w:lang w:val="en-CA"/>
        </w:rPr>
        <w:t xml:space="preserve"> sending humans to Mars.</w:t>
      </w:r>
      <w:r w:rsidR="000D1C9B" w:rsidRPr="00335657">
        <w:rPr>
          <w:rStyle w:val="EndnoteReference"/>
          <w:lang w:val="en-CA"/>
        </w:rPr>
        <w:endnoteReference w:id="4"/>
      </w:r>
      <w:r w:rsidR="000D1C9B" w:rsidRPr="00335657">
        <w:rPr>
          <w:spacing w:val="1"/>
          <w:lang w:val="en-CA"/>
        </w:rPr>
        <w:t xml:space="preserve"> </w:t>
      </w:r>
    </w:p>
    <w:p w14:paraId="73A1C358" w14:textId="77777777" w:rsidR="00367B3B" w:rsidRPr="00335657" w:rsidRDefault="00367B3B" w:rsidP="00656526">
      <w:pPr>
        <w:pStyle w:val="BodyTextMain"/>
        <w:rPr>
          <w:shd w:val="clear" w:color="auto" w:fill="FFFFFF"/>
          <w:lang w:val="en-CA"/>
        </w:rPr>
      </w:pPr>
    </w:p>
    <w:p w14:paraId="7201B73E" w14:textId="07020001" w:rsidR="004A088E" w:rsidRPr="00335657" w:rsidRDefault="00367B3B" w:rsidP="00656526">
      <w:pPr>
        <w:pStyle w:val="BodyTextMain"/>
        <w:rPr>
          <w:spacing w:val="1"/>
          <w:lang w:val="en-CA"/>
        </w:rPr>
      </w:pPr>
      <w:r w:rsidRPr="00656526">
        <w:rPr>
          <w:lang w:val="en-CA"/>
        </w:rPr>
        <w:t>C</w:t>
      </w:r>
      <w:r w:rsidR="00D7763D" w:rsidRPr="00656526">
        <w:rPr>
          <w:lang w:val="en-CA"/>
        </w:rPr>
        <w:t xml:space="preserve">ompetition </w:t>
      </w:r>
      <w:r w:rsidRPr="00656526">
        <w:rPr>
          <w:lang w:val="en-CA"/>
        </w:rPr>
        <w:t xml:space="preserve">in the </w:t>
      </w:r>
      <w:r w:rsidR="00E97922" w:rsidRPr="00656526">
        <w:rPr>
          <w:lang w:val="en-CA"/>
        </w:rPr>
        <w:t xml:space="preserve">satellite Internet </w:t>
      </w:r>
      <w:r w:rsidRPr="00656526">
        <w:rPr>
          <w:lang w:val="en-CA"/>
        </w:rPr>
        <w:t xml:space="preserve">field </w:t>
      </w:r>
      <w:r w:rsidR="00D7763D" w:rsidRPr="00656526">
        <w:rPr>
          <w:lang w:val="en-CA"/>
        </w:rPr>
        <w:t>was increasing</w:t>
      </w:r>
      <w:r w:rsidR="00214B32" w:rsidRPr="00656526">
        <w:rPr>
          <w:lang w:val="en-CA"/>
        </w:rPr>
        <w:t>,</w:t>
      </w:r>
      <w:r w:rsidR="00D7763D" w:rsidRPr="00656526">
        <w:rPr>
          <w:lang w:val="en-CA"/>
        </w:rPr>
        <w:t xml:space="preserve"> </w:t>
      </w:r>
      <w:r w:rsidRPr="00656526">
        <w:rPr>
          <w:lang w:val="en-CA"/>
        </w:rPr>
        <w:t xml:space="preserve">with </w:t>
      </w:r>
      <w:r w:rsidR="00D7763D" w:rsidRPr="00656526">
        <w:rPr>
          <w:lang w:val="en-CA"/>
        </w:rPr>
        <w:t>players such as Telesat</w:t>
      </w:r>
      <w:r w:rsidR="00D8090A" w:rsidRPr="00656526">
        <w:rPr>
          <w:lang w:val="en-CA"/>
        </w:rPr>
        <w:t xml:space="preserve"> </w:t>
      </w:r>
      <w:r w:rsidR="008A26F6" w:rsidRPr="00656526">
        <w:rPr>
          <w:lang w:val="en-CA"/>
        </w:rPr>
        <w:t>Corp.</w:t>
      </w:r>
      <w:r w:rsidR="00D7763D" w:rsidRPr="00656526">
        <w:rPr>
          <w:lang w:val="en-CA"/>
        </w:rPr>
        <w:t xml:space="preserve">, OneWeb, and </w:t>
      </w:r>
      <w:r w:rsidR="00D8090A" w:rsidRPr="00656526">
        <w:rPr>
          <w:lang w:val="en-CA"/>
        </w:rPr>
        <w:t>Kuiper Systems LLC</w:t>
      </w:r>
      <w:r w:rsidR="00E97922" w:rsidRPr="00656526">
        <w:rPr>
          <w:lang w:val="en-CA"/>
        </w:rPr>
        <w:t xml:space="preserve"> (Amazon.com Inc.’s Project Kuiper</w:t>
      </w:r>
      <w:r w:rsidR="00D8090A" w:rsidRPr="00656526">
        <w:rPr>
          <w:lang w:val="en-CA"/>
        </w:rPr>
        <w:t>)</w:t>
      </w:r>
      <w:r w:rsidR="00D7763D" w:rsidRPr="00656526">
        <w:rPr>
          <w:lang w:val="en-CA"/>
        </w:rPr>
        <w:t xml:space="preserve"> also </w:t>
      </w:r>
      <w:r w:rsidRPr="00656526">
        <w:rPr>
          <w:lang w:val="en-CA"/>
        </w:rPr>
        <w:t xml:space="preserve">intending </w:t>
      </w:r>
      <w:r w:rsidR="00D7763D" w:rsidRPr="00656526">
        <w:rPr>
          <w:lang w:val="en-CA"/>
        </w:rPr>
        <w:t xml:space="preserve">to offer </w:t>
      </w:r>
      <w:bookmarkStart w:id="2" w:name="_Hlk48633202"/>
      <w:r w:rsidR="00D7763D" w:rsidRPr="00656526">
        <w:rPr>
          <w:lang w:val="en-CA"/>
        </w:rPr>
        <w:t xml:space="preserve">LEO </w:t>
      </w:r>
      <w:bookmarkEnd w:id="2"/>
      <w:r w:rsidR="00D7763D" w:rsidRPr="00656526">
        <w:rPr>
          <w:lang w:val="en-CA"/>
        </w:rPr>
        <w:t>satellite</w:t>
      </w:r>
      <w:r w:rsidR="00D96129" w:rsidRPr="00656526">
        <w:rPr>
          <w:lang w:val="en-CA"/>
        </w:rPr>
        <w:t xml:space="preserve"> </w:t>
      </w:r>
      <w:r w:rsidR="00474001" w:rsidRPr="00656526">
        <w:rPr>
          <w:lang w:val="en-CA"/>
        </w:rPr>
        <w:t>I</w:t>
      </w:r>
      <w:r w:rsidR="00D7763D" w:rsidRPr="00656526">
        <w:rPr>
          <w:lang w:val="en-CA"/>
        </w:rPr>
        <w:t>nternet.</w:t>
      </w:r>
      <w:r w:rsidR="00B6015C" w:rsidRPr="00656526">
        <w:rPr>
          <w:rStyle w:val="EndnoteReference"/>
          <w:lang w:val="en-CA"/>
        </w:rPr>
        <w:endnoteReference w:id="5"/>
      </w:r>
      <w:r w:rsidR="00B6015C" w:rsidRPr="00656526">
        <w:rPr>
          <w:lang w:val="en-CA"/>
        </w:rPr>
        <w:t xml:space="preserve"> </w:t>
      </w:r>
      <w:r w:rsidR="00D7763D" w:rsidRPr="00656526">
        <w:rPr>
          <w:lang w:val="en-CA"/>
        </w:rPr>
        <w:t xml:space="preserve">However, the </w:t>
      </w:r>
      <w:r w:rsidR="00D7763D" w:rsidRPr="00656526">
        <w:rPr>
          <w:spacing w:val="1"/>
          <w:lang w:val="en-CA"/>
        </w:rPr>
        <w:t>demand for LEO</w:t>
      </w:r>
      <w:r w:rsidR="00D7763D" w:rsidRPr="00656526">
        <w:rPr>
          <w:lang w:val="en-CA"/>
        </w:rPr>
        <w:t xml:space="preserve"> satellite </w:t>
      </w:r>
      <w:r w:rsidR="00474001" w:rsidRPr="00656526">
        <w:rPr>
          <w:lang w:val="en-CA"/>
        </w:rPr>
        <w:t>Internet</w:t>
      </w:r>
      <w:r w:rsidR="00D7763D" w:rsidRPr="00656526">
        <w:rPr>
          <w:spacing w:val="1"/>
          <w:lang w:val="en-CA"/>
        </w:rPr>
        <w:t xml:space="preserve"> was uncertain,</w:t>
      </w:r>
      <w:r w:rsidR="002C063C" w:rsidRPr="00656526">
        <w:rPr>
          <w:rStyle w:val="EndnoteReference"/>
          <w:lang w:val="en-CA"/>
        </w:rPr>
        <w:endnoteReference w:id="6"/>
      </w:r>
      <w:r w:rsidR="002C063C" w:rsidRPr="00656526">
        <w:rPr>
          <w:spacing w:val="1"/>
          <w:lang w:val="en-CA"/>
        </w:rPr>
        <w:t xml:space="preserve"> </w:t>
      </w:r>
      <w:r w:rsidR="00D7763D" w:rsidRPr="00656526">
        <w:rPr>
          <w:spacing w:val="1"/>
          <w:lang w:val="en-CA"/>
        </w:rPr>
        <w:t xml:space="preserve">especially after </w:t>
      </w:r>
      <w:r w:rsidR="00474001" w:rsidRPr="00656526">
        <w:rPr>
          <w:spacing w:val="1"/>
          <w:lang w:val="en-CA"/>
        </w:rPr>
        <w:t>the fifth</w:t>
      </w:r>
      <w:r w:rsidR="00CD09F9" w:rsidRPr="00656526">
        <w:rPr>
          <w:spacing w:val="1"/>
          <w:lang w:val="en-CA"/>
        </w:rPr>
        <w:t>-</w:t>
      </w:r>
      <w:r w:rsidR="00474001" w:rsidRPr="00656526">
        <w:rPr>
          <w:spacing w:val="1"/>
          <w:lang w:val="en-CA"/>
        </w:rPr>
        <w:t>generation mobile network</w:t>
      </w:r>
      <w:r w:rsidR="008B2921" w:rsidRPr="00656526">
        <w:rPr>
          <w:spacing w:val="1"/>
          <w:lang w:val="en-CA"/>
        </w:rPr>
        <w:t xml:space="preserve"> (5G) had been introduced</w:t>
      </w:r>
      <w:r w:rsidR="00CD09F9" w:rsidRPr="00656526">
        <w:rPr>
          <w:spacing w:val="1"/>
          <w:lang w:val="en-CA"/>
        </w:rPr>
        <w:t>,</w:t>
      </w:r>
      <w:r w:rsidR="008B2921" w:rsidRPr="00656526">
        <w:rPr>
          <w:spacing w:val="1"/>
          <w:lang w:val="en-CA"/>
        </w:rPr>
        <w:t xml:space="preserve"> and </w:t>
      </w:r>
      <w:r w:rsidR="00D7763D" w:rsidRPr="00656526">
        <w:rPr>
          <w:spacing w:val="1"/>
          <w:lang w:val="en-CA"/>
        </w:rPr>
        <w:t xml:space="preserve">players </w:t>
      </w:r>
      <w:r w:rsidR="00CD09F9" w:rsidRPr="00656526">
        <w:rPr>
          <w:spacing w:val="1"/>
          <w:lang w:val="en-CA"/>
        </w:rPr>
        <w:t xml:space="preserve">such as </w:t>
      </w:r>
      <w:r w:rsidR="00D7763D" w:rsidRPr="00656526">
        <w:rPr>
          <w:spacing w:val="1"/>
          <w:lang w:val="en-CA"/>
        </w:rPr>
        <w:t xml:space="preserve">T-Mobile promised to offer </w:t>
      </w:r>
      <w:r w:rsidR="008B2921" w:rsidRPr="00656526">
        <w:rPr>
          <w:spacing w:val="1"/>
          <w:lang w:val="en-CA"/>
        </w:rPr>
        <w:t xml:space="preserve">that </w:t>
      </w:r>
      <w:r w:rsidR="00D7763D" w:rsidRPr="00656526">
        <w:rPr>
          <w:spacing w:val="1"/>
          <w:lang w:val="en-CA"/>
        </w:rPr>
        <w:t xml:space="preserve">service in </w:t>
      </w:r>
      <w:r w:rsidR="00CD09F9" w:rsidRPr="00656526">
        <w:rPr>
          <w:spacing w:val="1"/>
          <w:lang w:val="en-CA"/>
        </w:rPr>
        <w:t>both</w:t>
      </w:r>
      <w:r w:rsidR="00CD09F9" w:rsidRPr="00656526">
        <w:rPr>
          <w:spacing w:val="1"/>
          <w:shd w:val="clear" w:color="auto" w:fill="000000" w:themeFill="text1"/>
          <w:lang w:val="en-CA"/>
        </w:rPr>
        <w:t xml:space="preserve"> </w:t>
      </w:r>
      <w:r w:rsidR="00D7763D" w:rsidRPr="00335657">
        <w:rPr>
          <w:spacing w:val="1"/>
          <w:lang w:val="en-CA"/>
        </w:rPr>
        <w:t xml:space="preserve">rural </w:t>
      </w:r>
      <w:r w:rsidR="00CD09F9" w:rsidRPr="00335657">
        <w:rPr>
          <w:spacing w:val="1"/>
          <w:lang w:val="en-CA"/>
        </w:rPr>
        <w:t>and</w:t>
      </w:r>
      <w:r w:rsidR="008B2921" w:rsidRPr="00335657">
        <w:rPr>
          <w:spacing w:val="1"/>
          <w:lang w:val="en-CA"/>
        </w:rPr>
        <w:t xml:space="preserve"> urban </w:t>
      </w:r>
      <w:r w:rsidR="00D7763D" w:rsidRPr="00335657">
        <w:rPr>
          <w:spacing w:val="1"/>
          <w:lang w:val="en-CA"/>
        </w:rPr>
        <w:t>areas of the U</w:t>
      </w:r>
      <w:r w:rsidR="00474001" w:rsidRPr="00335657">
        <w:rPr>
          <w:spacing w:val="1"/>
          <w:lang w:val="en-CA"/>
        </w:rPr>
        <w:t xml:space="preserve">nited </w:t>
      </w:r>
      <w:r w:rsidR="00D7763D" w:rsidRPr="00335657">
        <w:rPr>
          <w:spacing w:val="1"/>
          <w:lang w:val="en-CA"/>
        </w:rPr>
        <w:t>S</w:t>
      </w:r>
      <w:r w:rsidR="00474001" w:rsidRPr="00335657">
        <w:rPr>
          <w:spacing w:val="1"/>
          <w:lang w:val="en-CA"/>
        </w:rPr>
        <w:t>tates</w:t>
      </w:r>
      <w:r w:rsidR="00D7763D" w:rsidRPr="00335657">
        <w:rPr>
          <w:spacing w:val="1"/>
          <w:lang w:val="en-CA"/>
        </w:rPr>
        <w:t>.</w:t>
      </w:r>
      <w:r w:rsidR="002C063C" w:rsidRPr="00335657">
        <w:rPr>
          <w:rStyle w:val="EndnoteReference"/>
          <w:lang w:val="en-CA"/>
        </w:rPr>
        <w:endnoteReference w:id="7"/>
      </w:r>
      <w:r w:rsidR="002C063C" w:rsidRPr="00335657">
        <w:rPr>
          <w:spacing w:val="1"/>
          <w:lang w:val="en-CA"/>
        </w:rPr>
        <w:t xml:space="preserve"> </w:t>
      </w:r>
    </w:p>
    <w:p w14:paraId="0FA619DC" w14:textId="77777777" w:rsidR="004A088E" w:rsidRPr="00335657" w:rsidRDefault="004A088E" w:rsidP="00656526">
      <w:pPr>
        <w:pStyle w:val="BodyTextMain"/>
        <w:rPr>
          <w:spacing w:val="1"/>
          <w:lang w:val="en-CA"/>
        </w:rPr>
      </w:pPr>
    </w:p>
    <w:p w14:paraId="3A1BA144" w14:textId="522F984F" w:rsidR="00E541F9" w:rsidRPr="00335657" w:rsidRDefault="00E541F9" w:rsidP="00656526">
      <w:pPr>
        <w:pStyle w:val="BodyTextMain"/>
        <w:rPr>
          <w:spacing w:val="1"/>
          <w:lang w:val="en-CA"/>
        </w:rPr>
      </w:pPr>
      <w:r w:rsidRPr="00656526">
        <w:rPr>
          <w:spacing w:val="1"/>
          <w:lang w:val="en-CA"/>
        </w:rPr>
        <w:t xml:space="preserve">SpaceX’s biggest challenge </w:t>
      </w:r>
      <w:r w:rsidR="00CD09F9" w:rsidRPr="00656526">
        <w:rPr>
          <w:spacing w:val="1"/>
          <w:lang w:val="en-CA"/>
        </w:rPr>
        <w:t>would</w:t>
      </w:r>
      <w:r w:rsidR="0061736E" w:rsidRPr="00656526">
        <w:rPr>
          <w:spacing w:val="1"/>
          <w:lang w:val="en-CA"/>
        </w:rPr>
        <w:t xml:space="preserve"> be </w:t>
      </w:r>
      <w:r w:rsidRPr="00656526">
        <w:rPr>
          <w:spacing w:val="1"/>
          <w:lang w:val="en-CA"/>
        </w:rPr>
        <w:t>differentiating itself from other broadband constellations operating in LEO.</w:t>
      </w:r>
      <w:r w:rsidRPr="00656526">
        <w:rPr>
          <w:rStyle w:val="EndnoteReference"/>
          <w:lang w:val="en-CA"/>
        </w:rPr>
        <w:endnoteReference w:id="8"/>
      </w:r>
      <w:r w:rsidRPr="00656526">
        <w:rPr>
          <w:spacing w:val="1"/>
          <w:lang w:val="en-CA"/>
        </w:rPr>
        <w:t xml:space="preserve"> In the 1990s, LEO satellites launched by companies such as </w:t>
      </w:r>
      <w:r w:rsidRPr="00656526">
        <w:rPr>
          <w:lang w:val="en-CA"/>
        </w:rPr>
        <w:t>Iridium Communications</w:t>
      </w:r>
      <w:r w:rsidRPr="00656526">
        <w:rPr>
          <w:spacing w:val="1"/>
          <w:lang w:val="en-CA"/>
        </w:rPr>
        <w:t xml:space="preserve"> Inc. (Iridium) did not succeed.</w:t>
      </w:r>
      <w:r w:rsidRPr="00656526">
        <w:rPr>
          <w:rStyle w:val="EndnoteReference"/>
          <w:lang w:val="en-CA"/>
        </w:rPr>
        <w:endnoteReference w:id="9"/>
      </w:r>
      <w:r w:rsidRPr="00656526">
        <w:rPr>
          <w:spacing w:val="1"/>
          <w:lang w:val="en-CA"/>
        </w:rPr>
        <w:t xml:space="preserve"> Acknowledging past failures of the </w:t>
      </w:r>
      <w:r w:rsidRPr="00656526">
        <w:rPr>
          <w:lang w:val="en-CA"/>
        </w:rPr>
        <w:t>satellite Internet system</w:t>
      </w:r>
      <w:r w:rsidRPr="00656526">
        <w:rPr>
          <w:spacing w:val="1"/>
          <w:lang w:val="en-CA"/>
        </w:rPr>
        <w:t>, Musk said, “No one has ever succeeded in making a viable low Earth orbit communication constellation right off the bat.”</w:t>
      </w:r>
      <w:r w:rsidRPr="00335657">
        <w:rPr>
          <w:spacing w:val="1"/>
          <w:lang w:val="en-CA"/>
        </w:rPr>
        <w:t xml:space="preserve"> He added, “I do believe we’ll be successful, but it is far from a sure thing.”</w:t>
      </w:r>
      <w:r w:rsidRPr="00335657">
        <w:rPr>
          <w:rStyle w:val="EndnoteReference"/>
          <w:lang w:val="en-CA"/>
        </w:rPr>
        <w:endnoteReference w:id="10"/>
      </w:r>
      <w:r w:rsidRPr="00335657">
        <w:rPr>
          <w:spacing w:val="1"/>
          <w:lang w:val="en-CA"/>
        </w:rPr>
        <w:t xml:space="preserve"> Yet by July 2020, SpaceX had launched more than 500 Starlink satellites and was beginning the beta testing of these satellites.</w:t>
      </w:r>
      <w:r w:rsidRPr="00335657">
        <w:rPr>
          <w:rStyle w:val="EndnoteReference"/>
          <w:lang w:val="en-CA"/>
        </w:rPr>
        <w:endnoteReference w:id="11"/>
      </w:r>
      <w:r w:rsidRPr="00335657">
        <w:rPr>
          <w:spacing w:val="1"/>
          <w:lang w:val="en-CA"/>
        </w:rPr>
        <w:t xml:space="preserve"> </w:t>
      </w:r>
    </w:p>
    <w:p w14:paraId="7F90F370" w14:textId="77777777" w:rsidR="00E541F9" w:rsidRPr="00335657" w:rsidRDefault="00E541F9" w:rsidP="00656526">
      <w:pPr>
        <w:pStyle w:val="BodyTextMain"/>
        <w:rPr>
          <w:spacing w:val="1"/>
          <w:lang w:val="en-CA"/>
        </w:rPr>
      </w:pPr>
    </w:p>
    <w:p w14:paraId="5C5BB530" w14:textId="335C1EF0" w:rsidR="00E541F9" w:rsidRPr="00335657" w:rsidRDefault="00E541F9" w:rsidP="00656526">
      <w:pPr>
        <w:pStyle w:val="BodyTextMain"/>
        <w:rPr>
          <w:spacing w:val="1"/>
          <w:lang w:val="en-CA"/>
        </w:rPr>
      </w:pPr>
      <w:r w:rsidRPr="00335657">
        <w:rPr>
          <w:spacing w:val="1"/>
          <w:lang w:val="en-CA"/>
        </w:rPr>
        <w:t xml:space="preserve">Still, 500 satellites barely </w:t>
      </w:r>
      <w:r w:rsidR="00CD09F9" w:rsidRPr="00335657">
        <w:rPr>
          <w:spacing w:val="1"/>
          <w:lang w:val="en-CA"/>
        </w:rPr>
        <w:t xml:space="preserve">represented </w:t>
      </w:r>
      <w:r w:rsidRPr="00335657">
        <w:rPr>
          <w:spacing w:val="1"/>
          <w:lang w:val="en-CA"/>
        </w:rPr>
        <w:t xml:space="preserve">a start. Complete coverage of Earth with “moderate” Internet service would require 12,000 LEO Starlink satellites, </w:t>
      </w:r>
      <w:r w:rsidR="0061736E" w:rsidRPr="00335657">
        <w:rPr>
          <w:spacing w:val="1"/>
          <w:lang w:val="en-CA"/>
        </w:rPr>
        <w:t xml:space="preserve">which created another challenge: </w:t>
      </w:r>
      <w:r w:rsidR="00CD09F9" w:rsidRPr="00335657">
        <w:rPr>
          <w:spacing w:val="1"/>
          <w:lang w:val="en-CA"/>
        </w:rPr>
        <w:t xml:space="preserve">overcoming </w:t>
      </w:r>
      <w:r w:rsidR="0061736E" w:rsidRPr="00335657">
        <w:rPr>
          <w:spacing w:val="1"/>
          <w:lang w:val="en-CA"/>
        </w:rPr>
        <w:t xml:space="preserve">the worsening </w:t>
      </w:r>
      <w:r w:rsidRPr="00335657">
        <w:rPr>
          <w:spacing w:val="1"/>
          <w:lang w:val="en-CA"/>
        </w:rPr>
        <w:t>problem of space debris and obstacles for astronomers.</w:t>
      </w:r>
      <w:r w:rsidRPr="00335657">
        <w:rPr>
          <w:lang w:val="en-CA"/>
        </w:rPr>
        <w:t xml:space="preserve"> </w:t>
      </w:r>
      <w:r w:rsidRPr="00335657">
        <w:rPr>
          <w:spacing w:val="1"/>
          <w:lang w:val="en-CA"/>
        </w:rPr>
        <w:t>On July 26, 2020, Starlink satellites had already ruined images of the NEOWISE comet,</w:t>
      </w:r>
      <w:r w:rsidRPr="00335657">
        <w:rPr>
          <w:rStyle w:val="EndnoteReference"/>
          <w:spacing w:val="1"/>
          <w:lang w:val="en-CA"/>
        </w:rPr>
        <w:endnoteReference w:id="12"/>
      </w:r>
      <w:r w:rsidRPr="00335657">
        <w:rPr>
          <w:spacing w:val="1"/>
          <w:lang w:val="en-CA"/>
        </w:rPr>
        <w:t xml:space="preserve"> which astronomers were keenly observing.</w:t>
      </w:r>
      <w:r w:rsidRPr="00335657">
        <w:rPr>
          <w:rStyle w:val="EndnoteReference"/>
          <w:lang w:val="en-CA"/>
        </w:rPr>
        <w:endnoteReference w:id="13"/>
      </w:r>
      <w:r w:rsidRPr="00335657">
        <w:rPr>
          <w:lang w:val="en-CA"/>
        </w:rPr>
        <w:t xml:space="preserve"> </w:t>
      </w:r>
      <w:bookmarkStart w:id="4" w:name="_Hlk48663076"/>
    </w:p>
    <w:p w14:paraId="2FB7850D" w14:textId="77777777" w:rsidR="00E541F9" w:rsidRPr="00335657" w:rsidRDefault="00E541F9" w:rsidP="00656526">
      <w:pPr>
        <w:pStyle w:val="BodyTextMain"/>
        <w:rPr>
          <w:lang w:val="en-CA"/>
        </w:rPr>
      </w:pPr>
    </w:p>
    <w:p w14:paraId="759C065E" w14:textId="5759907E" w:rsidR="00E541F9" w:rsidRPr="00335657" w:rsidRDefault="00E541F9" w:rsidP="00656526">
      <w:pPr>
        <w:pStyle w:val="BodyTextMain"/>
        <w:rPr>
          <w:lang w:val="en-CA"/>
        </w:rPr>
      </w:pPr>
      <w:r w:rsidRPr="00335657">
        <w:rPr>
          <w:lang w:val="en-CA"/>
        </w:rPr>
        <w:t>Musk had some analysis and planning to do. How should he organize and prioritize known information about the various issues Starlink was facing? Who, exactly, were Starlink’s competitors</w:t>
      </w:r>
      <w:r w:rsidR="00CD09F9" w:rsidRPr="00335657">
        <w:rPr>
          <w:lang w:val="en-CA"/>
        </w:rPr>
        <w:t>,</w:t>
      </w:r>
      <w:r w:rsidRPr="00335657">
        <w:rPr>
          <w:lang w:val="en-CA"/>
        </w:rPr>
        <w:t xml:space="preserve"> and how should SpaceX compete against them? </w:t>
      </w:r>
      <w:r w:rsidRPr="00335657">
        <w:rPr>
          <w:spacing w:val="1"/>
          <w:lang w:val="en-CA"/>
        </w:rPr>
        <w:t>Should Musk proceed with the project when demand was uncertain, or should he first fix the challenges of space debris and obstacles for astronomers?</w:t>
      </w:r>
      <w:bookmarkEnd w:id="4"/>
    </w:p>
    <w:p w14:paraId="7DAD3E5A" w14:textId="52B3C9A0" w:rsidR="00E541F9" w:rsidRPr="00335657" w:rsidRDefault="00E541F9" w:rsidP="00656526">
      <w:pPr>
        <w:pStyle w:val="BodyTextMain"/>
        <w:rPr>
          <w:lang w:val="en-CA"/>
        </w:rPr>
      </w:pPr>
    </w:p>
    <w:p w14:paraId="7A3E0CC9" w14:textId="77777777" w:rsidR="00E541F9" w:rsidRPr="00335657" w:rsidRDefault="00E541F9" w:rsidP="00656526">
      <w:pPr>
        <w:pStyle w:val="Casehead1"/>
        <w:rPr>
          <w:lang w:val="en-CA"/>
        </w:rPr>
      </w:pPr>
      <w:r w:rsidRPr="00335657">
        <w:rPr>
          <w:lang w:val="en-CA"/>
        </w:rPr>
        <w:lastRenderedPageBreak/>
        <w:t xml:space="preserve">BACKGROUND </w:t>
      </w:r>
    </w:p>
    <w:p w14:paraId="397D723B" w14:textId="77777777" w:rsidR="00E541F9" w:rsidRPr="00335657" w:rsidRDefault="00E541F9" w:rsidP="00656526">
      <w:pPr>
        <w:pStyle w:val="BodyTextMain"/>
        <w:keepNext/>
        <w:rPr>
          <w:lang w:val="en-CA"/>
        </w:rPr>
      </w:pPr>
    </w:p>
    <w:p w14:paraId="47333AAA" w14:textId="030663B4" w:rsidR="00E541F9" w:rsidRPr="00335657" w:rsidRDefault="00E541F9" w:rsidP="00656526">
      <w:pPr>
        <w:pStyle w:val="BodyTextMain"/>
        <w:rPr>
          <w:lang w:val="en-CA"/>
        </w:rPr>
      </w:pPr>
      <w:r w:rsidRPr="00335657">
        <w:rPr>
          <w:lang w:val="en-CA"/>
        </w:rPr>
        <w:t>In 2019, SpaceX raised US$1.33 billion</w:t>
      </w:r>
      <w:r w:rsidRPr="00335657">
        <w:rPr>
          <w:rStyle w:val="EndnoteReference"/>
          <w:lang w:val="en-CA"/>
        </w:rPr>
        <w:endnoteReference w:id="14"/>
      </w:r>
      <w:r w:rsidRPr="00335657">
        <w:rPr>
          <w:lang w:val="en-CA"/>
        </w:rPr>
        <w:t xml:space="preserve"> over three rounds of funding. It was working on three ambitious programs: Crew Dragon, </w:t>
      </w:r>
      <w:r w:rsidR="00DA3169" w:rsidRPr="00335657">
        <w:rPr>
          <w:lang w:val="en-CA"/>
        </w:rPr>
        <w:t>Starship</w:t>
      </w:r>
      <w:r w:rsidRPr="00335657">
        <w:rPr>
          <w:lang w:val="en-CA"/>
        </w:rPr>
        <w:t xml:space="preserve">, and </w:t>
      </w:r>
      <w:r w:rsidR="00DA3169" w:rsidRPr="00335657">
        <w:rPr>
          <w:lang w:val="en-CA"/>
        </w:rPr>
        <w:t>Starlink</w:t>
      </w:r>
      <w:r w:rsidRPr="00335657">
        <w:rPr>
          <w:lang w:val="en-CA"/>
        </w:rPr>
        <w:t xml:space="preserve">. Crew Dragon and Starship represented SpaceX’s efforts to fly people into space. </w:t>
      </w:r>
      <w:bookmarkStart w:id="5" w:name="_Hlk60722096"/>
      <w:r w:rsidRPr="00335657">
        <w:rPr>
          <w:lang w:val="en-CA"/>
        </w:rPr>
        <w:t>Starlink was intended to create a global network of small satellites to provide high-speed Internet. The network was known as a “megaconstellation,” with each megaconstellation having an interconnected system of approximately 12,000 satellites</w:t>
      </w:r>
      <w:bookmarkEnd w:id="5"/>
      <w:r w:rsidRPr="00335657">
        <w:rPr>
          <w:lang w:val="en-CA"/>
        </w:rPr>
        <w:t>.</w:t>
      </w:r>
      <w:r w:rsidRPr="00335657">
        <w:rPr>
          <w:rStyle w:val="EndnoteReference"/>
          <w:lang w:val="en-CA"/>
        </w:rPr>
        <w:endnoteReference w:id="15"/>
      </w:r>
      <w:r w:rsidRPr="00335657">
        <w:rPr>
          <w:lang w:val="en-CA"/>
        </w:rPr>
        <w:t xml:space="preserve"> </w:t>
      </w:r>
    </w:p>
    <w:p w14:paraId="29F8F2E6" w14:textId="77777777" w:rsidR="00E541F9" w:rsidRPr="00335657" w:rsidRDefault="00E541F9" w:rsidP="00656526">
      <w:pPr>
        <w:pStyle w:val="BodyTextMain"/>
        <w:rPr>
          <w:lang w:val="en-CA"/>
        </w:rPr>
      </w:pPr>
    </w:p>
    <w:p w14:paraId="69C4F330" w14:textId="7B06F270" w:rsidR="00E541F9" w:rsidRPr="00335657" w:rsidRDefault="00E541F9" w:rsidP="00656526">
      <w:pPr>
        <w:pStyle w:val="BodyTextMain"/>
        <w:rPr>
          <w:lang w:val="en-CA"/>
        </w:rPr>
      </w:pPr>
      <w:r w:rsidRPr="00335657">
        <w:rPr>
          <w:lang w:val="en-CA"/>
        </w:rPr>
        <w:t>According to SpaceX, developing the Starlink network could cost about $10 billion in total, but the company was managing the funds through internal sources only.</w:t>
      </w:r>
      <w:r w:rsidRPr="00335657">
        <w:rPr>
          <w:rStyle w:val="EndnoteReference"/>
          <w:lang w:val="en-CA"/>
        </w:rPr>
        <w:endnoteReference w:id="16"/>
      </w:r>
      <w:r w:rsidRPr="00335657">
        <w:rPr>
          <w:lang w:val="en-CA"/>
        </w:rPr>
        <w:t xml:space="preserve"> Jonathan Hofeller, SpaceX’s vice-president of Starlink and commercial sales, said, “We’ve been able to fund the development of Starlink primarily from our internal businesses.”</w:t>
      </w:r>
      <w:r w:rsidRPr="00335657">
        <w:rPr>
          <w:rStyle w:val="EndnoteReference"/>
          <w:lang w:val="en-CA"/>
        </w:rPr>
        <w:endnoteReference w:id="17"/>
      </w:r>
      <w:r w:rsidRPr="00335657">
        <w:rPr>
          <w:lang w:val="en-CA"/>
        </w:rPr>
        <w:t xml:space="preserve"> </w:t>
      </w:r>
    </w:p>
    <w:p w14:paraId="2E2A5B83" w14:textId="77777777" w:rsidR="00E541F9" w:rsidRPr="00335657" w:rsidRDefault="00E541F9" w:rsidP="00656526">
      <w:pPr>
        <w:pStyle w:val="BodyTextMain"/>
        <w:rPr>
          <w:lang w:val="en-CA"/>
        </w:rPr>
      </w:pPr>
    </w:p>
    <w:p w14:paraId="0881CFE7" w14:textId="45CB93B5" w:rsidR="00E541F9" w:rsidRPr="00335657" w:rsidRDefault="00E541F9" w:rsidP="00656526">
      <w:pPr>
        <w:pStyle w:val="BodyTextMain"/>
        <w:rPr>
          <w:spacing w:val="1"/>
          <w:lang w:val="en-CA"/>
        </w:rPr>
      </w:pPr>
      <w:r w:rsidRPr="00335657">
        <w:rPr>
          <w:spacing w:val="1"/>
          <w:lang w:val="en-CA"/>
        </w:rPr>
        <w:t xml:space="preserve">Starlink’s satellites were </w:t>
      </w:r>
      <w:r w:rsidR="00DA3169" w:rsidRPr="00335657">
        <w:rPr>
          <w:spacing w:val="1"/>
          <w:lang w:val="en-CA"/>
        </w:rPr>
        <w:t>22</w:t>
      </w:r>
      <w:r w:rsidR="00CD09F9" w:rsidRPr="00335657">
        <w:rPr>
          <w:spacing w:val="1"/>
          <w:lang w:val="en-CA"/>
        </w:rPr>
        <w:t>7-kilogram</w:t>
      </w:r>
      <w:r w:rsidRPr="00335657">
        <w:rPr>
          <w:spacing w:val="1"/>
          <w:lang w:val="en-CA"/>
        </w:rPr>
        <w:t xml:space="preserve"> “flat panel” satellites, expected to orbit the earth at an altitude of </w:t>
      </w:r>
      <w:r w:rsidR="00CD09F9" w:rsidRPr="00335657">
        <w:rPr>
          <w:spacing w:val="1"/>
          <w:lang w:val="en-CA"/>
        </w:rPr>
        <w:t xml:space="preserve">approximately </w:t>
      </w:r>
      <w:r w:rsidRPr="00335657">
        <w:rPr>
          <w:spacing w:val="1"/>
          <w:lang w:val="en-CA"/>
        </w:rPr>
        <w:t>550 kilometres.</w:t>
      </w:r>
      <w:r w:rsidRPr="00335657">
        <w:rPr>
          <w:rStyle w:val="EndnoteReference"/>
          <w:lang w:val="en-CA"/>
        </w:rPr>
        <w:endnoteReference w:id="18"/>
      </w:r>
      <w:r w:rsidRPr="00335657">
        <w:rPr>
          <w:lang w:val="en-CA"/>
        </w:rPr>
        <w:t xml:space="preserve"> Although </w:t>
      </w:r>
      <w:r w:rsidRPr="00335657">
        <w:rPr>
          <w:spacing w:val="1"/>
          <w:lang w:val="en-CA"/>
        </w:rPr>
        <w:t xml:space="preserve">Starlink’s first-generation satellites did not have the facility of </w:t>
      </w:r>
      <w:bookmarkStart w:id="7" w:name="_Hlk48223079"/>
      <w:r w:rsidRPr="00335657">
        <w:rPr>
          <w:spacing w:val="1"/>
          <w:lang w:val="en-CA"/>
        </w:rPr>
        <w:t>inter-satellite communication</w:t>
      </w:r>
      <w:bookmarkEnd w:id="7"/>
      <w:r w:rsidRPr="00335657">
        <w:rPr>
          <w:spacing w:val="1"/>
          <w:lang w:val="en-CA"/>
        </w:rPr>
        <w:t>, its second-generation satellites had this facility.</w:t>
      </w:r>
      <w:r w:rsidRPr="00335657">
        <w:rPr>
          <w:rStyle w:val="EndnoteReference"/>
          <w:lang w:val="en-CA"/>
        </w:rPr>
        <w:endnoteReference w:id="19"/>
      </w:r>
      <w:r w:rsidRPr="00335657">
        <w:rPr>
          <w:spacing w:val="1"/>
          <w:lang w:val="en-CA"/>
        </w:rPr>
        <w:t xml:space="preserve"> </w:t>
      </w:r>
    </w:p>
    <w:p w14:paraId="767583D5" w14:textId="77777777" w:rsidR="00E541F9" w:rsidRPr="00335657" w:rsidRDefault="00E541F9" w:rsidP="00656526">
      <w:pPr>
        <w:pStyle w:val="BodyTextMain"/>
        <w:rPr>
          <w:spacing w:val="1"/>
          <w:lang w:val="en-CA"/>
        </w:rPr>
      </w:pPr>
    </w:p>
    <w:p w14:paraId="1C941AFA" w14:textId="64B03CA7" w:rsidR="00E541F9" w:rsidRPr="00335657" w:rsidRDefault="00E541F9" w:rsidP="00656526">
      <w:pPr>
        <w:pStyle w:val="BodyTextMain"/>
        <w:rPr>
          <w:spacing w:val="1"/>
          <w:lang w:val="en-CA"/>
        </w:rPr>
      </w:pPr>
      <w:r w:rsidRPr="00335657">
        <w:rPr>
          <w:spacing w:val="1"/>
          <w:lang w:val="en-CA"/>
        </w:rPr>
        <w:t>On May 26, 2020, SpaceX filed an application with the US Federal Communications Commission (FCC) to launch a total of 30,000 Starlink second-generation satellites in addition to the first-generation satellites already approved.</w:t>
      </w:r>
      <w:r w:rsidRPr="00335657">
        <w:rPr>
          <w:rStyle w:val="EndnoteReference"/>
          <w:lang w:val="en-CA"/>
        </w:rPr>
        <w:endnoteReference w:id="20"/>
      </w:r>
      <w:r w:rsidRPr="00335657">
        <w:rPr>
          <w:lang w:val="en-CA"/>
        </w:rPr>
        <w:t xml:space="preserve"> </w:t>
      </w:r>
      <w:r w:rsidRPr="00335657">
        <w:rPr>
          <w:spacing w:val="1"/>
          <w:lang w:val="en-CA"/>
        </w:rPr>
        <w:t xml:space="preserve">By 2027, SpaceX intended to have </w:t>
      </w:r>
      <w:r w:rsidR="00AC449D" w:rsidRPr="00335657">
        <w:rPr>
          <w:spacing w:val="1"/>
          <w:lang w:val="en-CA"/>
        </w:rPr>
        <w:t>12,000</w:t>
      </w:r>
      <w:r w:rsidRPr="00335657">
        <w:rPr>
          <w:spacing w:val="1"/>
          <w:lang w:val="en-CA"/>
        </w:rPr>
        <w:t xml:space="preserve"> Starlink satellites in Earth’s orbit,</w:t>
      </w:r>
      <w:r w:rsidR="00896F4A" w:rsidRPr="00335657">
        <w:rPr>
          <w:rStyle w:val="EndnoteReference"/>
          <w:spacing w:val="1"/>
          <w:lang w:val="en-CA"/>
        </w:rPr>
        <w:endnoteReference w:id="21"/>
      </w:r>
      <w:r w:rsidRPr="00335657">
        <w:rPr>
          <w:spacing w:val="1"/>
          <w:lang w:val="en-CA"/>
        </w:rPr>
        <w:t xml:space="preserve"> providing high-speed Internet to millions of customers globally</w:t>
      </w:r>
      <w:r w:rsidR="00F65EE6" w:rsidRPr="00335657">
        <w:rPr>
          <w:spacing w:val="1"/>
          <w:lang w:val="en-CA"/>
        </w:rPr>
        <w:t>, with advantage of</w:t>
      </w:r>
      <w:r w:rsidR="00657F5C" w:rsidRPr="00335657">
        <w:rPr>
          <w:spacing w:val="1"/>
          <w:lang w:val="en-CA"/>
        </w:rPr>
        <w:t xml:space="preserve"> </w:t>
      </w:r>
      <w:r w:rsidR="00F65EE6" w:rsidRPr="00335657">
        <w:rPr>
          <w:lang w:val="en-CA"/>
        </w:rPr>
        <w:t>economies of scale for satellite manufacturing</w:t>
      </w:r>
      <w:r w:rsidRPr="00335657">
        <w:rPr>
          <w:spacing w:val="1"/>
          <w:lang w:val="en-CA"/>
        </w:rPr>
        <w:t>.</w:t>
      </w:r>
      <w:r w:rsidRPr="00335657">
        <w:rPr>
          <w:rStyle w:val="EndnoteReference"/>
          <w:lang w:val="en-CA"/>
        </w:rPr>
        <w:endnoteReference w:id="22"/>
      </w:r>
      <w:r w:rsidRPr="00335657">
        <w:rPr>
          <w:spacing w:val="1"/>
          <w:lang w:val="en-CA"/>
        </w:rPr>
        <w:t xml:space="preserve"> </w:t>
      </w:r>
    </w:p>
    <w:p w14:paraId="78DB9E9E" w14:textId="77777777" w:rsidR="00E541F9" w:rsidRPr="00335657" w:rsidRDefault="00E541F9" w:rsidP="00656526">
      <w:pPr>
        <w:pStyle w:val="BodyTextMain"/>
        <w:rPr>
          <w:spacing w:val="1"/>
          <w:lang w:val="en-CA"/>
        </w:rPr>
      </w:pPr>
    </w:p>
    <w:p w14:paraId="1C60FD46" w14:textId="2061381C" w:rsidR="00E541F9" w:rsidRPr="00335657" w:rsidRDefault="00E541F9" w:rsidP="00656526">
      <w:pPr>
        <w:pStyle w:val="BodyTextMain"/>
        <w:rPr>
          <w:spacing w:val="1"/>
          <w:lang w:val="en-CA"/>
        </w:rPr>
      </w:pPr>
      <w:r w:rsidRPr="00335657">
        <w:rPr>
          <w:spacing w:val="1"/>
          <w:lang w:val="en-CA"/>
        </w:rPr>
        <w:t>In 2020, SpaceX’s revenue was $1.2 billion, which was an increase of 20 per cent over 2019. The company employed 8,000 people.</w:t>
      </w:r>
      <w:r w:rsidRPr="00335657">
        <w:rPr>
          <w:rStyle w:val="EndnoteReference"/>
          <w:lang w:val="en-CA"/>
        </w:rPr>
        <w:endnoteReference w:id="23"/>
      </w:r>
      <w:r w:rsidRPr="00335657">
        <w:rPr>
          <w:spacing w:val="1"/>
          <w:lang w:val="en-CA"/>
        </w:rPr>
        <w:t xml:space="preserve"> SpaceX’s valuation increased from $12 billion in 2014 to $36 billion in June 2020.</w:t>
      </w:r>
      <w:r w:rsidRPr="00335657">
        <w:rPr>
          <w:rStyle w:val="EndnoteReference"/>
          <w:lang w:val="en-CA"/>
        </w:rPr>
        <w:endnoteReference w:id="24"/>
      </w:r>
      <w:r w:rsidRPr="00335657">
        <w:rPr>
          <w:spacing w:val="1"/>
          <w:lang w:val="en-CA"/>
        </w:rPr>
        <w:t xml:space="preserve"> Trefis</w:t>
      </w:r>
      <w:r w:rsidRPr="00335657">
        <w:rPr>
          <w:i/>
          <w:iCs/>
          <w:spacing w:val="1"/>
          <w:lang w:val="en-CA"/>
        </w:rPr>
        <w:t>,</w:t>
      </w:r>
      <w:r w:rsidRPr="00335657">
        <w:rPr>
          <w:spacing w:val="1"/>
          <w:lang w:val="en-CA"/>
        </w:rPr>
        <w:t xml:space="preserve"> an interactive financial community, expected Starlink to achieve a valuation of $30 billion by 2025 if it could generate $10.4 billion in revenue by then.</w:t>
      </w:r>
      <w:r w:rsidRPr="00335657">
        <w:rPr>
          <w:rStyle w:val="EndnoteReference"/>
          <w:lang w:val="en-CA"/>
        </w:rPr>
        <w:endnoteReference w:id="25"/>
      </w:r>
      <w:r w:rsidRPr="00335657">
        <w:rPr>
          <w:spacing w:val="1"/>
          <w:lang w:val="en-CA"/>
        </w:rPr>
        <w:t xml:space="preserve"> </w:t>
      </w:r>
    </w:p>
    <w:p w14:paraId="4FE1333B" w14:textId="430AA566" w:rsidR="00E541F9" w:rsidRPr="00335657" w:rsidRDefault="00E541F9" w:rsidP="00656526">
      <w:pPr>
        <w:pStyle w:val="BodyTextMain"/>
        <w:rPr>
          <w:lang w:val="en-CA"/>
        </w:rPr>
      </w:pPr>
    </w:p>
    <w:p w14:paraId="0A7824E8" w14:textId="77777777" w:rsidR="00E541F9" w:rsidRPr="00335657" w:rsidRDefault="00E541F9" w:rsidP="00656526">
      <w:pPr>
        <w:pStyle w:val="BodyTextMain"/>
        <w:rPr>
          <w:lang w:val="en-CA"/>
        </w:rPr>
      </w:pPr>
    </w:p>
    <w:p w14:paraId="0D773F3F" w14:textId="6E38AC5C" w:rsidR="00E541F9" w:rsidRPr="00335657" w:rsidRDefault="00E541F9" w:rsidP="00656526">
      <w:pPr>
        <w:pStyle w:val="Casehead1"/>
        <w:rPr>
          <w:lang w:val="en-CA"/>
        </w:rPr>
      </w:pPr>
      <w:r w:rsidRPr="00335657">
        <w:rPr>
          <w:lang w:val="en-CA"/>
        </w:rPr>
        <w:t xml:space="preserve">GEOSTATIONARY SATELLITE INTERNET PROVIDERS </w:t>
      </w:r>
    </w:p>
    <w:p w14:paraId="32C1FB13" w14:textId="77777777" w:rsidR="00E541F9" w:rsidRPr="00335657" w:rsidRDefault="00E541F9" w:rsidP="00656526">
      <w:pPr>
        <w:pStyle w:val="BodyTextMain"/>
        <w:rPr>
          <w:lang w:val="en-CA"/>
        </w:rPr>
      </w:pPr>
    </w:p>
    <w:p w14:paraId="27F7D02A" w14:textId="4594C4FA" w:rsidR="00E541F9" w:rsidRPr="00335657" w:rsidRDefault="00E541F9" w:rsidP="00656526">
      <w:pPr>
        <w:pStyle w:val="BodyTextMain"/>
        <w:rPr>
          <w:spacing w:val="1"/>
          <w:lang w:val="en-CA"/>
        </w:rPr>
      </w:pPr>
      <w:r w:rsidRPr="00335657">
        <w:rPr>
          <w:spacing w:val="1"/>
          <w:lang w:val="en-CA"/>
        </w:rPr>
        <w:t xml:space="preserve">In the United States, satellite Internet was primarily targeted to rural households </w:t>
      </w:r>
      <w:r w:rsidR="00C323C2" w:rsidRPr="00335657">
        <w:rPr>
          <w:spacing w:val="1"/>
          <w:lang w:val="en-CA"/>
        </w:rPr>
        <w:t xml:space="preserve">that </w:t>
      </w:r>
      <w:r w:rsidRPr="00335657">
        <w:rPr>
          <w:spacing w:val="1"/>
          <w:lang w:val="en-CA"/>
        </w:rPr>
        <w:t>could not be connected by fibre</w:t>
      </w:r>
      <w:r w:rsidR="009B3771" w:rsidRPr="00335657">
        <w:rPr>
          <w:spacing w:val="1"/>
          <w:lang w:val="en-CA"/>
        </w:rPr>
        <w:t>-optic</w:t>
      </w:r>
      <w:r w:rsidRPr="00335657">
        <w:rPr>
          <w:spacing w:val="1"/>
          <w:lang w:val="en-CA"/>
        </w:rPr>
        <w:t xml:space="preserve"> or </w:t>
      </w:r>
      <w:r w:rsidR="009B3771" w:rsidRPr="00335657">
        <w:rPr>
          <w:spacing w:val="1"/>
          <w:lang w:val="en-CA"/>
        </w:rPr>
        <w:t xml:space="preserve">coaxial </w:t>
      </w:r>
      <w:r w:rsidRPr="00335657">
        <w:rPr>
          <w:spacing w:val="1"/>
          <w:lang w:val="en-CA"/>
        </w:rPr>
        <w:t>cable due to problems with infrastructure or the cost to overcome those infrastructure challenges.</w:t>
      </w:r>
      <w:r w:rsidRPr="00335657">
        <w:rPr>
          <w:rStyle w:val="EndnoteReference"/>
          <w:lang w:val="en-CA"/>
        </w:rPr>
        <w:endnoteReference w:id="26"/>
      </w:r>
      <w:r w:rsidRPr="00335657">
        <w:rPr>
          <w:spacing w:val="1"/>
          <w:lang w:val="en-CA"/>
        </w:rPr>
        <w:t xml:space="preserve"> In those areas, Internet service was offered through geosynchronous satellites; however, the system had problems with latency</w:t>
      </w:r>
      <w:r w:rsidR="00C323C2" w:rsidRPr="00335657">
        <w:rPr>
          <w:spacing w:val="1"/>
          <w:lang w:val="en-CA"/>
        </w:rPr>
        <w:t>,</w:t>
      </w:r>
      <w:r w:rsidRPr="00335657">
        <w:rPr>
          <w:spacing w:val="1"/>
          <w:lang w:val="en-CA"/>
        </w:rPr>
        <w:t xml:space="preserve"> or lag. The need for the signal to fly thousands of </w:t>
      </w:r>
      <w:r w:rsidR="00C323C2" w:rsidRPr="00335657">
        <w:rPr>
          <w:spacing w:val="1"/>
          <w:lang w:val="en-CA"/>
        </w:rPr>
        <w:t xml:space="preserve">kilometres </w:t>
      </w:r>
      <w:r w:rsidRPr="00335657">
        <w:rPr>
          <w:spacing w:val="1"/>
          <w:lang w:val="en-CA"/>
        </w:rPr>
        <w:t>through space back and forth resulted in a delay of half a second—a significant problem for anything but basic data transmission over the Internet.</w:t>
      </w:r>
      <w:r w:rsidRPr="00335657">
        <w:rPr>
          <w:rStyle w:val="EndnoteReference"/>
          <w:lang w:val="en-CA"/>
        </w:rPr>
        <w:endnoteReference w:id="27"/>
      </w:r>
      <w:r w:rsidRPr="00335657">
        <w:rPr>
          <w:spacing w:val="1"/>
          <w:lang w:val="en-CA"/>
        </w:rPr>
        <w:t xml:space="preserve"> </w:t>
      </w:r>
    </w:p>
    <w:p w14:paraId="4E8B72EB" w14:textId="77777777" w:rsidR="00E541F9" w:rsidRPr="00335657" w:rsidRDefault="00E541F9" w:rsidP="00656526">
      <w:pPr>
        <w:pStyle w:val="BodyTextMain"/>
        <w:rPr>
          <w:spacing w:val="1"/>
          <w:lang w:val="en-CA"/>
        </w:rPr>
      </w:pPr>
    </w:p>
    <w:p w14:paraId="56C9E1AA" w14:textId="6F39E756" w:rsidR="00E541F9" w:rsidRPr="00335657" w:rsidRDefault="00E541F9" w:rsidP="00656526">
      <w:pPr>
        <w:pStyle w:val="BodyTextMain"/>
        <w:rPr>
          <w:lang w:val="en-CA"/>
        </w:rPr>
      </w:pPr>
      <w:r w:rsidRPr="00335657">
        <w:rPr>
          <w:lang w:val="en-CA"/>
        </w:rPr>
        <w:t>Geostationary satellite Internet providers earned most of their revenues from governments and businesses and not from household customers.</w:t>
      </w:r>
      <w:r w:rsidRPr="00335657">
        <w:rPr>
          <w:rStyle w:val="EndnoteReference"/>
          <w:lang w:val="en-CA"/>
        </w:rPr>
        <w:endnoteReference w:id="28"/>
      </w:r>
      <w:r w:rsidRPr="00335657">
        <w:rPr>
          <w:lang w:val="en-CA"/>
        </w:rPr>
        <w:t xml:space="preserve"> The market </w:t>
      </w:r>
      <w:r w:rsidRPr="00335657">
        <w:rPr>
          <w:spacing w:val="1"/>
          <w:lang w:val="en-CA"/>
        </w:rPr>
        <w:t xml:space="preserve">in the United States was dominated by two companies: Hughes Network Systems LLC (HughesNet) and Viasat Inc. </w:t>
      </w:r>
      <w:r w:rsidR="00DA3169" w:rsidRPr="00335657">
        <w:rPr>
          <w:spacing w:val="1"/>
          <w:lang w:val="en-CA"/>
        </w:rPr>
        <w:t xml:space="preserve">(Viasat). </w:t>
      </w:r>
      <w:r w:rsidRPr="00335657">
        <w:rPr>
          <w:spacing w:val="1"/>
          <w:lang w:val="en-CA"/>
        </w:rPr>
        <w:t xml:space="preserve">In 2019, HughesNet and Viasat </w:t>
      </w:r>
      <w:r w:rsidR="00BF4797" w:rsidRPr="00335657">
        <w:rPr>
          <w:lang w:val="en-CA"/>
        </w:rPr>
        <w:t>had a combined total of</w:t>
      </w:r>
      <w:r w:rsidR="00BF4797" w:rsidRPr="00335657" w:rsidDel="00BF4797">
        <w:rPr>
          <w:spacing w:val="1"/>
          <w:lang w:val="en-CA"/>
        </w:rPr>
        <w:t xml:space="preserve"> </w:t>
      </w:r>
      <w:r w:rsidRPr="00335657">
        <w:rPr>
          <w:spacing w:val="1"/>
          <w:lang w:val="en-CA"/>
        </w:rPr>
        <w:t>2.5 million satellite Internet customers.</w:t>
      </w:r>
      <w:r w:rsidRPr="00335657">
        <w:rPr>
          <w:rStyle w:val="EndnoteReference"/>
          <w:lang w:val="en-CA"/>
        </w:rPr>
        <w:endnoteReference w:id="29"/>
      </w:r>
      <w:r w:rsidRPr="00335657">
        <w:rPr>
          <w:spacing w:val="1"/>
          <w:lang w:val="en-CA"/>
        </w:rPr>
        <w:t xml:space="preserve"> </w:t>
      </w:r>
    </w:p>
    <w:p w14:paraId="19E327D4" w14:textId="77777777" w:rsidR="00E541F9" w:rsidRPr="00335657" w:rsidRDefault="00E541F9" w:rsidP="00656526">
      <w:pPr>
        <w:pStyle w:val="BodyTextMain"/>
        <w:rPr>
          <w:lang w:val="en-CA"/>
        </w:rPr>
      </w:pPr>
    </w:p>
    <w:p w14:paraId="214E6FAD" w14:textId="3D9CA23D" w:rsidR="00E541F9" w:rsidRPr="00335657" w:rsidRDefault="00E541F9" w:rsidP="00656526">
      <w:pPr>
        <w:pStyle w:val="BodyTextMain"/>
        <w:rPr>
          <w:lang w:val="en-CA"/>
        </w:rPr>
      </w:pPr>
      <w:r w:rsidRPr="00656526">
        <w:rPr>
          <w:lang w:val="en-CA"/>
        </w:rPr>
        <w:t>In the United States, where the average American family used more than 300 gigabytes (GB) of data per month,</w:t>
      </w:r>
      <w:r w:rsidRPr="00656526">
        <w:rPr>
          <w:rStyle w:val="EndnoteReference"/>
          <w:lang w:val="en-CA"/>
        </w:rPr>
        <w:endnoteReference w:id="30"/>
      </w:r>
      <w:r w:rsidRPr="00656526">
        <w:rPr>
          <w:lang w:val="en-CA"/>
        </w:rPr>
        <w:t xml:space="preserve"> 19 million people (</w:t>
      </w:r>
      <w:r w:rsidR="00C323C2" w:rsidRPr="00656526">
        <w:rPr>
          <w:lang w:val="en-CA"/>
        </w:rPr>
        <w:t xml:space="preserve">from an </w:t>
      </w:r>
      <w:r w:rsidRPr="00656526">
        <w:rPr>
          <w:lang w:val="en-CA"/>
        </w:rPr>
        <w:t xml:space="preserve">estimated 7.6 million households) still </w:t>
      </w:r>
      <w:r w:rsidR="00C323C2" w:rsidRPr="00656526">
        <w:rPr>
          <w:lang w:val="en-CA"/>
        </w:rPr>
        <w:t>lacked</w:t>
      </w:r>
      <w:r w:rsidRPr="00656526">
        <w:rPr>
          <w:lang w:val="en-CA"/>
        </w:rPr>
        <w:t xml:space="preserve"> access to fixed broadband Internet.</w:t>
      </w:r>
      <w:r w:rsidRPr="00656526">
        <w:rPr>
          <w:rStyle w:val="EndnoteReference"/>
          <w:lang w:val="en-CA"/>
        </w:rPr>
        <w:endnoteReference w:id="31"/>
      </w:r>
      <w:r w:rsidRPr="00656526">
        <w:rPr>
          <w:lang w:val="en-CA"/>
        </w:rPr>
        <w:t xml:space="preserve"> For those people, the options were dial-up service (</w:t>
      </w:r>
      <w:r w:rsidR="00C323C2" w:rsidRPr="00656526">
        <w:rPr>
          <w:lang w:val="en-CA"/>
        </w:rPr>
        <w:t xml:space="preserve">digital subscriber line, or </w:t>
      </w:r>
      <w:r w:rsidRPr="00656526">
        <w:rPr>
          <w:lang w:val="en-CA"/>
        </w:rPr>
        <w:t>DSL</w:t>
      </w:r>
      <w:r w:rsidR="00C323C2" w:rsidRPr="00656526">
        <w:rPr>
          <w:lang w:val="en-CA"/>
        </w:rPr>
        <w:t>; originally digital subscriber loop</w:t>
      </w:r>
      <w:r w:rsidRPr="00656526">
        <w:rPr>
          <w:lang w:val="en-CA"/>
        </w:rPr>
        <w:t>)</w:t>
      </w:r>
      <w:r w:rsidR="00C323C2" w:rsidRPr="00656526">
        <w:rPr>
          <w:lang w:val="en-CA"/>
        </w:rPr>
        <w:t xml:space="preserve">, which was </w:t>
      </w:r>
      <w:r w:rsidRPr="00656526">
        <w:rPr>
          <w:lang w:val="en-CA"/>
        </w:rPr>
        <w:t>a very slow Internet connection</w:t>
      </w:r>
      <w:r w:rsidR="00C323C2" w:rsidRPr="00656526">
        <w:rPr>
          <w:lang w:val="en-CA"/>
        </w:rPr>
        <w:t xml:space="preserve">, </w:t>
      </w:r>
      <w:r w:rsidRPr="00656526">
        <w:rPr>
          <w:lang w:val="en-CA"/>
        </w:rPr>
        <w:t>or satellite Internet. The average cost of a geostationary satellite Internet plan in the United States was approximately $100 per</w:t>
      </w:r>
      <w:r w:rsidRPr="00335657">
        <w:rPr>
          <w:lang w:val="en-CA"/>
        </w:rPr>
        <w:t xml:space="preserve"> month, while a </w:t>
      </w:r>
      <w:r w:rsidR="009B3771" w:rsidRPr="00335657">
        <w:rPr>
          <w:lang w:val="en-CA"/>
        </w:rPr>
        <w:t xml:space="preserve">coaxial </w:t>
      </w:r>
      <w:r w:rsidRPr="00335657">
        <w:rPr>
          <w:lang w:val="en-CA"/>
        </w:rPr>
        <w:t>cable or fibre</w:t>
      </w:r>
      <w:r w:rsidR="009B3771" w:rsidRPr="00335657">
        <w:rPr>
          <w:lang w:val="en-CA"/>
        </w:rPr>
        <w:t>-optic</w:t>
      </w:r>
      <w:r w:rsidRPr="00335657">
        <w:rPr>
          <w:lang w:val="en-CA"/>
        </w:rPr>
        <w:t xml:space="preserve"> </w:t>
      </w:r>
      <w:r w:rsidR="009B3771" w:rsidRPr="00335657">
        <w:rPr>
          <w:lang w:val="en-CA"/>
        </w:rPr>
        <w:t xml:space="preserve">cable </w:t>
      </w:r>
      <w:r w:rsidRPr="00335657">
        <w:rPr>
          <w:lang w:val="en-CA"/>
        </w:rPr>
        <w:t>plan averaged $50 per month.</w:t>
      </w:r>
      <w:r w:rsidRPr="00335657">
        <w:rPr>
          <w:rStyle w:val="EndnoteReference"/>
          <w:lang w:val="en-CA"/>
        </w:rPr>
        <w:endnoteReference w:id="32"/>
      </w:r>
      <w:r w:rsidRPr="00335657">
        <w:rPr>
          <w:lang w:val="en-CA"/>
        </w:rPr>
        <w:t xml:space="preserve"> </w:t>
      </w:r>
    </w:p>
    <w:p w14:paraId="3A7BA72A" w14:textId="4403E46E" w:rsidR="00E541F9" w:rsidRPr="00335657" w:rsidRDefault="00E541F9" w:rsidP="00656526">
      <w:pPr>
        <w:pStyle w:val="BodyTextMain"/>
        <w:rPr>
          <w:spacing w:val="-2"/>
          <w:lang w:val="en-CA"/>
        </w:rPr>
      </w:pPr>
      <w:r w:rsidRPr="00656526">
        <w:rPr>
          <w:spacing w:val="-2"/>
          <w:lang w:val="en-CA"/>
        </w:rPr>
        <w:lastRenderedPageBreak/>
        <w:t>In addition to the monthly service fee, Viasat charged $10 per month for equipment rentals (a satellite antenna and modem), with the option of paying a lifetime prepaid equipment lease for $300.</w:t>
      </w:r>
      <w:r w:rsidRPr="00656526">
        <w:rPr>
          <w:rStyle w:val="EndnoteReference"/>
          <w:spacing w:val="-2"/>
          <w:lang w:val="en-CA"/>
        </w:rPr>
        <w:endnoteReference w:id="33"/>
      </w:r>
      <w:r w:rsidRPr="00656526">
        <w:rPr>
          <w:spacing w:val="-2"/>
          <w:lang w:val="en-CA"/>
        </w:rPr>
        <w:t xml:space="preserve"> Viasat </w:t>
      </w:r>
      <w:r w:rsidR="00C323C2" w:rsidRPr="00656526">
        <w:rPr>
          <w:spacing w:val="-2"/>
          <w:lang w:val="en-CA"/>
        </w:rPr>
        <w:t xml:space="preserve">charged </w:t>
      </w:r>
      <w:r w:rsidRPr="00656526">
        <w:rPr>
          <w:spacing w:val="-2"/>
          <w:lang w:val="en-CA"/>
        </w:rPr>
        <w:t>a one-time installation fee of $100, but new customers were often successful in requesting a rebate.</w:t>
      </w:r>
      <w:r w:rsidRPr="00656526">
        <w:rPr>
          <w:rStyle w:val="EndnoteReference"/>
          <w:spacing w:val="-2"/>
          <w:lang w:val="en-CA"/>
        </w:rPr>
        <w:endnoteReference w:id="34"/>
      </w:r>
      <w:r w:rsidRPr="00656526">
        <w:rPr>
          <w:spacing w:val="-2"/>
          <w:lang w:val="en-CA"/>
        </w:rPr>
        <w:t xml:space="preserve"> HughesNet charged $15 per month plus a one-time $100 activation fee with an option to purchase the equipment for $450 (with the activation fee waived). Both companies held clients to a two-year contract.</w:t>
      </w:r>
      <w:r w:rsidRPr="00656526">
        <w:rPr>
          <w:rStyle w:val="EndnoteReference"/>
          <w:spacing w:val="-2"/>
          <w:lang w:val="en-CA"/>
        </w:rPr>
        <w:endnoteReference w:id="35"/>
      </w:r>
      <w:r w:rsidRPr="00656526">
        <w:rPr>
          <w:spacing w:val="-2"/>
          <w:lang w:val="en-CA"/>
        </w:rPr>
        <w:t xml:space="preserve"> HughesNet based its satellite Internet prices on a data cap. All of its packages offered the same speed—25 megabits per second (Mbps)—with the packages offering a range of 10–50 GB data per month before paying overage costs.</w:t>
      </w:r>
      <w:r w:rsidRPr="00656526">
        <w:rPr>
          <w:rStyle w:val="EndnoteReference"/>
          <w:spacing w:val="-2"/>
          <w:lang w:val="en-CA"/>
        </w:rPr>
        <w:endnoteReference w:id="36"/>
      </w:r>
      <w:r w:rsidRPr="00656526">
        <w:rPr>
          <w:spacing w:val="-2"/>
          <w:lang w:val="en-CA"/>
        </w:rPr>
        <w:t xml:space="preserve"> In contrast, Viasat offered packages based on both speed and data, with data caps for Internet satellite ranging</w:t>
      </w:r>
      <w:r w:rsidRPr="00335657">
        <w:rPr>
          <w:spacing w:val="-2"/>
          <w:shd w:val="clear" w:color="auto" w:fill="FFFFFF"/>
          <w:lang w:val="en-CA"/>
        </w:rPr>
        <w:t xml:space="preserve"> </w:t>
      </w:r>
      <w:r w:rsidRPr="00656526">
        <w:rPr>
          <w:spacing w:val="-2"/>
          <w:lang w:val="en-CA"/>
        </w:rPr>
        <w:t xml:space="preserve">from </w:t>
      </w:r>
      <w:r w:rsidR="00BF4797" w:rsidRPr="00656526">
        <w:rPr>
          <w:spacing w:val="-2"/>
          <w:lang w:val="en-CA"/>
        </w:rPr>
        <w:t>25-150</w:t>
      </w:r>
      <w:r w:rsidRPr="00656526">
        <w:rPr>
          <w:spacing w:val="-2"/>
          <w:lang w:val="en-CA"/>
        </w:rPr>
        <w:t xml:space="preserve"> GB per month and speed ranging from 12</w:t>
      </w:r>
      <w:r w:rsidR="00203989" w:rsidRPr="00656526">
        <w:rPr>
          <w:spacing w:val="-2"/>
          <w:lang w:val="en-CA"/>
        </w:rPr>
        <w:t>–</w:t>
      </w:r>
      <w:r w:rsidRPr="00656526">
        <w:rPr>
          <w:spacing w:val="-2"/>
          <w:lang w:val="en-CA"/>
        </w:rPr>
        <w:t>100 Mbps (see Exhibit 2).</w:t>
      </w:r>
      <w:r w:rsidRPr="00656526">
        <w:rPr>
          <w:rStyle w:val="EndnoteReference"/>
          <w:spacing w:val="-2"/>
          <w:lang w:val="en-CA"/>
        </w:rPr>
        <w:endnoteReference w:id="37"/>
      </w:r>
    </w:p>
    <w:p w14:paraId="34C8C41C" w14:textId="276F23CD" w:rsidR="00E541F9" w:rsidRPr="00335657" w:rsidRDefault="00E541F9" w:rsidP="00656526">
      <w:pPr>
        <w:pStyle w:val="BodyTextMain"/>
        <w:rPr>
          <w:lang w:val="en-CA"/>
        </w:rPr>
      </w:pPr>
    </w:p>
    <w:p w14:paraId="6DBD421E" w14:textId="1D39FAB9" w:rsidR="00E541F9" w:rsidRPr="00335657" w:rsidRDefault="00E541F9" w:rsidP="00656526">
      <w:pPr>
        <w:pStyle w:val="BodyTextMain"/>
        <w:rPr>
          <w:lang w:val="en-CA"/>
        </w:rPr>
      </w:pPr>
    </w:p>
    <w:p w14:paraId="15183573" w14:textId="070E27E7" w:rsidR="00E541F9" w:rsidRPr="00335657" w:rsidRDefault="00E541F9" w:rsidP="00656526">
      <w:pPr>
        <w:pStyle w:val="Casehead1"/>
        <w:rPr>
          <w:lang w:val="en-CA"/>
        </w:rPr>
      </w:pPr>
      <w:r w:rsidRPr="00335657">
        <w:rPr>
          <w:lang w:val="en-CA"/>
        </w:rPr>
        <w:t>LOW EARTH ORBIT (LEO) SATELLITE INTERNET SERVICE</w:t>
      </w:r>
    </w:p>
    <w:p w14:paraId="5CC736FF" w14:textId="77777777" w:rsidR="00E541F9" w:rsidRPr="00335657" w:rsidRDefault="00E541F9" w:rsidP="00656526">
      <w:pPr>
        <w:pStyle w:val="BodyTextMain"/>
        <w:rPr>
          <w:lang w:val="en-CA"/>
        </w:rPr>
      </w:pPr>
    </w:p>
    <w:p w14:paraId="5C2D81C7" w14:textId="43E49258" w:rsidR="00E541F9" w:rsidRPr="00335657" w:rsidRDefault="00E541F9" w:rsidP="00656526">
      <w:pPr>
        <w:pStyle w:val="BodyTextMain"/>
        <w:rPr>
          <w:lang w:val="en-CA"/>
        </w:rPr>
      </w:pPr>
      <w:r w:rsidRPr="00656526">
        <w:rPr>
          <w:spacing w:val="1"/>
          <w:lang w:val="en-CA"/>
        </w:rPr>
        <w:t xml:space="preserve">Until 2020, people in rural </w:t>
      </w:r>
      <w:r w:rsidR="003C7F82" w:rsidRPr="00656526">
        <w:rPr>
          <w:spacing w:val="1"/>
          <w:lang w:val="en-CA"/>
        </w:rPr>
        <w:t xml:space="preserve">and remote </w:t>
      </w:r>
      <w:r w:rsidRPr="00656526">
        <w:rPr>
          <w:spacing w:val="1"/>
          <w:lang w:val="en-CA"/>
        </w:rPr>
        <w:t xml:space="preserve">areas of the United States primarily relied on geostationary satellite Internet, which was expensive compared </w:t>
      </w:r>
      <w:r w:rsidR="00203989" w:rsidRPr="00656526">
        <w:rPr>
          <w:spacing w:val="1"/>
          <w:lang w:val="en-CA"/>
        </w:rPr>
        <w:t xml:space="preserve">with </w:t>
      </w:r>
      <w:r w:rsidRPr="00656526">
        <w:rPr>
          <w:spacing w:val="1"/>
          <w:lang w:val="en-CA"/>
        </w:rPr>
        <w:t>terrestrial Internet.</w:t>
      </w:r>
      <w:r w:rsidRPr="00656526">
        <w:rPr>
          <w:rStyle w:val="EndnoteReference"/>
          <w:lang w:val="en-CA"/>
        </w:rPr>
        <w:endnoteReference w:id="38"/>
      </w:r>
      <w:r w:rsidRPr="00656526">
        <w:rPr>
          <w:spacing w:val="1"/>
          <w:lang w:val="en-CA"/>
        </w:rPr>
        <w:t xml:space="preserve"> The pricing of LEO</w:t>
      </w:r>
      <w:r w:rsidRPr="00656526">
        <w:rPr>
          <w:lang w:val="en-CA"/>
        </w:rPr>
        <w:t xml:space="preserve"> satellite Internet</w:t>
      </w:r>
      <w:r w:rsidRPr="00335657">
        <w:rPr>
          <w:spacing w:val="1"/>
          <w:lang w:val="en-CA"/>
        </w:rPr>
        <w:t xml:space="preserve"> was not known (see Exhibit 2).</w:t>
      </w:r>
      <w:r w:rsidRPr="00335657">
        <w:rPr>
          <w:lang w:val="en-CA"/>
        </w:rPr>
        <w:t xml:space="preserve"> </w:t>
      </w:r>
    </w:p>
    <w:p w14:paraId="58D89F9C" w14:textId="77777777" w:rsidR="00E541F9" w:rsidRPr="00335657" w:rsidRDefault="00E541F9" w:rsidP="00656526">
      <w:pPr>
        <w:pStyle w:val="BodyTextMain"/>
        <w:rPr>
          <w:spacing w:val="1"/>
          <w:lang w:val="en-CA"/>
        </w:rPr>
      </w:pPr>
    </w:p>
    <w:p w14:paraId="3D1B120E" w14:textId="7664F4CB" w:rsidR="00E541F9" w:rsidRPr="00335657" w:rsidRDefault="00E541F9" w:rsidP="00656526">
      <w:pPr>
        <w:pStyle w:val="BodyTextMain"/>
        <w:rPr>
          <w:spacing w:val="-2"/>
          <w:kern w:val="22"/>
          <w:lang w:val="en-CA"/>
        </w:rPr>
      </w:pPr>
      <w:r w:rsidRPr="00335657">
        <w:rPr>
          <w:spacing w:val="-2"/>
          <w:kern w:val="22"/>
          <w:lang w:val="en-CA"/>
        </w:rPr>
        <w:t xml:space="preserve">Starlink and its competitors, such as OneWeb, Telesat, and Project Kuiper, planned to place thousands of broadband satellites into LEO instead of a geostationary orbit. </w:t>
      </w:r>
      <w:r w:rsidR="00203989" w:rsidRPr="00335657">
        <w:rPr>
          <w:spacing w:val="-2"/>
          <w:kern w:val="22"/>
          <w:lang w:val="en-CA"/>
        </w:rPr>
        <w:t xml:space="preserve">Using LEO </w:t>
      </w:r>
      <w:r w:rsidRPr="00335657">
        <w:rPr>
          <w:spacing w:val="-2"/>
          <w:kern w:val="22"/>
          <w:lang w:val="en-CA"/>
        </w:rPr>
        <w:t>could help the companies solve the half</w:t>
      </w:r>
      <w:r w:rsidR="00203989" w:rsidRPr="00335657">
        <w:rPr>
          <w:spacing w:val="-2"/>
          <w:kern w:val="22"/>
          <w:lang w:val="en-CA"/>
        </w:rPr>
        <w:t>-</w:t>
      </w:r>
      <w:r w:rsidRPr="00335657">
        <w:rPr>
          <w:spacing w:val="-2"/>
          <w:kern w:val="22"/>
          <w:lang w:val="en-CA"/>
        </w:rPr>
        <w:t xml:space="preserve">second latency problems of geostationary satellites, </w:t>
      </w:r>
      <w:r w:rsidR="00441709" w:rsidRPr="00335657">
        <w:rPr>
          <w:spacing w:val="-2"/>
          <w:kern w:val="22"/>
          <w:lang w:val="en-CA"/>
        </w:rPr>
        <w:t xml:space="preserve">as </w:t>
      </w:r>
      <w:r w:rsidRPr="00335657">
        <w:rPr>
          <w:spacing w:val="-2"/>
          <w:kern w:val="22"/>
          <w:lang w:val="en-CA"/>
        </w:rPr>
        <w:t xml:space="preserve">LEO satellites </w:t>
      </w:r>
      <w:r w:rsidR="00441709" w:rsidRPr="00335657">
        <w:rPr>
          <w:spacing w:val="-2"/>
          <w:kern w:val="22"/>
          <w:lang w:val="en-CA"/>
        </w:rPr>
        <w:t xml:space="preserve">had </w:t>
      </w:r>
      <w:r w:rsidRPr="00335657">
        <w:rPr>
          <w:spacing w:val="-2"/>
          <w:kern w:val="22"/>
          <w:lang w:val="en-CA"/>
        </w:rPr>
        <w:t xml:space="preserve">a delay of </w:t>
      </w:r>
      <w:r w:rsidR="00203989" w:rsidRPr="00335657">
        <w:rPr>
          <w:spacing w:val="-2"/>
          <w:kern w:val="22"/>
          <w:lang w:val="en-CA"/>
        </w:rPr>
        <w:t xml:space="preserve">approximately </w:t>
      </w:r>
      <w:r w:rsidRPr="00335657">
        <w:rPr>
          <w:spacing w:val="-2"/>
          <w:kern w:val="22"/>
          <w:lang w:val="en-CA"/>
        </w:rPr>
        <w:t>20 milliseconds—barely noticeable to the average user.</w:t>
      </w:r>
      <w:r w:rsidRPr="00335657">
        <w:rPr>
          <w:rStyle w:val="EndnoteReference"/>
          <w:spacing w:val="-2"/>
          <w:kern w:val="22"/>
          <w:lang w:val="en-CA"/>
        </w:rPr>
        <w:endnoteReference w:id="39"/>
      </w:r>
      <w:r w:rsidRPr="00335657">
        <w:rPr>
          <w:spacing w:val="-2"/>
          <w:kern w:val="22"/>
          <w:lang w:val="en-CA"/>
        </w:rPr>
        <w:t xml:space="preserve"> In February 2019, OneWeb launched its first batch of six satellites and by March 2020, it had launched a further 68 satellites.</w:t>
      </w:r>
      <w:r w:rsidRPr="00335657">
        <w:rPr>
          <w:rStyle w:val="EndnoteReference"/>
          <w:spacing w:val="-2"/>
          <w:kern w:val="22"/>
          <w:lang w:val="en-CA"/>
        </w:rPr>
        <w:endnoteReference w:id="40"/>
      </w:r>
      <w:r w:rsidRPr="00335657">
        <w:rPr>
          <w:spacing w:val="-2"/>
          <w:kern w:val="22"/>
          <w:lang w:val="en-CA"/>
        </w:rPr>
        <w:t xml:space="preserve"> In 2019, Amazon announced Project Kuiper and its intention to place more than 3,200 broadband satellites into LEO.</w:t>
      </w:r>
      <w:r w:rsidRPr="00335657">
        <w:rPr>
          <w:rStyle w:val="EndnoteReference"/>
          <w:spacing w:val="-2"/>
          <w:kern w:val="22"/>
          <w:lang w:val="en-CA"/>
        </w:rPr>
        <w:endnoteReference w:id="41"/>
      </w:r>
      <w:r w:rsidRPr="00335657">
        <w:rPr>
          <w:spacing w:val="-2"/>
          <w:kern w:val="22"/>
          <w:lang w:val="en-CA"/>
        </w:rPr>
        <w:t xml:space="preserve"> Telesat intended to place 78 satellites into LEO by 2022 and another 220 satellites by the end of 2023</w:t>
      </w:r>
      <w:r w:rsidR="006F0FC5" w:rsidRPr="00335657">
        <w:rPr>
          <w:spacing w:val="-2"/>
          <w:kern w:val="22"/>
          <w:lang w:val="en-CA"/>
        </w:rPr>
        <w:t xml:space="preserve"> (see Exhibit 3)</w:t>
      </w:r>
      <w:r w:rsidRPr="00335657">
        <w:rPr>
          <w:spacing w:val="-2"/>
          <w:kern w:val="22"/>
          <w:lang w:val="en-CA"/>
        </w:rPr>
        <w:t>.</w:t>
      </w:r>
      <w:r w:rsidRPr="00335657">
        <w:rPr>
          <w:rStyle w:val="EndnoteReference"/>
          <w:spacing w:val="-2"/>
          <w:kern w:val="22"/>
          <w:lang w:val="en-CA"/>
        </w:rPr>
        <w:endnoteReference w:id="42"/>
      </w:r>
      <w:r w:rsidRPr="00335657">
        <w:rPr>
          <w:spacing w:val="-2"/>
          <w:kern w:val="22"/>
          <w:lang w:val="en-CA"/>
        </w:rPr>
        <w:t xml:space="preserve"> </w:t>
      </w:r>
    </w:p>
    <w:p w14:paraId="092FC324" w14:textId="77777777" w:rsidR="00E541F9" w:rsidRPr="00335657" w:rsidRDefault="00E541F9" w:rsidP="00656526">
      <w:pPr>
        <w:pStyle w:val="BodyTextMain"/>
        <w:rPr>
          <w:spacing w:val="1"/>
          <w:lang w:val="en-CA"/>
        </w:rPr>
      </w:pPr>
    </w:p>
    <w:p w14:paraId="6195B3A5" w14:textId="7CE05290" w:rsidR="00E541F9" w:rsidRPr="00335657" w:rsidRDefault="00B01B16" w:rsidP="00656526">
      <w:pPr>
        <w:pStyle w:val="BodyTextMain"/>
        <w:rPr>
          <w:spacing w:val="1"/>
          <w:lang w:val="en-CA"/>
        </w:rPr>
      </w:pPr>
      <w:r w:rsidRPr="00335657">
        <w:rPr>
          <w:spacing w:val="1"/>
          <w:lang w:val="en-CA"/>
        </w:rPr>
        <w:t>By March 2020</w:t>
      </w:r>
      <w:r w:rsidR="00E541F9" w:rsidRPr="00335657">
        <w:rPr>
          <w:spacing w:val="1"/>
          <w:lang w:val="en-CA"/>
        </w:rPr>
        <w:t xml:space="preserve">, </w:t>
      </w:r>
      <w:r w:rsidR="00E541F9" w:rsidRPr="00656526">
        <w:rPr>
          <w:spacing w:val="1"/>
          <w:lang w:val="en-CA"/>
        </w:rPr>
        <w:t xml:space="preserve">SpaceX </w:t>
      </w:r>
      <w:r w:rsidR="00203989" w:rsidRPr="00656526">
        <w:rPr>
          <w:spacing w:val="1"/>
          <w:lang w:val="en-CA"/>
        </w:rPr>
        <w:t xml:space="preserve">had </w:t>
      </w:r>
      <w:r w:rsidR="00E541F9" w:rsidRPr="00656526">
        <w:rPr>
          <w:spacing w:val="1"/>
          <w:lang w:val="en-CA"/>
        </w:rPr>
        <w:t xml:space="preserve">received FCC approval for one million ground </w:t>
      </w:r>
      <w:r w:rsidR="002D743F" w:rsidRPr="00656526">
        <w:rPr>
          <w:spacing w:val="1"/>
          <w:lang w:val="en-CA"/>
        </w:rPr>
        <w:t>antenna</w:t>
      </w:r>
      <w:r w:rsidR="00441709" w:rsidRPr="00656526">
        <w:rPr>
          <w:spacing w:val="1"/>
          <w:lang w:val="en-CA"/>
        </w:rPr>
        <w:t>s</w:t>
      </w:r>
      <w:r w:rsidRPr="00656526">
        <w:rPr>
          <w:rStyle w:val="EndnoteReference"/>
          <w:spacing w:val="1"/>
          <w:lang w:val="en-CA"/>
        </w:rPr>
        <w:endnoteReference w:id="43"/>
      </w:r>
      <w:r w:rsidR="00441709" w:rsidRPr="00656526">
        <w:rPr>
          <w:spacing w:val="1"/>
          <w:lang w:val="en-CA"/>
        </w:rPr>
        <w:t xml:space="preserve"> </w:t>
      </w:r>
      <w:r w:rsidR="000E7703" w:rsidRPr="00656526">
        <w:rPr>
          <w:spacing w:val="1"/>
          <w:lang w:val="en-CA"/>
        </w:rPr>
        <w:t>(</w:t>
      </w:r>
      <w:r w:rsidR="00203989" w:rsidRPr="00656526">
        <w:rPr>
          <w:spacing w:val="1"/>
          <w:lang w:val="en-CA"/>
        </w:rPr>
        <w:t xml:space="preserve">approximately </w:t>
      </w:r>
      <w:r w:rsidR="000E7703" w:rsidRPr="00656526">
        <w:rPr>
          <w:spacing w:val="1"/>
          <w:lang w:val="en-CA"/>
        </w:rPr>
        <w:t>the size of a pizza box</w:t>
      </w:r>
      <w:r w:rsidR="000E7703" w:rsidRPr="00656526">
        <w:rPr>
          <w:rStyle w:val="EndnoteReference"/>
          <w:spacing w:val="1"/>
          <w:lang w:val="en-CA"/>
        </w:rPr>
        <w:endnoteReference w:id="44"/>
      </w:r>
      <w:r w:rsidR="000E7703" w:rsidRPr="00656526">
        <w:rPr>
          <w:spacing w:val="1"/>
          <w:lang w:val="en-CA"/>
        </w:rPr>
        <w:t>)</w:t>
      </w:r>
      <w:r w:rsidR="00E541F9" w:rsidRPr="00656526">
        <w:rPr>
          <w:spacing w:val="1"/>
          <w:lang w:val="en-CA"/>
        </w:rPr>
        <w:t xml:space="preserve"> used by customers to connect with the satellites passing overhead.</w:t>
      </w:r>
      <w:r w:rsidR="00E541F9" w:rsidRPr="00656526">
        <w:rPr>
          <w:rStyle w:val="EndnoteReference"/>
          <w:lang w:val="en-CA"/>
        </w:rPr>
        <w:endnoteReference w:id="45"/>
      </w:r>
      <w:r w:rsidR="00E541F9" w:rsidRPr="00656526">
        <w:rPr>
          <w:spacing w:val="1"/>
          <w:lang w:val="en-CA"/>
        </w:rPr>
        <w:t xml:space="preserve"> </w:t>
      </w:r>
      <w:r w:rsidR="00E541F9" w:rsidRPr="00656526">
        <w:rPr>
          <w:lang w:val="en-CA"/>
        </w:rPr>
        <w:t>However, during Starlink’s first broadcasting test in early 2019, which began with the launch of 60 satellites, three</w:t>
      </w:r>
      <w:r w:rsidR="00E541F9" w:rsidRPr="00656526">
        <w:rPr>
          <w:shd w:val="clear" w:color="auto" w:fill="000000" w:themeFill="text1"/>
          <w:lang w:val="en-CA"/>
        </w:rPr>
        <w:t xml:space="preserve"> </w:t>
      </w:r>
      <w:r w:rsidR="00E541F9" w:rsidRPr="00656526">
        <w:rPr>
          <w:lang w:val="en-CA"/>
        </w:rPr>
        <w:t>satellites failed in their orbit.</w:t>
      </w:r>
      <w:r w:rsidR="00E541F9" w:rsidRPr="00656526">
        <w:rPr>
          <w:rStyle w:val="EndnoteReference"/>
          <w:lang w:val="en-CA"/>
        </w:rPr>
        <w:endnoteReference w:id="46"/>
      </w:r>
      <w:r w:rsidRPr="00656526">
        <w:rPr>
          <w:spacing w:val="1"/>
          <w:lang w:val="en-CA"/>
        </w:rPr>
        <w:t xml:space="preserve"> </w:t>
      </w:r>
      <w:r w:rsidR="00E541F9" w:rsidRPr="00656526">
        <w:rPr>
          <w:lang w:val="en-CA"/>
        </w:rPr>
        <w:t>Starlink was hoping to begin its commercial services by the end of 2020.</w:t>
      </w:r>
      <w:r w:rsidR="00E541F9" w:rsidRPr="00335657">
        <w:rPr>
          <w:rStyle w:val="EndnoteReference"/>
          <w:lang w:val="en-CA"/>
        </w:rPr>
        <w:endnoteReference w:id="47"/>
      </w:r>
      <w:r w:rsidR="00E541F9" w:rsidRPr="00335657">
        <w:rPr>
          <w:shd w:val="clear" w:color="auto" w:fill="FFFFFF"/>
          <w:lang w:val="en-CA"/>
        </w:rPr>
        <w:t xml:space="preserve"> </w:t>
      </w:r>
    </w:p>
    <w:p w14:paraId="4719A712" w14:textId="3CBCCD5B" w:rsidR="00E541F9" w:rsidRPr="00335657" w:rsidRDefault="00E541F9" w:rsidP="00656526">
      <w:pPr>
        <w:pStyle w:val="BodyTextMain"/>
        <w:rPr>
          <w:spacing w:val="1"/>
          <w:lang w:val="en-CA"/>
        </w:rPr>
      </w:pPr>
    </w:p>
    <w:p w14:paraId="321EF30D" w14:textId="77777777" w:rsidR="00E541F9" w:rsidRPr="00335657" w:rsidRDefault="00E541F9" w:rsidP="00656526">
      <w:pPr>
        <w:pStyle w:val="BodyTextMain"/>
        <w:rPr>
          <w:spacing w:val="1"/>
          <w:lang w:val="en-CA"/>
        </w:rPr>
      </w:pPr>
    </w:p>
    <w:p w14:paraId="3E2B271E" w14:textId="4475D898" w:rsidR="00E541F9" w:rsidRPr="00335657" w:rsidRDefault="00E541F9" w:rsidP="00656526">
      <w:pPr>
        <w:pStyle w:val="Casehead2"/>
        <w:rPr>
          <w:lang w:val="en-CA"/>
        </w:rPr>
      </w:pPr>
      <w:bookmarkStart w:id="10" w:name="_Hlk60718850"/>
      <w:r w:rsidRPr="00335657">
        <w:rPr>
          <w:lang w:val="en-CA"/>
        </w:rPr>
        <w:t>Demand for LEO Satellite Internet</w:t>
      </w:r>
    </w:p>
    <w:p w14:paraId="398A9A32" w14:textId="154A3A7F" w:rsidR="00896F4A" w:rsidRPr="00335657" w:rsidRDefault="00896F4A" w:rsidP="00656526">
      <w:pPr>
        <w:rPr>
          <w:lang w:val="en-CA" w:eastAsia="x-none"/>
        </w:rPr>
      </w:pPr>
      <w:bookmarkStart w:id="11" w:name="_Hlk61261170"/>
      <w:bookmarkEnd w:id="10"/>
    </w:p>
    <w:p w14:paraId="5BB2D4CE" w14:textId="585EDE83" w:rsidR="00896F4A" w:rsidRPr="00335657" w:rsidRDefault="00896F4A" w:rsidP="00656526">
      <w:pPr>
        <w:jc w:val="both"/>
        <w:rPr>
          <w:sz w:val="22"/>
          <w:szCs w:val="22"/>
          <w:lang w:val="en-CA" w:eastAsia="x-none"/>
        </w:rPr>
      </w:pPr>
      <w:r w:rsidRPr="00335657">
        <w:rPr>
          <w:sz w:val="22"/>
          <w:szCs w:val="22"/>
          <w:lang w:val="en-CA" w:eastAsia="x-none"/>
        </w:rPr>
        <w:t xml:space="preserve">Starlink intended to serve customers in the </w:t>
      </w:r>
      <w:r w:rsidR="007208FB" w:rsidRPr="00335657">
        <w:rPr>
          <w:sz w:val="22"/>
          <w:szCs w:val="22"/>
          <w:lang w:val="en-CA" w:eastAsia="x-none"/>
        </w:rPr>
        <w:t>US</w:t>
      </w:r>
      <w:r w:rsidRPr="00335657">
        <w:rPr>
          <w:sz w:val="22"/>
          <w:szCs w:val="22"/>
          <w:lang w:val="en-CA" w:eastAsia="x-none"/>
        </w:rPr>
        <w:t xml:space="preserve"> rural areas, where “5G is really not well-suited” (see Exhibit 4).</w:t>
      </w:r>
      <w:r w:rsidRPr="00335657">
        <w:rPr>
          <w:rStyle w:val="EndnoteReference"/>
          <w:sz w:val="22"/>
          <w:szCs w:val="22"/>
          <w:lang w:val="en-CA" w:eastAsia="x-none"/>
        </w:rPr>
        <w:endnoteReference w:id="48"/>
      </w:r>
      <w:r w:rsidRPr="00335657">
        <w:rPr>
          <w:sz w:val="22"/>
          <w:szCs w:val="22"/>
          <w:lang w:val="en-CA" w:eastAsia="x-none"/>
        </w:rPr>
        <w:t xml:space="preserve"> More than a quarter of the 29 million rural America</w:t>
      </w:r>
      <w:r w:rsidR="00441709" w:rsidRPr="00335657">
        <w:rPr>
          <w:sz w:val="22"/>
          <w:szCs w:val="22"/>
          <w:lang w:val="en-CA" w:eastAsia="x-none"/>
        </w:rPr>
        <w:t>ns</w:t>
      </w:r>
      <w:r w:rsidRPr="00335657">
        <w:rPr>
          <w:sz w:val="22"/>
          <w:szCs w:val="22"/>
          <w:lang w:val="en-CA" w:eastAsia="x-none"/>
        </w:rPr>
        <w:t xml:space="preserve"> did not have access to high-speed </w:t>
      </w:r>
      <w:r w:rsidR="007208FB" w:rsidRPr="00335657">
        <w:rPr>
          <w:sz w:val="22"/>
          <w:szCs w:val="22"/>
          <w:lang w:val="en-CA" w:eastAsia="x-none"/>
        </w:rPr>
        <w:t>I</w:t>
      </w:r>
      <w:r w:rsidRPr="00335657">
        <w:rPr>
          <w:sz w:val="22"/>
          <w:szCs w:val="22"/>
          <w:lang w:val="en-CA" w:eastAsia="x-none"/>
        </w:rPr>
        <w:t xml:space="preserve">nternet, which became </w:t>
      </w:r>
      <w:r w:rsidR="007208FB" w:rsidRPr="00335657">
        <w:rPr>
          <w:sz w:val="22"/>
          <w:szCs w:val="22"/>
          <w:lang w:val="en-CA" w:eastAsia="x-none"/>
        </w:rPr>
        <w:t xml:space="preserve">even more </w:t>
      </w:r>
      <w:r w:rsidRPr="00335657">
        <w:rPr>
          <w:sz w:val="22"/>
          <w:szCs w:val="22"/>
          <w:lang w:val="en-CA" w:eastAsia="x-none"/>
        </w:rPr>
        <w:t>challenging during the COVID-19 pandemic.</w:t>
      </w:r>
      <w:r w:rsidRPr="00335657">
        <w:rPr>
          <w:rStyle w:val="EndnoteReference"/>
          <w:sz w:val="22"/>
          <w:szCs w:val="22"/>
          <w:lang w:val="en-CA" w:eastAsia="x-none"/>
        </w:rPr>
        <w:endnoteReference w:id="49"/>
      </w:r>
    </w:p>
    <w:p w14:paraId="5FBE0F76" w14:textId="77777777" w:rsidR="008075EF" w:rsidRPr="00335657" w:rsidRDefault="008075EF" w:rsidP="00656526">
      <w:pPr>
        <w:pStyle w:val="BodyTextMain"/>
        <w:rPr>
          <w:lang w:val="en-CA"/>
        </w:rPr>
      </w:pPr>
    </w:p>
    <w:bookmarkEnd w:id="11"/>
    <w:p w14:paraId="43BEFD46" w14:textId="3EFCF1E0" w:rsidR="00E541F9" w:rsidRPr="00335657" w:rsidRDefault="00E541F9" w:rsidP="00656526">
      <w:pPr>
        <w:pStyle w:val="BodyTextMain"/>
        <w:rPr>
          <w:spacing w:val="-1"/>
          <w:lang w:val="en-CA"/>
        </w:rPr>
      </w:pPr>
      <w:r w:rsidRPr="00335657">
        <w:rPr>
          <w:spacing w:val="1"/>
          <w:lang w:val="en-CA"/>
        </w:rPr>
        <w:t xml:space="preserve">Although the price of LEO </w:t>
      </w:r>
      <w:r w:rsidRPr="00656526">
        <w:rPr>
          <w:spacing w:val="1"/>
          <w:lang w:val="en-CA"/>
        </w:rPr>
        <w:t>satellites was unknown, ground antennas were expected to be expensive for customers, raising affordability issues, especially for rural households.</w:t>
      </w:r>
      <w:r w:rsidRPr="00656526">
        <w:rPr>
          <w:rStyle w:val="EndnoteReference"/>
          <w:lang w:val="en-CA"/>
        </w:rPr>
        <w:endnoteReference w:id="50"/>
      </w:r>
      <w:r w:rsidRPr="00656526">
        <w:rPr>
          <w:spacing w:val="1"/>
          <w:lang w:val="en-CA"/>
        </w:rPr>
        <w:t xml:space="preserve"> </w:t>
      </w:r>
      <w:r w:rsidRPr="00656526">
        <w:rPr>
          <w:spacing w:val="5"/>
          <w:lang w:val="en-CA"/>
        </w:rPr>
        <w:t xml:space="preserve">Musk indicated that SpaceX would try to sign deals with </w:t>
      </w:r>
      <w:r w:rsidR="007208FB" w:rsidRPr="00656526">
        <w:rPr>
          <w:spacing w:val="5"/>
          <w:lang w:val="en-CA"/>
        </w:rPr>
        <w:t xml:space="preserve">global </w:t>
      </w:r>
      <w:r w:rsidRPr="00656526">
        <w:rPr>
          <w:spacing w:val="5"/>
          <w:lang w:val="en-CA"/>
        </w:rPr>
        <w:t>telecommunication service providers and governments that want</w:t>
      </w:r>
      <w:r w:rsidR="00C3569D" w:rsidRPr="00656526">
        <w:rPr>
          <w:spacing w:val="5"/>
          <w:lang w:val="en-CA"/>
        </w:rPr>
        <w:t>ed</w:t>
      </w:r>
      <w:r w:rsidRPr="00656526">
        <w:rPr>
          <w:spacing w:val="5"/>
          <w:lang w:val="en-CA"/>
        </w:rPr>
        <w:t xml:space="preserve"> to reach interior parts of their countries.</w:t>
      </w:r>
      <w:r w:rsidRPr="00656526">
        <w:rPr>
          <w:rStyle w:val="EndnoteReference"/>
          <w:lang w:val="en-CA"/>
        </w:rPr>
        <w:endnoteReference w:id="51"/>
      </w:r>
      <w:r w:rsidRPr="00656526">
        <w:rPr>
          <w:spacing w:val="5"/>
          <w:lang w:val="en-CA"/>
        </w:rPr>
        <w:t xml:space="preserve"> </w:t>
      </w:r>
      <w:r w:rsidRPr="00656526">
        <w:rPr>
          <w:spacing w:val="1"/>
          <w:lang w:val="en-CA"/>
        </w:rPr>
        <w:t>LEO</w:t>
      </w:r>
      <w:r w:rsidRPr="00656526">
        <w:rPr>
          <w:lang w:val="en-CA"/>
        </w:rPr>
        <w:t xml:space="preserve"> satellite Internet</w:t>
      </w:r>
      <w:r w:rsidRPr="00656526">
        <w:rPr>
          <w:spacing w:val="1"/>
          <w:lang w:val="en-CA"/>
        </w:rPr>
        <w:t xml:space="preserve"> </w:t>
      </w:r>
      <w:r w:rsidRPr="00656526">
        <w:rPr>
          <w:spacing w:val="4"/>
          <w:lang w:val="en-CA"/>
        </w:rPr>
        <w:t>providers also found aviation and maritime markets to be lucrative.</w:t>
      </w:r>
      <w:r w:rsidRPr="00656526">
        <w:rPr>
          <w:rStyle w:val="EndnoteReference"/>
          <w:lang w:val="en-CA"/>
        </w:rPr>
        <w:endnoteReference w:id="52"/>
      </w:r>
      <w:r w:rsidRPr="00656526">
        <w:rPr>
          <w:spacing w:val="4"/>
          <w:lang w:val="en-CA"/>
        </w:rPr>
        <w:t xml:space="preserve"> </w:t>
      </w:r>
      <w:r w:rsidRPr="00656526">
        <w:rPr>
          <w:spacing w:val="-1"/>
          <w:lang w:val="en-CA"/>
        </w:rPr>
        <w:t>Starlink and OneWeb also promised to make connectivity better in the Arctic—a region of about four million people and an area where the US military usually struggled with its</w:t>
      </w:r>
      <w:r w:rsidRPr="00335657">
        <w:rPr>
          <w:spacing w:val="-1"/>
          <w:lang w:val="en-CA"/>
        </w:rPr>
        <w:t xml:space="preserve"> current communication satellite technology.</w:t>
      </w:r>
      <w:r w:rsidRPr="00335657">
        <w:rPr>
          <w:rStyle w:val="EndnoteReference"/>
          <w:lang w:val="en-CA"/>
        </w:rPr>
        <w:endnoteReference w:id="53"/>
      </w:r>
      <w:r w:rsidRPr="00335657">
        <w:rPr>
          <w:spacing w:val="-1"/>
          <w:lang w:val="en-CA"/>
        </w:rPr>
        <w:t xml:space="preserve"> </w:t>
      </w:r>
    </w:p>
    <w:p w14:paraId="5BD80427" w14:textId="77777777" w:rsidR="00E541F9" w:rsidRPr="00335657" w:rsidRDefault="00E541F9" w:rsidP="00656526">
      <w:pPr>
        <w:pStyle w:val="BodyTextMain"/>
        <w:rPr>
          <w:spacing w:val="-1"/>
          <w:lang w:val="en-CA"/>
        </w:rPr>
      </w:pPr>
    </w:p>
    <w:p w14:paraId="4A54E2C3" w14:textId="18896833" w:rsidR="00E541F9" w:rsidRPr="00335657" w:rsidRDefault="00E541F9" w:rsidP="00656526">
      <w:pPr>
        <w:pStyle w:val="BodyTextMain"/>
        <w:rPr>
          <w:spacing w:val="-2"/>
          <w:lang w:val="en-CA"/>
        </w:rPr>
      </w:pPr>
      <w:r w:rsidRPr="00335657">
        <w:rPr>
          <w:spacing w:val="-2"/>
          <w:lang w:val="en-CA"/>
        </w:rPr>
        <w:t xml:space="preserve">Carissa Christensen, CEO of the analytics firm Bryce Space and Technology, raised concerns about the affordability of satellite Internet. She cited the example of O3b Networks Ltd., a satellite-based Internet company founded in 2007 by Greg Wyler, the CEO of OneWeb. Its goal was to bring online the estimated </w:t>
      </w:r>
      <w:r w:rsidR="007208FB" w:rsidRPr="00335657">
        <w:rPr>
          <w:spacing w:val="-2"/>
          <w:lang w:val="en-CA"/>
        </w:rPr>
        <w:t xml:space="preserve">three </w:t>
      </w:r>
      <w:r w:rsidRPr="00335657">
        <w:rPr>
          <w:spacing w:val="-2"/>
          <w:lang w:val="en-CA"/>
        </w:rPr>
        <w:t>billion people</w:t>
      </w:r>
      <w:r w:rsidR="00B60C11" w:rsidRPr="00335657">
        <w:rPr>
          <w:spacing w:val="-2"/>
          <w:lang w:val="en-CA"/>
        </w:rPr>
        <w:t xml:space="preserve"> globally</w:t>
      </w:r>
      <w:r w:rsidRPr="00335657">
        <w:rPr>
          <w:spacing w:val="-2"/>
          <w:lang w:val="en-CA"/>
        </w:rPr>
        <w:t xml:space="preserve"> without Internet access. However, the market for satellite mega-constellations did not exist</w:t>
      </w:r>
      <w:r w:rsidR="007208FB" w:rsidRPr="00335657">
        <w:rPr>
          <w:spacing w:val="-2"/>
          <w:lang w:val="en-CA"/>
        </w:rPr>
        <w:t>;</w:t>
      </w:r>
      <w:r w:rsidRPr="00335657">
        <w:rPr>
          <w:spacing w:val="-2"/>
          <w:lang w:val="en-CA"/>
        </w:rPr>
        <w:t xml:space="preserve"> </w:t>
      </w:r>
      <w:r w:rsidR="007208FB" w:rsidRPr="00335657">
        <w:rPr>
          <w:spacing w:val="-2"/>
          <w:lang w:val="en-CA"/>
        </w:rPr>
        <w:t xml:space="preserve">therefore, </w:t>
      </w:r>
      <w:r w:rsidRPr="00335657">
        <w:rPr>
          <w:spacing w:val="-2"/>
          <w:lang w:val="en-CA"/>
        </w:rPr>
        <w:t>to survive, O3b switch</w:t>
      </w:r>
      <w:r w:rsidR="00441709" w:rsidRPr="00335657">
        <w:rPr>
          <w:spacing w:val="-2"/>
          <w:lang w:val="en-CA"/>
        </w:rPr>
        <w:t>ed</w:t>
      </w:r>
      <w:r w:rsidRPr="00335657">
        <w:rPr>
          <w:spacing w:val="-2"/>
          <w:lang w:val="en-CA"/>
        </w:rPr>
        <w:t xml:space="preserve"> to providing data services for maritime operations, which, </w:t>
      </w:r>
      <w:r w:rsidRPr="00335657">
        <w:rPr>
          <w:spacing w:val="-2"/>
          <w:lang w:val="en-CA"/>
        </w:rPr>
        <w:lastRenderedPageBreak/>
        <w:t>according to Christensen, implied “transformational visions are not necessarily going to translate into a realistic business model.”</w:t>
      </w:r>
      <w:r w:rsidRPr="00335657">
        <w:rPr>
          <w:rStyle w:val="EndnoteReference"/>
          <w:spacing w:val="-2"/>
          <w:lang w:val="en-CA"/>
        </w:rPr>
        <w:endnoteReference w:id="54"/>
      </w:r>
      <w:r w:rsidRPr="00335657">
        <w:rPr>
          <w:spacing w:val="-2"/>
          <w:lang w:val="en-CA"/>
        </w:rPr>
        <w:t xml:space="preserve"> Matt Desch, CEO of Iridium, also had concerns about whether there was sufficient demand </w:t>
      </w:r>
      <w:r w:rsidRPr="00656526">
        <w:rPr>
          <w:spacing w:val="-2"/>
          <w:lang w:val="en-CA"/>
        </w:rPr>
        <w:t>for LEO satellite Internet, observing, “The investment markets are clearly concerned, which is why</w:t>
      </w:r>
      <w:r w:rsidRPr="00335657">
        <w:rPr>
          <w:spacing w:val="-2"/>
          <w:lang w:val="en-CA"/>
        </w:rPr>
        <w:t xml:space="preserve"> these new markets are being slow to be funded, at least by the public equity and debt markets.”</w:t>
      </w:r>
      <w:r w:rsidRPr="00335657">
        <w:rPr>
          <w:rStyle w:val="EndnoteReference"/>
          <w:spacing w:val="-2"/>
          <w:lang w:val="en-CA"/>
        </w:rPr>
        <w:endnoteReference w:id="55"/>
      </w:r>
    </w:p>
    <w:p w14:paraId="358C1C7F" w14:textId="42F077F3" w:rsidR="00E541F9" w:rsidRPr="00335657" w:rsidRDefault="00E541F9" w:rsidP="00656526">
      <w:pPr>
        <w:pStyle w:val="BodyTextMain"/>
        <w:rPr>
          <w:lang w:val="en-CA"/>
        </w:rPr>
      </w:pPr>
    </w:p>
    <w:p w14:paraId="1E368F3A" w14:textId="77777777" w:rsidR="00E541F9" w:rsidRPr="00335657" w:rsidRDefault="00E541F9" w:rsidP="00656526">
      <w:pPr>
        <w:pStyle w:val="BodyTextMain"/>
        <w:rPr>
          <w:lang w:val="en-CA"/>
        </w:rPr>
      </w:pPr>
    </w:p>
    <w:p w14:paraId="5B2DFCD1" w14:textId="68D70B02" w:rsidR="00E541F9" w:rsidRPr="00335657" w:rsidRDefault="00E541F9" w:rsidP="00656526">
      <w:pPr>
        <w:pStyle w:val="Casehead2"/>
        <w:rPr>
          <w:lang w:val="en-CA"/>
        </w:rPr>
      </w:pPr>
      <w:r w:rsidRPr="00335657">
        <w:rPr>
          <w:lang w:val="en-CA"/>
        </w:rPr>
        <w:t>Starlink versus 5G</w:t>
      </w:r>
    </w:p>
    <w:p w14:paraId="0E48BF1C" w14:textId="77777777" w:rsidR="00E541F9" w:rsidRPr="00335657" w:rsidRDefault="00E541F9" w:rsidP="00656526">
      <w:pPr>
        <w:pStyle w:val="BodyTextMain"/>
        <w:keepNext/>
        <w:rPr>
          <w:lang w:val="en-CA"/>
        </w:rPr>
      </w:pPr>
    </w:p>
    <w:p w14:paraId="7DA3C675" w14:textId="156574CE" w:rsidR="00E541F9" w:rsidRPr="00335657" w:rsidRDefault="00E541F9" w:rsidP="00656526">
      <w:pPr>
        <w:pStyle w:val="BodyTextMain"/>
        <w:rPr>
          <w:spacing w:val="-1"/>
          <w:lang w:val="en-CA"/>
        </w:rPr>
      </w:pPr>
      <w:r w:rsidRPr="00335657">
        <w:rPr>
          <w:spacing w:val="1"/>
          <w:lang w:val="en-CA"/>
        </w:rPr>
        <w:t>SpaceX’s Starlink project also faced competition from the 5G system. Experts believed 5G posed a threat to the satellite Internet business, especially with regard to latency.</w:t>
      </w:r>
      <w:r w:rsidRPr="00335657">
        <w:rPr>
          <w:rStyle w:val="EndnoteReference"/>
          <w:lang w:val="en-CA"/>
        </w:rPr>
        <w:endnoteReference w:id="56"/>
      </w:r>
      <w:r w:rsidRPr="00335657">
        <w:rPr>
          <w:spacing w:val="1"/>
          <w:lang w:val="en-CA"/>
        </w:rPr>
        <w:t xml:space="preserve"> Starlink’s latency was estimated to be less than 20 milliseconds,</w:t>
      </w:r>
      <w:r w:rsidRPr="00335657">
        <w:rPr>
          <w:rStyle w:val="EndnoteReference"/>
          <w:lang w:val="en-CA"/>
        </w:rPr>
        <w:endnoteReference w:id="57"/>
      </w:r>
      <w:r w:rsidRPr="00335657">
        <w:rPr>
          <w:lang w:val="en-CA"/>
        </w:rPr>
        <w:t xml:space="preserve"> which was an improvement over 4G’s latency of 50 milliseconds, but still slower than 5G’s latency of 5 milliseconds.</w:t>
      </w:r>
      <w:r w:rsidRPr="00335657">
        <w:rPr>
          <w:rStyle w:val="EndnoteReference"/>
          <w:lang w:val="en-CA"/>
        </w:rPr>
        <w:endnoteReference w:id="58"/>
      </w:r>
      <w:r w:rsidRPr="00335657">
        <w:rPr>
          <w:lang w:val="en-CA"/>
        </w:rPr>
        <w:t xml:space="preserve"> Starlink’s speed was </w:t>
      </w:r>
      <w:r w:rsidR="001C132F" w:rsidRPr="00335657">
        <w:rPr>
          <w:lang w:val="en-CA"/>
        </w:rPr>
        <w:t xml:space="preserve">faster </w:t>
      </w:r>
      <w:r w:rsidRPr="00335657">
        <w:rPr>
          <w:lang w:val="en-CA"/>
        </w:rPr>
        <w:t>than 5G</w:t>
      </w:r>
      <w:r w:rsidR="007208FB" w:rsidRPr="00335657">
        <w:rPr>
          <w:spacing w:val="-1"/>
          <w:lang w:val="en-CA"/>
        </w:rPr>
        <w:t>, which</w:t>
      </w:r>
      <w:r w:rsidRPr="00335657">
        <w:rPr>
          <w:spacing w:val="-1"/>
          <w:lang w:val="en-CA"/>
        </w:rPr>
        <w:t xml:space="preserve"> offered a speed of 330 Mbps</w:t>
      </w:r>
      <w:r w:rsidR="00B60C11" w:rsidRPr="00335657">
        <w:rPr>
          <w:spacing w:val="-1"/>
          <w:lang w:val="en-CA"/>
        </w:rPr>
        <w:t xml:space="preserve"> in urban areas</w:t>
      </w:r>
      <w:r w:rsidRPr="00335657">
        <w:rPr>
          <w:spacing w:val="-1"/>
          <w:lang w:val="en-CA"/>
        </w:rPr>
        <w:t xml:space="preserve">, while Starlink’s Internet service was forecast to offer speeds that were three times faster—up to 1 </w:t>
      </w:r>
      <w:r w:rsidR="009D3142" w:rsidRPr="00335657">
        <w:rPr>
          <w:spacing w:val="-1"/>
          <w:lang w:val="en-CA"/>
        </w:rPr>
        <w:t xml:space="preserve">gigabits </w:t>
      </w:r>
      <w:r w:rsidRPr="00335657">
        <w:rPr>
          <w:spacing w:val="-1"/>
          <w:lang w:val="en-CA"/>
        </w:rPr>
        <w:t>per second (Gbps).</w:t>
      </w:r>
      <w:r w:rsidRPr="00335657">
        <w:rPr>
          <w:rStyle w:val="EndnoteReference"/>
          <w:lang w:val="en-CA"/>
        </w:rPr>
        <w:endnoteReference w:id="59"/>
      </w:r>
      <w:r w:rsidRPr="00335657">
        <w:rPr>
          <w:spacing w:val="-1"/>
          <w:lang w:val="en-CA"/>
        </w:rPr>
        <w:t xml:space="preserve"> </w:t>
      </w:r>
    </w:p>
    <w:p w14:paraId="46564DF3" w14:textId="77777777" w:rsidR="00E541F9" w:rsidRPr="00335657" w:rsidRDefault="00E541F9" w:rsidP="00656526">
      <w:pPr>
        <w:pStyle w:val="BodyTextMain"/>
        <w:rPr>
          <w:spacing w:val="-1"/>
          <w:lang w:val="en-CA"/>
        </w:rPr>
      </w:pPr>
    </w:p>
    <w:p w14:paraId="17D85F34" w14:textId="703EC66B" w:rsidR="00E541F9" w:rsidRPr="00335657" w:rsidRDefault="00E541F9" w:rsidP="00656526">
      <w:pPr>
        <w:pStyle w:val="BodyTextMain"/>
        <w:rPr>
          <w:shd w:val="clear" w:color="auto" w:fill="FFFFFF"/>
          <w:lang w:val="en-CA"/>
        </w:rPr>
      </w:pPr>
      <w:r w:rsidRPr="00335657">
        <w:rPr>
          <w:spacing w:val="-1"/>
          <w:lang w:val="en-CA"/>
        </w:rPr>
        <w:t xml:space="preserve">Because 5G was expected to be </w:t>
      </w:r>
      <w:r w:rsidRPr="00656526">
        <w:rPr>
          <w:spacing w:val="-1"/>
          <w:lang w:val="en-CA"/>
        </w:rPr>
        <w:t>deployed more in urban areas of the United States,</w:t>
      </w:r>
      <w:r w:rsidRPr="00656526">
        <w:rPr>
          <w:rStyle w:val="EndnoteReference"/>
          <w:lang w:val="en-CA"/>
        </w:rPr>
        <w:endnoteReference w:id="60"/>
      </w:r>
      <w:r w:rsidRPr="00656526">
        <w:rPr>
          <w:spacing w:val="-1"/>
          <w:lang w:val="en-CA"/>
        </w:rPr>
        <w:t xml:space="preserve"> the</w:t>
      </w:r>
      <w:r w:rsidR="002445F9" w:rsidRPr="00656526">
        <w:rPr>
          <w:lang w:val="en-CA"/>
        </w:rPr>
        <w:t xml:space="preserve"> </w:t>
      </w:r>
      <w:r w:rsidRPr="00656526">
        <w:rPr>
          <w:lang w:val="en-CA"/>
        </w:rPr>
        <w:t>FCC announced in 2019 the launch of a $9 billion fund to accelerate the deployment of advanced 5G wireless networks in rural areas across the United States.</w:t>
      </w:r>
      <w:r w:rsidRPr="00656526">
        <w:rPr>
          <w:rStyle w:val="EndnoteReference"/>
          <w:lang w:val="en-CA"/>
        </w:rPr>
        <w:endnoteReference w:id="61"/>
      </w:r>
      <w:r w:rsidRPr="00656526">
        <w:rPr>
          <w:lang w:val="en-CA"/>
        </w:rPr>
        <w:t xml:space="preserve"> In June 2020, T-Mobile, the third-largest wireless carrier in the United States by the number of subscribers,</w:t>
      </w:r>
      <w:r w:rsidRPr="00656526">
        <w:rPr>
          <w:rStyle w:val="EndnoteReference"/>
          <w:lang w:val="en-CA"/>
        </w:rPr>
        <w:endnoteReference w:id="62"/>
      </w:r>
      <w:r w:rsidRPr="00656526">
        <w:rPr>
          <w:lang w:val="en-CA"/>
        </w:rPr>
        <w:t xml:space="preserve"> </w:t>
      </w:r>
      <w:r w:rsidR="00725636" w:rsidRPr="00656526">
        <w:rPr>
          <w:lang w:val="en-CA"/>
        </w:rPr>
        <w:t xml:space="preserve">also </w:t>
      </w:r>
      <w:r w:rsidRPr="00656526">
        <w:rPr>
          <w:lang w:val="en-CA"/>
        </w:rPr>
        <w:t>began offering 5G services in rural areas.</w:t>
      </w:r>
      <w:r w:rsidRPr="00656526">
        <w:rPr>
          <w:rStyle w:val="EndnoteReference"/>
          <w:lang w:val="en-CA"/>
        </w:rPr>
        <w:endnoteReference w:id="63"/>
      </w:r>
      <w:r w:rsidRPr="00656526">
        <w:rPr>
          <w:lang w:val="en-CA"/>
        </w:rPr>
        <w:t xml:space="preserve"> Its Magenta 5G plan was available for $70 per month.</w:t>
      </w:r>
      <w:r w:rsidRPr="00656526">
        <w:rPr>
          <w:rStyle w:val="EndnoteReference"/>
          <w:lang w:val="en-CA"/>
        </w:rPr>
        <w:endnoteReference w:id="64"/>
      </w:r>
      <w:r w:rsidRPr="00656526">
        <w:rPr>
          <w:lang w:val="en-CA"/>
        </w:rPr>
        <w:t xml:space="preserve"> T-Mobile also </w:t>
      </w:r>
      <w:r w:rsidR="00291591" w:rsidRPr="00656526">
        <w:rPr>
          <w:lang w:val="en-CA"/>
        </w:rPr>
        <w:t xml:space="preserve">claimed </w:t>
      </w:r>
      <w:r w:rsidRPr="00656526">
        <w:rPr>
          <w:lang w:val="en-CA"/>
        </w:rPr>
        <w:t>that by 2026, it would cover 90 per cent of rural United States with 5G, offering a minimum speed of 50 Mbps.</w:t>
      </w:r>
      <w:r w:rsidRPr="00656526">
        <w:rPr>
          <w:rStyle w:val="EndnoteReference"/>
          <w:lang w:val="en-CA"/>
        </w:rPr>
        <w:endnoteReference w:id="65"/>
      </w:r>
      <w:r w:rsidRPr="00656526">
        <w:rPr>
          <w:lang w:val="en-CA"/>
        </w:rPr>
        <w:t xml:space="preserve"> T-Mobile’s operating profit margin had</w:t>
      </w:r>
      <w:r w:rsidRPr="00656526">
        <w:rPr>
          <w:shd w:val="clear" w:color="auto" w:fill="000000" w:themeFill="text1"/>
          <w:lang w:val="en-CA"/>
        </w:rPr>
        <w:t xml:space="preserve"> </w:t>
      </w:r>
      <w:r w:rsidRPr="00656526">
        <w:rPr>
          <w:lang w:val="en-CA"/>
        </w:rPr>
        <w:t>been around 13 per cent.</w:t>
      </w:r>
      <w:r w:rsidRPr="00335657">
        <w:rPr>
          <w:rStyle w:val="EndnoteReference"/>
          <w:lang w:val="en-CA"/>
        </w:rPr>
        <w:endnoteReference w:id="66"/>
      </w:r>
    </w:p>
    <w:p w14:paraId="62C9130C" w14:textId="77777777" w:rsidR="00E541F9" w:rsidRPr="00335657" w:rsidRDefault="00E541F9" w:rsidP="00656526">
      <w:pPr>
        <w:pStyle w:val="BodyTextMain"/>
        <w:rPr>
          <w:lang w:val="en-CA"/>
        </w:rPr>
      </w:pPr>
    </w:p>
    <w:p w14:paraId="56ECA64C" w14:textId="4EDF86A1" w:rsidR="00E541F9" w:rsidRPr="00335657" w:rsidRDefault="00E541F9" w:rsidP="00656526">
      <w:pPr>
        <w:pStyle w:val="BodyTextMain"/>
        <w:rPr>
          <w:lang w:val="en-CA"/>
        </w:rPr>
      </w:pPr>
      <w:r w:rsidRPr="00335657">
        <w:rPr>
          <w:lang w:val="en-CA"/>
        </w:rPr>
        <w:t>Musk maintained that LEO satellite Internet was still superior, especially with its potential, commenting, “That same system, we could leverage to put into a constellation on Mars.”</w:t>
      </w:r>
      <w:r w:rsidRPr="00335657">
        <w:rPr>
          <w:rStyle w:val="EndnoteReference"/>
          <w:lang w:val="en-CA"/>
        </w:rPr>
        <w:endnoteReference w:id="67"/>
      </w:r>
      <w:r w:rsidRPr="00335657">
        <w:rPr>
          <w:lang w:val="en-CA"/>
        </w:rPr>
        <w:t xml:space="preserve"> He further added, “Mars is going to need a global communication system too, and there’s no fiber optics or wires or anything.”</w:t>
      </w:r>
      <w:r w:rsidRPr="00335657">
        <w:rPr>
          <w:rStyle w:val="EndnoteReference"/>
          <w:lang w:val="en-CA"/>
        </w:rPr>
        <w:endnoteReference w:id="68"/>
      </w:r>
      <w:r w:rsidRPr="00335657">
        <w:rPr>
          <w:lang w:val="en-CA"/>
        </w:rPr>
        <w:t xml:space="preserve"> Moreover, once built, maintaining satellites was less expensive than maintaining fibre</w:t>
      </w:r>
      <w:r w:rsidR="009B3771" w:rsidRPr="00335657">
        <w:rPr>
          <w:lang w:val="en-CA"/>
        </w:rPr>
        <w:t>-optic</w:t>
      </w:r>
      <w:r w:rsidRPr="00335657">
        <w:rPr>
          <w:lang w:val="en-CA"/>
        </w:rPr>
        <w:t xml:space="preserve"> and </w:t>
      </w:r>
      <w:r w:rsidR="009B3771" w:rsidRPr="00335657">
        <w:rPr>
          <w:lang w:val="en-CA"/>
        </w:rPr>
        <w:t xml:space="preserve">co-axial </w:t>
      </w:r>
      <w:r w:rsidRPr="00335657">
        <w:rPr>
          <w:lang w:val="en-CA"/>
        </w:rPr>
        <w:t xml:space="preserve">cables. Comcast Corp., for example, </w:t>
      </w:r>
      <w:r w:rsidR="007208FB" w:rsidRPr="00335657">
        <w:rPr>
          <w:lang w:val="en-CA"/>
        </w:rPr>
        <w:t xml:space="preserve">which </w:t>
      </w:r>
      <w:r w:rsidRPr="00335657">
        <w:rPr>
          <w:lang w:val="en-CA"/>
        </w:rPr>
        <w:t>provided fibre</w:t>
      </w:r>
      <w:r w:rsidR="009B3771" w:rsidRPr="00335657">
        <w:rPr>
          <w:lang w:val="en-CA"/>
        </w:rPr>
        <w:t xml:space="preserve"> optic–</w:t>
      </w:r>
      <w:r w:rsidRPr="00335657">
        <w:rPr>
          <w:lang w:val="en-CA"/>
        </w:rPr>
        <w:t>based broadband in the United States, spent $10</w:t>
      </w:r>
      <w:r w:rsidR="007208FB" w:rsidRPr="00335657">
        <w:rPr>
          <w:lang w:val="en-CA"/>
        </w:rPr>
        <w:t xml:space="preserve"> billion</w:t>
      </w:r>
      <w:r w:rsidRPr="00335657">
        <w:rPr>
          <w:lang w:val="en-CA"/>
        </w:rPr>
        <w:t>–</w:t>
      </w:r>
      <w:r w:rsidR="00725636" w:rsidRPr="00335657">
        <w:rPr>
          <w:lang w:val="en-CA"/>
        </w:rPr>
        <w:t>$</w:t>
      </w:r>
      <w:r w:rsidRPr="00335657">
        <w:rPr>
          <w:lang w:val="en-CA"/>
        </w:rPr>
        <w:t>11 billion every year on capital maintenance and investment.</w:t>
      </w:r>
      <w:r w:rsidRPr="00335657">
        <w:rPr>
          <w:rStyle w:val="EndnoteReference"/>
          <w:lang w:val="en-CA"/>
        </w:rPr>
        <w:endnoteReference w:id="69"/>
      </w:r>
      <w:r w:rsidRPr="00335657">
        <w:rPr>
          <w:lang w:val="en-CA"/>
        </w:rPr>
        <w:t xml:space="preserve"> </w:t>
      </w:r>
    </w:p>
    <w:p w14:paraId="4FB4A3E0" w14:textId="77777777" w:rsidR="00E541F9" w:rsidRPr="00335657" w:rsidRDefault="00E541F9" w:rsidP="00656526">
      <w:pPr>
        <w:pStyle w:val="BodyTextMain"/>
        <w:rPr>
          <w:lang w:val="en-CA"/>
        </w:rPr>
      </w:pPr>
    </w:p>
    <w:p w14:paraId="5FFFA24A" w14:textId="33EE0F16" w:rsidR="00E541F9" w:rsidRPr="00335657" w:rsidRDefault="00E541F9" w:rsidP="00656526">
      <w:pPr>
        <w:pStyle w:val="BodyTextMain"/>
        <w:rPr>
          <w:lang w:val="en-CA"/>
        </w:rPr>
      </w:pPr>
      <w:r w:rsidRPr="00335657">
        <w:rPr>
          <w:spacing w:val="-1"/>
          <w:lang w:val="en-CA"/>
        </w:rPr>
        <w:t>According to media reports, 5G and Starlink were not comparable</w:t>
      </w:r>
      <w:r w:rsidR="00B60C11" w:rsidRPr="00335657">
        <w:rPr>
          <w:spacing w:val="-1"/>
          <w:lang w:val="en-CA"/>
        </w:rPr>
        <w:t xml:space="preserve"> and each had its own function.</w:t>
      </w:r>
      <w:r w:rsidRPr="00335657">
        <w:rPr>
          <w:spacing w:val="-1"/>
          <w:lang w:val="en-CA"/>
        </w:rPr>
        <w:t xml:space="preserve"> Comparing them was equivalent to comparing Uber Eats with Uber Freight services</w:t>
      </w:r>
      <w:r w:rsidR="00B60C11" w:rsidRPr="00335657">
        <w:rPr>
          <w:spacing w:val="-1"/>
          <w:lang w:val="en-CA"/>
        </w:rPr>
        <w:t>.</w:t>
      </w:r>
      <w:r w:rsidR="001B5778" w:rsidRPr="00335657">
        <w:rPr>
          <w:rStyle w:val="EndnoteReference"/>
          <w:spacing w:val="-1"/>
          <w:lang w:val="en-CA"/>
        </w:rPr>
        <w:endnoteReference w:id="70"/>
      </w:r>
      <w:r w:rsidRPr="00335657">
        <w:rPr>
          <w:spacing w:val="-1"/>
          <w:lang w:val="en-CA"/>
        </w:rPr>
        <w:t xml:space="preserve"> Uber Eats was a food ordering and delivery platform</w:t>
      </w:r>
      <w:r w:rsidR="005473CA" w:rsidRPr="00335657">
        <w:rPr>
          <w:spacing w:val="-1"/>
          <w:lang w:val="en-CA"/>
        </w:rPr>
        <w:t>,</w:t>
      </w:r>
      <w:r w:rsidRPr="00335657">
        <w:rPr>
          <w:spacing w:val="-1"/>
          <w:lang w:val="en-CA"/>
        </w:rPr>
        <w:t xml:space="preserve"> while Uber Freight allowed independent truckers to connect via a</w:t>
      </w:r>
      <w:r w:rsidR="005473CA" w:rsidRPr="00335657">
        <w:rPr>
          <w:spacing w:val="-1"/>
          <w:lang w:val="en-CA"/>
        </w:rPr>
        <w:t xml:space="preserve"> mobile application</w:t>
      </w:r>
      <w:r w:rsidRPr="00335657">
        <w:rPr>
          <w:spacing w:val="-1"/>
          <w:lang w:val="en-CA"/>
        </w:rPr>
        <w:t xml:space="preserve"> </w:t>
      </w:r>
      <w:r w:rsidR="005473CA" w:rsidRPr="00335657">
        <w:rPr>
          <w:spacing w:val="-1"/>
          <w:lang w:val="en-CA"/>
        </w:rPr>
        <w:t>(</w:t>
      </w:r>
      <w:r w:rsidRPr="00335657">
        <w:rPr>
          <w:spacing w:val="-1"/>
          <w:lang w:val="en-CA"/>
        </w:rPr>
        <w:t>app</w:t>
      </w:r>
      <w:r w:rsidR="005473CA" w:rsidRPr="00335657">
        <w:rPr>
          <w:spacing w:val="-1"/>
          <w:lang w:val="en-CA"/>
        </w:rPr>
        <w:t>)</w:t>
      </w:r>
      <w:r w:rsidRPr="00335657">
        <w:rPr>
          <w:spacing w:val="-1"/>
          <w:lang w:val="en-CA"/>
        </w:rPr>
        <w:t xml:space="preserve"> with shippers and freight forwarders.</w:t>
      </w:r>
      <w:r w:rsidRPr="00335657">
        <w:rPr>
          <w:rStyle w:val="EndnoteReference"/>
          <w:lang w:val="en-CA"/>
        </w:rPr>
        <w:endnoteReference w:id="71"/>
      </w:r>
      <w:r w:rsidRPr="00335657">
        <w:rPr>
          <w:spacing w:val="-1"/>
          <w:lang w:val="en-CA"/>
        </w:rPr>
        <w:t xml:space="preserve"> </w:t>
      </w:r>
      <w:r w:rsidR="001B5778" w:rsidRPr="00335657">
        <w:rPr>
          <w:spacing w:val="-1"/>
          <w:lang w:val="en-CA"/>
        </w:rPr>
        <w:t>5G was fast and efficient, but depended on transmitters mounted on towers about half a kilometre apart</w:t>
      </w:r>
      <w:r w:rsidR="005473CA" w:rsidRPr="00335657">
        <w:rPr>
          <w:spacing w:val="-1"/>
          <w:lang w:val="en-CA"/>
        </w:rPr>
        <w:t xml:space="preserve">, which was </w:t>
      </w:r>
      <w:r w:rsidR="001B5778" w:rsidRPr="00335657">
        <w:rPr>
          <w:spacing w:val="-1"/>
          <w:lang w:val="en-CA"/>
        </w:rPr>
        <w:t xml:space="preserve">ideal in densely populated areas where the infrastructure was easy to establish and the density of users was high. Starlink, on the other hand, while slower and less convenient </w:t>
      </w:r>
      <w:r w:rsidR="001B5778" w:rsidRPr="00656526">
        <w:rPr>
          <w:spacing w:val="-1"/>
          <w:lang w:val="en-CA"/>
        </w:rPr>
        <w:t xml:space="preserve">than 5G, could efficiently service sparsely populated rural areas. The only ground equipment needed was one receiver per household. </w:t>
      </w:r>
      <w:r w:rsidRPr="00656526">
        <w:rPr>
          <w:spacing w:val="-1"/>
          <w:lang w:val="en-CA"/>
        </w:rPr>
        <w:t>Although the technologies were unrelated, they could be complementary.</w:t>
      </w:r>
      <w:r w:rsidRPr="00656526">
        <w:rPr>
          <w:rStyle w:val="EndnoteReference"/>
          <w:lang w:val="en-CA"/>
        </w:rPr>
        <w:endnoteReference w:id="72"/>
      </w:r>
      <w:r w:rsidRPr="00656526">
        <w:rPr>
          <w:spacing w:val="-1"/>
          <w:lang w:val="en-CA"/>
        </w:rPr>
        <w:t xml:space="preserve"> </w:t>
      </w:r>
      <w:bookmarkStart w:id="16" w:name="_Hlk60724579"/>
      <w:r w:rsidRPr="00656526">
        <w:rPr>
          <w:lang w:val="en-CA"/>
        </w:rPr>
        <w:t>LEO satellites could extend cellular 5G networks from their dense web of transmitters to air, sea, and other remote areas that could not be covered by small cell networks, thus offering a seamless experience for end-users.</w:t>
      </w:r>
      <w:r w:rsidRPr="00656526">
        <w:rPr>
          <w:rStyle w:val="EndnoteReference"/>
          <w:lang w:val="en-CA"/>
        </w:rPr>
        <w:endnoteReference w:id="73"/>
      </w:r>
      <w:r w:rsidRPr="00656526">
        <w:rPr>
          <w:lang w:val="en-CA"/>
        </w:rPr>
        <w:t xml:space="preserve"> Moreover, during catastrophic events, when cellular and Internet networks had higher chances of failure, </w:t>
      </w:r>
      <w:r w:rsidRPr="00656526">
        <w:rPr>
          <w:spacing w:val="1"/>
          <w:lang w:val="en-CA"/>
        </w:rPr>
        <w:t>LEO</w:t>
      </w:r>
      <w:r w:rsidRPr="00656526">
        <w:rPr>
          <w:lang w:val="en-CA"/>
        </w:rPr>
        <w:t xml:space="preserve"> satellite Internet</w:t>
      </w:r>
      <w:r w:rsidRPr="00656526">
        <w:rPr>
          <w:spacing w:val="1"/>
          <w:lang w:val="en-CA"/>
        </w:rPr>
        <w:t xml:space="preserve"> providers </w:t>
      </w:r>
      <w:r w:rsidRPr="00656526">
        <w:rPr>
          <w:lang w:val="en-CA"/>
        </w:rPr>
        <w:t>could take over to provide services in critical</w:t>
      </w:r>
      <w:r w:rsidRPr="00335657">
        <w:rPr>
          <w:shd w:val="clear" w:color="auto" w:fill="FFFFFF"/>
          <w:lang w:val="en-CA"/>
        </w:rPr>
        <w:t xml:space="preserve"> </w:t>
      </w:r>
      <w:r w:rsidRPr="00656526">
        <w:rPr>
          <w:lang w:val="en-CA"/>
        </w:rPr>
        <w:t>industries, such as health care.</w:t>
      </w:r>
      <w:bookmarkEnd w:id="16"/>
      <w:r w:rsidRPr="00335657">
        <w:rPr>
          <w:rStyle w:val="EndnoteReference"/>
          <w:lang w:val="en-CA"/>
        </w:rPr>
        <w:endnoteReference w:id="74"/>
      </w:r>
    </w:p>
    <w:p w14:paraId="6D01C985" w14:textId="77777777" w:rsidR="00E541F9" w:rsidRPr="00335657" w:rsidRDefault="00E541F9" w:rsidP="00656526">
      <w:pPr>
        <w:pStyle w:val="BodyTextMain"/>
        <w:rPr>
          <w:lang w:val="en-CA"/>
        </w:rPr>
      </w:pPr>
    </w:p>
    <w:p w14:paraId="789CEEF2" w14:textId="1FA5BE23" w:rsidR="00E541F9" w:rsidRPr="00335657" w:rsidRDefault="00E541F9" w:rsidP="00656526">
      <w:pPr>
        <w:pStyle w:val="BodyTextMain"/>
        <w:rPr>
          <w:lang w:val="en-CA"/>
        </w:rPr>
      </w:pPr>
      <w:r w:rsidRPr="00656526">
        <w:rPr>
          <w:lang w:val="en-CA"/>
        </w:rPr>
        <w:t>Another limitation to 5G networks was its unknown effect</w:t>
      </w:r>
      <w:r w:rsidR="007208FB" w:rsidRPr="00656526">
        <w:rPr>
          <w:lang w:val="en-CA"/>
        </w:rPr>
        <w:t>s</w:t>
      </w:r>
      <w:r w:rsidRPr="00656526">
        <w:rPr>
          <w:lang w:val="en-CA"/>
        </w:rPr>
        <w:t xml:space="preserve"> on people and the environment. Scientists and physicians in the European Union appealed to governments to halt the expansion of 5G until the effect of radiation caused by radio-frequency electromagnetic fields (RF-EMF) could be investigated. Most wireless networks and wireless devices depended on RF-EMF, and while </w:t>
      </w:r>
      <w:r w:rsidR="00A42FCB" w:rsidRPr="00656526">
        <w:rPr>
          <w:lang w:val="en-CA"/>
        </w:rPr>
        <w:t>the second, third, and fourth generations of cellular technology</w:t>
      </w:r>
      <w:r w:rsidRPr="00656526">
        <w:rPr>
          <w:lang w:val="en-CA"/>
        </w:rPr>
        <w:t xml:space="preserve"> </w:t>
      </w:r>
      <w:r w:rsidR="001C132F" w:rsidRPr="00656526">
        <w:rPr>
          <w:lang w:val="en-CA"/>
        </w:rPr>
        <w:t xml:space="preserve">(2G, 3G, 4G) </w:t>
      </w:r>
      <w:r w:rsidRPr="00656526">
        <w:rPr>
          <w:lang w:val="en-CA"/>
        </w:rPr>
        <w:t>and Wi</w:t>
      </w:r>
      <w:r w:rsidR="007208FB" w:rsidRPr="00656526">
        <w:rPr>
          <w:lang w:val="en-CA"/>
        </w:rPr>
        <w:t>-</w:t>
      </w:r>
      <w:r w:rsidRPr="00656526">
        <w:rPr>
          <w:lang w:val="en-CA"/>
        </w:rPr>
        <w:t xml:space="preserve">Fi all created electromagnetic fields, 5G escalated the potential </w:t>
      </w:r>
      <w:r w:rsidRPr="00656526">
        <w:rPr>
          <w:lang w:val="en-CA"/>
        </w:rPr>
        <w:lastRenderedPageBreak/>
        <w:t>risk because of the sheer number of base stations required to generate the network and the nature of the waves generated by the network.</w:t>
      </w:r>
      <w:r w:rsidRPr="00656526">
        <w:rPr>
          <w:rStyle w:val="EndnoteReference"/>
          <w:lang w:val="en-CA"/>
        </w:rPr>
        <w:endnoteReference w:id="75"/>
      </w:r>
      <w:r w:rsidRPr="00656526">
        <w:rPr>
          <w:lang w:val="en-CA"/>
        </w:rPr>
        <w:t xml:space="preserve"> Installation of 5G in the United States </w:t>
      </w:r>
      <w:r w:rsidR="007208FB" w:rsidRPr="00656526">
        <w:rPr>
          <w:lang w:val="en-CA"/>
        </w:rPr>
        <w:t>would</w:t>
      </w:r>
      <w:r w:rsidRPr="00656526">
        <w:rPr>
          <w:lang w:val="en-CA"/>
        </w:rPr>
        <w:t xml:space="preserve"> require more than 800,000 cell antenna sites in populated areas, replete with homes, parks, shopping, and offices.</w:t>
      </w:r>
      <w:r w:rsidRPr="00656526">
        <w:rPr>
          <w:rStyle w:val="EndnoteReference"/>
          <w:lang w:val="en-CA"/>
        </w:rPr>
        <w:endnoteReference w:id="76"/>
      </w:r>
      <w:r w:rsidRPr="00656526">
        <w:rPr>
          <w:lang w:val="en-CA"/>
        </w:rPr>
        <w:t xml:space="preserve"> </w:t>
      </w:r>
      <w:r w:rsidR="00A42FCB" w:rsidRPr="00656526">
        <w:rPr>
          <w:lang w:val="en-CA"/>
        </w:rPr>
        <w:t>And, u</w:t>
      </w:r>
      <w:r w:rsidRPr="00656526">
        <w:rPr>
          <w:lang w:val="en-CA"/>
        </w:rPr>
        <w:t>nlike other cellular technologies, which relied primarily on microwaves, 5G employed millimetre waves. The shorter wave length was the reason antennas were needed every few hundred metres (thus the high number of transmitters), but the shorter wave length also raised concerns about millimetre-wave radiation. According to scientists, millimetre waves were mostly absorbed in the top few millimetres of human skin and in the surface layers of the cornea. Short-term exposures to millimetre waves were expected to adversely affect</w:t>
      </w:r>
      <w:r w:rsidRPr="00335657">
        <w:rPr>
          <w:shd w:val="clear" w:color="auto" w:fill="FFFFFF"/>
          <w:lang w:val="en-CA"/>
        </w:rPr>
        <w:t xml:space="preserve"> </w:t>
      </w:r>
      <w:r w:rsidRPr="00656526">
        <w:rPr>
          <w:lang w:val="en-CA"/>
        </w:rPr>
        <w:t>the peripheral nervous system, immune system, and cardiovascular system.</w:t>
      </w:r>
      <w:r w:rsidRPr="00335657">
        <w:rPr>
          <w:rStyle w:val="EndnoteReference"/>
          <w:lang w:val="en-CA"/>
        </w:rPr>
        <w:endnoteReference w:id="77"/>
      </w:r>
    </w:p>
    <w:p w14:paraId="3787AF07" w14:textId="74367B9E" w:rsidR="00E541F9" w:rsidRPr="00335657" w:rsidRDefault="00E541F9" w:rsidP="00656526">
      <w:pPr>
        <w:pStyle w:val="BodyTextMain"/>
        <w:rPr>
          <w:shd w:val="clear" w:color="auto" w:fill="FFFFFF"/>
          <w:lang w:val="en-CA"/>
        </w:rPr>
      </w:pPr>
    </w:p>
    <w:p w14:paraId="69314AC4" w14:textId="77777777" w:rsidR="00E541F9" w:rsidRPr="00335657" w:rsidRDefault="00E541F9" w:rsidP="00656526">
      <w:pPr>
        <w:pStyle w:val="BodyTextMain"/>
        <w:rPr>
          <w:shd w:val="clear" w:color="auto" w:fill="FFFFFF"/>
          <w:lang w:val="en-CA"/>
        </w:rPr>
      </w:pPr>
    </w:p>
    <w:p w14:paraId="6B5275C8" w14:textId="6CEA0D45" w:rsidR="00E541F9" w:rsidRPr="00335657" w:rsidRDefault="00A42FCB" w:rsidP="00656526">
      <w:pPr>
        <w:pStyle w:val="Casehead2"/>
        <w:rPr>
          <w:shd w:val="clear" w:color="auto" w:fill="FFFFFF"/>
          <w:lang w:val="en-CA"/>
        </w:rPr>
      </w:pPr>
      <w:r w:rsidRPr="00656526">
        <w:rPr>
          <w:lang w:val="en-CA"/>
        </w:rPr>
        <w:t>Economic Feasibility of LEO Satellites</w:t>
      </w:r>
    </w:p>
    <w:p w14:paraId="557D7C7B" w14:textId="77777777" w:rsidR="00E541F9" w:rsidRPr="00335657" w:rsidRDefault="00E541F9" w:rsidP="00656526">
      <w:pPr>
        <w:pStyle w:val="BodyTextMain"/>
        <w:rPr>
          <w:shd w:val="clear" w:color="auto" w:fill="FFFFFF"/>
          <w:lang w:val="en-CA"/>
        </w:rPr>
      </w:pPr>
    </w:p>
    <w:p w14:paraId="263529AA" w14:textId="42EF671F" w:rsidR="0071233F" w:rsidRPr="00335657" w:rsidRDefault="00E541F9" w:rsidP="00656526">
      <w:pPr>
        <w:pStyle w:val="BodyTextMain"/>
        <w:rPr>
          <w:shd w:val="clear" w:color="auto" w:fill="FFFFFF"/>
          <w:lang w:val="en-CA"/>
        </w:rPr>
      </w:pPr>
      <w:r w:rsidRPr="00656526">
        <w:rPr>
          <w:lang w:val="en-CA"/>
        </w:rPr>
        <w:t>LEO satellites had not been successful in the past. When Iridium launched a constellation of 95 LEO satellites into Earth’s orbit in the 1990s, 30 per cent of the satellites failed.</w:t>
      </w:r>
      <w:r w:rsidRPr="00656526">
        <w:rPr>
          <w:rStyle w:val="EndnoteReference"/>
          <w:lang w:val="en-CA"/>
        </w:rPr>
        <w:endnoteReference w:id="78"/>
      </w:r>
      <w:r w:rsidRPr="00656526">
        <w:rPr>
          <w:lang w:val="en-CA"/>
        </w:rPr>
        <w:t xml:space="preserve"> The company’s satellite-based phones were priced at $3,000 each and calls were charged at $</w:t>
      </w:r>
      <w:r w:rsidR="001B5778" w:rsidRPr="00656526">
        <w:rPr>
          <w:lang w:val="en-CA"/>
        </w:rPr>
        <w:t>4</w:t>
      </w:r>
      <w:r w:rsidR="001C132F" w:rsidRPr="00656526">
        <w:rPr>
          <w:lang w:val="en-CA"/>
        </w:rPr>
        <w:t>–</w:t>
      </w:r>
      <w:r w:rsidRPr="00656526">
        <w:rPr>
          <w:lang w:val="en-CA"/>
        </w:rPr>
        <w:t>$</w:t>
      </w:r>
      <w:r w:rsidR="001B5778" w:rsidRPr="00656526">
        <w:rPr>
          <w:lang w:val="en-CA"/>
        </w:rPr>
        <w:t xml:space="preserve">7 </w:t>
      </w:r>
      <w:r w:rsidRPr="00656526">
        <w:rPr>
          <w:lang w:val="en-CA"/>
        </w:rPr>
        <w:t>per minute</w:t>
      </w:r>
      <w:r w:rsidR="00B60C11" w:rsidRPr="00656526">
        <w:rPr>
          <w:lang w:val="en-CA"/>
        </w:rPr>
        <w:t xml:space="preserve"> in 1997</w:t>
      </w:r>
      <w:r w:rsidR="00B25BD3" w:rsidRPr="00656526">
        <w:rPr>
          <w:lang w:val="en-CA"/>
        </w:rPr>
        <w:t xml:space="preserve"> (</w:t>
      </w:r>
      <w:r w:rsidRPr="00656526">
        <w:rPr>
          <w:lang w:val="en-CA"/>
        </w:rPr>
        <w:t>a function of the</w:t>
      </w:r>
      <w:r w:rsidRPr="00656526">
        <w:rPr>
          <w:shd w:val="clear" w:color="auto" w:fill="000000" w:themeFill="text1"/>
          <w:lang w:val="en-CA"/>
        </w:rPr>
        <w:t xml:space="preserve"> </w:t>
      </w:r>
      <w:r w:rsidRPr="00656526">
        <w:rPr>
          <w:lang w:val="en-CA"/>
        </w:rPr>
        <w:t>cost of building the satellites and launching them into orbit</w:t>
      </w:r>
      <w:r w:rsidR="00B25BD3" w:rsidRPr="00656526">
        <w:rPr>
          <w:lang w:val="en-CA"/>
        </w:rPr>
        <w:t>)</w:t>
      </w:r>
      <w:r w:rsidRPr="00656526">
        <w:rPr>
          <w:lang w:val="en-CA"/>
        </w:rPr>
        <w:t>.</w:t>
      </w:r>
      <w:r w:rsidRPr="00656526">
        <w:rPr>
          <w:rStyle w:val="EndnoteReference"/>
          <w:lang w:val="en-CA"/>
        </w:rPr>
        <w:endnoteReference w:id="79"/>
      </w:r>
      <w:r w:rsidRPr="00335657">
        <w:rPr>
          <w:shd w:val="clear" w:color="auto" w:fill="FFFFFF"/>
          <w:lang w:val="en-CA"/>
        </w:rPr>
        <w:t xml:space="preserve"> </w:t>
      </w:r>
    </w:p>
    <w:p w14:paraId="7E0AFB42" w14:textId="77777777" w:rsidR="0071233F" w:rsidRPr="00335657" w:rsidRDefault="0071233F" w:rsidP="00656526">
      <w:pPr>
        <w:pStyle w:val="BodyTextMain"/>
        <w:rPr>
          <w:shd w:val="clear" w:color="auto" w:fill="FFFFFF"/>
          <w:lang w:val="en-CA"/>
        </w:rPr>
      </w:pPr>
    </w:p>
    <w:p w14:paraId="6A0370C3" w14:textId="7553DB0A" w:rsidR="00E541F9" w:rsidRPr="00335657" w:rsidRDefault="00E541F9" w:rsidP="00656526">
      <w:pPr>
        <w:pStyle w:val="BodyTextMain"/>
        <w:rPr>
          <w:shd w:val="clear" w:color="auto" w:fill="FFFFFF"/>
          <w:lang w:val="en-CA"/>
        </w:rPr>
      </w:pPr>
      <w:r w:rsidRPr="00656526">
        <w:rPr>
          <w:lang w:val="en-CA"/>
        </w:rPr>
        <w:t xml:space="preserve">According to Blaine Curcio, founder of Orbital Gateway Consulting, that cost had </w:t>
      </w:r>
      <w:r w:rsidR="00B25BD3" w:rsidRPr="00656526">
        <w:rPr>
          <w:lang w:val="en-CA"/>
        </w:rPr>
        <w:t xml:space="preserve">been </w:t>
      </w:r>
      <w:r w:rsidRPr="00656526">
        <w:rPr>
          <w:lang w:val="en-CA"/>
        </w:rPr>
        <w:t>much reduced by 2020. He claimed, “The cost to launch 1 Gbps of capacity is literally 100 times less than it was 15 to 20 years ago.”</w:t>
      </w:r>
      <w:r w:rsidRPr="00656526">
        <w:rPr>
          <w:rStyle w:val="EndnoteReference"/>
          <w:lang w:val="en-CA"/>
        </w:rPr>
        <w:endnoteReference w:id="80"/>
      </w:r>
      <w:r w:rsidRPr="00656526">
        <w:rPr>
          <w:lang w:val="en-CA"/>
        </w:rPr>
        <w:t xml:space="preserve"> However, according to McKinsey, the cost of satellite launches was just one part of the equation; reducing the cost of manufacturing spacecraft, ground equipment, and user equipment was equally important to unlock the potential of </w:t>
      </w:r>
      <w:r w:rsidRPr="00656526">
        <w:rPr>
          <w:spacing w:val="1"/>
          <w:lang w:val="en-CA"/>
        </w:rPr>
        <w:t>LEO</w:t>
      </w:r>
      <w:r w:rsidRPr="00656526">
        <w:rPr>
          <w:lang w:val="en-CA"/>
        </w:rPr>
        <w:t xml:space="preserve"> satellite Internet.</w:t>
      </w:r>
      <w:r w:rsidRPr="00656526">
        <w:rPr>
          <w:rStyle w:val="EndnoteReference"/>
          <w:lang w:val="en-CA"/>
        </w:rPr>
        <w:endnoteReference w:id="81"/>
      </w:r>
      <w:r w:rsidRPr="00656526">
        <w:rPr>
          <w:lang w:val="en-CA"/>
        </w:rPr>
        <w:t xml:space="preserve"> The price of consumer equipment had</w:t>
      </w:r>
      <w:r w:rsidRPr="00335657">
        <w:rPr>
          <w:shd w:val="clear" w:color="auto" w:fill="FFFFFF"/>
          <w:lang w:val="en-CA"/>
        </w:rPr>
        <w:t xml:space="preserve"> </w:t>
      </w:r>
      <w:r w:rsidRPr="00656526">
        <w:rPr>
          <w:lang w:val="en-CA"/>
        </w:rPr>
        <w:t xml:space="preserve">fallen; for example, antennas that </w:t>
      </w:r>
      <w:r w:rsidR="005473CA" w:rsidRPr="00656526">
        <w:rPr>
          <w:lang w:val="en-CA"/>
        </w:rPr>
        <w:t xml:space="preserve">had </w:t>
      </w:r>
      <w:r w:rsidRPr="00656526">
        <w:rPr>
          <w:lang w:val="en-CA"/>
        </w:rPr>
        <w:t xml:space="preserve">cost $100,000 in the 1990s </w:t>
      </w:r>
      <w:r w:rsidR="00B25BD3" w:rsidRPr="00656526">
        <w:rPr>
          <w:lang w:val="en-CA"/>
        </w:rPr>
        <w:t xml:space="preserve">had fallen </w:t>
      </w:r>
      <w:r w:rsidRPr="00656526">
        <w:rPr>
          <w:lang w:val="en-CA"/>
        </w:rPr>
        <w:t>to $300–$500 by 2020.</w:t>
      </w:r>
      <w:r w:rsidRPr="00335657">
        <w:rPr>
          <w:rStyle w:val="EndnoteReference"/>
          <w:lang w:val="en-CA"/>
        </w:rPr>
        <w:endnoteReference w:id="82"/>
      </w:r>
      <w:r w:rsidRPr="00335657">
        <w:rPr>
          <w:shd w:val="clear" w:color="auto" w:fill="FFFFFF"/>
          <w:lang w:val="en-CA"/>
        </w:rPr>
        <w:t xml:space="preserve"> </w:t>
      </w:r>
      <w:bookmarkStart w:id="19" w:name="_Hlk48196983"/>
    </w:p>
    <w:p w14:paraId="148E990D" w14:textId="5427F6B7" w:rsidR="00E541F9" w:rsidRPr="00335657" w:rsidRDefault="00E541F9" w:rsidP="00656526">
      <w:pPr>
        <w:pStyle w:val="BodyTextMain"/>
        <w:rPr>
          <w:shd w:val="clear" w:color="auto" w:fill="FFFFFF"/>
          <w:lang w:val="en-CA"/>
        </w:rPr>
      </w:pPr>
    </w:p>
    <w:p w14:paraId="4A1D5A38" w14:textId="46DA914A" w:rsidR="00E541F9" w:rsidRPr="00335657" w:rsidRDefault="00E541F9" w:rsidP="00656526">
      <w:pPr>
        <w:pStyle w:val="BodyTextMain"/>
        <w:rPr>
          <w:shd w:val="clear" w:color="auto" w:fill="FFFFFF"/>
          <w:lang w:val="en-CA"/>
        </w:rPr>
      </w:pPr>
      <w:r w:rsidRPr="00335657">
        <w:rPr>
          <w:lang w:val="en-CA"/>
        </w:rPr>
        <w:t>Bulent Altan</w:t>
      </w:r>
      <w:bookmarkEnd w:id="19"/>
      <w:r w:rsidRPr="00335657">
        <w:rPr>
          <w:lang w:val="en-CA"/>
        </w:rPr>
        <w:t>, head of space at Mynaric, a laser communication technology manufacturer, suggested that for satellite Internet to be economically viable, user equipment must be sold at three to four times the operator’s monthly service charge so that investments could be made in equipment maintenance.</w:t>
      </w:r>
      <w:r w:rsidRPr="00335657">
        <w:rPr>
          <w:rStyle w:val="EndnoteReference"/>
          <w:lang w:val="en-CA"/>
        </w:rPr>
        <w:endnoteReference w:id="83"/>
      </w:r>
      <w:r w:rsidRPr="00335657">
        <w:rPr>
          <w:lang w:val="en-CA"/>
        </w:rPr>
        <w:t xml:space="preserve"> In 2019, OneWeb indicated that it was planning to price a user terminal at $200–$300, but SpaceX had not revealed its price plans.</w:t>
      </w:r>
      <w:r w:rsidRPr="00335657">
        <w:rPr>
          <w:rStyle w:val="EndnoteReference"/>
          <w:lang w:val="en-CA"/>
        </w:rPr>
        <w:endnoteReference w:id="84"/>
      </w:r>
      <w:r w:rsidRPr="00335657">
        <w:rPr>
          <w:lang w:val="en-CA"/>
        </w:rPr>
        <w:t xml:space="preserve"> </w:t>
      </w:r>
    </w:p>
    <w:p w14:paraId="631AE085" w14:textId="77777777" w:rsidR="00E541F9" w:rsidRPr="00335657" w:rsidRDefault="00E541F9" w:rsidP="00656526">
      <w:pPr>
        <w:pStyle w:val="BodyTextMain"/>
        <w:rPr>
          <w:lang w:val="en-CA"/>
        </w:rPr>
      </w:pPr>
    </w:p>
    <w:p w14:paraId="192447C7" w14:textId="443B0539" w:rsidR="00E541F9" w:rsidRPr="00335657" w:rsidRDefault="00E541F9" w:rsidP="00656526">
      <w:pPr>
        <w:pStyle w:val="BodyTextMain"/>
        <w:rPr>
          <w:lang w:val="en-CA"/>
        </w:rPr>
      </w:pPr>
      <w:r w:rsidRPr="00656526">
        <w:rPr>
          <w:spacing w:val="5"/>
          <w:lang w:val="en-CA"/>
        </w:rPr>
        <w:t xml:space="preserve">For Starlink to be economically viable, Musk maintained that the company </w:t>
      </w:r>
      <w:r w:rsidR="005473CA" w:rsidRPr="00656526">
        <w:rPr>
          <w:spacing w:val="5"/>
          <w:lang w:val="en-CA"/>
        </w:rPr>
        <w:t xml:space="preserve">needed </w:t>
      </w:r>
      <w:r w:rsidRPr="00656526">
        <w:rPr>
          <w:spacing w:val="5"/>
          <w:lang w:val="en-CA"/>
        </w:rPr>
        <w:t>to deploy 1,000 satellites. He added, “If we are putting a lot more satellites than that in orbit, that’s a very good thing—it means there is a lot of demand for the system.”</w:t>
      </w:r>
      <w:r w:rsidRPr="00656526">
        <w:rPr>
          <w:rStyle w:val="EndnoteReference"/>
          <w:lang w:val="en-CA"/>
        </w:rPr>
        <w:endnoteReference w:id="85"/>
      </w:r>
      <w:r w:rsidRPr="00656526">
        <w:rPr>
          <w:lang w:val="en-CA"/>
        </w:rPr>
        <w:t xml:space="preserve"> Starlink’s goal was “targeting service in the Northern US and Canada in 2020, rapidly expanding to near-global coverage of the populated world by 2021.”</w:t>
      </w:r>
      <w:r w:rsidRPr="00656526">
        <w:rPr>
          <w:rStyle w:val="EndnoteReference"/>
          <w:lang w:val="en-CA"/>
        </w:rPr>
        <w:endnoteReference w:id="86"/>
      </w:r>
      <w:r w:rsidRPr="00656526">
        <w:rPr>
          <w:lang w:val="en-CA"/>
        </w:rPr>
        <w:t xml:space="preserve"> Musk’s financial goal for Starlink was</w:t>
      </w:r>
      <w:r w:rsidR="002445F9" w:rsidRPr="00656526">
        <w:rPr>
          <w:lang w:val="en-CA"/>
        </w:rPr>
        <w:t xml:space="preserve"> </w:t>
      </w:r>
      <w:r w:rsidRPr="00656526">
        <w:rPr>
          <w:lang w:val="en-CA"/>
        </w:rPr>
        <w:t>an operating profit margin of 40 per cent in 2021, 50 per cent in 2022, and 60 per cent in 2025.</w:t>
      </w:r>
      <w:r w:rsidRPr="00656526">
        <w:rPr>
          <w:rStyle w:val="EndnoteReference"/>
          <w:lang w:val="en-CA"/>
        </w:rPr>
        <w:endnoteReference w:id="87"/>
      </w:r>
      <w:r w:rsidRPr="00656526">
        <w:rPr>
          <w:lang w:val="en-CA"/>
        </w:rPr>
        <w:t xml:space="preserve"> With expected operating profits of $10 billion per year and a cost</w:t>
      </w:r>
      <w:r w:rsidRPr="00335657">
        <w:rPr>
          <w:shd w:val="clear" w:color="auto" w:fill="FFFFFF"/>
          <w:lang w:val="en-CA"/>
        </w:rPr>
        <w:t xml:space="preserve"> </w:t>
      </w:r>
      <w:r w:rsidRPr="00656526">
        <w:rPr>
          <w:lang w:val="en-CA"/>
        </w:rPr>
        <w:t>of $10 billion to build Starlink, a year’s profit was expected to offset SpaceX’s cost in launching Starlink.</w:t>
      </w:r>
      <w:r w:rsidRPr="00335657">
        <w:rPr>
          <w:rStyle w:val="EndnoteReference"/>
          <w:lang w:val="en-CA"/>
        </w:rPr>
        <w:endnoteReference w:id="88"/>
      </w:r>
    </w:p>
    <w:p w14:paraId="1FE261A1" w14:textId="127923D3" w:rsidR="00E541F9" w:rsidRPr="00335657" w:rsidRDefault="00E541F9" w:rsidP="00656526">
      <w:pPr>
        <w:pStyle w:val="BodyTextMain"/>
        <w:rPr>
          <w:lang w:val="en-CA"/>
        </w:rPr>
      </w:pPr>
    </w:p>
    <w:p w14:paraId="4C601C3C" w14:textId="77777777" w:rsidR="00E541F9" w:rsidRPr="00335657" w:rsidRDefault="00E541F9" w:rsidP="00656526">
      <w:pPr>
        <w:pStyle w:val="BodyTextMain"/>
        <w:rPr>
          <w:lang w:val="en-CA"/>
        </w:rPr>
      </w:pPr>
    </w:p>
    <w:p w14:paraId="4AC82A24" w14:textId="77777777" w:rsidR="00E541F9" w:rsidRPr="00335657" w:rsidRDefault="00E541F9" w:rsidP="00656526">
      <w:pPr>
        <w:pStyle w:val="Casehead1"/>
        <w:rPr>
          <w:shd w:val="clear" w:color="auto" w:fill="FFFFFF"/>
          <w:lang w:val="en-CA"/>
        </w:rPr>
      </w:pPr>
      <w:r w:rsidRPr="00656526">
        <w:rPr>
          <w:lang w:val="en-CA"/>
        </w:rPr>
        <w:t>OTHER ISSUES</w:t>
      </w:r>
    </w:p>
    <w:p w14:paraId="7C0579F2" w14:textId="77777777" w:rsidR="00E541F9" w:rsidRPr="00335657" w:rsidRDefault="00E541F9" w:rsidP="00656526">
      <w:pPr>
        <w:pStyle w:val="BodyTextMain"/>
        <w:rPr>
          <w:shd w:val="clear" w:color="auto" w:fill="FFFFFF"/>
          <w:lang w:val="en-CA"/>
        </w:rPr>
      </w:pPr>
    </w:p>
    <w:p w14:paraId="0A830A56" w14:textId="0A11FD1D" w:rsidR="00E541F9" w:rsidRPr="00335657" w:rsidRDefault="00E541F9" w:rsidP="00656526">
      <w:pPr>
        <w:pStyle w:val="BodyTextMain"/>
        <w:rPr>
          <w:spacing w:val="2"/>
          <w:shd w:val="clear" w:color="auto" w:fill="FFFFFF"/>
          <w:lang w:val="en-CA"/>
        </w:rPr>
      </w:pPr>
      <w:r w:rsidRPr="00656526">
        <w:rPr>
          <w:lang w:val="en-CA"/>
        </w:rPr>
        <w:t xml:space="preserve">Scientists were concerned that the numerous satellites launched by SpaceX and other companies were increasing the amount of debris in space. </w:t>
      </w:r>
      <w:r w:rsidR="00B60C11" w:rsidRPr="00656526">
        <w:rPr>
          <w:color w:val="111111"/>
          <w:lang w:val="en-CA"/>
        </w:rPr>
        <w:t>In 2018</w:t>
      </w:r>
      <w:r w:rsidR="005473CA" w:rsidRPr="00656526">
        <w:rPr>
          <w:color w:val="111111"/>
          <w:lang w:val="en-CA"/>
        </w:rPr>
        <w:t>,</w:t>
      </w:r>
      <w:r w:rsidR="00B60C11" w:rsidRPr="00656526">
        <w:rPr>
          <w:color w:val="111111"/>
          <w:lang w:val="en-CA"/>
        </w:rPr>
        <w:t xml:space="preserve"> there were more than 14,000 particles of space junk that were uncontrolled.</w:t>
      </w:r>
      <w:r w:rsidR="00BA3299" w:rsidRPr="00656526">
        <w:rPr>
          <w:rStyle w:val="EndnoteReference"/>
          <w:lang w:val="en-CA"/>
        </w:rPr>
        <w:endnoteReference w:id="89"/>
      </w:r>
      <w:r w:rsidR="005473CA" w:rsidRPr="00656526">
        <w:rPr>
          <w:color w:val="111111"/>
          <w:lang w:val="en-CA"/>
        </w:rPr>
        <w:t xml:space="preserve"> </w:t>
      </w:r>
      <w:r w:rsidRPr="00656526">
        <w:rPr>
          <w:spacing w:val="2"/>
          <w:lang w:val="en-CA"/>
        </w:rPr>
        <w:t xml:space="preserve">Space debris could cause collisions, damaging satellites, telescopes, and other objects orbiting the earth. Because of the speed of travel and the lack of countervailing gravitational forces, </w:t>
      </w:r>
      <w:r w:rsidR="005473CA" w:rsidRPr="00656526">
        <w:rPr>
          <w:spacing w:val="2"/>
          <w:lang w:val="en-CA"/>
        </w:rPr>
        <w:t>a</w:t>
      </w:r>
      <w:r w:rsidRPr="00656526">
        <w:rPr>
          <w:spacing w:val="2"/>
          <w:lang w:val="en-CA"/>
        </w:rPr>
        <w:t>ny debris larger than 10 centimetres could shatter a satellite or spacecraft into pieces</w:t>
      </w:r>
      <w:r w:rsidR="0071233F" w:rsidRPr="00656526">
        <w:rPr>
          <w:spacing w:val="2"/>
          <w:lang w:val="en-CA"/>
        </w:rPr>
        <w:t>,</w:t>
      </w:r>
      <w:r w:rsidR="0071233F" w:rsidRPr="00335657">
        <w:rPr>
          <w:spacing w:val="2"/>
          <w:shd w:val="clear" w:color="auto" w:fill="FFFFFF"/>
          <w:lang w:val="en-CA"/>
        </w:rPr>
        <w:t xml:space="preserve"> </w:t>
      </w:r>
      <w:r w:rsidR="0071233F" w:rsidRPr="00656526">
        <w:rPr>
          <w:spacing w:val="2"/>
          <w:lang w:val="en-CA"/>
        </w:rPr>
        <w:t>consequently creating more space debris</w:t>
      </w:r>
      <w:r w:rsidRPr="00656526">
        <w:rPr>
          <w:spacing w:val="2"/>
          <w:lang w:val="en-CA"/>
        </w:rPr>
        <w:t>.</w:t>
      </w:r>
      <w:r w:rsidRPr="00335657">
        <w:rPr>
          <w:rStyle w:val="EndnoteReference"/>
          <w:lang w:val="en-CA"/>
        </w:rPr>
        <w:endnoteReference w:id="90"/>
      </w:r>
      <w:r w:rsidRPr="00335657">
        <w:rPr>
          <w:spacing w:val="2"/>
          <w:shd w:val="clear" w:color="auto" w:fill="FFFFFF"/>
          <w:lang w:val="en-CA"/>
        </w:rPr>
        <w:t xml:space="preserve"> </w:t>
      </w:r>
    </w:p>
    <w:p w14:paraId="37D11BED" w14:textId="77777777" w:rsidR="00E541F9" w:rsidRPr="00335657" w:rsidRDefault="00E541F9" w:rsidP="00656526">
      <w:pPr>
        <w:pStyle w:val="BodyTextMain"/>
        <w:rPr>
          <w:spacing w:val="2"/>
          <w:shd w:val="clear" w:color="auto" w:fill="FFFFFF"/>
          <w:lang w:val="en-CA"/>
        </w:rPr>
      </w:pPr>
    </w:p>
    <w:p w14:paraId="79243511" w14:textId="6F27E4F9" w:rsidR="00E541F9" w:rsidRPr="00335657" w:rsidRDefault="00E541F9" w:rsidP="00656526">
      <w:pPr>
        <w:pStyle w:val="BodyTextMain"/>
        <w:rPr>
          <w:shd w:val="clear" w:color="auto" w:fill="FFFFFF"/>
          <w:lang w:val="en-CA"/>
        </w:rPr>
      </w:pPr>
      <w:r w:rsidRPr="00656526">
        <w:rPr>
          <w:lang w:val="en-CA"/>
        </w:rPr>
        <w:lastRenderedPageBreak/>
        <w:t>In its FCC filing in October 2019, SpaceX claimed that if any Starlink satellite failed immediately after being launched into its initial orbit—an altitude of about 350 kilometres—the risk of the failed satellite colliding with any objects larger than 10 centimetres was just 0.000000303 per cent. SpaceX did not provide</w:t>
      </w:r>
      <w:r w:rsidRPr="00335657">
        <w:rPr>
          <w:shd w:val="clear" w:color="auto" w:fill="FFFFFF"/>
          <w:lang w:val="en-CA"/>
        </w:rPr>
        <w:t xml:space="preserve"> </w:t>
      </w:r>
      <w:r w:rsidRPr="00656526">
        <w:rPr>
          <w:lang w:val="en-CA"/>
        </w:rPr>
        <w:t>a risk analysis for satellites that failed at their operational height of 550 kilometres.</w:t>
      </w:r>
      <w:r w:rsidRPr="00656526">
        <w:rPr>
          <w:rStyle w:val="EndnoteReference"/>
          <w:lang w:val="en-CA"/>
        </w:rPr>
        <w:endnoteReference w:id="91"/>
      </w:r>
      <w:r w:rsidRPr="00335657">
        <w:rPr>
          <w:shd w:val="clear" w:color="auto" w:fill="FFFFFF"/>
          <w:lang w:val="en-CA"/>
        </w:rPr>
        <w:t xml:space="preserve"> </w:t>
      </w:r>
    </w:p>
    <w:p w14:paraId="7D14CCA0" w14:textId="77777777" w:rsidR="00E541F9" w:rsidRPr="00335657" w:rsidRDefault="00E541F9" w:rsidP="00656526">
      <w:pPr>
        <w:pStyle w:val="BodyTextMain"/>
        <w:rPr>
          <w:shd w:val="clear" w:color="auto" w:fill="FFFFFF"/>
          <w:lang w:val="en-CA"/>
        </w:rPr>
      </w:pPr>
    </w:p>
    <w:p w14:paraId="21FB1548" w14:textId="7561BAEF" w:rsidR="00E541F9" w:rsidRPr="00335657" w:rsidRDefault="00E541F9" w:rsidP="00656526">
      <w:pPr>
        <w:pStyle w:val="BodyTextMain"/>
        <w:rPr>
          <w:lang w:val="en-CA"/>
        </w:rPr>
      </w:pPr>
      <w:r w:rsidRPr="00656526">
        <w:rPr>
          <w:lang w:val="en-CA"/>
        </w:rPr>
        <w:t>Astronomers also raised concerns about how Starlink’s mega-constellation affected observations of the universe.</w:t>
      </w:r>
      <w:r w:rsidRPr="00656526">
        <w:rPr>
          <w:rStyle w:val="EndnoteReference"/>
          <w:lang w:val="en-CA"/>
        </w:rPr>
        <w:endnoteReference w:id="92"/>
      </w:r>
      <w:r w:rsidRPr="00656526">
        <w:rPr>
          <w:lang w:val="en-CA"/>
        </w:rPr>
        <w:t xml:space="preserve"> The initial batch of SpaceX’s Starlink satellites shone brightly in astronomical observations of the night sky. Cees Bassa, an astronomer from the Netherlands Institute for Radio Astronomy, said, “Astronomy will [still] be possible, we will just have to learn to deal with many satellites passing through</w:t>
      </w:r>
      <w:r w:rsidRPr="00335657">
        <w:rPr>
          <w:shd w:val="clear" w:color="auto" w:fill="FFFFFF"/>
          <w:lang w:val="en-CA"/>
        </w:rPr>
        <w:t xml:space="preserve"> </w:t>
      </w:r>
      <w:r w:rsidRPr="00656526">
        <w:rPr>
          <w:lang w:val="en-CA"/>
        </w:rPr>
        <w:t>our observations, and they may ruin some observations.”</w:t>
      </w:r>
      <w:r w:rsidRPr="00335657">
        <w:rPr>
          <w:rStyle w:val="EndnoteReference"/>
          <w:lang w:val="en-CA"/>
        </w:rPr>
        <w:endnoteReference w:id="93"/>
      </w:r>
    </w:p>
    <w:p w14:paraId="386C2813" w14:textId="427A6988" w:rsidR="00E541F9" w:rsidRPr="00335657" w:rsidRDefault="00E541F9" w:rsidP="00656526">
      <w:pPr>
        <w:pStyle w:val="BodyTextMain"/>
        <w:rPr>
          <w:lang w:val="en-CA"/>
        </w:rPr>
      </w:pPr>
    </w:p>
    <w:p w14:paraId="6D2F60B1" w14:textId="77777777" w:rsidR="00E541F9" w:rsidRPr="00335657" w:rsidRDefault="00E541F9" w:rsidP="00656526">
      <w:pPr>
        <w:pStyle w:val="BodyTextMain"/>
        <w:rPr>
          <w:lang w:val="en-CA"/>
        </w:rPr>
      </w:pPr>
    </w:p>
    <w:p w14:paraId="284A2E3B" w14:textId="02CBBFD3" w:rsidR="00E541F9" w:rsidRPr="00335657" w:rsidRDefault="005473CA" w:rsidP="00656526">
      <w:pPr>
        <w:pStyle w:val="Casehead1"/>
        <w:rPr>
          <w:lang w:val="en-CA"/>
        </w:rPr>
      </w:pPr>
      <w:r w:rsidRPr="00335657">
        <w:rPr>
          <w:lang w:val="en-CA"/>
        </w:rPr>
        <w:t xml:space="preserve">The </w:t>
      </w:r>
      <w:r w:rsidR="00E541F9" w:rsidRPr="00335657">
        <w:rPr>
          <w:lang w:val="en-CA"/>
        </w:rPr>
        <w:t>ROAD AHEAD</w:t>
      </w:r>
    </w:p>
    <w:p w14:paraId="40DC524B" w14:textId="77777777" w:rsidR="00E541F9" w:rsidRPr="00335657" w:rsidRDefault="00E541F9" w:rsidP="00656526">
      <w:pPr>
        <w:pStyle w:val="BodyTextMain"/>
        <w:rPr>
          <w:lang w:val="en-CA"/>
        </w:rPr>
      </w:pPr>
    </w:p>
    <w:p w14:paraId="5FD22FC5" w14:textId="61D82AD2" w:rsidR="00E541F9" w:rsidRPr="00335657" w:rsidRDefault="00E541F9" w:rsidP="00656526">
      <w:pPr>
        <w:pStyle w:val="BodyTextMain"/>
        <w:rPr>
          <w:spacing w:val="1"/>
          <w:lang w:val="en-CA"/>
        </w:rPr>
      </w:pPr>
      <w:r w:rsidRPr="00335657">
        <w:rPr>
          <w:spacing w:val="1"/>
          <w:lang w:val="en-CA"/>
        </w:rPr>
        <w:t>Musk</w:t>
      </w:r>
      <w:r w:rsidR="0071233F" w:rsidRPr="00335657">
        <w:rPr>
          <w:spacing w:val="1"/>
          <w:lang w:val="en-CA"/>
        </w:rPr>
        <w:t>’s</w:t>
      </w:r>
      <w:r w:rsidRPr="00335657">
        <w:rPr>
          <w:spacing w:val="1"/>
          <w:lang w:val="en-CA"/>
        </w:rPr>
        <w:t xml:space="preserve"> ultimate mission for SpaceX was to send humans to Mars—a project that could cost up to $220 billion.</w:t>
      </w:r>
      <w:r w:rsidRPr="00335657">
        <w:rPr>
          <w:rStyle w:val="EndnoteReference"/>
          <w:lang w:val="en-CA"/>
        </w:rPr>
        <w:endnoteReference w:id="94"/>
      </w:r>
      <w:r w:rsidRPr="00335657">
        <w:rPr>
          <w:spacing w:val="1"/>
          <w:lang w:val="en-CA"/>
        </w:rPr>
        <w:t xml:space="preserve"> SpaceX’s revenue from rocket launch contracts was about $3 billion annually, with the potential of reaching $5 billion by 2025. Revenue from Starlink’s Internet services was projected to be around $30 billion,</w:t>
      </w:r>
      <w:r w:rsidRPr="00335657">
        <w:rPr>
          <w:rStyle w:val="EndnoteReference"/>
          <w:lang w:val="en-CA"/>
        </w:rPr>
        <w:endnoteReference w:id="95"/>
      </w:r>
      <w:r w:rsidRPr="00335657">
        <w:rPr>
          <w:spacing w:val="1"/>
          <w:lang w:val="en-CA"/>
        </w:rPr>
        <w:t xml:space="preserve"> which Musk intended to use for SpaceX’s Mars project. However, Roger Rusch, president of TelAstra, an investment consulting firm in the satellite industry, was not optimistic, commenting, “My view is that these LEO constellations are totally uneconomic.”</w:t>
      </w:r>
      <w:r w:rsidRPr="00335657">
        <w:rPr>
          <w:rStyle w:val="EndnoteReference"/>
          <w:lang w:val="en-CA"/>
        </w:rPr>
        <w:endnoteReference w:id="96"/>
      </w:r>
      <w:r w:rsidRPr="00335657">
        <w:rPr>
          <w:spacing w:val="1"/>
          <w:lang w:val="en-CA"/>
        </w:rPr>
        <w:t xml:space="preserve"> </w:t>
      </w:r>
    </w:p>
    <w:p w14:paraId="3D9CAE38" w14:textId="77777777" w:rsidR="00E541F9" w:rsidRPr="00335657" w:rsidRDefault="00E541F9" w:rsidP="00656526">
      <w:pPr>
        <w:pStyle w:val="BodyTextMain"/>
        <w:rPr>
          <w:spacing w:val="1"/>
          <w:lang w:val="en-CA"/>
        </w:rPr>
      </w:pPr>
    </w:p>
    <w:p w14:paraId="2C183161" w14:textId="6888216F" w:rsidR="00AE04C0" w:rsidRPr="00335657" w:rsidRDefault="00E541F9" w:rsidP="00656526">
      <w:pPr>
        <w:pStyle w:val="BodyTextMain"/>
        <w:rPr>
          <w:spacing w:val="1"/>
          <w:lang w:val="en-CA"/>
        </w:rPr>
      </w:pPr>
      <w:r w:rsidRPr="00335657">
        <w:rPr>
          <w:spacing w:val="1"/>
          <w:lang w:val="en-CA"/>
        </w:rPr>
        <w:t>Musk was also known to overpromise and underdeliver, as had been the case with Tesla.</w:t>
      </w:r>
      <w:r w:rsidRPr="00335657">
        <w:rPr>
          <w:rStyle w:val="EndnoteReference"/>
          <w:lang w:val="en-CA"/>
        </w:rPr>
        <w:endnoteReference w:id="97"/>
      </w:r>
      <w:r w:rsidRPr="00335657">
        <w:rPr>
          <w:spacing w:val="1"/>
          <w:lang w:val="en-CA"/>
        </w:rPr>
        <w:t xml:space="preserve"> But he was</w:t>
      </w:r>
      <w:r w:rsidR="002445F9" w:rsidRPr="00335657">
        <w:rPr>
          <w:spacing w:val="1"/>
          <w:lang w:val="en-CA"/>
        </w:rPr>
        <w:t xml:space="preserve"> </w:t>
      </w:r>
      <w:r w:rsidRPr="00335657">
        <w:rPr>
          <w:spacing w:val="1"/>
          <w:lang w:val="en-CA"/>
        </w:rPr>
        <w:t xml:space="preserve">known, as well, for taking on big challenges, and in the past, Musk had proven wrong those market analysts who believed that industries </w:t>
      </w:r>
      <w:r w:rsidR="004A6C07" w:rsidRPr="00335657">
        <w:rPr>
          <w:spacing w:val="1"/>
          <w:lang w:val="en-CA"/>
        </w:rPr>
        <w:t xml:space="preserve">such as </w:t>
      </w:r>
      <w:r w:rsidRPr="00335657">
        <w:rPr>
          <w:spacing w:val="1"/>
          <w:lang w:val="en-CA"/>
        </w:rPr>
        <w:t>conventional automobiles, aerospace, or banking could not be disrupted.</w:t>
      </w:r>
      <w:r w:rsidRPr="00335657">
        <w:rPr>
          <w:rStyle w:val="EndnoteReference"/>
          <w:lang w:val="en-CA"/>
        </w:rPr>
        <w:endnoteReference w:id="98"/>
      </w:r>
      <w:r w:rsidRPr="00335657">
        <w:rPr>
          <w:spacing w:val="1"/>
          <w:lang w:val="en-CA"/>
        </w:rPr>
        <w:t xml:space="preserve"> Could Musk do it again with Starlink? </w:t>
      </w:r>
      <w:r w:rsidRPr="00335657">
        <w:rPr>
          <w:lang w:val="en-CA"/>
        </w:rPr>
        <w:t>He wanted Starlink as a trial run of satellite Internet services for Mars.</w:t>
      </w:r>
      <w:r w:rsidRPr="00335657">
        <w:rPr>
          <w:rStyle w:val="EndnoteReference"/>
          <w:lang w:val="en-CA"/>
        </w:rPr>
        <w:endnoteReference w:id="99"/>
      </w:r>
      <w:r w:rsidRPr="00335657">
        <w:rPr>
          <w:lang w:val="en-CA"/>
        </w:rPr>
        <w:t xml:space="preserve"> </w:t>
      </w:r>
      <w:r w:rsidR="00AE04C0" w:rsidRPr="00335657">
        <w:rPr>
          <w:lang w:val="en-CA"/>
        </w:rPr>
        <w:t xml:space="preserve">Given the competition and low prices of other </w:t>
      </w:r>
      <w:r w:rsidR="00474001" w:rsidRPr="00335657">
        <w:rPr>
          <w:lang w:val="en-CA"/>
        </w:rPr>
        <w:t>Internet</w:t>
      </w:r>
      <w:r w:rsidR="00AE04C0" w:rsidRPr="00335657">
        <w:rPr>
          <w:lang w:val="en-CA"/>
        </w:rPr>
        <w:t xml:space="preserve"> service providers, how </w:t>
      </w:r>
      <w:r w:rsidR="00AA7E9D" w:rsidRPr="00335657">
        <w:rPr>
          <w:lang w:val="en-CA"/>
        </w:rPr>
        <w:t xml:space="preserve">could </w:t>
      </w:r>
      <w:r w:rsidR="00AE04C0" w:rsidRPr="00335657">
        <w:rPr>
          <w:lang w:val="en-CA"/>
        </w:rPr>
        <w:t>Musk ensure that Starlink remain</w:t>
      </w:r>
      <w:r w:rsidR="00AA7E9D" w:rsidRPr="00335657">
        <w:rPr>
          <w:lang w:val="en-CA"/>
        </w:rPr>
        <w:t>ed</w:t>
      </w:r>
      <w:r w:rsidR="00AE04C0" w:rsidRPr="00335657">
        <w:rPr>
          <w:lang w:val="en-CA"/>
        </w:rPr>
        <w:t xml:space="preserve"> an economically feasible project?</w:t>
      </w:r>
    </w:p>
    <w:p w14:paraId="62A7B162" w14:textId="77777777" w:rsidR="00AE04C0" w:rsidRPr="00335657" w:rsidRDefault="00AE04C0">
      <w:pPr>
        <w:spacing w:after="200" w:line="276" w:lineRule="auto"/>
        <w:rPr>
          <w:sz w:val="22"/>
          <w:szCs w:val="22"/>
          <w:lang w:val="en-CA"/>
        </w:rPr>
      </w:pPr>
      <w:r w:rsidRPr="00335657">
        <w:rPr>
          <w:lang w:val="en-CA"/>
        </w:rPr>
        <w:br w:type="page"/>
      </w:r>
    </w:p>
    <w:p w14:paraId="09A37973" w14:textId="77777777" w:rsidR="00AE04C0" w:rsidRPr="00335657" w:rsidRDefault="00AE04C0" w:rsidP="00036044">
      <w:pPr>
        <w:pStyle w:val="ExhibitHeading"/>
        <w:rPr>
          <w:shd w:val="clear" w:color="auto" w:fill="FFFFFF"/>
          <w:lang w:val="en-CA"/>
        </w:rPr>
      </w:pPr>
      <w:r w:rsidRPr="00036044">
        <w:rPr>
          <w:lang w:val="en-CA"/>
        </w:rPr>
        <w:lastRenderedPageBreak/>
        <w:t>EXHIBIT 1: KEY TERMS</w:t>
      </w:r>
    </w:p>
    <w:p w14:paraId="5F76F423" w14:textId="77777777" w:rsidR="00AE04C0" w:rsidRPr="00335657" w:rsidRDefault="00AE04C0" w:rsidP="00356E14">
      <w:pPr>
        <w:pStyle w:val="Footnote"/>
        <w:rPr>
          <w:shd w:val="clear" w:color="auto" w:fill="FFFFFF"/>
          <w:lang w:val="en-CA"/>
        </w:rPr>
      </w:pPr>
    </w:p>
    <w:tbl>
      <w:tblPr>
        <w:tblStyle w:val="TableGrid"/>
        <w:tblW w:w="9367" w:type="dxa"/>
        <w:jc w:val="center"/>
        <w:tblBorders>
          <w:left w:val="none" w:sz="0" w:space="0" w:color="auto"/>
          <w:right w:val="none" w:sz="0" w:space="0" w:color="auto"/>
          <w:insideH w:val="none" w:sz="0" w:space="0" w:color="auto"/>
          <w:insideV w:val="none" w:sz="0" w:space="0" w:color="auto"/>
        </w:tblBorders>
        <w:tblCellMar>
          <w:top w:w="58" w:type="dxa"/>
          <w:bottom w:w="58" w:type="dxa"/>
        </w:tblCellMar>
        <w:tblLook w:val="04A0" w:firstRow="1" w:lastRow="0" w:firstColumn="1" w:lastColumn="0" w:noHBand="0" w:noVBand="1"/>
      </w:tblPr>
      <w:tblGrid>
        <w:gridCol w:w="1890"/>
        <w:gridCol w:w="7477"/>
      </w:tblGrid>
      <w:tr w:rsidR="00AE04C0" w:rsidRPr="00335657" w14:paraId="7E97E3ED" w14:textId="77777777" w:rsidTr="00356E14">
        <w:trPr>
          <w:trHeight w:val="122"/>
          <w:jc w:val="center"/>
        </w:trPr>
        <w:tc>
          <w:tcPr>
            <w:tcW w:w="1890" w:type="dxa"/>
            <w:tcBorders>
              <w:top w:val="single" w:sz="4" w:space="0" w:color="auto"/>
              <w:bottom w:val="single" w:sz="4" w:space="0" w:color="auto"/>
            </w:tcBorders>
            <w:vAlign w:val="center"/>
          </w:tcPr>
          <w:p w14:paraId="7180C7DE" w14:textId="77777777" w:rsidR="00AE04C0" w:rsidRPr="00335657" w:rsidRDefault="00AE04C0" w:rsidP="005A7CF2">
            <w:pPr>
              <w:pStyle w:val="ExhibitText"/>
              <w:jc w:val="center"/>
              <w:rPr>
                <w:b/>
                <w:bCs/>
                <w:lang w:val="en-CA"/>
              </w:rPr>
            </w:pPr>
            <w:r w:rsidRPr="00335657">
              <w:rPr>
                <w:b/>
                <w:bCs/>
                <w:lang w:val="en-CA"/>
              </w:rPr>
              <w:t>Key Term</w:t>
            </w:r>
          </w:p>
        </w:tc>
        <w:tc>
          <w:tcPr>
            <w:tcW w:w="7477" w:type="dxa"/>
            <w:tcBorders>
              <w:top w:val="single" w:sz="4" w:space="0" w:color="auto"/>
              <w:bottom w:val="single" w:sz="4" w:space="0" w:color="auto"/>
            </w:tcBorders>
            <w:vAlign w:val="center"/>
          </w:tcPr>
          <w:p w14:paraId="748071BA" w14:textId="77777777" w:rsidR="00AE04C0" w:rsidRPr="00335657" w:rsidRDefault="00AE04C0" w:rsidP="005A7CF2">
            <w:pPr>
              <w:pStyle w:val="ExhibitText"/>
              <w:jc w:val="center"/>
              <w:rPr>
                <w:b/>
                <w:bCs/>
                <w:lang w:val="en-CA"/>
              </w:rPr>
            </w:pPr>
            <w:r w:rsidRPr="00335657">
              <w:rPr>
                <w:b/>
                <w:bCs/>
                <w:lang w:val="en-CA"/>
              </w:rPr>
              <w:t>Definition</w:t>
            </w:r>
          </w:p>
        </w:tc>
      </w:tr>
      <w:tr w:rsidR="00AE04C0" w:rsidRPr="00335657" w14:paraId="586DDD4D" w14:textId="77777777" w:rsidTr="00356E14">
        <w:trPr>
          <w:trHeight w:val="272"/>
          <w:jc w:val="center"/>
        </w:trPr>
        <w:tc>
          <w:tcPr>
            <w:tcW w:w="1890" w:type="dxa"/>
            <w:tcBorders>
              <w:top w:val="single" w:sz="4" w:space="0" w:color="auto"/>
              <w:bottom w:val="dotted" w:sz="4" w:space="0" w:color="auto"/>
            </w:tcBorders>
          </w:tcPr>
          <w:p w14:paraId="241008F0" w14:textId="5F32B845" w:rsidR="00AE04C0" w:rsidRPr="00335657" w:rsidRDefault="00AE04C0" w:rsidP="00AA7E9D">
            <w:pPr>
              <w:pStyle w:val="ExhibitText"/>
              <w:jc w:val="left"/>
              <w:rPr>
                <w:lang w:val="en-CA"/>
              </w:rPr>
            </w:pPr>
            <w:r w:rsidRPr="00335657">
              <w:rPr>
                <w:lang w:val="en-CA"/>
              </w:rPr>
              <w:t xml:space="preserve">LEO </w:t>
            </w:r>
            <w:r w:rsidR="00AA7E9D" w:rsidRPr="00335657">
              <w:rPr>
                <w:lang w:val="en-CA"/>
              </w:rPr>
              <w:t>s</w:t>
            </w:r>
            <w:r w:rsidRPr="00335657">
              <w:rPr>
                <w:lang w:val="en-CA"/>
              </w:rPr>
              <w:t>atellites</w:t>
            </w:r>
          </w:p>
        </w:tc>
        <w:tc>
          <w:tcPr>
            <w:tcW w:w="7477" w:type="dxa"/>
            <w:tcBorders>
              <w:top w:val="single" w:sz="4" w:space="0" w:color="auto"/>
              <w:bottom w:val="dotted" w:sz="4" w:space="0" w:color="auto"/>
            </w:tcBorders>
          </w:tcPr>
          <w:p w14:paraId="1633B32F" w14:textId="52F3822E" w:rsidR="00AE04C0" w:rsidRPr="00335657" w:rsidRDefault="00035828" w:rsidP="00AA7E9D">
            <w:pPr>
              <w:pStyle w:val="ExhibitText"/>
              <w:jc w:val="left"/>
              <w:rPr>
                <w:lang w:val="en-CA"/>
              </w:rPr>
            </w:pPr>
            <w:r w:rsidRPr="00335657">
              <w:rPr>
                <w:lang w:val="en-CA"/>
              </w:rPr>
              <w:t>Low Earth orbit (LEO) s</w:t>
            </w:r>
            <w:r w:rsidR="00AE04C0" w:rsidRPr="00335657">
              <w:rPr>
                <w:lang w:val="en-CA"/>
              </w:rPr>
              <w:t>atellites operate</w:t>
            </w:r>
            <w:r w:rsidR="00AA7E9D" w:rsidRPr="00335657">
              <w:rPr>
                <w:lang w:val="en-CA"/>
              </w:rPr>
              <w:t>d</w:t>
            </w:r>
            <w:r w:rsidR="00AE04C0" w:rsidRPr="00335657">
              <w:rPr>
                <w:lang w:val="en-CA"/>
              </w:rPr>
              <w:t xml:space="preserve"> between 500 </w:t>
            </w:r>
            <w:r w:rsidR="00AA7E9D" w:rsidRPr="00335657">
              <w:rPr>
                <w:lang w:val="en-CA"/>
              </w:rPr>
              <w:t>and 2,000 kilometres</w:t>
            </w:r>
            <w:r w:rsidR="00AE04C0" w:rsidRPr="00335657">
              <w:rPr>
                <w:lang w:val="en-CA"/>
              </w:rPr>
              <w:t xml:space="preserve"> above Earth</w:t>
            </w:r>
            <w:r w:rsidR="00D8090A" w:rsidRPr="00335657">
              <w:rPr>
                <w:lang w:val="en-CA"/>
              </w:rPr>
              <w:t>’</w:t>
            </w:r>
            <w:r w:rsidR="00AE04C0" w:rsidRPr="00335657">
              <w:rPr>
                <w:lang w:val="en-CA"/>
              </w:rPr>
              <w:t>s surface</w:t>
            </w:r>
            <w:r w:rsidR="00FA6923" w:rsidRPr="00335657">
              <w:rPr>
                <w:lang w:val="en-CA"/>
              </w:rPr>
              <w:t>.</w:t>
            </w:r>
          </w:p>
        </w:tc>
      </w:tr>
      <w:tr w:rsidR="00AE04C0" w:rsidRPr="00335657" w14:paraId="61B901C8" w14:textId="77777777" w:rsidTr="00356E14">
        <w:trPr>
          <w:trHeight w:val="272"/>
          <w:jc w:val="center"/>
        </w:trPr>
        <w:tc>
          <w:tcPr>
            <w:tcW w:w="1890" w:type="dxa"/>
            <w:tcBorders>
              <w:top w:val="dotted" w:sz="4" w:space="0" w:color="auto"/>
              <w:bottom w:val="dotted" w:sz="4" w:space="0" w:color="auto"/>
            </w:tcBorders>
          </w:tcPr>
          <w:p w14:paraId="09CFBAE7" w14:textId="61F4806F" w:rsidR="00AE04C0" w:rsidRPr="00335657" w:rsidRDefault="00AE04C0" w:rsidP="00AA7E9D">
            <w:pPr>
              <w:pStyle w:val="ExhibitText"/>
              <w:jc w:val="left"/>
              <w:rPr>
                <w:lang w:val="en-CA"/>
              </w:rPr>
            </w:pPr>
            <w:r w:rsidRPr="00335657">
              <w:rPr>
                <w:lang w:val="en-CA"/>
              </w:rPr>
              <w:t xml:space="preserve">Need for multiple LEO </w:t>
            </w:r>
            <w:r w:rsidR="00AA7E9D" w:rsidRPr="00335657">
              <w:rPr>
                <w:lang w:val="en-CA"/>
              </w:rPr>
              <w:t>s</w:t>
            </w:r>
            <w:r w:rsidRPr="00335657">
              <w:rPr>
                <w:lang w:val="en-CA"/>
              </w:rPr>
              <w:t>atellites</w:t>
            </w:r>
          </w:p>
        </w:tc>
        <w:tc>
          <w:tcPr>
            <w:tcW w:w="7477" w:type="dxa"/>
            <w:tcBorders>
              <w:top w:val="dotted" w:sz="4" w:space="0" w:color="auto"/>
              <w:bottom w:val="dotted" w:sz="4" w:space="0" w:color="auto"/>
            </w:tcBorders>
          </w:tcPr>
          <w:p w14:paraId="575E8FA1" w14:textId="2022EC1E" w:rsidR="00AE04C0" w:rsidRPr="00335657" w:rsidRDefault="00AE04C0">
            <w:pPr>
              <w:pStyle w:val="ExhibitText"/>
              <w:jc w:val="left"/>
              <w:rPr>
                <w:lang w:val="en-CA"/>
              </w:rPr>
            </w:pPr>
            <w:r w:rsidRPr="00335657">
              <w:rPr>
                <w:lang w:val="en-CA"/>
              </w:rPr>
              <w:t>LEO satellites revolve</w:t>
            </w:r>
            <w:r w:rsidR="00AA7E9D" w:rsidRPr="00335657">
              <w:rPr>
                <w:lang w:val="en-CA"/>
              </w:rPr>
              <w:t>d</w:t>
            </w:r>
            <w:r w:rsidRPr="00335657">
              <w:rPr>
                <w:lang w:val="en-CA"/>
              </w:rPr>
              <w:t xml:space="preserve"> around </w:t>
            </w:r>
            <w:r w:rsidR="00AA7E9D" w:rsidRPr="00335657">
              <w:rPr>
                <w:lang w:val="en-CA"/>
              </w:rPr>
              <w:t>E</w:t>
            </w:r>
            <w:r w:rsidRPr="00335657">
              <w:rPr>
                <w:lang w:val="en-CA"/>
              </w:rPr>
              <w:t xml:space="preserve">arth at </w:t>
            </w:r>
            <w:r w:rsidR="00AA7E9D" w:rsidRPr="00335657">
              <w:rPr>
                <w:lang w:val="en-CA"/>
              </w:rPr>
              <w:t xml:space="preserve">approximately </w:t>
            </w:r>
            <w:r w:rsidRPr="00335657">
              <w:rPr>
                <w:lang w:val="en-CA"/>
              </w:rPr>
              <w:t xml:space="preserve">8 </w:t>
            </w:r>
            <w:r w:rsidR="00AA7E9D" w:rsidRPr="00335657">
              <w:rPr>
                <w:lang w:val="en-CA"/>
              </w:rPr>
              <w:t>kilometres</w:t>
            </w:r>
            <w:r w:rsidRPr="00335657">
              <w:rPr>
                <w:lang w:val="en-CA"/>
              </w:rPr>
              <w:t xml:space="preserve"> per second, completing a full </w:t>
            </w:r>
            <w:r w:rsidR="00AA7E9D" w:rsidRPr="00335657">
              <w:rPr>
                <w:lang w:val="en-CA"/>
              </w:rPr>
              <w:t xml:space="preserve">orbit </w:t>
            </w:r>
            <w:r w:rsidRPr="00335657">
              <w:rPr>
                <w:lang w:val="en-CA"/>
              </w:rPr>
              <w:t>in 90</w:t>
            </w:r>
            <w:r w:rsidR="00AA7E9D" w:rsidRPr="00335657">
              <w:rPr>
                <w:lang w:val="en-CA"/>
              </w:rPr>
              <w:t>–</w:t>
            </w:r>
            <w:r w:rsidRPr="00335657">
              <w:rPr>
                <w:lang w:val="en-CA"/>
              </w:rPr>
              <w:t xml:space="preserve">120 minutes. </w:t>
            </w:r>
            <w:r w:rsidR="00FA6923" w:rsidRPr="00335657">
              <w:rPr>
                <w:lang w:val="en-CA"/>
              </w:rPr>
              <w:t xml:space="preserve">The rapid orbit made satellites </w:t>
            </w:r>
            <w:r w:rsidRPr="00335657">
              <w:rPr>
                <w:lang w:val="en-CA"/>
              </w:rPr>
              <w:t xml:space="preserve">visible to receivers on the ground for </w:t>
            </w:r>
            <w:r w:rsidR="00FA6923" w:rsidRPr="00335657">
              <w:rPr>
                <w:lang w:val="en-CA"/>
              </w:rPr>
              <w:t>a short period of</w:t>
            </w:r>
            <w:r w:rsidRPr="00335657">
              <w:rPr>
                <w:lang w:val="en-CA"/>
              </w:rPr>
              <w:t xml:space="preserve"> time. Multiple satellites</w:t>
            </w:r>
            <w:r w:rsidR="00FA6923" w:rsidRPr="00335657">
              <w:rPr>
                <w:lang w:val="en-CA"/>
              </w:rPr>
              <w:t>, however, could</w:t>
            </w:r>
            <w:r w:rsidRPr="00335657">
              <w:rPr>
                <w:lang w:val="en-CA"/>
              </w:rPr>
              <w:t xml:space="preserve"> establish a permanent </w:t>
            </w:r>
            <w:r w:rsidR="00474001" w:rsidRPr="00335657">
              <w:rPr>
                <w:lang w:val="en-CA"/>
              </w:rPr>
              <w:t>Internet</w:t>
            </w:r>
            <w:r w:rsidRPr="00335657">
              <w:rPr>
                <w:lang w:val="en-CA"/>
              </w:rPr>
              <w:t xml:space="preserve"> connection</w:t>
            </w:r>
            <w:r w:rsidR="00FA6923" w:rsidRPr="00335657">
              <w:rPr>
                <w:lang w:val="en-CA"/>
              </w:rPr>
              <w:t xml:space="preserve"> because as one satellite approached the horizon, it </w:t>
            </w:r>
            <w:r w:rsidRPr="00335657">
              <w:rPr>
                <w:lang w:val="en-CA"/>
              </w:rPr>
              <w:t>passe</w:t>
            </w:r>
            <w:r w:rsidR="00FA6923" w:rsidRPr="00335657">
              <w:rPr>
                <w:lang w:val="en-CA"/>
              </w:rPr>
              <w:t>d the</w:t>
            </w:r>
            <w:r w:rsidRPr="00335657">
              <w:rPr>
                <w:lang w:val="en-CA"/>
              </w:rPr>
              <w:t xml:space="preserve"> signal to the next.</w:t>
            </w:r>
          </w:p>
        </w:tc>
      </w:tr>
      <w:tr w:rsidR="00AE04C0" w:rsidRPr="00335657" w14:paraId="30E64EDE" w14:textId="77777777" w:rsidTr="00356E14">
        <w:trPr>
          <w:trHeight w:val="272"/>
          <w:jc w:val="center"/>
        </w:trPr>
        <w:tc>
          <w:tcPr>
            <w:tcW w:w="1890" w:type="dxa"/>
            <w:tcBorders>
              <w:top w:val="dotted" w:sz="4" w:space="0" w:color="auto"/>
              <w:bottom w:val="dotted" w:sz="4" w:space="0" w:color="auto"/>
            </w:tcBorders>
          </w:tcPr>
          <w:p w14:paraId="11864959" w14:textId="796CDCEC" w:rsidR="00AE04C0" w:rsidRPr="00335657" w:rsidRDefault="00AE04C0" w:rsidP="00AA7E9D">
            <w:pPr>
              <w:pStyle w:val="ExhibitText"/>
              <w:jc w:val="left"/>
              <w:rPr>
                <w:lang w:val="en-CA"/>
              </w:rPr>
            </w:pPr>
            <w:r w:rsidRPr="00335657">
              <w:rPr>
                <w:lang w:val="en-CA"/>
              </w:rPr>
              <w:t xml:space="preserve">Geostationary </w:t>
            </w:r>
            <w:r w:rsidR="00FA6923" w:rsidRPr="00335657">
              <w:rPr>
                <w:lang w:val="en-CA"/>
              </w:rPr>
              <w:t>s</w:t>
            </w:r>
            <w:r w:rsidRPr="00335657">
              <w:rPr>
                <w:lang w:val="en-CA"/>
              </w:rPr>
              <w:t>atellite</w:t>
            </w:r>
            <w:r w:rsidR="00FA6923" w:rsidRPr="00335657">
              <w:rPr>
                <w:lang w:val="en-CA"/>
              </w:rPr>
              <w:t>s</w:t>
            </w:r>
          </w:p>
        </w:tc>
        <w:tc>
          <w:tcPr>
            <w:tcW w:w="7477" w:type="dxa"/>
            <w:tcBorders>
              <w:top w:val="dotted" w:sz="4" w:space="0" w:color="auto"/>
              <w:bottom w:val="dotted" w:sz="4" w:space="0" w:color="auto"/>
            </w:tcBorders>
          </w:tcPr>
          <w:p w14:paraId="67B8A030" w14:textId="62D60ECD" w:rsidR="00AE04C0" w:rsidRPr="00335657" w:rsidRDefault="00AE04C0" w:rsidP="00AA7E9D">
            <w:pPr>
              <w:pStyle w:val="ExhibitText"/>
              <w:jc w:val="left"/>
              <w:rPr>
                <w:lang w:val="en-CA"/>
              </w:rPr>
            </w:pPr>
            <w:r w:rsidRPr="00335657">
              <w:rPr>
                <w:lang w:val="en-CA"/>
              </w:rPr>
              <w:t>Satellite</w:t>
            </w:r>
            <w:r w:rsidR="00FA6923" w:rsidRPr="00335657">
              <w:rPr>
                <w:lang w:val="en-CA"/>
              </w:rPr>
              <w:t>s</w:t>
            </w:r>
            <w:r w:rsidRPr="00335657">
              <w:rPr>
                <w:lang w:val="en-CA"/>
              </w:rPr>
              <w:t xml:space="preserve"> that operate</w:t>
            </w:r>
            <w:r w:rsidR="00FA6923" w:rsidRPr="00335657">
              <w:rPr>
                <w:lang w:val="en-CA"/>
              </w:rPr>
              <w:t xml:space="preserve">d </w:t>
            </w:r>
            <w:r w:rsidRPr="00335657">
              <w:rPr>
                <w:lang w:val="en-CA"/>
              </w:rPr>
              <w:t xml:space="preserve">at an altitude of 36,000 </w:t>
            </w:r>
            <w:r w:rsidR="00FA6923" w:rsidRPr="00335657">
              <w:rPr>
                <w:lang w:val="en-CA"/>
              </w:rPr>
              <w:t>kilometres</w:t>
            </w:r>
            <w:r w:rsidRPr="00335657">
              <w:rPr>
                <w:lang w:val="en-CA"/>
              </w:rPr>
              <w:t xml:space="preserve"> above Earth</w:t>
            </w:r>
            <w:r w:rsidR="00D8090A" w:rsidRPr="00335657">
              <w:rPr>
                <w:lang w:val="en-CA"/>
              </w:rPr>
              <w:t>’</w:t>
            </w:r>
            <w:r w:rsidRPr="00335657">
              <w:rPr>
                <w:lang w:val="en-CA"/>
              </w:rPr>
              <w:t>s surface.</w:t>
            </w:r>
            <w:r w:rsidR="00FA6923" w:rsidRPr="00335657">
              <w:rPr>
                <w:lang w:val="en-CA"/>
              </w:rPr>
              <w:t xml:space="preserve"> At that altitude, the satellite’s orbital period was the same as Earth’s rotation period; thus, the satellite was in a fixed (stationary) position relative to the Earth.</w:t>
            </w:r>
          </w:p>
        </w:tc>
      </w:tr>
      <w:tr w:rsidR="00AE04C0" w:rsidRPr="00335657" w14:paraId="3A995C4D" w14:textId="77777777" w:rsidTr="00356E14">
        <w:trPr>
          <w:trHeight w:val="272"/>
          <w:jc w:val="center"/>
        </w:trPr>
        <w:tc>
          <w:tcPr>
            <w:tcW w:w="1890" w:type="dxa"/>
            <w:tcBorders>
              <w:top w:val="dotted" w:sz="4" w:space="0" w:color="auto"/>
              <w:bottom w:val="dotted" w:sz="4" w:space="0" w:color="auto"/>
            </w:tcBorders>
          </w:tcPr>
          <w:p w14:paraId="0E6C770A" w14:textId="77777777" w:rsidR="00AE04C0" w:rsidRPr="00335657" w:rsidRDefault="00AE04C0" w:rsidP="00AA7E9D">
            <w:pPr>
              <w:pStyle w:val="ExhibitText"/>
              <w:jc w:val="left"/>
              <w:rPr>
                <w:lang w:val="en-CA"/>
              </w:rPr>
            </w:pPr>
            <w:r w:rsidRPr="00335657">
              <w:rPr>
                <w:lang w:val="en-CA"/>
              </w:rPr>
              <w:t>Latency</w:t>
            </w:r>
          </w:p>
        </w:tc>
        <w:tc>
          <w:tcPr>
            <w:tcW w:w="7477" w:type="dxa"/>
            <w:tcBorders>
              <w:top w:val="dotted" w:sz="4" w:space="0" w:color="auto"/>
              <w:bottom w:val="dotted" w:sz="4" w:space="0" w:color="auto"/>
            </w:tcBorders>
          </w:tcPr>
          <w:p w14:paraId="721F6CAF" w14:textId="616D2AE8" w:rsidR="00AE04C0" w:rsidRPr="00335657" w:rsidRDefault="00FA6923" w:rsidP="00AA7E9D">
            <w:pPr>
              <w:pStyle w:val="ExhibitText"/>
              <w:jc w:val="left"/>
              <w:rPr>
                <w:lang w:val="en-CA"/>
              </w:rPr>
            </w:pPr>
            <w:r w:rsidRPr="00335657">
              <w:rPr>
                <w:lang w:val="en-CA"/>
              </w:rPr>
              <w:t xml:space="preserve">The time delay between cause and effect of physical change. In communications, latency referred to the </w:t>
            </w:r>
            <w:r w:rsidR="00AE04C0" w:rsidRPr="00335657">
              <w:rPr>
                <w:lang w:val="en-CA"/>
              </w:rPr>
              <w:t xml:space="preserve">time </w:t>
            </w:r>
            <w:r w:rsidRPr="00335657">
              <w:rPr>
                <w:lang w:val="en-CA"/>
              </w:rPr>
              <w:t>needed</w:t>
            </w:r>
            <w:r w:rsidR="00AE04C0" w:rsidRPr="00335657">
              <w:rPr>
                <w:lang w:val="en-CA"/>
              </w:rPr>
              <w:t xml:space="preserve"> to send </w:t>
            </w:r>
            <w:r w:rsidR="00F3595D" w:rsidRPr="00335657">
              <w:rPr>
                <w:lang w:val="en-CA"/>
              </w:rPr>
              <w:t xml:space="preserve">and receive </w:t>
            </w:r>
            <w:r w:rsidR="00AE04C0" w:rsidRPr="00335657">
              <w:rPr>
                <w:lang w:val="en-CA"/>
              </w:rPr>
              <w:t>a packet of data on a network</w:t>
            </w:r>
            <w:r w:rsidR="00423EE7" w:rsidRPr="00335657">
              <w:rPr>
                <w:lang w:val="en-CA"/>
              </w:rPr>
              <w:t>, usually measured in milliseconds</w:t>
            </w:r>
            <w:r w:rsidR="00AE04C0" w:rsidRPr="00335657">
              <w:rPr>
                <w:lang w:val="en-CA"/>
              </w:rPr>
              <w:t>.</w:t>
            </w:r>
          </w:p>
        </w:tc>
      </w:tr>
      <w:tr w:rsidR="00AE04C0" w:rsidRPr="00335657" w14:paraId="300ECDFC" w14:textId="77777777" w:rsidTr="00356E14">
        <w:trPr>
          <w:trHeight w:val="272"/>
          <w:jc w:val="center"/>
        </w:trPr>
        <w:tc>
          <w:tcPr>
            <w:tcW w:w="1890" w:type="dxa"/>
            <w:tcBorders>
              <w:top w:val="dotted" w:sz="4" w:space="0" w:color="auto"/>
              <w:bottom w:val="dotted" w:sz="4" w:space="0" w:color="auto"/>
            </w:tcBorders>
          </w:tcPr>
          <w:p w14:paraId="2876D103" w14:textId="027035D1" w:rsidR="00AE04C0" w:rsidRPr="00335657" w:rsidRDefault="00AE04C0" w:rsidP="00AA7E9D">
            <w:pPr>
              <w:pStyle w:val="ExhibitText"/>
              <w:jc w:val="left"/>
              <w:rPr>
                <w:lang w:val="en-CA"/>
              </w:rPr>
            </w:pPr>
            <w:r w:rsidRPr="00335657">
              <w:rPr>
                <w:lang w:val="en-CA"/>
              </w:rPr>
              <w:t xml:space="preserve">Ground </w:t>
            </w:r>
            <w:r w:rsidR="00F3595D" w:rsidRPr="00335657">
              <w:rPr>
                <w:lang w:val="en-CA"/>
              </w:rPr>
              <w:t>s</w:t>
            </w:r>
            <w:r w:rsidRPr="00335657">
              <w:rPr>
                <w:lang w:val="en-CA"/>
              </w:rPr>
              <w:t>tation</w:t>
            </w:r>
          </w:p>
        </w:tc>
        <w:tc>
          <w:tcPr>
            <w:tcW w:w="7477" w:type="dxa"/>
            <w:tcBorders>
              <w:top w:val="dotted" w:sz="4" w:space="0" w:color="auto"/>
              <w:bottom w:val="dotted" w:sz="4" w:space="0" w:color="auto"/>
            </w:tcBorders>
          </w:tcPr>
          <w:p w14:paraId="5320E570" w14:textId="4902C47C" w:rsidR="00AE04C0" w:rsidRPr="00335657" w:rsidRDefault="00F3595D">
            <w:pPr>
              <w:pStyle w:val="ExhibitText"/>
              <w:jc w:val="left"/>
              <w:rPr>
                <w:lang w:val="en-CA"/>
              </w:rPr>
            </w:pPr>
            <w:r w:rsidRPr="00335657">
              <w:rPr>
                <w:lang w:val="en-CA"/>
              </w:rPr>
              <w:t xml:space="preserve">A radio station on or near Earth that communicated </w:t>
            </w:r>
            <w:r w:rsidR="00AE04C0" w:rsidRPr="00335657">
              <w:rPr>
                <w:lang w:val="en-CA"/>
              </w:rPr>
              <w:t xml:space="preserve">with a space station (satellite) </w:t>
            </w:r>
            <w:r w:rsidRPr="00335657">
              <w:rPr>
                <w:lang w:val="en-CA"/>
              </w:rPr>
              <w:t xml:space="preserve">above </w:t>
            </w:r>
            <w:r w:rsidR="00AE04C0" w:rsidRPr="00335657">
              <w:rPr>
                <w:lang w:val="en-CA"/>
              </w:rPr>
              <w:t>Earth</w:t>
            </w:r>
            <w:r w:rsidR="00D8090A" w:rsidRPr="00335657">
              <w:rPr>
                <w:lang w:val="en-CA"/>
              </w:rPr>
              <w:t>’</w:t>
            </w:r>
            <w:r w:rsidR="00AE04C0" w:rsidRPr="00335657">
              <w:rPr>
                <w:lang w:val="en-CA"/>
              </w:rPr>
              <w:t xml:space="preserve">s surface. </w:t>
            </w:r>
            <w:r w:rsidRPr="00335657">
              <w:rPr>
                <w:lang w:val="en-CA"/>
              </w:rPr>
              <w:t xml:space="preserve">Satellite ground stations were </w:t>
            </w:r>
            <w:r w:rsidR="00AE04C0" w:rsidRPr="00335657">
              <w:rPr>
                <w:lang w:val="en-CA"/>
              </w:rPr>
              <w:t xml:space="preserve">typically used to provide </w:t>
            </w:r>
            <w:r w:rsidR="00ED5BEB" w:rsidRPr="00335657">
              <w:rPr>
                <w:lang w:val="en-CA"/>
              </w:rPr>
              <w:t>voice</w:t>
            </w:r>
            <w:r w:rsidR="00AE04C0" w:rsidRPr="00335657">
              <w:rPr>
                <w:lang w:val="en-CA"/>
              </w:rPr>
              <w:t xml:space="preserve">, data, </w:t>
            </w:r>
            <w:r w:rsidR="00ED5BEB" w:rsidRPr="00335657">
              <w:rPr>
                <w:lang w:val="en-CA"/>
              </w:rPr>
              <w:t xml:space="preserve">broadcast, </w:t>
            </w:r>
            <w:r w:rsidR="00AE04C0" w:rsidRPr="00335657">
              <w:rPr>
                <w:lang w:val="en-CA"/>
              </w:rPr>
              <w:t>and two-way broadband communications</w:t>
            </w:r>
            <w:r w:rsidR="00ED5BEB" w:rsidRPr="00335657">
              <w:rPr>
                <w:lang w:val="en-CA"/>
              </w:rPr>
              <w:t>.</w:t>
            </w:r>
          </w:p>
        </w:tc>
      </w:tr>
      <w:tr w:rsidR="00AE04C0" w:rsidRPr="00335657" w14:paraId="13EEA63C" w14:textId="77777777" w:rsidTr="00356E14">
        <w:trPr>
          <w:trHeight w:val="272"/>
          <w:jc w:val="center"/>
        </w:trPr>
        <w:tc>
          <w:tcPr>
            <w:tcW w:w="1890" w:type="dxa"/>
            <w:tcBorders>
              <w:top w:val="dotted" w:sz="4" w:space="0" w:color="auto"/>
              <w:bottom w:val="dotted" w:sz="4" w:space="0" w:color="auto"/>
            </w:tcBorders>
          </w:tcPr>
          <w:p w14:paraId="4300FD49" w14:textId="77777777" w:rsidR="00AE04C0" w:rsidRPr="00335657" w:rsidRDefault="00AE04C0" w:rsidP="00AA7E9D">
            <w:pPr>
              <w:pStyle w:val="ExhibitText"/>
              <w:jc w:val="left"/>
              <w:rPr>
                <w:lang w:val="en-CA"/>
              </w:rPr>
            </w:pPr>
            <w:r w:rsidRPr="00335657">
              <w:rPr>
                <w:lang w:val="en-CA"/>
              </w:rPr>
              <w:t>5G</w:t>
            </w:r>
          </w:p>
        </w:tc>
        <w:tc>
          <w:tcPr>
            <w:tcW w:w="7477" w:type="dxa"/>
            <w:tcBorders>
              <w:top w:val="dotted" w:sz="4" w:space="0" w:color="auto"/>
              <w:bottom w:val="dotted" w:sz="4" w:space="0" w:color="auto"/>
            </w:tcBorders>
          </w:tcPr>
          <w:p w14:paraId="1801B0F7" w14:textId="423E627A" w:rsidR="00AE04C0" w:rsidRPr="00335657" w:rsidRDefault="00ED5BEB" w:rsidP="00AA7E9D">
            <w:pPr>
              <w:pStyle w:val="ExhibitText"/>
              <w:jc w:val="left"/>
              <w:rPr>
                <w:lang w:val="en-CA"/>
              </w:rPr>
            </w:pPr>
            <w:r w:rsidRPr="00335657">
              <w:rPr>
                <w:lang w:val="en-CA"/>
              </w:rPr>
              <w:t>F</w:t>
            </w:r>
            <w:r w:rsidR="00AE04C0" w:rsidRPr="00335657">
              <w:rPr>
                <w:lang w:val="en-CA"/>
              </w:rPr>
              <w:t>ifth generation of cellular technology</w:t>
            </w:r>
            <w:r w:rsidRPr="00335657">
              <w:rPr>
                <w:lang w:val="en-CA"/>
              </w:rPr>
              <w:t xml:space="preserve">, </w:t>
            </w:r>
            <w:r w:rsidR="00AE04C0" w:rsidRPr="00335657">
              <w:rPr>
                <w:lang w:val="en-CA"/>
              </w:rPr>
              <w:t>designed to increase speed, reduce latency, and improve flexibility of wireless services.</w:t>
            </w:r>
          </w:p>
        </w:tc>
      </w:tr>
      <w:tr w:rsidR="00AE04C0" w:rsidRPr="00335657" w14:paraId="4E46D500" w14:textId="77777777" w:rsidTr="00356E14">
        <w:trPr>
          <w:trHeight w:val="272"/>
          <w:jc w:val="center"/>
        </w:trPr>
        <w:tc>
          <w:tcPr>
            <w:tcW w:w="1890" w:type="dxa"/>
            <w:tcBorders>
              <w:top w:val="dotted" w:sz="4" w:space="0" w:color="auto"/>
              <w:bottom w:val="dotted" w:sz="4" w:space="0" w:color="auto"/>
            </w:tcBorders>
          </w:tcPr>
          <w:p w14:paraId="456C0F9B" w14:textId="55A5AD24" w:rsidR="00AE04C0" w:rsidRPr="00335657" w:rsidRDefault="00AE04C0" w:rsidP="00AA7E9D">
            <w:pPr>
              <w:pStyle w:val="ExhibitText"/>
              <w:jc w:val="left"/>
              <w:rPr>
                <w:lang w:val="en-CA"/>
              </w:rPr>
            </w:pPr>
            <w:r w:rsidRPr="00335657">
              <w:rPr>
                <w:lang w:val="en-CA"/>
              </w:rPr>
              <w:t xml:space="preserve">Satellite versus </w:t>
            </w:r>
            <w:r w:rsidR="00ED5BEB" w:rsidRPr="00335657">
              <w:rPr>
                <w:lang w:val="en-CA"/>
              </w:rPr>
              <w:t>t</w:t>
            </w:r>
            <w:r w:rsidRPr="00335657">
              <w:rPr>
                <w:lang w:val="en-CA"/>
              </w:rPr>
              <w:t>errestrial</w:t>
            </w:r>
          </w:p>
        </w:tc>
        <w:tc>
          <w:tcPr>
            <w:tcW w:w="7477" w:type="dxa"/>
            <w:tcBorders>
              <w:top w:val="dotted" w:sz="4" w:space="0" w:color="auto"/>
              <w:bottom w:val="dotted" w:sz="4" w:space="0" w:color="auto"/>
            </w:tcBorders>
          </w:tcPr>
          <w:p w14:paraId="5D9F95E8" w14:textId="7208F0EF" w:rsidR="00AE04C0" w:rsidRPr="00335657" w:rsidRDefault="00BC50BF" w:rsidP="00356E14">
            <w:pPr>
              <w:pStyle w:val="ExhibitText"/>
              <w:rPr>
                <w:lang w:val="en-CA"/>
              </w:rPr>
            </w:pPr>
            <w:r w:rsidRPr="00335657">
              <w:rPr>
                <w:lang w:val="en-CA"/>
              </w:rPr>
              <w:t>“Satellite is the only broadband wide-area network technology that is available everywhere</w:t>
            </w:r>
            <w:r w:rsidR="00035828" w:rsidRPr="00335657">
              <w:rPr>
                <w:lang w:val="en-CA"/>
              </w:rPr>
              <w:t>—</w:t>
            </w:r>
            <w:r w:rsidRPr="00335657">
              <w:rPr>
                <w:lang w:val="en-CA"/>
              </w:rPr>
              <w:t>in urban and rural areas around the world. All that is required for a location to receive connectivity from the satellite is a clear view of the sky unobstructed by trees, tall buildings or other objects. In contrast, terrestrial technologies are limited in their coverage area.”</w:t>
            </w:r>
          </w:p>
        </w:tc>
      </w:tr>
      <w:tr w:rsidR="0086119F" w:rsidRPr="00335657" w14:paraId="2C99A79D" w14:textId="77777777" w:rsidTr="00356E14">
        <w:trPr>
          <w:trHeight w:val="29"/>
          <w:jc w:val="center"/>
        </w:trPr>
        <w:tc>
          <w:tcPr>
            <w:tcW w:w="1890" w:type="dxa"/>
            <w:tcBorders>
              <w:top w:val="dotted" w:sz="4" w:space="0" w:color="auto"/>
              <w:bottom w:val="dotted" w:sz="4" w:space="0" w:color="auto"/>
            </w:tcBorders>
          </w:tcPr>
          <w:p w14:paraId="37D44BC0" w14:textId="28BED168" w:rsidR="0086119F" w:rsidRPr="00335657" w:rsidRDefault="0086119F" w:rsidP="00AA7E9D">
            <w:pPr>
              <w:pStyle w:val="ExhibitText"/>
              <w:jc w:val="left"/>
              <w:rPr>
                <w:lang w:val="en-CA"/>
              </w:rPr>
            </w:pPr>
            <w:r w:rsidRPr="00335657">
              <w:rPr>
                <w:lang w:val="en-CA"/>
              </w:rPr>
              <w:t xml:space="preserve">Broadband </w:t>
            </w:r>
            <w:r w:rsidR="00036581" w:rsidRPr="00335657">
              <w:rPr>
                <w:lang w:val="en-CA"/>
              </w:rPr>
              <w:t>I</w:t>
            </w:r>
            <w:r w:rsidRPr="00335657">
              <w:rPr>
                <w:lang w:val="en-CA"/>
              </w:rPr>
              <w:t>nternet</w:t>
            </w:r>
          </w:p>
        </w:tc>
        <w:tc>
          <w:tcPr>
            <w:tcW w:w="7477" w:type="dxa"/>
            <w:tcBorders>
              <w:top w:val="dotted" w:sz="4" w:space="0" w:color="auto"/>
              <w:bottom w:val="dotted" w:sz="4" w:space="0" w:color="auto"/>
            </w:tcBorders>
          </w:tcPr>
          <w:p w14:paraId="666ADC7D" w14:textId="48E7A041" w:rsidR="0086119F" w:rsidRPr="00335657" w:rsidRDefault="002A3C36" w:rsidP="00AA7E9D">
            <w:pPr>
              <w:pStyle w:val="ExhibitText"/>
              <w:jc w:val="left"/>
              <w:rPr>
                <w:lang w:val="en-CA"/>
              </w:rPr>
            </w:pPr>
            <w:r w:rsidRPr="00335657">
              <w:rPr>
                <w:lang w:val="en-CA"/>
              </w:rPr>
              <w:t>“</w:t>
            </w:r>
            <w:r w:rsidR="00036581" w:rsidRPr="00335657">
              <w:rPr>
                <w:lang w:val="en-CA"/>
              </w:rPr>
              <w:t>A</w:t>
            </w:r>
            <w:r w:rsidRPr="00335657">
              <w:rPr>
                <w:lang w:val="en-CA"/>
              </w:rPr>
              <w:t xml:space="preserve">n </w:t>
            </w:r>
            <w:r w:rsidR="00036581" w:rsidRPr="00335657">
              <w:rPr>
                <w:lang w:val="en-CA"/>
              </w:rPr>
              <w:t>I</w:t>
            </w:r>
            <w:r w:rsidRPr="00335657">
              <w:rPr>
                <w:lang w:val="en-CA"/>
              </w:rPr>
              <w:t>nternet connection with a high data transfer rate.”</w:t>
            </w:r>
          </w:p>
        </w:tc>
      </w:tr>
      <w:tr w:rsidR="0086119F" w:rsidRPr="00335657" w14:paraId="37BFA592" w14:textId="77777777" w:rsidTr="00356E14">
        <w:trPr>
          <w:trHeight w:val="272"/>
          <w:jc w:val="center"/>
        </w:trPr>
        <w:tc>
          <w:tcPr>
            <w:tcW w:w="1890" w:type="dxa"/>
            <w:tcBorders>
              <w:top w:val="dotted" w:sz="4" w:space="0" w:color="auto"/>
              <w:bottom w:val="dotted" w:sz="4" w:space="0" w:color="auto"/>
            </w:tcBorders>
          </w:tcPr>
          <w:p w14:paraId="1B20F157" w14:textId="1564B823" w:rsidR="0086119F" w:rsidRPr="00335657" w:rsidRDefault="0086119F" w:rsidP="00AA7E9D">
            <w:pPr>
              <w:pStyle w:val="ExhibitText"/>
              <w:jc w:val="left"/>
              <w:rPr>
                <w:lang w:val="en-CA"/>
              </w:rPr>
            </w:pPr>
            <w:r w:rsidRPr="00335657">
              <w:rPr>
                <w:lang w:val="en-CA"/>
              </w:rPr>
              <w:t xml:space="preserve">Terrestrial </w:t>
            </w:r>
            <w:r w:rsidR="002A3C36" w:rsidRPr="00335657">
              <w:rPr>
                <w:lang w:val="en-CA"/>
              </w:rPr>
              <w:t>Network</w:t>
            </w:r>
            <w:r w:rsidR="00036581" w:rsidRPr="00335657">
              <w:rPr>
                <w:lang w:val="en-CA"/>
              </w:rPr>
              <w:t>s</w:t>
            </w:r>
          </w:p>
        </w:tc>
        <w:tc>
          <w:tcPr>
            <w:tcW w:w="7477" w:type="dxa"/>
            <w:tcBorders>
              <w:top w:val="dotted" w:sz="4" w:space="0" w:color="auto"/>
              <w:bottom w:val="dotted" w:sz="4" w:space="0" w:color="auto"/>
            </w:tcBorders>
          </w:tcPr>
          <w:p w14:paraId="59D7680D" w14:textId="7B0B090A" w:rsidR="0086119F" w:rsidRPr="00335657" w:rsidRDefault="00BC50BF" w:rsidP="00AA7E9D">
            <w:pPr>
              <w:pStyle w:val="ExhibitText"/>
              <w:jc w:val="left"/>
              <w:rPr>
                <w:lang w:val="en-CA"/>
              </w:rPr>
            </w:pPr>
            <w:r w:rsidRPr="00335657">
              <w:rPr>
                <w:lang w:val="en-CA"/>
              </w:rPr>
              <w:t>“Terrestrial networks are suitable for high speed wired communications, using cheap devices and fixed points of access, and for medium-to-high speed wireless connectivity, resulting in a more flexible infrastructure.”</w:t>
            </w:r>
          </w:p>
        </w:tc>
      </w:tr>
      <w:tr w:rsidR="005A2626" w:rsidRPr="00335657" w14:paraId="66C6E14D" w14:textId="77777777" w:rsidTr="00356E14">
        <w:trPr>
          <w:trHeight w:val="20"/>
          <w:jc w:val="center"/>
        </w:trPr>
        <w:tc>
          <w:tcPr>
            <w:tcW w:w="1890" w:type="dxa"/>
            <w:tcBorders>
              <w:top w:val="dotted" w:sz="4" w:space="0" w:color="auto"/>
              <w:bottom w:val="dotted" w:sz="4" w:space="0" w:color="auto"/>
            </w:tcBorders>
          </w:tcPr>
          <w:p w14:paraId="7E0C6067" w14:textId="5749ACD5" w:rsidR="005A2626" w:rsidRPr="00335657" w:rsidRDefault="005A2626" w:rsidP="00AA7E9D">
            <w:pPr>
              <w:pStyle w:val="ExhibitText"/>
              <w:jc w:val="left"/>
              <w:rPr>
                <w:lang w:val="en-CA"/>
              </w:rPr>
            </w:pPr>
            <w:r w:rsidRPr="00335657">
              <w:rPr>
                <w:lang w:val="en-CA"/>
              </w:rPr>
              <w:t>Space debris</w:t>
            </w:r>
          </w:p>
        </w:tc>
        <w:tc>
          <w:tcPr>
            <w:tcW w:w="7477" w:type="dxa"/>
            <w:tcBorders>
              <w:top w:val="dotted" w:sz="4" w:space="0" w:color="auto"/>
              <w:bottom w:val="dotted" w:sz="4" w:space="0" w:color="auto"/>
            </w:tcBorders>
          </w:tcPr>
          <w:p w14:paraId="3BDB4A87" w14:textId="78FBB80C" w:rsidR="005A2626" w:rsidRPr="00335657" w:rsidRDefault="005A2626" w:rsidP="00AA7E9D">
            <w:pPr>
              <w:pStyle w:val="ExhibitText"/>
              <w:jc w:val="left"/>
              <w:rPr>
                <w:lang w:val="en-CA"/>
              </w:rPr>
            </w:pPr>
            <w:r w:rsidRPr="00335657">
              <w:rPr>
                <w:rStyle w:val="Strong"/>
                <w:b w:val="0"/>
                <w:bCs w:val="0"/>
                <w:color w:val="1A1A1A"/>
                <w:shd w:val="clear" w:color="auto" w:fill="FFFFFF"/>
                <w:lang w:val="en-CA"/>
              </w:rPr>
              <w:t>Space debris</w:t>
            </w:r>
            <w:r w:rsidR="002A3C36" w:rsidRPr="00335657">
              <w:rPr>
                <w:lang w:val="en-CA"/>
              </w:rPr>
              <w:t xml:space="preserve"> refers to</w:t>
            </w:r>
            <w:r w:rsidR="002A3C36" w:rsidRPr="00335657">
              <w:rPr>
                <w:color w:val="1A1A1A"/>
                <w:shd w:val="clear" w:color="auto" w:fill="FFFFFF"/>
                <w:lang w:val="en-CA"/>
              </w:rPr>
              <w:t xml:space="preserve"> artificial</w:t>
            </w:r>
            <w:r w:rsidRPr="00335657">
              <w:rPr>
                <w:color w:val="1A1A1A"/>
                <w:shd w:val="clear" w:color="auto" w:fill="FFFFFF"/>
                <w:lang w:val="en-CA"/>
              </w:rPr>
              <w:t xml:space="preserve"> dysfunctional material</w:t>
            </w:r>
            <w:r w:rsidR="002A3C36" w:rsidRPr="00335657">
              <w:rPr>
                <w:color w:val="1A1A1A"/>
                <w:shd w:val="clear" w:color="auto" w:fill="FFFFFF"/>
                <w:lang w:val="en-CA"/>
              </w:rPr>
              <w:t xml:space="preserve">s in the space orbiting </w:t>
            </w:r>
            <w:r w:rsidR="006B6DAA" w:rsidRPr="00335657">
              <w:rPr>
                <w:color w:val="1A1A1A"/>
                <w:shd w:val="clear" w:color="auto" w:fill="FFFFFF"/>
                <w:lang w:val="en-CA"/>
              </w:rPr>
              <w:t>E</w:t>
            </w:r>
            <w:r w:rsidR="002A3C36" w:rsidRPr="00335657">
              <w:rPr>
                <w:color w:val="1A1A1A"/>
                <w:shd w:val="clear" w:color="auto" w:fill="FFFFFF"/>
                <w:lang w:val="en-CA"/>
              </w:rPr>
              <w:t>arth.</w:t>
            </w:r>
            <w:r w:rsidRPr="00335657">
              <w:rPr>
                <w:color w:val="1A1A1A"/>
                <w:shd w:val="clear" w:color="auto" w:fill="FFFFFF"/>
                <w:lang w:val="en-CA"/>
              </w:rPr>
              <w:t xml:space="preserve"> </w:t>
            </w:r>
            <w:r w:rsidR="002A3C36" w:rsidRPr="00335657">
              <w:rPr>
                <w:color w:val="1A1A1A"/>
                <w:shd w:val="clear" w:color="auto" w:fill="FFFFFF"/>
                <w:lang w:val="en-CA"/>
              </w:rPr>
              <w:t>They</w:t>
            </w:r>
            <w:r w:rsidRPr="00335657">
              <w:rPr>
                <w:color w:val="1A1A1A"/>
                <w:shd w:val="clear" w:color="auto" w:fill="FFFFFF"/>
                <w:lang w:val="en-CA"/>
              </w:rPr>
              <w:t xml:space="preserve"> could be as </w:t>
            </w:r>
            <w:r w:rsidR="002A3C36" w:rsidRPr="00335657">
              <w:rPr>
                <w:color w:val="1A1A1A"/>
                <w:shd w:val="clear" w:color="auto" w:fill="FFFFFF"/>
                <w:lang w:val="en-CA"/>
              </w:rPr>
              <w:t xml:space="preserve">small as </w:t>
            </w:r>
            <w:r w:rsidRPr="00335657">
              <w:rPr>
                <w:color w:val="1A1A1A"/>
                <w:shd w:val="clear" w:color="auto" w:fill="FFFFFF"/>
                <w:lang w:val="en-CA"/>
              </w:rPr>
              <w:t xml:space="preserve">a microscopic chip </w:t>
            </w:r>
            <w:r w:rsidR="002A3C36" w:rsidRPr="00335657">
              <w:rPr>
                <w:color w:val="1A1A1A"/>
                <w:shd w:val="clear" w:color="auto" w:fill="FFFFFF"/>
                <w:lang w:val="en-CA"/>
              </w:rPr>
              <w:t xml:space="preserve">or as large as a discarded rocket stage. </w:t>
            </w:r>
          </w:p>
        </w:tc>
      </w:tr>
      <w:tr w:rsidR="00BC50BF" w:rsidRPr="00335657" w14:paraId="447AB9E3" w14:textId="77777777" w:rsidTr="00356E14">
        <w:trPr>
          <w:trHeight w:val="20"/>
          <w:jc w:val="center"/>
        </w:trPr>
        <w:tc>
          <w:tcPr>
            <w:tcW w:w="1890" w:type="dxa"/>
            <w:tcBorders>
              <w:top w:val="dotted" w:sz="4" w:space="0" w:color="auto"/>
              <w:bottom w:val="single" w:sz="4" w:space="0" w:color="auto"/>
            </w:tcBorders>
          </w:tcPr>
          <w:p w14:paraId="179E95A3" w14:textId="6BD0ADC7" w:rsidR="00BC50BF" w:rsidRPr="00335657" w:rsidRDefault="00BC50BF" w:rsidP="00AA7E9D">
            <w:pPr>
              <w:pStyle w:val="ExhibitText"/>
              <w:jc w:val="left"/>
              <w:rPr>
                <w:lang w:val="en-CA"/>
              </w:rPr>
            </w:pPr>
            <w:r w:rsidRPr="00335657">
              <w:rPr>
                <w:lang w:val="en-CA"/>
              </w:rPr>
              <w:t xml:space="preserve">Satellite </w:t>
            </w:r>
            <w:r w:rsidR="004A6C07" w:rsidRPr="00335657">
              <w:rPr>
                <w:lang w:val="en-CA"/>
              </w:rPr>
              <w:t>g</w:t>
            </w:r>
            <w:r w:rsidRPr="00335657">
              <w:rPr>
                <w:lang w:val="en-CA"/>
              </w:rPr>
              <w:t>ateway</w:t>
            </w:r>
          </w:p>
        </w:tc>
        <w:tc>
          <w:tcPr>
            <w:tcW w:w="7477" w:type="dxa"/>
            <w:tcBorders>
              <w:top w:val="dotted" w:sz="4" w:space="0" w:color="auto"/>
              <w:bottom w:val="single" w:sz="4" w:space="0" w:color="auto"/>
            </w:tcBorders>
          </w:tcPr>
          <w:p w14:paraId="39DF3ED8" w14:textId="46BB2F01" w:rsidR="00BC50BF" w:rsidRPr="00335657" w:rsidRDefault="00BC50BF" w:rsidP="008075EF">
            <w:pPr>
              <w:pStyle w:val="ExhibitText"/>
              <w:rPr>
                <w:rStyle w:val="Strong"/>
                <w:b w:val="0"/>
                <w:bCs w:val="0"/>
                <w:lang w:val="en-CA"/>
              </w:rPr>
            </w:pPr>
            <w:r w:rsidRPr="00335657">
              <w:rPr>
                <w:rStyle w:val="Strong"/>
                <w:b w:val="0"/>
                <w:bCs w:val="0"/>
                <w:lang w:val="en-CA"/>
              </w:rPr>
              <w:t>“</w:t>
            </w:r>
            <w:r w:rsidR="00036581" w:rsidRPr="00335657">
              <w:rPr>
                <w:rStyle w:val="Strong"/>
                <w:b w:val="0"/>
                <w:bCs w:val="0"/>
                <w:lang w:val="en-CA"/>
              </w:rPr>
              <w:t>A</w:t>
            </w:r>
            <w:r w:rsidR="00036581" w:rsidRPr="00335657">
              <w:rPr>
                <w:rStyle w:val="Strong"/>
                <w:lang w:val="en-CA"/>
              </w:rPr>
              <w:t xml:space="preserve"> </w:t>
            </w:r>
            <w:r w:rsidRPr="00335657">
              <w:rPr>
                <w:rStyle w:val="Strong"/>
                <w:b w:val="0"/>
                <w:bCs w:val="0"/>
                <w:lang w:val="en-CA"/>
              </w:rPr>
              <w:t>ground station that transmits data to/from the satellite to the local area network.”</w:t>
            </w:r>
          </w:p>
        </w:tc>
      </w:tr>
    </w:tbl>
    <w:p w14:paraId="39F31A37" w14:textId="77777777" w:rsidR="00AE04C0" w:rsidRPr="00335657" w:rsidRDefault="00AE04C0" w:rsidP="00356E14">
      <w:pPr>
        <w:pStyle w:val="Footnote"/>
        <w:rPr>
          <w:lang w:val="en-CA"/>
        </w:rPr>
      </w:pPr>
    </w:p>
    <w:p w14:paraId="3ED986C4" w14:textId="085328B0" w:rsidR="00B60C11" w:rsidRPr="00335657" w:rsidRDefault="00AE04C0" w:rsidP="008075EF">
      <w:pPr>
        <w:pStyle w:val="Footnote"/>
        <w:rPr>
          <w:lang w:val="en-CA"/>
        </w:rPr>
      </w:pPr>
      <w:r w:rsidRPr="00335657">
        <w:rPr>
          <w:lang w:val="en-CA"/>
        </w:rPr>
        <w:t xml:space="preserve">Source: Greg Ritchie and Thomas Seal, “Why Low-Earth Orbit Satellites Are the New Space Race,” Bloomberg Businessweek, July 10, 2020, accessed August 17, 2020, </w:t>
      </w:r>
      <w:r w:rsidR="0086774D" w:rsidRPr="00335657">
        <w:rPr>
          <w:lang w:val="en-CA"/>
        </w:rPr>
        <w:t>www.bloomberg.com/news/articles/2019-08-09/why-low-earth-orbit-satellites-are-the-new-space-race-quicktake</w:t>
      </w:r>
      <w:r w:rsidRPr="00335657">
        <w:rPr>
          <w:lang w:val="en-CA"/>
        </w:rPr>
        <w:t xml:space="preserve">; Elizabeth Howell, “Space Companies Are Investing Big in 5G Technology,” Space, October 20, 2019, accessed August 17, 2020, </w:t>
      </w:r>
      <w:r w:rsidR="0086774D" w:rsidRPr="00335657">
        <w:rPr>
          <w:lang w:val="en-CA"/>
        </w:rPr>
        <w:t>www.space.com/5g-in-space-Internet-satellites.html</w:t>
      </w:r>
      <w:r w:rsidRPr="00335657">
        <w:rPr>
          <w:lang w:val="en-CA"/>
        </w:rPr>
        <w:t xml:space="preserve">; “Satellite </w:t>
      </w:r>
      <w:r w:rsidR="001E1DB0" w:rsidRPr="00335657">
        <w:rPr>
          <w:lang w:val="en-CA"/>
        </w:rPr>
        <w:t>E</w:t>
      </w:r>
      <w:r w:rsidRPr="00335657">
        <w:rPr>
          <w:lang w:val="en-CA"/>
        </w:rPr>
        <w:t xml:space="preserve">arth </w:t>
      </w:r>
      <w:r w:rsidR="001E1DB0" w:rsidRPr="00335657">
        <w:rPr>
          <w:lang w:val="en-CA"/>
        </w:rPr>
        <w:t>S</w:t>
      </w:r>
      <w:r w:rsidRPr="00335657">
        <w:rPr>
          <w:lang w:val="en-CA"/>
        </w:rPr>
        <w:t xml:space="preserve">tations,” </w:t>
      </w:r>
      <w:proofErr w:type="spellStart"/>
      <w:r w:rsidRPr="00335657">
        <w:rPr>
          <w:lang w:val="en-CA"/>
        </w:rPr>
        <w:t>Ofcom</w:t>
      </w:r>
      <w:proofErr w:type="spellEnd"/>
      <w:r w:rsidRPr="00335657">
        <w:rPr>
          <w:lang w:val="en-CA"/>
        </w:rPr>
        <w:t xml:space="preserve">, December 18, 2019, accessed August 17, 2020, </w:t>
      </w:r>
      <w:r w:rsidR="001E1DB0" w:rsidRPr="00335657">
        <w:rPr>
          <w:lang w:val="en-CA"/>
        </w:rPr>
        <w:t>www.ofcom.org.uk/manage-your-licence/radiocommunication-licences/satellite-earth</w:t>
      </w:r>
      <w:r w:rsidRPr="00335657">
        <w:rPr>
          <w:lang w:val="en-CA"/>
        </w:rPr>
        <w:t>; “What Is 5G?</w:t>
      </w:r>
      <w:r w:rsidR="001E1DB0" w:rsidRPr="00335657">
        <w:rPr>
          <w:lang w:val="en-CA"/>
        </w:rPr>
        <w:t>,</w:t>
      </w:r>
      <w:r w:rsidRPr="00335657">
        <w:rPr>
          <w:lang w:val="en-CA"/>
        </w:rPr>
        <w:t xml:space="preserve">” Cisco, accessed August 17, 2020, </w:t>
      </w:r>
      <w:r w:rsidR="00B60C11" w:rsidRPr="00335657">
        <w:rPr>
          <w:lang w:val="en-CA"/>
        </w:rPr>
        <w:t>www.cisco.com/c/en/us/solutions/what-is-5g.html</w:t>
      </w:r>
      <w:r w:rsidRPr="00335657">
        <w:rPr>
          <w:lang w:val="en-CA"/>
        </w:rPr>
        <w:t>.</w:t>
      </w:r>
      <w:r w:rsidR="00B60C11" w:rsidRPr="00335657">
        <w:rPr>
          <w:lang w:val="en-CA"/>
        </w:rPr>
        <w:t xml:space="preserve"> Erik </w:t>
      </w:r>
      <w:proofErr w:type="spellStart"/>
      <w:r w:rsidR="00B60C11" w:rsidRPr="00335657">
        <w:rPr>
          <w:lang w:val="en-CA"/>
        </w:rPr>
        <w:t>Gregersen</w:t>
      </w:r>
      <w:proofErr w:type="spellEnd"/>
      <w:r w:rsidR="00B60C11" w:rsidRPr="00335657">
        <w:rPr>
          <w:lang w:val="en-CA"/>
        </w:rPr>
        <w:t xml:space="preserve">, “Space Debris,” Britannica, June 15, 2020, accessed January 11, 2021, </w:t>
      </w:r>
      <w:r w:rsidR="002A3C36" w:rsidRPr="00335657">
        <w:rPr>
          <w:lang w:val="en-CA"/>
        </w:rPr>
        <w:t>www.britannica.com/technology/space-debris; “Broadband Internet Connection,” NFON, accessed January 11, 2020, www.nfon.com/gb/service/knowledge-base/knowledge-base-detail/broadband-internet-connection</w:t>
      </w:r>
      <w:r w:rsidR="00BC50BF" w:rsidRPr="00335657">
        <w:rPr>
          <w:lang w:val="en-CA"/>
        </w:rPr>
        <w:t xml:space="preserve">; Francesco </w:t>
      </w:r>
      <w:proofErr w:type="spellStart"/>
      <w:r w:rsidR="00BC50BF" w:rsidRPr="00335657">
        <w:rPr>
          <w:lang w:val="en-CA"/>
        </w:rPr>
        <w:t>Zampognaro</w:t>
      </w:r>
      <w:proofErr w:type="spellEnd"/>
      <w:r w:rsidR="00BC50BF" w:rsidRPr="00335657">
        <w:rPr>
          <w:lang w:val="en-CA"/>
        </w:rPr>
        <w:t>, “Satellite and Terrestrial Network Integration,”</w:t>
      </w:r>
      <w:r w:rsidR="00657F5C" w:rsidRPr="00335657">
        <w:rPr>
          <w:lang w:val="en-CA"/>
        </w:rPr>
        <w:t xml:space="preserve"> </w:t>
      </w:r>
      <w:r w:rsidR="00036581" w:rsidRPr="00335657">
        <w:rPr>
          <w:lang w:val="en-CA"/>
        </w:rPr>
        <w:t xml:space="preserve">3, </w:t>
      </w:r>
      <w:r w:rsidR="00BC50BF" w:rsidRPr="00335657">
        <w:rPr>
          <w:lang w:val="en-CA"/>
        </w:rPr>
        <w:t xml:space="preserve">University of Rome Tor </w:t>
      </w:r>
      <w:proofErr w:type="spellStart"/>
      <w:r w:rsidR="00BC50BF" w:rsidRPr="00335657">
        <w:rPr>
          <w:lang w:val="en-CA"/>
        </w:rPr>
        <w:t>Vergata</w:t>
      </w:r>
      <w:proofErr w:type="spellEnd"/>
      <w:r w:rsidR="00BC50BF" w:rsidRPr="00335657">
        <w:rPr>
          <w:lang w:val="en-CA"/>
        </w:rPr>
        <w:t>, 2008/2009, accessed January 11, 2021, https://core.ac.uk/download/pdf/53822257.pdf;</w:t>
      </w:r>
      <w:r w:rsidR="00657F5C" w:rsidRPr="00335657">
        <w:rPr>
          <w:lang w:val="en-CA"/>
        </w:rPr>
        <w:t xml:space="preserve"> </w:t>
      </w:r>
      <w:r w:rsidR="00BC50BF" w:rsidRPr="00335657">
        <w:rPr>
          <w:lang w:val="en-CA"/>
        </w:rPr>
        <w:t xml:space="preserve">“What </w:t>
      </w:r>
      <w:r w:rsidR="00036581" w:rsidRPr="00335657">
        <w:rPr>
          <w:lang w:val="en-CA"/>
        </w:rPr>
        <w:t>I</w:t>
      </w:r>
      <w:r w:rsidR="00BC50BF" w:rsidRPr="00335657">
        <w:rPr>
          <w:lang w:val="en-CA"/>
        </w:rPr>
        <w:t>s a Satellite Gateway?</w:t>
      </w:r>
      <w:r w:rsidR="00036581" w:rsidRPr="00335657">
        <w:rPr>
          <w:lang w:val="en-CA"/>
        </w:rPr>
        <w:t>,</w:t>
      </w:r>
      <w:r w:rsidR="00BC50BF" w:rsidRPr="00335657">
        <w:rPr>
          <w:lang w:val="en-CA"/>
        </w:rPr>
        <w:t xml:space="preserve">” X2nSat, accessed January 11, 2020, https://x2n.com/faq/what-is-a-satellite-gateway/; Michel </w:t>
      </w:r>
      <w:proofErr w:type="spellStart"/>
      <w:r w:rsidR="00BC50BF" w:rsidRPr="00335657">
        <w:rPr>
          <w:lang w:val="en-CA"/>
        </w:rPr>
        <w:t>Verbist</w:t>
      </w:r>
      <w:proofErr w:type="spellEnd"/>
      <w:r w:rsidR="00BC50BF" w:rsidRPr="00335657">
        <w:rPr>
          <w:lang w:val="en-CA"/>
        </w:rPr>
        <w:t xml:space="preserve">, “Satellite vs. Terrestrial: Which Network </w:t>
      </w:r>
      <w:r w:rsidR="00036581" w:rsidRPr="00335657">
        <w:rPr>
          <w:lang w:val="en-CA"/>
        </w:rPr>
        <w:t>I</w:t>
      </w:r>
      <w:r w:rsidR="00BC50BF" w:rsidRPr="00335657">
        <w:rPr>
          <w:lang w:val="en-CA"/>
        </w:rPr>
        <w:t>s Right for You?</w:t>
      </w:r>
      <w:r w:rsidR="00036581" w:rsidRPr="00335657">
        <w:rPr>
          <w:lang w:val="en-CA"/>
        </w:rPr>
        <w:t>,</w:t>
      </w:r>
      <w:r w:rsidR="00BC50BF" w:rsidRPr="00335657">
        <w:rPr>
          <w:lang w:val="en-CA"/>
        </w:rPr>
        <w:t>” Orange Business Services, October 1, 2020, accessed January 11, 2021, www.orange-business.com/sites/default/files/media/library/0215_satellite_vs_terrestrial_wpr-sat-0094.pdf</w:t>
      </w:r>
      <w:r w:rsidR="008075EF" w:rsidRPr="00335657">
        <w:rPr>
          <w:lang w:val="en-CA"/>
        </w:rPr>
        <w:t>.</w:t>
      </w:r>
      <w:r w:rsidR="00BC50BF" w:rsidRPr="00335657">
        <w:rPr>
          <w:lang w:val="en-CA"/>
        </w:rPr>
        <w:t xml:space="preserve"> </w:t>
      </w:r>
    </w:p>
    <w:p w14:paraId="44A8D3AC" w14:textId="16876B5B" w:rsidR="00AE04C0" w:rsidRPr="00335657" w:rsidRDefault="00AE04C0" w:rsidP="00036044">
      <w:pPr>
        <w:pStyle w:val="ExhibitHeading"/>
        <w:rPr>
          <w:shd w:val="clear" w:color="auto" w:fill="FFFFFF"/>
          <w:lang w:val="en-CA"/>
        </w:rPr>
      </w:pPr>
      <w:r w:rsidRPr="00335657">
        <w:rPr>
          <w:shd w:val="clear" w:color="auto" w:fill="FFFFFF"/>
          <w:lang w:val="en-CA"/>
        </w:rPr>
        <w:br w:type="page"/>
      </w:r>
      <w:r w:rsidRPr="00036044">
        <w:rPr>
          <w:lang w:val="en-CA"/>
        </w:rPr>
        <w:lastRenderedPageBreak/>
        <w:t xml:space="preserve">EXHIBIT 2: INTERNET SERVICE PROVIDERS IN THE </w:t>
      </w:r>
      <w:r w:rsidR="001E1DB0" w:rsidRPr="00036044">
        <w:rPr>
          <w:lang w:val="en-CA"/>
        </w:rPr>
        <w:t>United States</w:t>
      </w:r>
    </w:p>
    <w:p w14:paraId="1BCD53FD" w14:textId="77777777" w:rsidR="00AE04C0" w:rsidRPr="00335657" w:rsidRDefault="00AE04C0" w:rsidP="00AE04C0">
      <w:pPr>
        <w:pStyle w:val="ExhibitText"/>
        <w:rPr>
          <w:shd w:val="clear" w:color="auto" w:fill="FFFFFF"/>
          <w:lang w:val="en-CA"/>
        </w:rPr>
      </w:pPr>
    </w:p>
    <w:tbl>
      <w:tblPr>
        <w:tblW w:w="5000" w:type="pct"/>
        <w:jc w:val="center"/>
        <w:tblBorders>
          <w:top w:val="single" w:sz="4" w:space="0" w:color="auto"/>
          <w:bottom w:val="single" w:sz="4" w:space="0" w:color="auto"/>
        </w:tblBorders>
        <w:tblCellMar>
          <w:top w:w="58" w:type="dxa"/>
          <w:bottom w:w="58" w:type="dxa"/>
        </w:tblCellMar>
        <w:tblLook w:val="04A0" w:firstRow="1" w:lastRow="0" w:firstColumn="1" w:lastColumn="0" w:noHBand="0" w:noVBand="1"/>
      </w:tblPr>
      <w:tblGrid>
        <w:gridCol w:w="1617"/>
        <w:gridCol w:w="2166"/>
        <w:gridCol w:w="1859"/>
        <w:gridCol w:w="1859"/>
        <w:gridCol w:w="1859"/>
      </w:tblGrid>
      <w:tr w:rsidR="00087BB4" w:rsidRPr="00335657" w14:paraId="1FA44975" w14:textId="77777777" w:rsidTr="00087BB4">
        <w:trPr>
          <w:trHeight w:val="288"/>
          <w:jc w:val="center"/>
        </w:trPr>
        <w:tc>
          <w:tcPr>
            <w:tcW w:w="864" w:type="pct"/>
            <w:tcBorders>
              <w:top w:val="single" w:sz="4" w:space="0" w:color="auto"/>
              <w:bottom w:val="single" w:sz="4" w:space="0" w:color="auto"/>
            </w:tcBorders>
            <w:vAlign w:val="center"/>
          </w:tcPr>
          <w:p w14:paraId="2F1BD6F8" w14:textId="77777777" w:rsidR="00AE04C0" w:rsidRPr="00335657" w:rsidRDefault="00AE04C0" w:rsidP="005A7CF2">
            <w:pPr>
              <w:pStyle w:val="ExhibitText"/>
              <w:jc w:val="center"/>
              <w:rPr>
                <w:b/>
                <w:bCs/>
                <w:sz w:val="18"/>
                <w:szCs w:val="18"/>
                <w:lang w:val="en-CA" w:eastAsia="en-GB"/>
              </w:rPr>
            </w:pPr>
            <w:r w:rsidRPr="00335657">
              <w:rPr>
                <w:b/>
                <w:bCs/>
                <w:sz w:val="18"/>
                <w:szCs w:val="18"/>
                <w:lang w:val="en-CA" w:eastAsia="en-GB"/>
              </w:rPr>
              <w:t>Type</w:t>
            </w:r>
          </w:p>
        </w:tc>
        <w:tc>
          <w:tcPr>
            <w:tcW w:w="1157" w:type="pct"/>
            <w:tcBorders>
              <w:top w:val="single" w:sz="4" w:space="0" w:color="auto"/>
              <w:bottom w:val="single" w:sz="4" w:space="0" w:color="auto"/>
            </w:tcBorders>
            <w:shd w:val="clear" w:color="auto" w:fill="auto"/>
            <w:noWrap/>
            <w:vAlign w:val="center"/>
            <w:hideMark/>
          </w:tcPr>
          <w:p w14:paraId="5A12BB90" w14:textId="77777777" w:rsidR="00AE04C0" w:rsidRPr="00335657" w:rsidRDefault="00AE04C0" w:rsidP="005A7CF2">
            <w:pPr>
              <w:pStyle w:val="ExhibitText"/>
              <w:jc w:val="center"/>
              <w:rPr>
                <w:b/>
                <w:bCs/>
                <w:sz w:val="18"/>
                <w:szCs w:val="18"/>
                <w:lang w:val="en-CA" w:eastAsia="en-GB"/>
              </w:rPr>
            </w:pPr>
            <w:r w:rsidRPr="00335657">
              <w:rPr>
                <w:b/>
                <w:bCs/>
                <w:sz w:val="18"/>
                <w:szCs w:val="18"/>
                <w:lang w:val="en-CA" w:eastAsia="en-GB"/>
              </w:rPr>
              <w:t>Company</w:t>
            </w:r>
          </w:p>
        </w:tc>
        <w:tc>
          <w:tcPr>
            <w:tcW w:w="993" w:type="pct"/>
            <w:tcBorders>
              <w:top w:val="single" w:sz="4" w:space="0" w:color="auto"/>
              <w:bottom w:val="single" w:sz="4" w:space="0" w:color="auto"/>
            </w:tcBorders>
            <w:shd w:val="clear" w:color="auto" w:fill="auto"/>
            <w:noWrap/>
            <w:vAlign w:val="center"/>
            <w:hideMark/>
          </w:tcPr>
          <w:p w14:paraId="7ED721AE" w14:textId="77777777" w:rsidR="00AE04C0" w:rsidRPr="00335657" w:rsidRDefault="00AE04C0" w:rsidP="00036581">
            <w:pPr>
              <w:pStyle w:val="ExhibitText"/>
              <w:jc w:val="center"/>
              <w:rPr>
                <w:b/>
                <w:bCs/>
                <w:sz w:val="18"/>
                <w:szCs w:val="18"/>
                <w:lang w:val="en-CA" w:eastAsia="en-GB"/>
              </w:rPr>
            </w:pPr>
            <w:r w:rsidRPr="00335657">
              <w:rPr>
                <w:b/>
                <w:bCs/>
                <w:sz w:val="18"/>
                <w:szCs w:val="18"/>
                <w:lang w:val="en-CA" w:eastAsia="en-GB"/>
              </w:rPr>
              <w:t>Monthly Price</w:t>
            </w:r>
          </w:p>
          <w:p w14:paraId="1BB26A7E" w14:textId="7EB8548D" w:rsidR="00036581" w:rsidRPr="00335657" w:rsidRDefault="00036581" w:rsidP="00036581">
            <w:pPr>
              <w:pStyle w:val="ExhibitText"/>
              <w:jc w:val="center"/>
              <w:rPr>
                <w:b/>
                <w:bCs/>
                <w:sz w:val="18"/>
                <w:szCs w:val="18"/>
                <w:lang w:val="en-CA" w:eastAsia="en-GB"/>
              </w:rPr>
            </w:pPr>
            <w:r w:rsidRPr="00335657">
              <w:rPr>
                <w:b/>
                <w:bCs/>
                <w:sz w:val="18"/>
                <w:szCs w:val="18"/>
                <w:lang w:val="en-CA" w:eastAsia="en-GB"/>
              </w:rPr>
              <w:t>(in US$)</w:t>
            </w:r>
          </w:p>
        </w:tc>
        <w:tc>
          <w:tcPr>
            <w:tcW w:w="993" w:type="pct"/>
            <w:tcBorders>
              <w:top w:val="single" w:sz="4" w:space="0" w:color="auto"/>
              <w:bottom w:val="single" w:sz="4" w:space="0" w:color="auto"/>
            </w:tcBorders>
            <w:shd w:val="clear" w:color="auto" w:fill="auto"/>
            <w:noWrap/>
            <w:vAlign w:val="center"/>
            <w:hideMark/>
          </w:tcPr>
          <w:p w14:paraId="26AC1BD2" w14:textId="77777777" w:rsidR="00AE04C0" w:rsidRPr="00335657" w:rsidRDefault="00AE04C0" w:rsidP="00036581">
            <w:pPr>
              <w:pStyle w:val="ExhibitText"/>
              <w:jc w:val="center"/>
              <w:rPr>
                <w:b/>
                <w:bCs/>
                <w:sz w:val="18"/>
                <w:szCs w:val="18"/>
                <w:lang w:val="en-CA" w:eastAsia="en-GB"/>
              </w:rPr>
            </w:pPr>
            <w:r w:rsidRPr="00335657">
              <w:rPr>
                <w:b/>
                <w:bCs/>
                <w:sz w:val="18"/>
                <w:szCs w:val="18"/>
                <w:lang w:val="en-CA" w:eastAsia="en-GB"/>
              </w:rPr>
              <w:t>Download Speed</w:t>
            </w:r>
          </w:p>
        </w:tc>
        <w:tc>
          <w:tcPr>
            <w:tcW w:w="993" w:type="pct"/>
            <w:tcBorders>
              <w:top w:val="single" w:sz="4" w:space="0" w:color="auto"/>
              <w:bottom w:val="single" w:sz="4" w:space="0" w:color="auto"/>
            </w:tcBorders>
            <w:shd w:val="clear" w:color="auto" w:fill="auto"/>
            <w:noWrap/>
            <w:vAlign w:val="center"/>
            <w:hideMark/>
          </w:tcPr>
          <w:p w14:paraId="33B41C09" w14:textId="77777777" w:rsidR="00AE04C0" w:rsidRPr="00335657" w:rsidRDefault="00AE04C0" w:rsidP="00214B32">
            <w:pPr>
              <w:pStyle w:val="ExhibitText"/>
              <w:jc w:val="center"/>
              <w:rPr>
                <w:b/>
                <w:bCs/>
                <w:sz w:val="18"/>
                <w:szCs w:val="18"/>
                <w:lang w:val="en-CA" w:eastAsia="en-GB"/>
              </w:rPr>
            </w:pPr>
            <w:r w:rsidRPr="00335657">
              <w:rPr>
                <w:b/>
                <w:bCs/>
                <w:sz w:val="18"/>
                <w:szCs w:val="18"/>
                <w:lang w:val="en-CA" w:eastAsia="en-GB"/>
              </w:rPr>
              <w:t>Data Cap</w:t>
            </w:r>
          </w:p>
        </w:tc>
      </w:tr>
      <w:tr w:rsidR="00087BB4" w:rsidRPr="00335657" w14:paraId="17462558" w14:textId="77777777" w:rsidTr="00087BB4">
        <w:trPr>
          <w:trHeight w:val="288"/>
          <w:jc w:val="center"/>
        </w:trPr>
        <w:tc>
          <w:tcPr>
            <w:tcW w:w="864" w:type="pct"/>
            <w:tcBorders>
              <w:top w:val="single" w:sz="4" w:space="0" w:color="auto"/>
              <w:bottom w:val="dotted" w:sz="4" w:space="0" w:color="auto"/>
            </w:tcBorders>
            <w:vAlign w:val="center"/>
          </w:tcPr>
          <w:p w14:paraId="7CA2CC37" w14:textId="343D37D2" w:rsidR="00AE04C0" w:rsidRPr="00335657" w:rsidRDefault="00AE04C0" w:rsidP="00A13892">
            <w:pPr>
              <w:pStyle w:val="ExhibitText"/>
              <w:jc w:val="left"/>
              <w:rPr>
                <w:sz w:val="18"/>
                <w:szCs w:val="18"/>
                <w:lang w:val="en-CA" w:eastAsia="en-GB"/>
              </w:rPr>
            </w:pPr>
            <w:r w:rsidRPr="00335657">
              <w:rPr>
                <w:sz w:val="18"/>
                <w:szCs w:val="18"/>
                <w:lang w:val="en-CA" w:eastAsia="en-GB"/>
              </w:rPr>
              <w:t>Terrestrial (</w:t>
            </w:r>
            <w:r w:rsidR="0065734C" w:rsidRPr="00335657">
              <w:rPr>
                <w:sz w:val="18"/>
                <w:szCs w:val="18"/>
                <w:lang w:val="en-CA" w:eastAsia="en-GB"/>
              </w:rPr>
              <w:t>b</w:t>
            </w:r>
            <w:r w:rsidRPr="00335657">
              <w:rPr>
                <w:sz w:val="18"/>
                <w:szCs w:val="18"/>
                <w:lang w:val="en-CA" w:eastAsia="en-GB"/>
              </w:rPr>
              <w:t>roadband)</w:t>
            </w:r>
          </w:p>
        </w:tc>
        <w:tc>
          <w:tcPr>
            <w:tcW w:w="1157" w:type="pct"/>
            <w:tcBorders>
              <w:top w:val="single" w:sz="4" w:space="0" w:color="auto"/>
              <w:bottom w:val="dotted" w:sz="4" w:space="0" w:color="auto"/>
            </w:tcBorders>
            <w:shd w:val="clear" w:color="auto" w:fill="auto"/>
            <w:vAlign w:val="center"/>
            <w:hideMark/>
          </w:tcPr>
          <w:p w14:paraId="0C815B76" w14:textId="400E7423" w:rsidR="00AE04C0" w:rsidRPr="00335657" w:rsidRDefault="00AE04C0" w:rsidP="00A13892">
            <w:pPr>
              <w:pStyle w:val="ExhibitText"/>
              <w:jc w:val="left"/>
              <w:rPr>
                <w:sz w:val="18"/>
                <w:szCs w:val="18"/>
                <w:lang w:val="en-CA" w:eastAsia="en-GB"/>
              </w:rPr>
            </w:pPr>
            <w:r w:rsidRPr="00335657">
              <w:rPr>
                <w:sz w:val="18"/>
                <w:szCs w:val="18"/>
                <w:lang w:val="en-CA" w:eastAsia="en-GB"/>
              </w:rPr>
              <w:t>Xfinity</w:t>
            </w:r>
            <w:r w:rsidR="0065734C" w:rsidRPr="00335657">
              <w:rPr>
                <w:sz w:val="18"/>
                <w:szCs w:val="18"/>
                <w:lang w:val="en-CA" w:eastAsia="en-GB"/>
              </w:rPr>
              <w:t xml:space="preserve"> (Comcast Cable Communications LLC)</w:t>
            </w:r>
          </w:p>
        </w:tc>
        <w:tc>
          <w:tcPr>
            <w:tcW w:w="993" w:type="pct"/>
            <w:tcBorders>
              <w:top w:val="single" w:sz="4" w:space="0" w:color="auto"/>
              <w:bottom w:val="dotted" w:sz="4" w:space="0" w:color="auto"/>
            </w:tcBorders>
            <w:shd w:val="clear" w:color="auto" w:fill="auto"/>
            <w:vAlign w:val="center"/>
            <w:hideMark/>
          </w:tcPr>
          <w:p w14:paraId="599E6C8C"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$20–$299.95</w:t>
            </w:r>
          </w:p>
        </w:tc>
        <w:tc>
          <w:tcPr>
            <w:tcW w:w="993" w:type="pct"/>
            <w:tcBorders>
              <w:top w:val="single" w:sz="4" w:space="0" w:color="auto"/>
              <w:bottom w:val="dotted" w:sz="4" w:space="0" w:color="auto"/>
            </w:tcBorders>
            <w:shd w:val="clear" w:color="auto" w:fill="auto"/>
            <w:vAlign w:val="center"/>
            <w:hideMark/>
          </w:tcPr>
          <w:p w14:paraId="2DB716EB"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25–2,000 Mbps</w:t>
            </w:r>
          </w:p>
        </w:tc>
        <w:tc>
          <w:tcPr>
            <w:tcW w:w="993" w:type="pct"/>
            <w:tcBorders>
              <w:top w:val="single" w:sz="4" w:space="0" w:color="auto"/>
              <w:bottom w:val="dotted" w:sz="4" w:space="0" w:color="auto"/>
            </w:tcBorders>
            <w:shd w:val="clear" w:color="auto" w:fill="auto"/>
            <w:vAlign w:val="center"/>
            <w:hideMark/>
          </w:tcPr>
          <w:p w14:paraId="63F709F7" w14:textId="2B935140" w:rsidR="00AE04C0" w:rsidRPr="00335657" w:rsidRDefault="00AE04C0" w:rsidP="00A13892">
            <w:pPr>
              <w:pStyle w:val="ExhibitText"/>
              <w:jc w:val="center"/>
              <w:rPr>
                <w:sz w:val="18"/>
                <w:szCs w:val="18"/>
                <w:lang w:val="en-CA" w:eastAsia="en-GB"/>
              </w:rPr>
            </w:pPr>
            <w:r w:rsidRPr="00335657">
              <w:rPr>
                <w:sz w:val="18"/>
                <w:szCs w:val="18"/>
                <w:lang w:val="en-CA" w:eastAsia="en-GB"/>
              </w:rPr>
              <w:t>1 TB–</w:t>
            </w:r>
            <w:r w:rsidR="0065734C" w:rsidRPr="00335657">
              <w:rPr>
                <w:sz w:val="18"/>
                <w:szCs w:val="18"/>
                <w:lang w:val="en-CA" w:eastAsia="en-GB"/>
              </w:rPr>
              <w:t>u</w:t>
            </w:r>
            <w:r w:rsidRPr="00335657">
              <w:rPr>
                <w:sz w:val="18"/>
                <w:szCs w:val="18"/>
                <w:lang w:val="en-CA" w:eastAsia="en-GB"/>
              </w:rPr>
              <w:t>nlimited</w:t>
            </w:r>
          </w:p>
        </w:tc>
      </w:tr>
      <w:tr w:rsidR="00087BB4" w:rsidRPr="00335657" w14:paraId="7A7BD883" w14:textId="77777777" w:rsidTr="00087BB4">
        <w:trPr>
          <w:trHeight w:val="288"/>
          <w:jc w:val="center"/>
        </w:trPr>
        <w:tc>
          <w:tcPr>
            <w:tcW w:w="864" w:type="pct"/>
            <w:tcBorders>
              <w:top w:val="dotted" w:sz="4" w:space="0" w:color="auto"/>
              <w:bottom w:val="dotted" w:sz="4" w:space="0" w:color="auto"/>
            </w:tcBorders>
            <w:vAlign w:val="center"/>
          </w:tcPr>
          <w:p w14:paraId="791367EC" w14:textId="4DA0D58C" w:rsidR="00AE04C0" w:rsidRPr="00335657" w:rsidRDefault="00AE04C0" w:rsidP="00A13892">
            <w:pPr>
              <w:pStyle w:val="ExhibitText"/>
              <w:jc w:val="left"/>
              <w:rPr>
                <w:sz w:val="18"/>
                <w:szCs w:val="18"/>
                <w:lang w:val="en-CA" w:eastAsia="en-GB"/>
              </w:rPr>
            </w:pPr>
            <w:r w:rsidRPr="00335657">
              <w:rPr>
                <w:sz w:val="18"/>
                <w:szCs w:val="18"/>
                <w:lang w:val="en-CA" w:eastAsia="en-GB"/>
              </w:rPr>
              <w:t>Terrestrial (</w:t>
            </w:r>
            <w:r w:rsidR="0065734C" w:rsidRPr="00335657">
              <w:rPr>
                <w:sz w:val="18"/>
                <w:szCs w:val="18"/>
                <w:lang w:val="en-CA" w:eastAsia="en-GB"/>
              </w:rPr>
              <w:t>b</w:t>
            </w:r>
            <w:r w:rsidRPr="00335657">
              <w:rPr>
                <w:sz w:val="18"/>
                <w:szCs w:val="18"/>
                <w:lang w:val="en-CA" w:eastAsia="en-GB"/>
              </w:rPr>
              <w:t>roadband)</w:t>
            </w:r>
          </w:p>
        </w:tc>
        <w:tc>
          <w:tcPr>
            <w:tcW w:w="1157" w:type="pct"/>
            <w:tcBorders>
              <w:top w:val="dotted" w:sz="4" w:space="0" w:color="auto"/>
              <w:bottom w:val="dotted" w:sz="4" w:space="0" w:color="auto"/>
            </w:tcBorders>
            <w:shd w:val="clear" w:color="auto" w:fill="auto"/>
            <w:vAlign w:val="center"/>
            <w:hideMark/>
          </w:tcPr>
          <w:p w14:paraId="7886C975" w14:textId="794C951E" w:rsidR="00AE04C0" w:rsidRPr="00335657" w:rsidRDefault="0065734C" w:rsidP="00A13892">
            <w:pPr>
              <w:pStyle w:val="ExhibitText"/>
              <w:jc w:val="left"/>
              <w:rPr>
                <w:sz w:val="18"/>
                <w:szCs w:val="18"/>
                <w:lang w:val="en-CA" w:eastAsia="en-GB"/>
              </w:rPr>
            </w:pPr>
            <w:r w:rsidRPr="00335657">
              <w:rPr>
                <w:sz w:val="18"/>
                <w:szCs w:val="18"/>
                <w:lang w:val="en-CA" w:eastAsia="en-GB"/>
              </w:rPr>
              <w:t>Lumen Technologies Inc. (previously CenturyLink)</w:t>
            </w:r>
          </w:p>
        </w:tc>
        <w:tc>
          <w:tcPr>
            <w:tcW w:w="993" w:type="pct"/>
            <w:tcBorders>
              <w:top w:val="dotted" w:sz="4" w:space="0" w:color="auto"/>
              <w:bottom w:val="dotted" w:sz="4" w:space="0" w:color="auto"/>
            </w:tcBorders>
            <w:shd w:val="clear" w:color="auto" w:fill="auto"/>
            <w:vAlign w:val="center"/>
            <w:hideMark/>
          </w:tcPr>
          <w:p w14:paraId="65EB901A"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$49–$65</w:t>
            </w:r>
          </w:p>
        </w:tc>
        <w:tc>
          <w:tcPr>
            <w:tcW w:w="993" w:type="pct"/>
            <w:tcBorders>
              <w:top w:val="dotted" w:sz="4" w:space="0" w:color="auto"/>
              <w:bottom w:val="dotted" w:sz="4" w:space="0" w:color="auto"/>
            </w:tcBorders>
            <w:shd w:val="clear" w:color="auto" w:fill="auto"/>
            <w:vAlign w:val="center"/>
            <w:hideMark/>
          </w:tcPr>
          <w:p w14:paraId="1904265D"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15–940 Mbps</w:t>
            </w:r>
          </w:p>
        </w:tc>
        <w:tc>
          <w:tcPr>
            <w:tcW w:w="993" w:type="pct"/>
            <w:tcBorders>
              <w:top w:val="dotted" w:sz="4" w:space="0" w:color="auto"/>
              <w:bottom w:val="dotted" w:sz="4" w:space="0" w:color="auto"/>
            </w:tcBorders>
            <w:shd w:val="clear" w:color="auto" w:fill="auto"/>
            <w:vAlign w:val="center"/>
            <w:hideMark/>
          </w:tcPr>
          <w:p w14:paraId="4F408D5C"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1 TB</w:t>
            </w:r>
          </w:p>
        </w:tc>
      </w:tr>
      <w:tr w:rsidR="00087BB4" w:rsidRPr="00335657" w14:paraId="10EFC346" w14:textId="77777777" w:rsidTr="00087BB4">
        <w:trPr>
          <w:trHeight w:val="288"/>
          <w:jc w:val="center"/>
        </w:trPr>
        <w:tc>
          <w:tcPr>
            <w:tcW w:w="864" w:type="pct"/>
            <w:tcBorders>
              <w:top w:val="dotted" w:sz="4" w:space="0" w:color="auto"/>
              <w:bottom w:val="dotted" w:sz="4" w:space="0" w:color="auto"/>
            </w:tcBorders>
            <w:vAlign w:val="center"/>
          </w:tcPr>
          <w:p w14:paraId="171C9897" w14:textId="77777777" w:rsidR="002A3C36" w:rsidRPr="00335657" w:rsidRDefault="00AE04C0" w:rsidP="00A13892">
            <w:pPr>
              <w:pStyle w:val="ExhibitText"/>
              <w:jc w:val="left"/>
              <w:rPr>
                <w:sz w:val="18"/>
                <w:szCs w:val="18"/>
                <w:lang w:val="en-CA" w:eastAsia="en-GB"/>
              </w:rPr>
            </w:pPr>
            <w:r w:rsidRPr="00335657">
              <w:rPr>
                <w:sz w:val="18"/>
                <w:szCs w:val="18"/>
                <w:lang w:val="en-CA" w:eastAsia="en-GB"/>
              </w:rPr>
              <w:t>Terrestrial</w:t>
            </w:r>
          </w:p>
          <w:p w14:paraId="7C2E0E7A" w14:textId="3428A320" w:rsidR="00AE04C0" w:rsidRPr="00335657" w:rsidRDefault="002A3C36" w:rsidP="00A13892">
            <w:pPr>
              <w:pStyle w:val="ExhibitText"/>
              <w:jc w:val="left"/>
              <w:rPr>
                <w:sz w:val="18"/>
                <w:szCs w:val="18"/>
                <w:lang w:val="en-CA" w:eastAsia="en-GB"/>
              </w:rPr>
            </w:pPr>
            <w:r w:rsidRPr="00335657">
              <w:rPr>
                <w:sz w:val="18"/>
                <w:szCs w:val="18"/>
                <w:lang w:val="en-CA" w:eastAsia="en-GB"/>
              </w:rPr>
              <w:t>(Broadband and 5G)</w:t>
            </w:r>
            <w:r w:rsidR="00AE04C0" w:rsidRPr="00335657">
              <w:rPr>
                <w:sz w:val="18"/>
                <w:szCs w:val="18"/>
                <w:lang w:val="en-CA" w:eastAsia="en-GB"/>
              </w:rPr>
              <w:t xml:space="preserve"> </w:t>
            </w:r>
          </w:p>
        </w:tc>
        <w:tc>
          <w:tcPr>
            <w:tcW w:w="1157" w:type="pct"/>
            <w:tcBorders>
              <w:top w:val="dotted" w:sz="4" w:space="0" w:color="auto"/>
              <w:bottom w:val="dotted" w:sz="4" w:space="0" w:color="auto"/>
            </w:tcBorders>
            <w:shd w:val="clear" w:color="auto" w:fill="auto"/>
            <w:vAlign w:val="center"/>
            <w:hideMark/>
          </w:tcPr>
          <w:p w14:paraId="0DEE45F3" w14:textId="2BC0BAEF" w:rsidR="00AE04C0" w:rsidRPr="00335657" w:rsidRDefault="00AE04C0" w:rsidP="00A13892">
            <w:pPr>
              <w:pStyle w:val="ExhibitText"/>
              <w:jc w:val="left"/>
              <w:rPr>
                <w:sz w:val="18"/>
                <w:szCs w:val="18"/>
                <w:lang w:val="en-CA" w:eastAsia="en-GB"/>
              </w:rPr>
            </w:pPr>
            <w:r w:rsidRPr="00335657">
              <w:rPr>
                <w:sz w:val="18"/>
                <w:szCs w:val="18"/>
                <w:lang w:val="en-CA" w:eastAsia="en-GB"/>
              </w:rPr>
              <w:t>AT&amp;T</w:t>
            </w:r>
            <w:r w:rsidR="0065734C" w:rsidRPr="00335657">
              <w:rPr>
                <w:sz w:val="18"/>
                <w:szCs w:val="18"/>
                <w:lang w:val="en-CA" w:eastAsia="en-GB"/>
              </w:rPr>
              <w:t xml:space="preserve"> Inc.</w:t>
            </w:r>
          </w:p>
        </w:tc>
        <w:tc>
          <w:tcPr>
            <w:tcW w:w="993" w:type="pct"/>
            <w:tcBorders>
              <w:top w:val="dotted" w:sz="4" w:space="0" w:color="auto"/>
              <w:bottom w:val="dotted" w:sz="4" w:space="0" w:color="auto"/>
            </w:tcBorders>
            <w:shd w:val="clear" w:color="auto" w:fill="auto"/>
            <w:vAlign w:val="center"/>
            <w:hideMark/>
          </w:tcPr>
          <w:p w14:paraId="08FE36D9"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$49.99</w:t>
            </w:r>
          </w:p>
        </w:tc>
        <w:tc>
          <w:tcPr>
            <w:tcW w:w="993" w:type="pct"/>
            <w:tcBorders>
              <w:top w:val="dotted" w:sz="4" w:space="0" w:color="auto"/>
              <w:bottom w:val="dotted" w:sz="4" w:space="0" w:color="auto"/>
            </w:tcBorders>
            <w:shd w:val="clear" w:color="auto" w:fill="auto"/>
            <w:vAlign w:val="center"/>
            <w:hideMark/>
          </w:tcPr>
          <w:p w14:paraId="1B8AE5D2"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940 Mbps</w:t>
            </w:r>
          </w:p>
        </w:tc>
        <w:tc>
          <w:tcPr>
            <w:tcW w:w="993" w:type="pct"/>
            <w:tcBorders>
              <w:top w:val="dotted" w:sz="4" w:space="0" w:color="auto"/>
              <w:bottom w:val="dotted" w:sz="4" w:space="0" w:color="auto"/>
            </w:tcBorders>
            <w:shd w:val="clear" w:color="auto" w:fill="auto"/>
            <w:vAlign w:val="center"/>
            <w:hideMark/>
          </w:tcPr>
          <w:p w14:paraId="3A9F6B9A"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Unlimited</w:t>
            </w:r>
          </w:p>
        </w:tc>
      </w:tr>
      <w:tr w:rsidR="00087BB4" w:rsidRPr="00335657" w14:paraId="2AC30456" w14:textId="77777777" w:rsidTr="00087BB4">
        <w:trPr>
          <w:trHeight w:val="288"/>
          <w:jc w:val="center"/>
        </w:trPr>
        <w:tc>
          <w:tcPr>
            <w:tcW w:w="864" w:type="pct"/>
            <w:tcBorders>
              <w:top w:val="dotted" w:sz="4" w:space="0" w:color="auto"/>
              <w:bottom w:val="dotted" w:sz="4" w:space="0" w:color="auto"/>
            </w:tcBorders>
            <w:vAlign w:val="center"/>
          </w:tcPr>
          <w:p w14:paraId="77E107EE" w14:textId="77777777" w:rsidR="00AE04C0" w:rsidRPr="00335657" w:rsidRDefault="00AE04C0" w:rsidP="00A13892">
            <w:pPr>
              <w:pStyle w:val="ExhibitText"/>
              <w:jc w:val="left"/>
              <w:rPr>
                <w:sz w:val="18"/>
                <w:szCs w:val="18"/>
                <w:lang w:val="en-CA" w:eastAsia="en-GB"/>
              </w:rPr>
            </w:pPr>
            <w:r w:rsidRPr="00335657">
              <w:rPr>
                <w:sz w:val="18"/>
                <w:szCs w:val="18"/>
                <w:lang w:val="en-CA" w:eastAsia="en-GB"/>
              </w:rPr>
              <w:t>Terrestrial</w:t>
            </w:r>
          </w:p>
          <w:p w14:paraId="5922FD1D" w14:textId="2F827CE2" w:rsidR="002A3C36" w:rsidRPr="00335657" w:rsidRDefault="002A3C36" w:rsidP="00A13892">
            <w:pPr>
              <w:pStyle w:val="ExhibitText"/>
              <w:jc w:val="left"/>
              <w:rPr>
                <w:sz w:val="18"/>
                <w:szCs w:val="18"/>
                <w:lang w:val="en-CA" w:eastAsia="en-GB"/>
              </w:rPr>
            </w:pPr>
            <w:r w:rsidRPr="00335657">
              <w:rPr>
                <w:sz w:val="18"/>
                <w:szCs w:val="18"/>
                <w:lang w:val="en-CA" w:eastAsia="en-GB"/>
              </w:rPr>
              <w:t xml:space="preserve">(Broadband and 5G) </w:t>
            </w:r>
          </w:p>
        </w:tc>
        <w:tc>
          <w:tcPr>
            <w:tcW w:w="1157" w:type="pct"/>
            <w:tcBorders>
              <w:top w:val="dotted" w:sz="4" w:space="0" w:color="auto"/>
              <w:bottom w:val="dotted" w:sz="4" w:space="0" w:color="auto"/>
            </w:tcBorders>
            <w:shd w:val="clear" w:color="auto" w:fill="auto"/>
            <w:vAlign w:val="center"/>
            <w:hideMark/>
          </w:tcPr>
          <w:p w14:paraId="2E553394" w14:textId="0BB8BB09" w:rsidR="00AE04C0" w:rsidRPr="00335657" w:rsidRDefault="00AE04C0" w:rsidP="00A13892">
            <w:pPr>
              <w:pStyle w:val="ExhibitText"/>
              <w:jc w:val="left"/>
              <w:rPr>
                <w:sz w:val="18"/>
                <w:szCs w:val="18"/>
                <w:lang w:val="en-CA" w:eastAsia="en-GB"/>
              </w:rPr>
            </w:pPr>
            <w:r w:rsidRPr="00335657">
              <w:rPr>
                <w:sz w:val="18"/>
                <w:szCs w:val="18"/>
                <w:lang w:val="en-CA" w:eastAsia="en-GB"/>
              </w:rPr>
              <w:t>Verizon</w:t>
            </w:r>
            <w:r w:rsidR="0065734C" w:rsidRPr="00335657">
              <w:rPr>
                <w:sz w:val="18"/>
                <w:szCs w:val="18"/>
                <w:lang w:val="en-CA" w:eastAsia="en-GB"/>
              </w:rPr>
              <w:t xml:space="preserve"> Communications Inc.</w:t>
            </w:r>
          </w:p>
        </w:tc>
        <w:tc>
          <w:tcPr>
            <w:tcW w:w="993" w:type="pct"/>
            <w:tcBorders>
              <w:top w:val="dotted" w:sz="4" w:space="0" w:color="auto"/>
              <w:bottom w:val="dotted" w:sz="4" w:space="0" w:color="auto"/>
            </w:tcBorders>
            <w:shd w:val="clear" w:color="auto" w:fill="auto"/>
            <w:vAlign w:val="center"/>
            <w:hideMark/>
          </w:tcPr>
          <w:p w14:paraId="15A879C7"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$39.99–$79.99</w:t>
            </w:r>
          </w:p>
        </w:tc>
        <w:tc>
          <w:tcPr>
            <w:tcW w:w="993" w:type="pct"/>
            <w:tcBorders>
              <w:top w:val="dotted" w:sz="4" w:space="0" w:color="auto"/>
              <w:bottom w:val="dotted" w:sz="4" w:space="0" w:color="auto"/>
            </w:tcBorders>
            <w:shd w:val="clear" w:color="auto" w:fill="auto"/>
            <w:vAlign w:val="center"/>
            <w:hideMark/>
          </w:tcPr>
          <w:p w14:paraId="7B5485EE" w14:textId="17E7C066" w:rsidR="00AE04C0" w:rsidRPr="00335657" w:rsidRDefault="00AE04C0" w:rsidP="00A13892">
            <w:pPr>
              <w:pStyle w:val="ExhibitText"/>
              <w:jc w:val="center"/>
              <w:rPr>
                <w:sz w:val="18"/>
                <w:szCs w:val="18"/>
                <w:lang w:val="en-CA" w:eastAsia="en-GB"/>
              </w:rPr>
            </w:pPr>
            <w:r w:rsidRPr="00335657">
              <w:rPr>
                <w:sz w:val="18"/>
                <w:szCs w:val="18"/>
                <w:lang w:val="en-CA" w:eastAsia="en-GB"/>
              </w:rPr>
              <w:t>200–940 Mbps</w:t>
            </w:r>
          </w:p>
        </w:tc>
        <w:tc>
          <w:tcPr>
            <w:tcW w:w="993" w:type="pct"/>
            <w:tcBorders>
              <w:top w:val="dotted" w:sz="4" w:space="0" w:color="auto"/>
              <w:bottom w:val="dotted" w:sz="4" w:space="0" w:color="auto"/>
            </w:tcBorders>
            <w:shd w:val="clear" w:color="auto" w:fill="auto"/>
            <w:vAlign w:val="center"/>
            <w:hideMark/>
          </w:tcPr>
          <w:p w14:paraId="74A2F5F7"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Not Available</w:t>
            </w:r>
          </w:p>
        </w:tc>
      </w:tr>
      <w:tr w:rsidR="00087BB4" w:rsidRPr="00335657" w14:paraId="0F1FC505" w14:textId="77777777" w:rsidTr="00087BB4">
        <w:trPr>
          <w:trHeight w:val="288"/>
          <w:jc w:val="center"/>
        </w:trPr>
        <w:tc>
          <w:tcPr>
            <w:tcW w:w="864" w:type="pct"/>
            <w:tcBorders>
              <w:top w:val="dotted" w:sz="4" w:space="0" w:color="auto"/>
              <w:bottom w:val="dotted" w:sz="4" w:space="0" w:color="auto"/>
            </w:tcBorders>
            <w:vAlign w:val="center"/>
          </w:tcPr>
          <w:p w14:paraId="168A179C" w14:textId="77777777" w:rsidR="00AE04C0" w:rsidRPr="00335657" w:rsidRDefault="00AE04C0" w:rsidP="00A13892">
            <w:pPr>
              <w:pStyle w:val="ExhibitText"/>
              <w:jc w:val="left"/>
              <w:rPr>
                <w:sz w:val="18"/>
                <w:szCs w:val="18"/>
                <w:lang w:val="en-CA" w:eastAsia="en-GB"/>
              </w:rPr>
            </w:pPr>
            <w:r w:rsidRPr="00335657">
              <w:rPr>
                <w:sz w:val="18"/>
                <w:szCs w:val="18"/>
                <w:lang w:val="en-CA" w:eastAsia="en-GB"/>
              </w:rPr>
              <w:t>Terrestrial (5G)</w:t>
            </w:r>
          </w:p>
        </w:tc>
        <w:tc>
          <w:tcPr>
            <w:tcW w:w="1157" w:type="pct"/>
            <w:tcBorders>
              <w:top w:val="dotted" w:sz="4" w:space="0" w:color="auto"/>
              <w:bottom w:val="dotted" w:sz="4" w:space="0" w:color="auto"/>
            </w:tcBorders>
            <w:shd w:val="clear" w:color="auto" w:fill="auto"/>
            <w:vAlign w:val="center"/>
          </w:tcPr>
          <w:p w14:paraId="4AB87045" w14:textId="2E005AB3" w:rsidR="00AE04C0" w:rsidRPr="00335657" w:rsidRDefault="00AE04C0" w:rsidP="00A13892">
            <w:pPr>
              <w:pStyle w:val="ExhibitText"/>
              <w:jc w:val="left"/>
              <w:rPr>
                <w:sz w:val="18"/>
                <w:szCs w:val="18"/>
                <w:lang w:val="en-CA" w:eastAsia="en-GB"/>
              </w:rPr>
            </w:pPr>
            <w:r w:rsidRPr="00335657">
              <w:rPr>
                <w:sz w:val="18"/>
                <w:szCs w:val="18"/>
                <w:lang w:val="en-CA" w:eastAsia="en-GB"/>
              </w:rPr>
              <w:t>T-Mobile</w:t>
            </w:r>
            <w:r w:rsidR="00A13892" w:rsidRPr="00335657">
              <w:rPr>
                <w:sz w:val="18"/>
                <w:szCs w:val="18"/>
                <w:lang w:val="en-CA" w:eastAsia="en-GB"/>
              </w:rPr>
              <w:t xml:space="preserve"> US Inc.</w:t>
            </w:r>
          </w:p>
        </w:tc>
        <w:tc>
          <w:tcPr>
            <w:tcW w:w="993" w:type="pct"/>
            <w:tcBorders>
              <w:top w:val="dotted" w:sz="4" w:space="0" w:color="auto"/>
              <w:bottom w:val="dotted" w:sz="4" w:space="0" w:color="auto"/>
            </w:tcBorders>
            <w:shd w:val="clear" w:color="auto" w:fill="auto"/>
            <w:vAlign w:val="center"/>
          </w:tcPr>
          <w:p w14:paraId="20B7F48A" w14:textId="30CCD2EF" w:rsidR="00AE04C0" w:rsidRPr="00335657" w:rsidRDefault="00AE04C0" w:rsidP="00A13892">
            <w:pPr>
              <w:pStyle w:val="ExhibitText"/>
              <w:jc w:val="center"/>
              <w:rPr>
                <w:sz w:val="18"/>
                <w:szCs w:val="18"/>
                <w:lang w:val="en-CA" w:eastAsia="en-GB"/>
              </w:rPr>
            </w:pPr>
            <w:r w:rsidRPr="00335657">
              <w:rPr>
                <w:sz w:val="18"/>
                <w:szCs w:val="18"/>
                <w:lang w:val="en-CA" w:eastAsia="en-GB"/>
              </w:rPr>
              <w:t>$40</w:t>
            </w:r>
            <w:r w:rsidR="00A13892" w:rsidRPr="00335657">
              <w:rPr>
                <w:sz w:val="18"/>
                <w:szCs w:val="18"/>
                <w:lang w:val="en-CA" w:eastAsia="en-GB"/>
              </w:rPr>
              <w:t>–</w:t>
            </w:r>
            <w:r w:rsidRPr="00335657">
              <w:rPr>
                <w:sz w:val="18"/>
                <w:szCs w:val="18"/>
                <w:lang w:val="en-CA" w:eastAsia="en-GB"/>
              </w:rPr>
              <w:t>$70</w:t>
            </w:r>
          </w:p>
        </w:tc>
        <w:tc>
          <w:tcPr>
            <w:tcW w:w="993" w:type="pct"/>
            <w:tcBorders>
              <w:top w:val="dotted" w:sz="4" w:space="0" w:color="auto"/>
              <w:bottom w:val="dotted" w:sz="4" w:space="0" w:color="auto"/>
            </w:tcBorders>
            <w:shd w:val="clear" w:color="auto" w:fill="auto"/>
            <w:vAlign w:val="center"/>
          </w:tcPr>
          <w:p w14:paraId="4C2D1412" w14:textId="3CC4F869" w:rsidR="00AE04C0" w:rsidRPr="00335657" w:rsidRDefault="00AE04C0" w:rsidP="00A13892">
            <w:pPr>
              <w:pStyle w:val="ExhibitText"/>
              <w:jc w:val="center"/>
              <w:rPr>
                <w:sz w:val="18"/>
                <w:szCs w:val="18"/>
                <w:lang w:val="en-CA" w:eastAsia="en-GB"/>
              </w:rPr>
            </w:pPr>
            <w:r w:rsidRPr="00335657">
              <w:rPr>
                <w:sz w:val="18"/>
                <w:szCs w:val="18"/>
                <w:lang w:val="en-CA" w:eastAsia="en-GB"/>
              </w:rPr>
              <w:t>330</w:t>
            </w:r>
            <w:r w:rsidR="00A13892" w:rsidRPr="00335657">
              <w:rPr>
                <w:sz w:val="18"/>
                <w:szCs w:val="18"/>
                <w:lang w:val="en-CA" w:eastAsia="en-GB"/>
              </w:rPr>
              <w:t xml:space="preserve"> </w:t>
            </w:r>
            <w:r w:rsidRPr="00335657">
              <w:rPr>
                <w:sz w:val="18"/>
                <w:szCs w:val="18"/>
                <w:lang w:val="en-CA" w:eastAsia="en-GB"/>
              </w:rPr>
              <w:t>Mbps (</w:t>
            </w:r>
            <w:r w:rsidR="00A13892" w:rsidRPr="00335657">
              <w:rPr>
                <w:sz w:val="18"/>
                <w:szCs w:val="18"/>
                <w:lang w:val="en-CA" w:eastAsia="en-GB"/>
              </w:rPr>
              <w:t>u</w:t>
            </w:r>
            <w:r w:rsidRPr="00335657">
              <w:rPr>
                <w:sz w:val="18"/>
                <w:szCs w:val="18"/>
                <w:lang w:val="en-CA" w:eastAsia="en-GB"/>
              </w:rPr>
              <w:t>rban)</w:t>
            </w:r>
          </w:p>
          <w:p w14:paraId="7867CA61" w14:textId="5318BEFF" w:rsidR="00AE04C0" w:rsidRPr="00335657" w:rsidRDefault="00AE04C0" w:rsidP="00A13892">
            <w:pPr>
              <w:pStyle w:val="ExhibitText"/>
              <w:jc w:val="center"/>
              <w:rPr>
                <w:sz w:val="18"/>
                <w:szCs w:val="18"/>
                <w:lang w:val="en-CA" w:eastAsia="en-GB"/>
              </w:rPr>
            </w:pPr>
            <w:r w:rsidRPr="00335657">
              <w:rPr>
                <w:sz w:val="18"/>
                <w:szCs w:val="18"/>
                <w:lang w:val="en-CA" w:eastAsia="en-GB"/>
              </w:rPr>
              <w:t xml:space="preserve">50 </w:t>
            </w:r>
            <w:r w:rsidR="00021A5F">
              <w:rPr>
                <w:sz w:val="18"/>
                <w:szCs w:val="18"/>
                <w:lang w:val="en-CA" w:eastAsia="en-GB"/>
              </w:rPr>
              <w:t>M</w:t>
            </w:r>
            <w:r w:rsidRPr="00335657">
              <w:rPr>
                <w:sz w:val="18"/>
                <w:szCs w:val="18"/>
                <w:lang w:val="en-CA" w:eastAsia="en-GB"/>
              </w:rPr>
              <w:t>bps (rural)</w:t>
            </w:r>
          </w:p>
        </w:tc>
        <w:tc>
          <w:tcPr>
            <w:tcW w:w="993" w:type="pct"/>
            <w:tcBorders>
              <w:top w:val="dotted" w:sz="4" w:space="0" w:color="auto"/>
              <w:bottom w:val="dotted" w:sz="4" w:space="0" w:color="auto"/>
            </w:tcBorders>
            <w:shd w:val="clear" w:color="auto" w:fill="auto"/>
            <w:vAlign w:val="center"/>
          </w:tcPr>
          <w:p w14:paraId="40CBF542" w14:textId="6B7AA8F6" w:rsidR="00AE04C0" w:rsidRPr="00335657" w:rsidRDefault="00AE04C0" w:rsidP="00A13892">
            <w:pPr>
              <w:pStyle w:val="ExhibitText"/>
              <w:jc w:val="center"/>
              <w:rPr>
                <w:sz w:val="18"/>
                <w:szCs w:val="18"/>
                <w:lang w:val="en-CA" w:eastAsia="en-GB"/>
              </w:rPr>
            </w:pPr>
            <w:r w:rsidRPr="00335657">
              <w:rPr>
                <w:sz w:val="18"/>
                <w:szCs w:val="18"/>
                <w:lang w:val="en-CA" w:eastAsia="en-GB"/>
              </w:rPr>
              <w:t>10</w:t>
            </w:r>
            <w:r w:rsidR="00A13892" w:rsidRPr="00335657">
              <w:rPr>
                <w:sz w:val="18"/>
                <w:szCs w:val="18"/>
                <w:lang w:val="en-CA" w:eastAsia="en-GB"/>
              </w:rPr>
              <w:t xml:space="preserve"> </w:t>
            </w:r>
            <w:r w:rsidRPr="00335657">
              <w:rPr>
                <w:sz w:val="18"/>
                <w:szCs w:val="18"/>
                <w:lang w:val="en-CA" w:eastAsia="en-GB"/>
              </w:rPr>
              <w:t>GB</w:t>
            </w:r>
            <w:r w:rsidR="00A13892" w:rsidRPr="00335657">
              <w:rPr>
                <w:sz w:val="18"/>
                <w:szCs w:val="18"/>
                <w:lang w:val="en-CA" w:eastAsia="en-GB"/>
              </w:rPr>
              <w:t>–u</w:t>
            </w:r>
            <w:r w:rsidRPr="00335657">
              <w:rPr>
                <w:sz w:val="18"/>
                <w:szCs w:val="18"/>
                <w:lang w:val="en-CA" w:eastAsia="en-GB"/>
              </w:rPr>
              <w:t>nlimited</w:t>
            </w:r>
          </w:p>
          <w:p w14:paraId="6B8CAEEE" w14:textId="5BB0D6E2" w:rsidR="00AE04C0" w:rsidRPr="00335657" w:rsidRDefault="00AE04C0" w:rsidP="00A13892">
            <w:pPr>
              <w:pStyle w:val="ExhibitText"/>
              <w:jc w:val="center"/>
              <w:rPr>
                <w:sz w:val="18"/>
                <w:szCs w:val="18"/>
                <w:lang w:val="en-CA" w:eastAsia="en-GB"/>
              </w:rPr>
            </w:pPr>
            <w:r w:rsidRPr="00335657">
              <w:rPr>
                <w:sz w:val="18"/>
                <w:szCs w:val="18"/>
                <w:lang w:val="en-CA" w:eastAsia="en-GB"/>
              </w:rPr>
              <w:t>Hotspot: 5</w:t>
            </w:r>
            <w:r w:rsidR="00A13892" w:rsidRPr="00335657">
              <w:rPr>
                <w:sz w:val="18"/>
                <w:szCs w:val="18"/>
                <w:lang w:val="en-CA" w:eastAsia="en-GB"/>
              </w:rPr>
              <w:t>–</w:t>
            </w:r>
            <w:r w:rsidRPr="00335657">
              <w:rPr>
                <w:sz w:val="18"/>
                <w:szCs w:val="18"/>
                <w:lang w:val="en-CA" w:eastAsia="en-GB"/>
              </w:rPr>
              <w:t>15</w:t>
            </w:r>
            <w:r w:rsidR="00A13892" w:rsidRPr="00335657">
              <w:rPr>
                <w:sz w:val="18"/>
                <w:szCs w:val="18"/>
                <w:lang w:val="en-CA" w:eastAsia="en-GB"/>
              </w:rPr>
              <w:t xml:space="preserve"> </w:t>
            </w:r>
            <w:r w:rsidRPr="00335657">
              <w:rPr>
                <w:sz w:val="18"/>
                <w:szCs w:val="18"/>
                <w:lang w:val="en-CA" w:eastAsia="en-GB"/>
              </w:rPr>
              <w:t>GB</w:t>
            </w:r>
          </w:p>
        </w:tc>
      </w:tr>
      <w:tr w:rsidR="00087BB4" w:rsidRPr="00335657" w14:paraId="64AFA5AA" w14:textId="77777777" w:rsidTr="00087BB4">
        <w:trPr>
          <w:trHeight w:val="288"/>
          <w:jc w:val="center"/>
        </w:trPr>
        <w:tc>
          <w:tcPr>
            <w:tcW w:w="864" w:type="pct"/>
            <w:tcBorders>
              <w:top w:val="dotted" w:sz="4" w:space="0" w:color="auto"/>
              <w:bottom w:val="dotted" w:sz="4" w:space="0" w:color="auto"/>
            </w:tcBorders>
            <w:vAlign w:val="center"/>
          </w:tcPr>
          <w:p w14:paraId="50D5FB4D" w14:textId="77777777" w:rsidR="00AE04C0" w:rsidRPr="00335657" w:rsidRDefault="00AE04C0" w:rsidP="00A13892">
            <w:pPr>
              <w:pStyle w:val="ExhibitText"/>
              <w:jc w:val="left"/>
              <w:rPr>
                <w:sz w:val="18"/>
                <w:szCs w:val="18"/>
                <w:lang w:val="en-CA" w:eastAsia="en-GB"/>
              </w:rPr>
            </w:pPr>
            <w:r w:rsidRPr="00335657">
              <w:rPr>
                <w:sz w:val="18"/>
                <w:szCs w:val="18"/>
                <w:lang w:val="en-CA" w:eastAsia="en-GB"/>
              </w:rPr>
              <w:t>Geostationary</w:t>
            </w:r>
          </w:p>
        </w:tc>
        <w:tc>
          <w:tcPr>
            <w:tcW w:w="1157" w:type="pct"/>
            <w:tcBorders>
              <w:top w:val="dotted" w:sz="4" w:space="0" w:color="auto"/>
              <w:bottom w:val="dotted" w:sz="4" w:space="0" w:color="auto"/>
            </w:tcBorders>
            <w:shd w:val="clear" w:color="auto" w:fill="auto"/>
            <w:vAlign w:val="center"/>
            <w:hideMark/>
          </w:tcPr>
          <w:p w14:paraId="3C169270" w14:textId="2A307D23" w:rsidR="00AE04C0" w:rsidRPr="00335657" w:rsidRDefault="00AE04C0" w:rsidP="00A13892">
            <w:pPr>
              <w:pStyle w:val="ExhibitText"/>
              <w:jc w:val="left"/>
              <w:rPr>
                <w:sz w:val="18"/>
                <w:szCs w:val="18"/>
                <w:lang w:val="en-CA" w:eastAsia="en-GB"/>
              </w:rPr>
            </w:pPr>
            <w:r w:rsidRPr="00335657">
              <w:rPr>
                <w:sz w:val="18"/>
                <w:szCs w:val="18"/>
                <w:lang w:val="en-CA" w:eastAsia="en-GB"/>
              </w:rPr>
              <w:t>Via</w:t>
            </w:r>
            <w:r w:rsidR="00A13892" w:rsidRPr="00335657">
              <w:rPr>
                <w:sz w:val="18"/>
                <w:szCs w:val="18"/>
                <w:lang w:val="en-CA" w:eastAsia="en-GB"/>
              </w:rPr>
              <w:t>s</w:t>
            </w:r>
            <w:r w:rsidRPr="00335657">
              <w:rPr>
                <w:sz w:val="18"/>
                <w:szCs w:val="18"/>
                <w:lang w:val="en-CA" w:eastAsia="en-GB"/>
              </w:rPr>
              <w:t>at</w:t>
            </w:r>
            <w:r w:rsidR="00A13892" w:rsidRPr="00335657">
              <w:rPr>
                <w:sz w:val="18"/>
                <w:szCs w:val="18"/>
                <w:lang w:val="en-CA" w:eastAsia="en-GB"/>
              </w:rPr>
              <w:t xml:space="preserve"> Inc.</w:t>
            </w:r>
          </w:p>
        </w:tc>
        <w:tc>
          <w:tcPr>
            <w:tcW w:w="993" w:type="pct"/>
            <w:tcBorders>
              <w:top w:val="dotted" w:sz="4" w:space="0" w:color="auto"/>
              <w:bottom w:val="dotted" w:sz="4" w:space="0" w:color="auto"/>
            </w:tcBorders>
            <w:shd w:val="clear" w:color="auto" w:fill="auto"/>
            <w:vAlign w:val="center"/>
            <w:hideMark/>
          </w:tcPr>
          <w:p w14:paraId="48FCA7E1"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$30–$150</w:t>
            </w:r>
          </w:p>
        </w:tc>
        <w:tc>
          <w:tcPr>
            <w:tcW w:w="993" w:type="pct"/>
            <w:tcBorders>
              <w:top w:val="dotted" w:sz="4" w:space="0" w:color="auto"/>
              <w:bottom w:val="dotted" w:sz="4" w:space="0" w:color="auto"/>
            </w:tcBorders>
            <w:shd w:val="clear" w:color="auto" w:fill="auto"/>
            <w:vAlign w:val="center"/>
            <w:hideMark/>
          </w:tcPr>
          <w:p w14:paraId="1FC150BC"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12–100 Mbps</w:t>
            </w:r>
          </w:p>
        </w:tc>
        <w:tc>
          <w:tcPr>
            <w:tcW w:w="993" w:type="pct"/>
            <w:tcBorders>
              <w:top w:val="dotted" w:sz="4" w:space="0" w:color="auto"/>
              <w:bottom w:val="dotted" w:sz="4" w:space="0" w:color="auto"/>
            </w:tcBorders>
            <w:shd w:val="clear" w:color="auto" w:fill="auto"/>
            <w:vAlign w:val="center"/>
            <w:hideMark/>
          </w:tcPr>
          <w:p w14:paraId="564308A6" w14:textId="213D63CF" w:rsidR="00AE04C0" w:rsidRPr="00335657" w:rsidRDefault="00AE04C0" w:rsidP="00A13892">
            <w:pPr>
              <w:pStyle w:val="ExhibitText"/>
              <w:jc w:val="center"/>
              <w:rPr>
                <w:sz w:val="18"/>
                <w:szCs w:val="18"/>
                <w:lang w:val="en-CA" w:eastAsia="en-GB"/>
              </w:rPr>
            </w:pPr>
            <w:r w:rsidRPr="00335657">
              <w:rPr>
                <w:sz w:val="18"/>
                <w:szCs w:val="18"/>
                <w:lang w:val="en-CA" w:eastAsia="en-GB"/>
              </w:rPr>
              <w:t>25</w:t>
            </w:r>
            <w:r w:rsidR="00A13892" w:rsidRPr="00335657">
              <w:rPr>
                <w:sz w:val="18"/>
                <w:szCs w:val="18"/>
                <w:lang w:val="en-CA" w:eastAsia="en-GB"/>
              </w:rPr>
              <w:t>–</w:t>
            </w:r>
            <w:r w:rsidRPr="00335657">
              <w:rPr>
                <w:sz w:val="18"/>
                <w:szCs w:val="18"/>
                <w:lang w:val="en-CA" w:eastAsia="en-GB"/>
              </w:rPr>
              <w:t>150</w:t>
            </w:r>
            <w:r w:rsidR="00A13892" w:rsidRPr="00335657">
              <w:rPr>
                <w:sz w:val="18"/>
                <w:szCs w:val="18"/>
                <w:lang w:val="en-CA" w:eastAsia="en-GB"/>
              </w:rPr>
              <w:t xml:space="preserve"> </w:t>
            </w:r>
            <w:r w:rsidRPr="00335657">
              <w:rPr>
                <w:sz w:val="18"/>
                <w:szCs w:val="18"/>
                <w:lang w:val="en-CA" w:eastAsia="en-GB"/>
              </w:rPr>
              <w:t>GB</w:t>
            </w:r>
          </w:p>
        </w:tc>
      </w:tr>
      <w:tr w:rsidR="00087BB4" w:rsidRPr="00335657" w14:paraId="75097EE0" w14:textId="77777777" w:rsidTr="00087BB4">
        <w:trPr>
          <w:trHeight w:val="288"/>
          <w:jc w:val="center"/>
        </w:trPr>
        <w:tc>
          <w:tcPr>
            <w:tcW w:w="864" w:type="pct"/>
            <w:tcBorders>
              <w:top w:val="dotted" w:sz="4" w:space="0" w:color="auto"/>
              <w:bottom w:val="single" w:sz="4" w:space="0" w:color="auto"/>
            </w:tcBorders>
            <w:vAlign w:val="center"/>
          </w:tcPr>
          <w:p w14:paraId="41735109" w14:textId="77777777" w:rsidR="00AE04C0" w:rsidRPr="00335657" w:rsidRDefault="00AE04C0" w:rsidP="00A13892">
            <w:pPr>
              <w:pStyle w:val="ExhibitText"/>
              <w:jc w:val="left"/>
              <w:rPr>
                <w:sz w:val="18"/>
                <w:szCs w:val="18"/>
                <w:lang w:val="en-CA" w:eastAsia="en-GB"/>
              </w:rPr>
            </w:pPr>
            <w:r w:rsidRPr="00335657">
              <w:rPr>
                <w:sz w:val="18"/>
                <w:szCs w:val="18"/>
                <w:lang w:val="en-CA" w:eastAsia="en-GB"/>
              </w:rPr>
              <w:t>Geostationary</w:t>
            </w:r>
          </w:p>
        </w:tc>
        <w:tc>
          <w:tcPr>
            <w:tcW w:w="1157" w:type="pct"/>
            <w:tcBorders>
              <w:top w:val="dotted" w:sz="4" w:space="0" w:color="auto"/>
              <w:bottom w:val="single" w:sz="4" w:space="0" w:color="auto"/>
            </w:tcBorders>
            <w:shd w:val="clear" w:color="auto" w:fill="auto"/>
            <w:vAlign w:val="center"/>
          </w:tcPr>
          <w:p w14:paraId="7FF89DC8" w14:textId="12F36198" w:rsidR="00AE04C0" w:rsidRPr="00335657" w:rsidRDefault="00A13892" w:rsidP="00A13892">
            <w:pPr>
              <w:pStyle w:val="ExhibitText"/>
              <w:jc w:val="left"/>
              <w:rPr>
                <w:sz w:val="18"/>
                <w:szCs w:val="18"/>
                <w:lang w:val="en-CA" w:eastAsia="en-GB"/>
              </w:rPr>
            </w:pPr>
            <w:r w:rsidRPr="00335657">
              <w:rPr>
                <w:sz w:val="18"/>
                <w:szCs w:val="18"/>
                <w:lang w:val="en-CA" w:eastAsia="en-GB"/>
              </w:rPr>
              <w:t>Hughes Network Systems LLC (</w:t>
            </w:r>
            <w:r w:rsidR="00AE04C0" w:rsidRPr="00335657">
              <w:rPr>
                <w:sz w:val="18"/>
                <w:szCs w:val="18"/>
                <w:lang w:val="en-CA" w:eastAsia="en-GB"/>
              </w:rPr>
              <w:t>HughesNet</w:t>
            </w:r>
            <w:r w:rsidRPr="00335657">
              <w:rPr>
                <w:sz w:val="18"/>
                <w:szCs w:val="18"/>
                <w:lang w:val="en-CA" w:eastAsia="en-GB"/>
              </w:rPr>
              <w:t>)</w:t>
            </w:r>
          </w:p>
        </w:tc>
        <w:tc>
          <w:tcPr>
            <w:tcW w:w="993" w:type="pct"/>
            <w:tcBorders>
              <w:top w:val="dotted" w:sz="4" w:space="0" w:color="auto"/>
              <w:bottom w:val="single" w:sz="4" w:space="0" w:color="auto"/>
            </w:tcBorders>
            <w:shd w:val="clear" w:color="auto" w:fill="auto"/>
            <w:noWrap/>
            <w:vAlign w:val="center"/>
          </w:tcPr>
          <w:p w14:paraId="7FCA07D9" w14:textId="4B2AC99A" w:rsidR="00AE04C0" w:rsidRPr="00335657" w:rsidRDefault="00AE04C0" w:rsidP="00A13892">
            <w:pPr>
              <w:pStyle w:val="ExhibitText"/>
              <w:jc w:val="center"/>
              <w:rPr>
                <w:sz w:val="18"/>
                <w:szCs w:val="18"/>
                <w:lang w:val="en-CA" w:eastAsia="en-GB"/>
              </w:rPr>
            </w:pPr>
            <w:r w:rsidRPr="00335657">
              <w:rPr>
                <w:sz w:val="18"/>
                <w:szCs w:val="18"/>
                <w:lang w:val="en-CA" w:eastAsia="en-GB"/>
              </w:rPr>
              <w:t>$59.99</w:t>
            </w:r>
            <w:r w:rsidR="00A13892" w:rsidRPr="00335657">
              <w:rPr>
                <w:sz w:val="18"/>
                <w:szCs w:val="18"/>
                <w:lang w:val="en-CA" w:eastAsia="en-GB"/>
              </w:rPr>
              <w:t>–</w:t>
            </w:r>
            <w:r w:rsidRPr="00335657">
              <w:rPr>
                <w:sz w:val="18"/>
                <w:szCs w:val="18"/>
                <w:lang w:val="en-CA" w:eastAsia="en-GB"/>
              </w:rPr>
              <w:t>$149.99</w:t>
            </w:r>
          </w:p>
        </w:tc>
        <w:tc>
          <w:tcPr>
            <w:tcW w:w="993" w:type="pct"/>
            <w:tcBorders>
              <w:top w:val="dotted" w:sz="4" w:space="0" w:color="auto"/>
              <w:bottom w:val="single" w:sz="4" w:space="0" w:color="auto"/>
            </w:tcBorders>
            <w:shd w:val="clear" w:color="auto" w:fill="auto"/>
            <w:vAlign w:val="center"/>
          </w:tcPr>
          <w:p w14:paraId="049C1C54" w14:textId="77777777" w:rsidR="00AE04C0" w:rsidRPr="00335657" w:rsidRDefault="00AE04C0" w:rsidP="00A13892">
            <w:pPr>
              <w:pStyle w:val="ExhibitText"/>
              <w:jc w:val="center"/>
              <w:rPr>
                <w:sz w:val="18"/>
                <w:szCs w:val="18"/>
                <w:lang w:val="en-CA" w:eastAsia="en-GB"/>
              </w:rPr>
            </w:pPr>
            <w:r w:rsidRPr="00335657">
              <w:rPr>
                <w:sz w:val="18"/>
                <w:szCs w:val="18"/>
                <w:lang w:val="en-CA" w:eastAsia="en-GB"/>
              </w:rPr>
              <w:t>Up to 25 Mbps</w:t>
            </w:r>
          </w:p>
        </w:tc>
        <w:tc>
          <w:tcPr>
            <w:tcW w:w="993" w:type="pct"/>
            <w:tcBorders>
              <w:top w:val="dotted" w:sz="4" w:space="0" w:color="auto"/>
              <w:bottom w:val="single" w:sz="4" w:space="0" w:color="auto"/>
            </w:tcBorders>
            <w:shd w:val="clear" w:color="auto" w:fill="auto"/>
            <w:vAlign w:val="center"/>
          </w:tcPr>
          <w:p w14:paraId="73F765CE" w14:textId="77777777" w:rsidR="00AE04C0" w:rsidRPr="00335657" w:rsidRDefault="00AE04C0" w:rsidP="00A13892">
            <w:pPr>
              <w:pStyle w:val="ExhibitText"/>
              <w:jc w:val="center"/>
              <w:rPr>
                <w:sz w:val="18"/>
                <w:szCs w:val="18"/>
                <w:lang w:val="en-CA"/>
              </w:rPr>
            </w:pPr>
            <w:r w:rsidRPr="00335657">
              <w:rPr>
                <w:sz w:val="18"/>
                <w:szCs w:val="18"/>
                <w:lang w:val="en-CA"/>
              </w:rPr>
              <w:t>10–50 GB</w:t>
            </w:r>
          </w:p>
        </w:tc>
      </w:tr>
    </w:tbl>
    <w:p w14:paraId="1817C92B" w14:textId="77777777" w:rsidR="00AE04C0" w:rsidRPr="00335657" w:rsidRDefault="00AE04C0" w:rsidP="00AE04C0">
      <w:pPr>
        <w:pStyle w:val="ExhibitText"/>
        <w:rPr>
          <w:lang w:val="en-CA"/>
        </w:rPr>
      </w:pPr>
    </w:p>
    <w:p w14:paraId="39D042DB" w14:textId="645F2C0C" w:rsidR="0065734C" w:rsidRPr="00335657" w:rsidRDefault="0065734C" w:rsidP="00AE04C0">
      <w:pPr>
        <w:pStyle w:val="Footnote"/>
        <w:rPr>
          <w:lang w:val="en-CA"/>
        </w:rPr>
      </w:pPr>
      <w:r w:rsidRPr="00335657">
        <w:rPr>
          <w:lang w:val="en-CA"/>
        </w:rPr>
        <w:t xml:space="preserve">Note: </w:t>
      </w:r>
      <w:r w:rsidR="00036581" w:rsidRPr="00335657">
        <w:rPr>
          <w:lang w:val="en-CA"/>
        </w:rPr>
        <w:t xml:space="preserve">LLC = limited liability company; </w:t>
      </w:r>
      <w:r w:rsidRPr="00335657">
        <w:rPr>
          <w:lang w:val="en-CA"/>
        </w:rPr>
        <w:t xml:space="preserve">Mbps = </w:t>
      </w:r>
      <w:r w:rsidR="009D3142" w:rsidRPr="00335657">
        <w:rPr>
          <w:lang w:val="en-CA"/>
        </w:rPr>
        <w:t xml:space="preserve">megabits </w:t>
      </w:r>
      <w:r w:rsidRPr="00335657">
        <w:rPr>
          <w:lang w:val="en-CA"/>
        </w:rPr>
        <w:t>per second; TB = terabytes</w:t>
      </w:r>
      <w:r w:rsidR="00036581" w:rsidRPr="00335657">
        <w:rPr>
          <w:lang w:val="en-CA"/>
        </w:rPr>
        <w:t>; 5G = fifth</w:t>
      </w:r>
      <w:r w:rsidR="00F85AEB" w:rsidRPr="00335657">
        <w:rPr>
          <w:lang w:val="en-CA"/>
        </w:rPr>
        <w:t>-</w:t>
      </w:r>
      <w:r w:rsidR="00036581" w:rsidRPr="00335657">
        <w:rPr>
          <w:lang w:val="en-CA"/>
        </w:rPr>
        <w:t xml:space="preserve">generation </w:t>
      </w:r>
      <w:r w:rsidR="00214B32" w:rsidRPr="00335657">
        <w:rPr>
          <w:lang w:val="en-CA"/>
        </w:rPr>
        <w:t>mobile network</w:t>
      </w:r>
      <w:r w:rsidR="00036581" w:rsidRPr="00335657">
        <w:rPr>
          <w:lang w:val="en-CA"/>
        </w:rPr>
        <w:t>; Gbps = gigab</w:t>
      </w:r>
      <w:r w:rsidR="009D3142" w:rsidRPr="00335657">
        <w:rPr>
          <w:lang w:val="en-CA"/>
        </w:rPr>
        <w:t>it</w:t>
      </w:r>
      <w:r w:rsidR="00036581" w:rsidRPr="00335657">
        <w:rPr>
          <w:lang w:val="en-CA"/>
        </w:rPr>
        <w:t xml:space="preserve">s per second; GB </w:t>
      </w:r>
      <w:r w:rsidR="00D953A4" w:rsidRPr="00335657">
        <w:rPr>
          <w:lang w:val="en-CA"/>
        </w:rPr>
        <w:t>–</w:t>
      </w:r>
      <w:r w:rsidR="00036581" w:rsidRPr="00335657">
        <w:rPr>
          <w:lang w:val="en-CA"/>
        </w:rPr>
        <w:t xml:space="preserve"> gigabytes</w:t>
      </w:r>
      <w:r w:rsidR="00D953A4" w:rsidRPr="00335657">
        <w:rPr>
          <w:lang w:val="en-CA"/>
        </w:rPr>
        <w:t>.</w:t>
      </w:r>
    </w:p>
    <w:p w14:paraId="08555F13" w14:textId="3D23BA1E" w:rsidR="00AE04C0" w:rsidRPr="00335657" w:rsidRDefault="00AE04C0" w:rsidP="00AE04C0">
      <w:pPr>
        <w:pStyle w:val="Footnote"/>
        <w:rPr>
          <w:lang w:val="en-CA"/>
        </w:rPr>
      </w:pPr>
      <w:r w:rsidRPr="00335657">
        <w:rPr>
          <w:lang w:val="en-CA"/>
        </w:rPr>
        <w:t>Source:</w:t>
      </w:r>
      <w:r w:rsidR="002445F9" w:rsidRPr="00335657">
        <w:rPr>
          <w:lang w:val="en-CA"/>
        </w:rPr>
        <w:t xml:space="preserve"> </w:t>
      </w:r>
      <w:r w:rsidRPr="00335657">
        <w:rPr>
          <w:lang w:val="en-CA"/>
        </w:rPr>
        <w:t>Catherine McNally, “Best Internet Service Providers 2020,” Reviews, June 30, 2020, accessed August 17, 2020, www.reviews.org/</w:t>
      </w:r>
      <w:r w:rsidR="00474001" w:rsidRPr="00335657">
        <w:rPr>
          <w:lang w:val="en-CA"/>
        </w:rPr>
        <w:t>Internet</w:t>
      </w:r>
      <w:r w:rsidRPr="00335657">
        <w:rPr>
          <w:lang w:val="en-CA"/>
        </w:rPr>
        <w:t>-service/best-</w:t>
      </w:r>
      <w:r w:rsidR="00474001" w:rsidRPr="00335657">
        <w:rPr>
          <w:lang w:val="en-CA"/>
        </w:rPr>
        <w:t>Internet</w:t>
      </w:r>
      <w:r w:rsidRPr="00335657">
        <w:rPr>
          <w:lang w:val="en-CA"/>
        </w:rPr>
        <w:t>-service-providers; Dave Schafer, “How Much Does Satellite Internet Cost?</w:t>
      </w:r>
      <w:r w:rsidR="00087BB4" w:rsidRPr="00335657">
        <w:rPr>
          <w:lang w:val="en-CA"/>
        </w:rPr>
        <w:t>,</w:t>
      </w:r>
      <w:r w:rsidRPr="00335657">
        <w:rPr>
          <w:lang w:val="en-CA"/>
        </w:rPr>
        <w:t>” Satellite Internet, December 2, 2019, accessed August 17, 2020, www.satellite</w:t>
      </w:r>
      <w:r w:rsidR="00474001" w:rsidRPr="00335657">
        <w:rPr>
          <w:lang w:val="en-CA"/>
        </w:rPr>
        <w:t>Internet</w:t>
      </w:r>
      <w:r w:rsidRPr="00335657">
        <w:rPr>
          <w:lang w:val="en-CA"/>
        </w:rPr>
        <w:t>.com/resources/how-much-does-satellite-</w:t>
      </w:r>
      <w:r w:rsidR="00474001" w:rsidRPr="00335657">
        <w:rPr>
          <w:lang w:val="en-CA"/>
        </w:rPr>
        <w:t>Internet</w:t>
      </w:r>
      <w:r w:rsidRPr="00335657">
        <w:rPr>
          <w:lang w:val="en-CA"/>
        </w:rPr>
        <w:t xml:space="preserve">-cost; “Metro: Phone Plans,” Metro </w:t>
      </w:r>
      <w:r w:rsidR="00087BB4" w:rsidRPr="00335657">
        <w:rPr>
          <w:lang w:val="en-CA"/>
        </w:rPr>
        <w:t>b</w:t>
      </w:r>
      <w:r w:rsidRPr="00335657">
        <w:rPr>
          <w:lang w:val="en-CA"/>
        </w:rPr>
        <w:t>y T-Mobile, accessed August 17, 2020, www.metrobyt-mobile.com/shop/plans; Philip Michaels, “T-Mobile 5G Rollout: Locations, Phones, Price and More,” Tom</w:t>
      </w:r>
      <w:r w:rsidR="00D8090A" w:rsidRPr="00335657">
        <w:rPr>
          <w:lang w:val="en-CA"/>
        </w:rPr>
        <w:t>’</w:t>
      </w:r>
      <w:r w:rsidRPr="00335657">
        <w:rPr>
          <w:lang w:val="en-CA"/>
        </w:rPr>
        <w:t>s Guide, May 6, 2020, accessed August 17, 2020, www.tomsguide.com/uk/us/t-mobile-5g-network,news-29965.html</w:t>
      </w:r>
      <w:r w:rsidR="00087BB4" w:rsidRPr="00335657">
        <w:rPr>
          <w:lang w:val="en-CA"/>
        </w:rPr>
        <w:t>.</w:t>
      </w:r>
    </w:p>
    <w:p w14:paraId="4E2D0D94" w14:textId="6CCAF4EC" w:rsidR="00AE04C0" w:rsidRPr="00335657" w:rsidRDefault="00AE04C0" w:rsidP="00AE04C0">
      <w:pPr>
        <w:pStyle w:val="ExhibitText"/>
        <w:rPr>
          <w:lang w:val="en-CA"/>
        </w:rPr>
      </w:pPr>
    </w:p>
    <w:p w14:paraId="4122FD5E" w14:textId="77777777" w:rsidR="00AE04C0" w:rsidRPr="00335657" w:rsidRDefault="00AE04C0" w:rsidP="00AE04C0">
      <w:pPr>
        <w:pStyle w:val="ExhibitText"/>
        <w:rPr>
          <w:lang w:val="en-CA"/>
        </w:rPr>
      </w:pPr>
    </w:p>
    <w:p w14:paraId="316ED104" w14:textId="2FFF79A0" w:rsidR="00AE04C0" w:rsidRPr="00335657" w:rsidRDefault="00AE04C0" w:rsidP="00036044">
      <w:pPr>
        <w:pStyle w:val="ExhibitHeading"/>
        <w:rPr>
          <w:lang w:val="en-CA"/>
        </w:rPr>
      </w:pPr>
      <w:r w:rsidRPr="00335657">
        <w:rPr>
          <w:lang w:val="en-CA"/>
        </w:rPr>
        <w:t>EXHIBIT 3: EFFICIENCY OF LEO SATELLITE CONSTELLATION SYSTEMS</w:t>
      </w:r>
      <w:r w:rsidR="00087BB4" w:rsidRPr="00335657">
        <w:rPr>
          <w:lang w:val="en-CA"/>
        </w:rPr>
        <w:t xml:space="preserve">, by </w:t>
      </w:r>
      <w:r w:rsidRPr="00335657">
        <w:rPr>
          <w:lang w:val="en-CA"/>
        </w:rPr>
        <w:t>COMPANY</w:t>
      </w:r>
    </w:p>
    <w:p w14:paraId="28244FB2" w14:textId="77777777" w:rsidR="00AE04C0" w:rsidRPr="00335657" w:rsidRDefault="00AE04C0" w:rsidP="00AE04C0">
      <w:pPr>
        <w:pStyle w:val="ExhibitText"/>
        <w:rPr>
          <w:lang w:val="en-CA"/>
        </w:rPr>
      </w:pPr>
    </w:p>
    <w:tbl>
      <w:tblPr>
        <w:tblW w:w="9360" w:type="dxa"/>
        <w:jc w:val="center"/>
        <w:tblBorders>
          <w:top w:val="single" w:sz="4" w:space="0" w:color="auto"/>
          <w:bottom w:val="single" w:sz="4" w:space="0" w:color="auto"/>
        </w:tblBorders>
        <w:tblLayout w:type="fixed"/>
        <w:tblCellMar>
          <w:top w:w="58" w:type="dxa"/>
          <w:bottom w:w="58" w:type="dxa"/>
        </w:tblCellMar>
        <w:tblLook w:val="04A0" w:firstRow="1" w:lastRow="0" w:firstColumn="1" w:lastColumn="0" w:noHBand="0" w:noVBand="1"/>
      </w:tblPr>
      <w:tblGrid>
        <w:gridCol w:w="5035"/>
        <w:gridCol w:w="1441"/>
        <w:gridCol w:w="1442"/>
        <w:gridCol w:w="1442"/>
      </w:tblGrid>
      <w:tr w:rsidR="00AE04C0" w:rsidRPr="00335657" w14:paraId="2D9DCD4F" w14:textId="77777777" w:rsidTr="00087BB4">
        <w:trPr>
          <w:trHeight w:val="288"/>
          <w:jc w:val="center"/>
        </w:trPr>
        <w:tc>
          <w:tcPr>
            <w:tcW w:w="5035" w:type="dxa"/>
            <w:tcBorders>
              <w:top w:val="single" w:sz="4" w:space="0" w:color="auto"/>
              <w:bottom w:val="single" w:sz="4" w:space="0" w:color="auto"/>
            </w:tcBorders>
            <w:shd w:val="clear" w:color="auto" w:fill="auto"/>
            <w:noWrap/>
            <w:vAlign w:val="center"/>
            <w:hideMark/>
          </w:tcPr>
          <w:p w14:paraId="03554FA9" w14:textId="77777777" w:rsidR="00AE04C0" w:rsidRPr="00335657" w:rsidRDefault="00AE04C0" w:rsidP="00087BB4">
            <w:pPr>
              <w:pStyle w:val="ExhibitText"/>
              <w:jc w:val="left"/>
              <w:rPr>
                <w:lang w:val="en-CA" w:eastAsia="en-GB"/>
              </w:rPr>
            </w:pPr>
          </w:p>
        </w:tc>
        <w:tc>
          <w:tcPr>
            <w:tcW w:w="1441" w:type="dxa"/>
            <w:tcBorders>
              <w:top w:val="single" w:sz="4" w:space="0" w:color="auto"/>
              <w:bottom w:val="single" w:sz="4" w:space="0" w:color="auto"/>
            </w:tcBorders>
            <w:shd w:val="clear" w:color="auto" w:fill="auto"/>
            <w:noWrap/>
            <w:vAlign w:val="center"/>
            <w:hideMark/>
          </w:tcPr>
          <w:p w14:paraId="7ADDCBA0" w14:textId="1397AF64" w:rsidR="00AE04C0" w:rsidRPr="00335657" w:rsidRDefault="00AE04C0" w:rsidP="00087BB4">
            <w:pPr>
              <w:pStyle w:val="ExhibitText"/>
              <w:jc w:val="center"/>
              <w:rPr>
                <w:b/>
                <w:bCs/>
                <w:lang w:val="en-CA" w:eastAsia="en-GB"/>
              </w:rPr>
            </w:pPr>
            <w:r w:rsidRPr="00335657">
              <w:rPr>
                <w:b/>
                <w:bCs/>
                <w:lang w:val="en-CA" w:eastAsia="en-GB"/>
              </w:rPr>
              <w:t>Telesat</w:t>
            </w:r>
          </w:p>
        </w:tc>
        <w:tc>
          <w:tcPr>
            <w:tcW w:w="1442" w:type="dxa"/>
            <w:tcBorders>
              <w:top w:val="single" w:sz="4" w:space="0" w:color="auto"/>
              <w:bottom w:val="single" w:sz="4" w:space="0" w:color="auto"/>
            </w:tcBorders>
            <w:shd w:val="clear" w:color="auto" w:fill="auto"/>
            <w:noWrap/>
            <w:vAlign w:val="center"/>
            <w:hideMark/>
          </w:tcPr>
          <w:p w14:paraId="29D9B30A" w14:textId="77777777" w:rsidR="00AE04C0" w:rsidRPr="00335657" w:rsidRDefault="00AE04C0" w:rsidP="00087BB4">
            <w:pPr>
              <w:pStyle w:val="ExhibitText"/>
              <w:jc w:val="center"/>
              <w:rPr>
                <w:b/>
                <w:bCs/>
                <w:lang w:val="en-CA" w:eastAsia="en-GB"/>
              </w:rPr>
            </w:pPr>
            <w:r w:rsidRPr="00335657">
              <w:rPr>
                <w:b/>
                <w:bCs/>
                <w:lang w:val="en-CA" w:eastAsia="en-GB"/>
              </w:rPr>
              <w:t>OneWeb</w:t>
            </w:r>
          </w:p>
        </w:tc>
        <w:tc>
          <w:tcPr>
            <w:tcW w:w="1442" w:type="dxa"/>
            <w:tcBorders>
              <w:top w:val="single" w:sz="4" w:space="0" w:color="auto"/>
              <w:bottom w:val="single" w:sz="4" w:space="0" w:color="auto"/>
            </w:tcBorders>
            <w:shd w:val="clear" w:color="auto" w:fill="auto"/>
            <w:noWrap/>
            <w:vAlign w:val="center"/>
            <w:hideMark/>
          </w:tcPr>
          <w:p w14:paraId="1FB63F0E" w14:textId="77777777" w:rsidR="00AE04C0" w:rsidRPr="00335657" w:rsidRDefault="00AE04C0" w:rsidP="00087BB4">
            <w:pPr>
              <w:pStyle w:val="ExhibitText"/>
              <w:jc w:val="center"/>
              <w:rPr>
                <w:b/>
                <w:bCs/>
                <w:lang w:val="en-CA" w:eastAsia="en-GB"/>
              </w:rPr>
            </w:pPr>
            <w:r w:rsidRPr="00335657">
              <w:rPr>
                <w:b/>
                <w:bCs/>
                <w:lang w:val="en-CA" w:eastAsia="en-GB"/>
              </w:rPr>
              <w:t>SpaceX</w:t>
            </w:r>
          </w:p>
        </w:tc>
      </w:tr>
      <w:tr w:rsidR="00AE04C0" w:rsidRPr="00335657" w14:paraId="0FBAFF2D" w14:textId="77777777" w:rsidTr="00087BB4">
        <w:trPr>
          <w:trHeight w:val="288"/>
          <w:jc w:val="center"/>
        </w:trPr>
        <w:tc>
          <w:tcPr>
            <w:tcW w:w="5035" w:type="dxa"/>
            <w:tcBorders>
              <w:top w:val="single" w:sz="4" w:space="0" w:color="auto"/>
            </w:tcBorders>
            <w:shd w:val="clear" w:color="auto" w:fill="auto"/>
            <w:noWrap/>
            <w:vAlign w:val="center"/>
            <w:hideMark/>
          </w:tcPr>
          <w:p w14:paraId="19DA25A5" w14:textId="77777777" w:rsidR="00AE04C0" w:rsidRPr="00335657" w:rsidRDefault="00AE04C0" w:rsidP="00087BB4">
            <w:pPr>
              <w:pStyle w:val="ExhibitText"/>
              <w:jc w:val="left"/>
              <w:rPr>
                <w:lang w:val="en-CA" w:eastAsia="en-GB"/>
              </w:rPr>
            </w:pPr>
            <w:r w:rsidRPr="00335657">
              <w:rPr>
                <w:lang w:val="en-CA" w:eastAsia="en-GB"/>
              </w:rPr>
              <w:t>Required number of gateways per ground station</w:t>
            </w:r>
          </w:p>
        </w:tc>
        <w:tc>
          <w:tcPr>
            <w:tcW w:w="1441" w:type="dxa"/>
            <w:tcBorders>
              <w:top w:val="single" w:sz="4" w:space="0" w:color="auto"/>
            </w:tcBorders>
            <w:shd w:val="clear" w:color="auto" w:fill="auto"/>
            <w:noWrap/>
            <w:vAlign w:val="center"/>
            <w:hideMark/>
          </w:tcPr>
          <w:p w14:paraId="60E2EB87" w14:textId="7F9C6936" w:rsidR="00AE04C0" w:rsidRPr="00335657" w:rsidRDefault="00AE04C0" w:rsidP="00087BB4">
            <w:pPr>
              <w:pStyle w:val="ExhibitText"/>
              <w:jc w:val="center"/>
              <w:rPr>
                <w:lang w:val="en-CA" w:eastAsia="en-GB"/>
              </w:rPr>
            </w:pPr>
            <w:r w:rsidRPr="00335657">
              <w:rPr>
                <w:lang w:val="en-CA" w:eastAsia="en-GB"/>
              </w:rPr>
              <w:t>5</w:t>
            </w:r>
            <w:r w:rsidR="008A26F6" w:rsidRPr="00335657">
              <w:rPr>
                <w:lang w:val="en-CA" w:eastAsia="en-GB"/>
              </w:rPr>
              <w:t>–</w:t>
            </w:r>
            <w:r w:rsidRPr="00335657">
              <w:rPr>
                <w:lang w:val="en-CA" w:eastAsia="en-GB"/>
              </w:rPr>
              <w:t>6</w:t>
            </w:r>
          </w:p>
        </w:tc>
        <w:tc>
          <w:tcPr>
            <w:tcW w:w="1442" w:type="dxa"/>
            <w:tcBorders>
              <w:top w:val="single" w:sz="4" w:space="0" w:color="auto"/>
            </w:tcBorders>
            <w:shd w:val="clear" w:color="auto" w:fill="auto"/>
            <w:noWrap/>
            <w:vAlign w:val="center"/>
            <w:hideMark/>
          </w:tcPr>
          <w:p w14:paraId="7C7289E8" w14:textId="77777777" w:rsidR="00AE04C0" w:rsidRPr="00335657" w:rsidRDefault="00AE04C0" w:rsidP="005A7CF2">
            <w:pPr>
              <w:pStyle w:val="ExhibitText"/>
              <w:tabs>
                <w:tab w:val="decimal" w:pos="616"/>
              </w:tabs>
              <w:rPr>
                <w:lang w:val="en-CA" w:eastAsia="en-GB"/>
              </w:rPr>
            </w:pPr>
            <w:r w:rsidRPr="00335657">
              <w:rPr>
                <w:lang w:val="en-CA" w:eastAsia="en-GB"/>
              </w:rPr>
              <w:t>11</w:t>
            </w:r>
          </w:p>
        </w:tc>
        <w:tc>
          <w:tcPr>
            <w:tcW w:w="1442" w:type="dxa"/>
            <w:tcBorders>
              <w:top w:val="single" w:sz="4" w:space="0" w:color="auto"/>
            </w:tcBorders>
            <w:shd w:val="clear" w:color="auto" w:fill="auto"/>
            <w:noWrap/>
            <w:vAlign w:val="center"/>
            <w:hideMark/>
          </w:tcPr>
          <w:p w14:paraId="512190C0" w14:textId="77777777" w:rsidR="00AE04C0" w:rsidRPr="00335657" w:rsidRDefault="00AE04C0" w:rsidP="005A7CF2">
            <w:pPr>
              <w:pStyle w:val="ExhibitText"/>
              <w:tabs>
                <w:tab w:val="decimal" w:pos="706"/>
              </w:tabs>
              <w:rPr>
                <w:lang w:val="en-CA" w:eastAsia="en-GB"/>
              </w:rPr>
            </w:pPr>
            <w:r w:rsidRPr="00335657">
              <w:rPr>
                <w:lang w:val="en-CA" w:eastAsia="en-GB"/>
              </w:rPr>
              <w:t>30</w:t>
            </w:r>
          </w:p>
        </w:tc>
      </w:tr>
      <w:tr w:rsidR="00AE04C0" w:rsidRPr="00335657" w14:paraId="381712CD" w14:textId="77777777" w:rsidTr="00087BB4">
        <w:trPr>
          <w:trHeight w:val="288"/>
          <w:jc w:val="center"/>
        </w:trPr>
        <w:tc>
          <w:tcPr>
            <w:tcW w:w="5035" w:type="dxa"/>
            <w:shd w:val="clear" w:color="auto" w:fill="auto"/>
            <w:noWrap/>
            <w:vAlign w:val="center"/>
            <w:hideMark/>
          </w:tcPr>
          <w:p w14:paraId="13DC2AA1" w14:textId="0B1CAA56" w:rsidR="00AE04C0" w:rsidRPr="00335657" w:rsidRDefault="00AE04C0" w:rsidP="00087BB4">
            <w:pPr>
              <w:pStyle w:val="ExhibitText"/>
              <w:jc w:val="left"/>
              <w:rPr>
                <w:lang w:val="en-CA" w:eastAsia="en-GB"/>
              </w:rPr>
            </w:pPr>
            <w:r w:rsidRPr="00335657">
              <w:rPr>
                <w:lang w:val="en-CA" w:eastAsia="en-GB"/>
              </w:rPr>
              <w:t>Average data</w:t>
            </w:r>
            <w:r w:rsidR="008A26F6" w:rsidRPr="00335657">
              <w:rPr>
                <w:lang w:val="en-CA" w:eastAsia="en-GB"/>
              </w:rPr>
              <w:t xml:space="preserve"> </w:t>
            </w:r>
            <w:r w:rsidRPr="00335657">
              <w:rPr>
                <w:lang w:val="en-CA" w:eastAsia="en-GB"/>
              </w:rPr>
              <w:t>rate per satellite (Gbps)</w:t>
            </w:r>
          </w:p>
        </w:tc>
        <w:tc>
          <w:tcPr>
            <w:tcW w:w="1441" w:type="dxa"/>
            <w:shd w:val="clear" w:color="auto" w:fill="auto"/>
            <w:noWrap/>
            <w:vAlign w:val="center"/>
            <w:hideMark/>
          </w:tcPr>
          <w:p w14:paraId="005C2EB2" w14:textId="77777777" w:rsidR="00AE04C0" w:rsidRPr="00335657" w:rsidRDefault="00AE04C0" w:rsidP="005A7CF2">
            <w:pPr>
              <w:pStyle w:val="ExhibitText"/>
              <w:tabs>
                <w:tab w:val="decimal" w:pos="616"/>
              </w:tabs>
              <w:rPr>
                <w:lang w:val="en-CA" w:eastAsia="en-GB"/>
              </w:rPr>
            </w:pPr>
            <w:r w:rsidRPr="00335657">
              <w:rPr>
                <w:lang w:val="en-CA" w:eastAsia="en-GB"/>
              </w:rPr>
              <w:t>22.74</w:t>
            </w:r>
          </w:p>
        </w:tc>
        <w:tc>
          <w:tcPr>
            <w:tcW w:w="1442" w:type="dxa"/>
            <w:shd w:val="clear" w:color="auto" w:fill="auto"/>
            <w:noWrap/>
            <w:vAlign w:val="center"/>
            <w:hideMark/>
          </w:tcPr>
          <w:p w14:paraId="6B780BB9" w14:textId="77777777" w:rsidR="00AE04C0" w:rsidRPr="00335657" w:rsidRDefault="00AE04C0" w:rsidP="005A7CF2">
            <w:pPr>
              <w:pStyle w:val="ExhibitText"/>
              <w:tabs>
                <w:tab w:val="decimal" w:pos="616"/>
              </w:tabs>
              <w:rPr>
                <w:lang w:val="en-CA" w:eastAsia="en-GB"/>
              </w:rPr>
            </w:pPr>
            <w:r w:rsidRPr="00335657">
              <w:rPr>
                <w:lang w:val="en-CA" w:eastAsia="en-GB"/>
              </w:rPr>
              <w:t>2.17</w:t>
            </w:r>
          </w:p>
        </w:tc>
        <w:tc>
          <w:tcPr>
            <w:tcW w:w="1442" w:type="dxa"/>
            <w:shd w:val="clear" w:color="auto" w:fill="auto"/>
            <w:noWrap/>
            <w:vAlign w:val="center"/>
            <w:hideMark/>
          </w:tcPr>
          <w:p w14:paraId="7766A6BA" w14:textId="77777777" w:rsidR="00AE04C0" w:rsidRPr="00335657" w:rsidRDefault="00AE04C0" w:rsidP="005A7CF2">
            <w:pPr>
              <w:pStyle w:val="ExhibitText"/>
              <w:tabs>
                <w:tab w:val="decimal" w:pos="706"/>
              </w:tabs>
              <w:rPr>
                <w:lang w:val="en-CA" w:eastAsia="en-GB"/>
              </w:rPr>
            </w:pPr>
            <w:r w:rsidRPr="00335657">
              <w:rPr>
                <w:lang w:val="en-CA" w:eastAsia="en-GB"/>
              </w:rPr>
              <w:t>5.36</w:t>
            </w:r>
          </w:p>
        </w:tc>
      </w:tr>
      <w:tr w:rsidR="00AE04C0" w:rsidRPr="00335657" w14:paraId="69D85E3A" w14:textId="77777777" w:rsidTr="00087BB4">
        <w:trPr>
          <w:trHeight w:val="288"/>
          <w:jc w:val="center"/>
        </w:trPr>
        <w:tc>
          <w:tcPr>
            <w:tcW w:w="5035" w:type="dxa"/>
            <w:shd w:val="clear" w:color="auto" w:fill="auto"/>
            <w:noWrap/>
            <w:vAlign w:val="center"/>
            <w:hideMark/>
          </w:tcPr>
          <w:p w14:paraId="6839053B" w14:textId="76937558" w:rsidR="00AE04C0" w:rsidRPr="00335657" w:rsidRDefault="00AE04C0" w:rsidP="00087BB4">
            <w:pPr>
              <w:pStyle w:val="ExhibitText"/>
              <w:jc w:val="left"/>
              <w:rPr>
                <w:lang w:val="en-CA" w:eastAsia="en-GB"/>
              </w:rPr>
            </w:pPr>
            <w:r w:rsidRPr="00335657">
              <w:rPr>
                <w:lang w:val="en-CA" w:eastAsia="en-GB"/>
              </w:rPr>
              <w:t>Maximum data</w:t>
            </w:r>
            <w:r w:rsidR="008A26F6" w:rsidRPr="00335657">
              <w:rPr>
                <w:lang w:val="en-CA" w:eastAsia="en-GB"/>
              </w:rPr>
              <w:t xml:space="preserve"> </w:t>
            </w:r>
            <w:r w:rsidRPr="00335657">
              <w:rPr>
                <w:lang w:val="en-CA" w:eastAsia="en-GB"/>
              </w:rPr>
              <w:t>rate per satellite (Gbps)</w:t>
            </w:r>
          </w:p>
        </w:tc>
        <w:tc>
          <w:tcPr>
            <w:tcW w:w="1441" w:type="dxa"/>
            <w:shd w:val="clear" w:color="auto" w:fill="auto"/>
            <w:noWrap/>
            <w:vAlign w:val="center"/>
            <w:hideMark/>
          </w:tcPr>
          <w:p w14:paraId="6E8AA290" w14:textId="77777777" w:rsidR="00AE04C0" w:rsidRPr="00335657" w:rsidRDefault="00AE04C0" w:rsidP="005A7CF2">
            <w:pPr>
              <w:pStyle w:val="ExhibitText"/>
              <w:tabs>
                <w:tab w:val="decimal" w:pos="616"/>
              </w:tabs>
              <w:rPr>
                <w:lang w:val="en-CA" w:eastAsia="en-GB"/>
              </w:rPr>
            </w:pPr>
            <w:r w:rsidRPr="00335657">
              <w:rPr>
                <w:lang w:val="en-CA" w:eastAsia="en-GB"/>
              </w:rPr>
              <w:t>38.68</w:t>
            </w:r>
          </w:p>
        </w:tc>
        <w:tc>
          <w:tcPr>
            <w:tcW w:w="1442" w:type="dxa"/>
            <w:shd w:val="clear" w:color="auto" w:fill="auto"/>
            <w:noWrap/>
            <w:vAlign w:val="center"/>
            <w:hideMark/>
          </w:tcPr>
          <w:p w14:paraId="578B715C" w14:textId="77777777" w:rsidR="00AE04C0" w:rsidRPr="00335657" w:rsidRDefault="00AE04C0" w:rsidP="005A7CF2">
            <w:pPr>
              <w:pStyle w:val="ExhibitText"/>
              <w:tabs>
                <w:tab w:val="decimal" w:pos="616"/>
              </w:tabs>
              <w:rPr>
                <w:lang w:val="en-CA" w:eastAsia="en-GB"/>
              </w:rPr>
            </w:pPr>
            <w:r w:rsidRPr="00335657">
              <w:rPr>
                <w:lang w:val="en-CA" w:eastAsia="en-GB"/>
              </w:rPr>
              <w:t>9.97</w:t>
            </w:r>
          </w:p>
        </w:tc>
        <w:tc>
          <w:tcPr>
            <w:tcW w:w="1442" w:type="dxa"/>
            <w:shd w:val="clear" w:color="auto" w:fill="auto"/>
            <w:noWrap/>
            <w:vAlign w:val="center"/>
            <w:hideMark/>
          </w:tcPr>
          <w:p w14:paraId="1B88CACA" w14:textId="77777777" w:rsidR="00AE04C0" w:rsidRPr="00335657" w:rsidRDefault="00AE04C0" w:rsidP="005A7CF2">
            <w:pPr>
              <w:pStyle w:val="ExhibitText"/>
              <w:tabs>
                <w:tab w:val="decimal" w:pos="706"/>
              </w:tabs>
              <w:rPr>
                <w:lang w:val="en-CA" w:eastAsia="en-GB"/>
              </w:rPr>
            </w:pPr>
            <w:r w:rsidRPr="00335657">
              <w:rPr>
                <w:lang w:val="en-CA" w:eastAsia="en-GB"/>
              </w:rPr>
              <w:t>21.36</w:t>
            </w:r>
          </w:p>
        </w:tc>
      </w:tr>
      <w:tr w:rsidR="00AE04C0" w:rsidRPr="00335657" w14:paraId="14E36578" w14:textId="77777777" w:rsidTr="00087BB4">
        <w:trPr>
          <w:trHeight w:val="288"/>
          <w:jc w:val="center"/>
        </w:trPr>
        <w:tc>
          <w:tcPr>
            <w:tcW w:w="5035" w:type="dxa"/>
            <w:shd w:val="clear" w:color="auto" w:fill="auto"/>
            <w:noWrap/>
            <w:vAlign w:val="center"/>
            <w:hideMark/>
          </w:tcPr>
          <w:p w14:paraId="2CA3D5C7" w14:textId="77988143" w:rsidR="00AE04C0" w:rsidRPr="00335657" w:rsidRDefault="00AE04C0" w:rsidP="00087BB4">
            <w:pPr>
              <w:pStyle w:val="ExhibitText"/>
              <w:jc w:val="left"/>
              <w:rPr>
                <w:lang w:val="en-CA" w:eastAsia="en-GB"/>
              </w:rPr>
            </w:pPr>
            <w:r w:rsidRPr="00335657">
              <w:rPr>
                <w:lang w:val="en-CA" w:eastAsia="en-GB"/>
              </w:rPr>
              <w:t>Satellite efficiency (%)</w:t>
            </w:r>
            <w:r w:rsidR="00AC449D" w:rsidRPr="00335657">
              <w:rPr>
                <w:lang w:val="en-CA" w:eastAsia="en-GB"/>
              </w:rPr>
              <w:t xml:space="preserve"> (</w:t>
            </w:r>
            <w:r w:rsidR="00AC449D" w:rsidRPr="00335657">
              <w:rPr>
                <w:lang w:val="en-CA"/>
              </w:rPr>
              <w:t>average Gbps/satellite)</w:t>
            </w:r>
          </w:p>
        </w:tc>
        <w:tc>
          <w:tcPr>
            <w:tcW w:w="1441" w:type="dxa"/>
            <w:shd w:val="clear" w:color="auto" w:fill="auto"/>
            <w:noWrap/>
            <w:vAlign w:val="center"/>
            <w:hideMark/>
          </w:tcPr>
          <w:p w14:paraId="244CECB1" w14:textId="77777777" w:rsidR="00AE04C0" w:rsidRPr="00335657" w:rsidRDefault="00AE04C0" w:rsidP="005A7CF2">
            <w:pPr>
              <w:pStyle w:val="ExhibitText"/>
              <w:tabs>
                <w:tab w:val="decimal" w:pos="616"/>
              </w:tabs>
              <w:rPr>
                <w:lang w:val="en-CA" w:eastAsia="en-GB"/>
              </w:rPr>
            </w:pPr>
            <w:r w:rsidRPr="00335657">
              <w:rPr>
                <w:lang w:val="en-CA" w:eastAsia="en-GB"/>
              </w:rPr>
              <w:t>58.8</w:t>
            </w:r>
          </w:p>
        </w:tc>
        <w:tc>
          <w:tcPr>
            <w:tcW w:w="1442" w:type="dxa"/>
            <w:shd w:val="clear" w:color="auto" w:fill="auto"/>
            <w:noWrap/>
            <w:vAlign w:val="center"/>
            <w:hideMark/>
          </w:tcPr>
          <w:p w14:paraId="3620FB06" w14:textId="77777777" w:rsidR="00AE04C0" w:rsidRPr="00335657" w:rsidRDefault="00AE04C0" w:rsidP="005A7CF2">
            <w:pPr>
              <w:pStyle w:val="ExhibitText"/>
              <w:tabs>
                <w:tab w:val="decimal" w:pos="616"/>
              </w:tabs>
              <w:rPr>
                <w:lang w:val="en-CA" w:eastAsia="en-GB"/>
              </w:rPr>
            </w:pPr>
            <w:r w:rsidRPr="00335657">
              <w:rPr>
                <w:lang w:val="en-CA" w:eastAsia="en-GB"/>
              </w:rPr>
              <w:t>21.7</w:t>
            </w:r>
          </w:p>
        </w:tc>
        <w:tc>
          <w:tcPr>
            <w:tcW w:w="1442" w:type="dxa"/>
            <w:shd w:val="clear" w:color="auto" w:fill="auto"/>
            <w:noWrap/>
            <w:vAlign w:val="center"/>
            <w:hideMark/>
          </w:tcPr>
          <w:p w14:paraId="2A4ADBEA" w14:textId="77777777" w:rsidR="00AE04C0" w:rsidRPr="00335657" w:rsidRDefault="00AE04C0" w:rsidP="005A7CF2">
            <w:pPr>
              <w:pStyle w:val="ExhibitText"/>
              <w:tabs>
                <w:tab w:val="decimal" w:pos="706"/>
              </w:tabs>
              <w:rPr>
                <w:lang w:val="en-CA" w:eastAsia="en-GB"/>
              </w:rPr>
            </w:pPr>
            <w:r w:rsidRPr="00335657">
              <w:rPr>
                <w:lang w:val="en-CA" w:eastAsia="en-GB"/>
              </w:rPr>
              <w:t>25.1</w:t>
            </w:r>
          </w:p>
        </w:tc>
      </w:tr>
    </w:tbl>
    <w:p w14:paraId="75A94FB9" w14:textId="77777777" w:rsidR="00AE04C0" w:rsidRPr="00335657" w:rsidRDefault="00AE04C0" w:rsidP="00AE04C0">
      <w:pPr>
        <w:pStyle w:val="ExhibitText"/>
        <w:rPr>
          <w:lang w:val="en-CA"/>
        </w:rPr>
      </w:pPr>
    </w:p>
    <w:p w14:paraId="57DC62D8" w14:textId="22347691" w:rsidR="00A641C6" w:rsidRPr="00335657" w:rsidRDefault="00A641C6" w:rsidP="00AE04C0">
      <w:pPr>
        <w:pStyle w:val="Footnote"/>
        <w:rPr>
          <w:lang w:val="en-CA"/>
        </w:rPr>
      </w:pPr>
      <w:r w:rsidRPr="00335657">
        <w:rPr>
          <w:lang w:val="en-CA"/>
        </w:rPr>
        <w:t>Note: Gbps = gigab</w:t>
      </w:r>
      <w:r w:rsidR="009D3142" w:rsidRPr="00335657">
        <w:rPr>
          <w:lang w:val="en-CA"/>
        </w:rPr>
        <w:t>it</w:t>
      </w:r>
      <w:r w:rsidRPr="00335657">
        <w:rPr>
          <w:lang w:val="en-CA"/>
        </w:rPr>
        <w:t>s per second</w:t>
      </w:r>
      <w:r w:rsidR="00D953A4" w:rsidRPr="00335657">
        <w:rPr>
          <w:lang w:val="en-CA"/>
        </w:rPr>
        <w:t>.</w:t>
      </w:r>
    </w:p>
    <w:p w14:paraId="72B86EAE" w14:textId="1EA7EF29" w:rsidR="00AE04C0" w:rsidRPr="00335657" w:rsidRDefault="00AE04C0" w:rsidP="00AE04C0">
      <w:pPr>
        <w:pStyle w:val="Footnote"/>
        <w:rPr>
          <w:lang w:val="en-CA"/>
        </w:rPr>
      </w:pPr>
      <w:r w:rsidRPr="00335657">
        <w:rPr>
          <w:lang w:val="en-CA"/>
        </w:rPr>
        <w:t xml:space="preserve">Source: Inigo del Portillo, Bruce G. Cameron, and Edward F. Crawley, “A Technical Comparison of Three Low Earth Orbit Satellite Constellation Systems to Provide Global Broadband,” </w:t>
      </w:r>
      <w:r w:rsidR="008A26F6" w:rsidRPr="00335657">
        <w:rPr>
          <w:lang w:val="en-CA"/>
        </w:rPr>
        <w:t xml:space="preserve">(presentation to 69th International Astronautical Congress 2018, Bremen, Germany, </w:t>
      </w:r>
      <w:r w:rsidRPr="00335657">
        <w:rPr>
          <w:lang w:val="en-CA"/>
        </w:rPr>
        <w:t>October 1, 2018</w:t>
      </w:r>
      <w:r w:rsidR="008A26F6" w:rsidRPr="00335657">
        <w:rPr>
          <w:lang w:val="en-CA"/>
        </w:rPr>
        <w:t>)</w:t>
      </w:r>
      <w:r w:rsidRPr="00335657">
        <w:rPr>
          <w:lang w:val="en-CA"/>
        </w:rPr>
        <w:t>, accessed August 17, 2020, www.mit.edu/~portillo/files/Comparison-LEO-IAC-2018-slides.pdf.</w:t>
      </w:r>
    </w:p>
    <w:p w14:paraId="287AEAFE" w14:textId="3DB8E581" w:rsidR="008A26F6" w:rsidRPr="00335657" w:rsidRDefault="008A26F6">
      <w:pPr>
        <w:spacing w:after="200" w:line="276" w:lineRule="auto"/>
        <w:rPr>
          <w:spacing w:val="1"/>
          <w:lang w:val="en-CA"/>
        </w:rPr>
      </w:pPr>
      <w:r w:rsidRPr="00335657">
        <w:rPr>
          <w:spacing w:val="1"/>
          <w:lang w:val="en-CA"/>
        </w:rPr>
        <w:br w:type="page"/>
      </w:r>
    </w:p>
    <w:p w14:paraId="30ACC251" w14:textId="52BFF90C" w:rsidR="00AE04C0" w:rsidRPr="00335657" w:rsidRDefault="00AE04C0" w:rsidP="00036044">
      <w:pPr>
        <w:pStyle w:val="ExhibitHeading"/>
        <w:rPr>
          <w:lang w:val="en-CA"/>
        </w:rPr>
      </w:pPr>
      <w:r w:rsidRPr="00335657">
        <w:rPr>
          <w:lang w:val="en-CA"/>
        </w:rPr>
        <w:lastRenderedPageBreak/>
        <w:t xml:space="preserve">EXHIBIT 4: </w:t>
      </w:r>
      <w:r w:rsidR="008A26F6" w:rsidRPr="00335657">
        <w:rPr>
          <w:lang w:val="en-CA"/>
        </w:rPr>
        <w:t>United States—</w:t>
      </w:r>
      <w:r w:rsidRPr="00335657">
        <w:rPr>
          <w:lang w:val="en-CA"/>
        </w:rPr>
        <w:t>KEY DEMOGRPAHICS</w:t>
      </w:r>
      <w:r w:rsidR="00A641C6" w:rsidRPr="00335657">
        <w:rPr>
          <w:lang w:val="en-CA"/>
        </w:rPr>
        <w:t>, 2017–2019</w:t>
      </w:r>
    </w:p>
    <w:p w14:paraId="6EA76E45" w14:textId="77777777" w:rsidR="00AE04C0" w:rsidRPr="00335657" w:rsidRDefault="00AE04C0" w:rsidP="00117BB5">
      <w:pPr>
        <w:pStyle w:val="ExhibitText"/>
        <w:rPr>
          <w:lang w:val="en-CA"/>
        </w:rPr>
      </w:pPr>
    </w:p>
    <w:tbl>
      <w:tblPr>
        <w:tblW w:w="9490" w:type="dxa"/>
        <w:tblBorders>
          <w:top w:val="single" w:sz="4" w:space="0" w:color="auto"/>
          <w:bottom w:val="single" w:sz="4" w:space="0" w:color="auto"/>
        </w:tblBorders>
        <w:tblLayout w:type="fixed"/>
        <w:tblLook w:val="04A0" w:firstRow="1" w:lastRow="0" w:firstColumn="1" w:lastColumn="0" w:noHBand="0" w:noVBand="1"/>
      </w:tblPr>
      <w:tblGrid>
        <w:gridCol w:w="4718"/>
        <w:gridCol w:w="1590"/>
        <w:gridCol w:w="1591"/>
        <w:gridCol w:w="1591"/>
      </w:tblGrid>
      <w:tr w:rsidR="00AE04C0" w:rsidRPr="00335657" w14:paraId="34E25255" w14:textId="77777777" w:rsidTr="005A7CF2">
        <w:trPr>
          <w:trHeight w:val="288"/>
        </w:trPr>
        <w:tc>
          <w:tcPr>
            <w:tcW w:w="4718" w:type="dxa"/>
            <w:tcBorders>
              <w:top w:val="single" w:sz="4" w:space="0" w:color="auto"/>
              <w:bottom w:val="single" w:sz="4" w:space="0" w:color="auto"/>
            </w:tcBorders>
            <w:shd w:val="clear" w:color="auto" w:fill="auto"/>
            <w:noWrap/>
            <w:vAlign w:val="center"/>
            <w:hideMark/>
          </w:tcPr>
          <w:p w14:paraId="283E4CE5" w14:textId="77777777" w:rsidR="00AE04C0" w:rsidRPr="00335657" w:rsidRDefault="00AE04C0" w:rsidP="001B427C">
            <w:pPr>
              <w:pStyle w:val="ExhibitText"/>
              <w:rPr>
                <w:b/>
                <w:bCs/>
                <w:lang w:val="en-CA" w:eastAsia="en-GB"/>
              </w:rPr>
            </w:pPr>
            <w:r w:rsidRPr="00335657">
              <w:rPr>
                <w:b/>
                <w:bCs/>
                <w:lang w:val="en-CA" w:eastAsia="en-GB"/>
              </w:rPr>
              <w:t> </w:t>
            </w:r>
          </w:p>
        </w:tc>
        <w:tc>
          <w:tcPr>
            <w:tcW w:w="1590" w:type="dxa"/>
            <w:tcBorders>
              <w:top w:val="single" w:sz="4" w:space="0" w:color="auto"/>
              <w:bottom w:val="single" w:sz="4" w:space="0" w:color="auto"/>
            </w:tcBorders>
            <w:shd w:val="clear" w:color="auto" w:fill="auto"/>
            <w:noWrap/>
            <w:vAlign w:val="center"/>
            <w:hideMark/>
          </w:tcPr>
          <w:p w14:paraId="7918C288" w14:textId="77777777" w:rsidR="00AE04C0" w:rsidRPr="00335657" w:rsidRDefault="00AE04C0" w:rsidP="005A7CF2">
            <w:pPr>
              <w:pStyle w:val="ExhibitText"/>
              <w:jc w:val="center"/>
              <w:rPr>
                <w:b/>
                <w:bCs/>
                <w:lang w:val="en-CA" w:eastAsia="en-GB"/>
              </w:rPr>
            </w:pPr>
            <w:r w:rsidRPr="00335657">
              <w:rPr>
                <w:b/>
                <w:bCs/>
                <w:lang w:val="en-CA" w:eastAsia="en-GB"/>
              </w:rPr>
              <w:t>2017</w:t>
            </w:r>
          </w:p>
        </w:tc>
        <w:tc>
          <w:tcPr>
            <w:tcW w:w="1591" w:type="dxa"/>
            <w:tcBorders>
              <w:top w:val="single" w:sz="4" w:space="0" w:color="auto"/>
              <w:bottom w:val="single" w:sz="4" w:space="0" w:color="auto"/>
            </w:tcBorders>
            <w:shd w:val="clear" w:color="auto" w:fill="auto"/>
            <w:noWrap/>
            <w:vAlign w:val="center"/>
            <w:hideMark/>
          </w:tcPr>
          <w:p w14:paraId="45EBD756" w14:textId="77777777" w:rsidR="00AE04C0" w:rsidRPr="00335657" w:rsidRDefault="00AE04C0" w:rsidP="005A7CF2">
            <w:pPr>
              <w:pStyle w:val="ExhibitText"/>
              <w:jc w:val="center"/>
              <w:rPr>
                <w:b/>
                <w:bCs/>
                <w:lang w:val="en-CA" w:eastAsia="en-GB"/>
              </w:rPr>
            </w:pPr>
            <w:r w:rsidRPr="00335657">
              <w:rPr>
                <w:b/>
                <w:bCs/>
                <w:lang w:val="en-CA" w:eastAsia="en-GB"/>
              </w:rPr>
              <w:t>2018</w:t>
            </w:r>
          </w:p>
        </w:tc>
        <w:tc>
          <w:tcPr>
            <w:tcW w:w="1591" w:type="dxa"/>
            <w:tcBorders>
              <w:top w:val="single" w:sz="4" w:space="0" w:color="auto"/>
              <w:bottom w:val="single" w:sz="4" w:space="0" w:color="auto"/>
            </w:tcBorders>
            <w:shd w:val="clear" w:color="auto" w:fill="auto"/>
            <w:noWrap/>
            <w:vAlign w:val="center"/>
            <w:hideMark/>
          </w:tcPr>
          <w:p w14:paraId="03B0E8DF" w14:textId="77777777" w:rsidR="00AE04C0" w:rsidRPr="00335657" w:rsidRDefault="00AE04C0" w:rsidP="005A7CF2">
            <w:pPr>
              <w:pStyle w:val="ExhibitText"/>
              <w:jc w:val="center"/>
              <w:rPr>
                <w:b/>
                <w:bCs/>
                <w:lang w:val="en-CA" w:eastAsia="en-GB"/>
              </w:rPr>
            </w:pPr>
            <w:r w:rsidRPr="00335657">
              <w:rPr>
                <w:b/>
                <w:bCs/>
                <w:lang w:val="en-CA" w:eastAsia="en-GB"/>
              </w:rPr>
              <w:t>2019</w:t>
            </w:r>
          </w:p>
        </w:tc>
      </w:tr>
      <w:tr w:rsidR="00AE04C0" w:rsidRPr="00335657" w14:paraId="68BA54E4" w14:textId="77777777" w:rsidTr="005A7CF2">
        <w:trPr>
          <w:trHeight w:val="288"/>
        </w:trPr>
        <w:tc>
          <w:tcPr>
            <w:tcW w:w="4718" w:type="dxa"/>
            <w:tcBorders>
              <w:top w:val="single" w:sz="4" w:space="0" w:color="auto"/>
            </w:tcBorders>
            <w:shd w:val="clear" w:color="auto" w:fill="auto"/>
            <w:noWrap/>
            <w:vAlign w:val="center"/>
            <w:hideMark/>
          </w:tcPr>
          <w:p w14:paraId="697D5DDE" w14:textId="29C2162E" w:rsidR="00AE04C0" w:rsidRPr="00335657" w:rsidRDefault="00AE04C0" w:rsidP="001B427C">
            <w:pPr>
              <w:pStyle w:val="ExhibitText"/>
              <w:rPr>
                <w:lang w:val="en-CA" w:eastAsia="en-GB"/>
              </w:rPr>
            </w:pPr>
            <w:r w:rsidRPr="00335657">
              <w:rPr>
                <w:lang w:val="en-CA" w:eastAsia="en-GB"/>
              </w:rPr>
              <w:t xml:space="preserve">Rural </w:t>
            </w:r>
            <w:r w:rsidR="008A26F6" w:rsidRPr="00335657">
              <w:rPr>
                <w:lang w:val="en-CA" w:eastAsia="en-GB"/>
              </w:rPr>
              <w:t>p</w:t>
            </w:r>
            <w:r w:rsidRPr="00335657">
              <w:rPr>
                <w:lang w:val="en-CA" w:eastAsia="en-GB"/>
              </w:rPr>
              <w:t>opulation (million</w:t>
            </w:r>
            <w:r w:rsidR="00A641C6" w:rsidRPr="00335657">
              <w:rPr>
                <w:lang w:val="en-CA" w:eastAsia="en-GB"/>
              </w:rPr>
              <w:t>s</w:t>
            </w:r>
            <w:r w:rsidRPr="00335657">
              <w:rPr>
                <w:lang w:val="en-CA" w:eastAsia="en-GB"/>
              </w:rPr>
              <w:t>)</w:t>
            </w:r>
          </w:p>
        </w:tc>
        <w:tc>
          <w:tcPr>
            <w:tcW w:w="1590" w:type="dxa"/>
            <w:tcBorders>
              <w:top w:val="single" w:sz="4" w:space="0" w:color="auto"/>
            </w:tcBorders>
            <w:shd w:val="clear" w:color="auto" w:fill="auto"/>
            <w:noWrap/>
            <w:vAlign w:val="center"/>
            <w:hideMark/>
          </w:tcPr>
          <w:p w14:paraId="0987096F" w14:textId="77777777" w:rsidR="00AE04C0" w:rsidRPr="00335657" w:rsidRDefault="00AE04C0" w:rsidP="00356E14">
            <w:pPr>
              <w:pStyle w:val="ExhibitText"/>
              <w:tabs>
                <w:tab w:val="decimal" w:pos="846"/>
              </w:tabs>
              <w:jc w:val="right"/>
              <w:rPr>
                <w:lang w:val="en-CA" w:eastAsia="en-GB"/>
              </w:rPr>
            </w:pPr>
            <w:r w:rsidRPr="00335657">
              <w:rPr>
                <w:lang w:val="en-CA" w:eastAsia="en-GB"/>
              </w:rPr>
              <w:t>58.34</w:t>
            </w:r>
          </w:p>
        </w:tc>
        <w:tc>
          <w:tcPr>
            <w:tcW w:w="1591" w:type="dxa"/>
            <w:tcBorders>
              <w:top w:val="single" w:sz="4" w:space="0" w:color="auto"/>
            </w:tcBorders>
            <w:shd w:val="clear" w:color="auto" w:fill="auto"/>
            <w:noWrap/>
            <w:vAlign w:val="center"/>
            <w:hideMark/>
          </w:tcPr>
          <w:p w14:paraId="1C819D80" w14:textId="77777777" w:rsidR="00AE04C0" w:rsidRPr="00335657" w:rsidRDefault="00AE04C0" w:rsidP="00356E14">
            <w:pPr>
              <w:pStyle w:val="ExhibitText"/>
              <w:tabs>
                <w:tab w:val="decimal" w:pos="874"/>
              </w:tabs>
              <w:jc w:val="right"/>
              <w:rPr>
                <w:lang w:val="en-CA" w:eastAsia="en-GB"/>
              </w:rPr>
            </w:pPr>
            <w:r w:rsidRPr="00335657">
              <w:rPr>
                <w:lang w:val="en-CA" w:eastAsia="en-GB"/>
              </w:rPr>
              <w:t>58.05</w:t>
            </w:r>
          </w:p>
        </w:tc>
        <w:tc>
          <w:tcPr>
            <w:tcW w:w="1591" w:type="dxa"/>
            <w:tcBorders>
              <w:top w:val="single" w:sz="4" w:space="0" w:color="auto"/>
            </w:tcBorders>
            <w:shd w:val="clear" w:color="auto" w:fill="auto"/>
            <w:noWrap/>
            <w:vAlign w:val="center"/>
            <w:hideMark/>
          </w:tcPr>
          <w:p w14:paraId="3383F77D" w14:textId="77777777" w:rsidR="00AE04C0" w:rsidRPr="00335657" w:rsidRDefault="00AE04C0" w:rsidP="00356E14">
            <w:pPr>
              <w:pStyle w:val="ExhibitText"/>
              <w:tabs>
                <w:tab w:val="decimal" w:pos="722"/>
              </w:tabs>
              <w:jc w:val="right"/>
              <w:rPr>
                <w:lang w:val="en-CA" w:eastAsia="en-GB"/>
              </w:rPr>
            </w:pPr>
            <w:r w:rsidRPr="00335657">
              <w:rPr>
                <w:lang w:val="en-CA" w:eastAsia="en-GB"/>
              </w:rPr>
              <w:t>57.8</w:t>
            </w:r>
          </w:p>
        </w:tc>
      </w:tr>
      <w:tr w:rsidR="00AE04C0" w:rsidRPr="00335657" w14:paraId="79113431" w14:textId="77777777" w:rsidTr="005A7CF2">
        <w:trPr>
          <w:trHeight w:val="288"/>
        </w:trPr>
        <w:tc>
          <w:tcPr>
            <w:tcW w:w="4718" w:type="dxa"/>
            <w:shd w:val="clear" w:color="auto" w:fill="auto"/>
            <w:noWrap/>
            <w:vAlign w:val="center"/>
            <w:hideMark/>
          </w:tcPr>
          <w:p w14:paraId="4F57B0E7" w14:textId="15D9ADDE" w:rsidR="00AE04C0" w:rsidRPr="00335657" w:rsidRDefault="00AE04C0" w:rsidP="001B427C">
            <w:pPr>
              <w:pStyle w:val="ExhibitText"/>
              <w:rPr>
                <w:lang w:val="en-CA" w:eastAsia="en-GB"/>
              </w:rPr>
            </w:pPr>
            <w:r w:rsidRPr="00335657">
              <w:rPr>
                <w:lang w:val="en-CA" w:eastAsia="en-GB"/>
              </w:rPr>
              <w:t xml:space="preserve">Urban </w:t>
            </w:r>
            <w:r w:rsidR="008A26F6" w:rsidRPr="00335657">
              <w:rPr>
                <w:lang w:val="en-CA" w:eastAsia="en-GB"/>
              </w:rPr>
              <w:t>p</w:t>
            </w:r>
            <w:r w:rsidRPr="00335657">
              <w:rPr>
                <w:lang w:val="en-CA" w:eastAsia="en-GB"/>
              </w:rPr>
              <w:t>opulation (million</w:t>
            </w:r>
            <w:r w:rsidR="00A641C6" w:rsidRPr="00335657">
              <w:rPr>
                <w:lang w:val="en-CA" w:eastAsia="en-GB"/>
              </w:rPr>
              <w:t>s</w:t>
            </w:r>
            <w:r w:rsidRPr="00335657">
              <w:rPr>
                <w:lang w:val="en-CA" w:eastAsia="en-GB"/>
              </w:rPr>
              <w:t>)</w:t>
            </w:r>
          </w:p>
        </w:tc>
        <w:tc>
          <w:tcPr>
            <w:tcW w:w="1590" w:type="dxa"/>
            <w:shd w:val="clear" w:color="auto" w:fill="auto"/>
            <w:noWrap/>
            <w:vAlign w:val="center"/>
            <w:hideMark/>
          </w:tcPr>
          <w:p w14:paraId="722A7458" w14:textId="77777777" w:rsidR="00AE04C0" w:rsidRPr="00335657" w:rsidRDefault="00AE04C0" w:rsidP="00356E14">
            <w:pPr>
              <w:pStyle w:val="ExhibitText"/>
              <w:tabs>
                <w:tab w:val="decimal" w:pos="846"/>
              </w:tabs>
              <w:jc w:val="right"/>
              <w:rPr>
                <w:lang w:val="en-CA" w:eastAsia="en-GB"/>
              </w:rPr>
            </w:pPr>
            <w:r w:rsidRPr="00335657">
              <w:rPr>
                <w:lang w:val="en-CA" w:eastAsia="en-GB"/>
              </w:rPr>
              <w:t>266.81</w:t>
            </w:r>
          </w:p>
        </w:tc>
        <w:tc>
          <w:tcPr>
            <w:tcW w:w="1591" w:type="dxa"/>
            <w:shd w:val="clear" w:color="auto" w:fill="auto"/>
            <w:noWrap/>
            <w:vAlign w:val="center"/>
            <w:hideMark/>
          </w:tcPr>
          <w:p w14:paraId="61BE396C" w14:textId="77777777" w:rsidR="00AE04C0" w:rsidRPr="00335657" w:rsidRDefault="00AE04C0" w:rsidP="00356E14">
            <w:pPr>
              <w:pStyle w:val="ExhibitText"/>
              <w:tabs>
                <w:tab w:val="decimal" w:pos="874"/>
              </w:tabs>
              <w:jc w:val="right"/>
              <w:rPr>
                <w:lang w:val="en-CA" w:eastAsia="en-GB"/>
              </w:rPr>
            </w:pPr>
            <w:r w:rsidRPr="00335657">
              <w:rPr>
                <w:lang w:val="en-CA" w:eastAsia="en-GB"/>
              </w:rPr>
              <w:t>269.11</w:t>
            </w:r>
          </w:p>
        </w:tc>
        <w:tc>
          <w:tcPr>
            <w:tcW w:w="1591" w:type="dxa"/>
            <w:shd w:val="clear" w:color="auto" w:fill="auto"/>
            <w:noWrap/>
            <w:vAlign w:val="center"/>
            <w:hideMark/>
          </w:tcPr>
          <w:p w14:paraId="59ADBBF9" w14:textId="77777777" w:rsidR="00AE04C0" w:rsidRPr="00335657" w:rsidRDefault="00AE04C0" w:rsidP="00356E14">
            <w:pPr>
              <w:pStyle w:val="ExhibitText"/>
              <w:tabs>
                <w:tab w:val="decimal" w:pos="722"/>
              </w:tabs>
              <w:jc w:val="right"/>
              <w:rPr>
                <w:lang w:val="en-CA" w:eastAsia="en-GB"/>
              </w:rPr>
            </w:pPr>
            <w:r w:rsidRPr="00335657">
              <w:rPr>
                <w:lang w:val="en-CA" w:eastAsia="en-GB"/>
              </w:rPr>
              <w:t>271.73</w:t>
            </w:r>
          </w:p>
        </w:tc>
      </w:tr>
      <w:tr w:rsidR="00AE04C0" w:rsidRPr="00335657" w14:paraId="092053FC" w14:textId="77777777" w:rsidTr="005A7CF2">
        <w:trPr>
          <w:trHeight w:val="288"/>
        </w:trPr>
        <w:tc>
          <w:tcPr>
            <w:tcW w:w="4718" w:type="dxa"/>
            <w:shd w:val="clear" w:color="auto" w:fill="auto"/>
            <w:noWrap/>
            <w:vAlign w:val="center"/>
            <w:hideMark/>
          </w:tcPr>
          <w:p w14:paraId="240C3BDB" w14:textId="3DB439ED" w:rsidR="00AE04C0" w:rsidRPr="00335657" w:rsidRDefault="00AE04C0" w:rsidP="001B427C">
            <w:pPr>
              <w:pStyle w:val="ExhibitText"/>
              <w:rPr>
                <w:lang w:val="en-CA" w:eastAsia="en-GB"/>
              </w:rPr>
            </w:pPr>
            <w:r w:rsidRPr="00335657">
              <w:rPr>
                <w:lang w:val="en-CA" w:eastAsia="en-GB"/>
              </w:rPr>
              <w:t xml:space="preserve">Average </w:t>
            </w:r>
            <w:r w:rsidR="008A26F6" w:rsidRPr="00335657">
              <w:rPr>
                <w:lang w:val="en-CA" w:eastAsia="en-GB"/>
              </w:rPr>
              <w:t>f</w:t>
            </w:r>
            <w:r w:rsidRPr="00335657">
              <w:rPr>
                <w:lang w:val="en-CA" w:eastAsia="en-GB"/>
              </w:rPr>
              <w:t xml:space="preserve">amily </w:t>
            </w:r>
            <w:r w:rsidR="008A26F6" w:rsidRPr="00335657">
              <w:rPr>
                <w:lang w:val="en-CA" w:eastAsia="en-GB"/>
              </w:rPr>
              <w:t>s</w:t>
            </w:r>
            <w:r w:rsidRPr="00335657">
              <w:rPr>
                <w:lang w:val="en-CA" w:eastAsia="en-GB"/>
              </w:rPr>
              <w:t xml:space="preserve">ize </w:t>
            </w:r>
          </w:p>
        </w:tc>
        <w:tc>
          <w:tcPr>
            <w:tcW w:w="1590" w:type="dxa"/>
            <w:shd w:val="clear" w:color="auto" w:fill="auto"/>
            <w:noWrap/>
            <w:vAlign w:val="center"/>
            <w:hideMark/>
          </w:tcPr>
          <w:p w14:paraId="0461045F" w14:textId="77777777" w:rsidR="00AE04C0" w:rsidRPr="00335657" w:rsidRDefault="00AE04C0" w:rsidP="00356E14">
            <w:pPr>
              <w:pStyle w:val="ExhibitText"/>
              <w:tabs>
                <w:tab w:val="decimal" w:pos="846"/>
              </w:tabs>
              <w:jc w:val="right"/>
              <w:rPr>
                <w:lang w:val="en-CA" w:eastAsia="en-GB"/>
              </w:rPr>
            </w:pPr>
            <w:r w:rsidRPr="00335657">
              <w:rPr>
                <w:lang w:val="en-CA" w:eastAsia="en-GB"/>
              </w:rPr>
              <w:t>3.14</w:t>
            </w:r>
          </w:p>
        </w:tc>
        <w:tc>
          <w:tcPr>
            <w:tcW w:w="1591" w:type="dxa"/>
            <w:shd w:val="clear" w:color="auto" w:fill="auto"/>
            <w:noWrap/>
            <w:vAlign w:val="center"/>
            <w:hideMark/>
          </w:tcPr>
          <w:p w14:paraId="18F172C0" w14:textId="77777777" w:rsidR="00AE04C0" w:rsidRPr="00335657" w:rsidRDefault="00AE04C0" w:rsidP="00356E14">
            <w:pPr>
              <w:pStyle w:val="ExhibitText"/>
              <w:tabs>
                <w:tab w:val="decimal" w:pos="874"/>
              </w:tabs>
              <w:jc w:val="right"/>
              <w:rPr>
                <w:lang w:val="en-CA" w:eastAsia="en-GB"/>
              </w:rPr>
            </w:pPr>
            <w:r w:rsidRPr="00335657">
              <w:rPr>
                <w:lang w:val="en-CA" w:eastAsia="en-GB"/>
              </w:rPr>
              <w:t>3.14</w:t>
            </w:r>
          </w:p>
        </w:tc>
        <w:tc>
          <w:tcPr>
            <w:tcW w:w="1591" w:type="dxa"/>
            <w:shd w:val="clear" w:color="auto" w:fill="auto"/>
            <w:noWrap/>
            <w:vAlign w:val="center"/>
            <w:hideMark/>
          </w:tcPr>
          <w:p w14:paraId="01CBF91C" w14:textId="77777777" w:rsidR="00AE04C0" w:rsidRPr="00335657" w:rsidRDefault="00AE04C0" w:rsidP="00356E14">
            <w:pPr>
              <w:pStyle w:val="ExhibitText"/>
              <w:tabs>
                <w:tab w:val="decimal" w:pos="722"/>
              </w:tabs>
              <w:jc w:val="right"/>
              <w:rPr>
                <w:lang w:val="en-CA" w:eastAsia="en-GB"/>
              </w:rPr>
            </w:pPr>
            <w:r w:rsidRPr="00335657">
              <w:rPr>
                <w:lang w:val="en-CA" w:eastAsia="en-GB"/>
              </w:rPr>
              <w:t>3.14</w:t>
            </w:r>
          </w:p>
        </w:tc>
      </w:tr>
      <w:tr w:rsidR="00AE04C0" w:rsidRPr="00335657" w14:paraId="24EE8245" w14:textId="77777777" w:rsidTr="005A7CF2">
        <w:trPr>
          <w:trHeight w:val="288"/>
        </w:trPr>
        <w:tc>
          <w:tcPr>
            <w:tcW w:w="4718" w:type="dxa"/>
            <w:shd w:val="clear" w:color="auto" w:fill="auto"/>
            <w:noWrap/>
            <w:vAlign w:val="center"/>
            <w:hideMark/>
          </w:tcPr>
          <w:p w14:paraId="38428F7D" w14:textId="72196652" w:rsidR="00AE04C0" w:rsidRPr="00335657" w:rsidRDefault="00AE04C0" w:rsidP="001B427C">
            <w:pPr>
              <w:pStyle w:val="ExhibitText"/>
              <w:rPr>
                <w:lang w:val="en-CA" w:eastAsia="en-GB"/>
              </w:rPr>
            </w:pPr>
            <w:r w:rsidRPr="00335657">
              <w:rPr>
                <w:lang w:val="en-CA" w:eastAsia="en-GB"/>
              </w:rPr>
              <w:t xml:space="preserve">Disposable </w:t>
            </w:r>
            <w:r w:rsidR="008A26F6" w:rsidRPr="00335657">
              <w:rPr>
                <w:lang w:val="en-CA" w:eastAsia="en-GB"/>
              </w:rPr>
              <w:t>p</w:t>
            </w:r>
            <w:r w:rsidRPr="00335657">
              <w:rPr>
                <w:lang w:val="en-CA" w:eastAsia="en-GB"/>
              </w:rPr>
              <w:t xml:space="preserve">ersonal </w:t>
            </w:r>
            <w:r w:rsidR="008A26F6" w:rsidRPr="00335657">
              <w:rPr>
                <w:lang w:val="en-CA" w:eastAsia="en-GB"/>
              </w:rPr>
              <w:t>i</w:t>
            </w:r>
            <w:r w:rsidRPr="00335657">
              <w:rPr>
                <w:lang w:val="en-CA" w:eastAsia="en-GB"/>
              </w:rPr>
              <w:t>ncome (</w:t>
            </w:r>
            <w:r w:rsidR="008A26F6" w:rsidRPr="00335657">
              <w:rPr>
                <w:lang w:val="en-CA" w:eastAsia="en-GB"/>
              </w:rPr>
              <w:t>US</w:t>
            </w:r>
            <w:r w:rsidRPr="00335657">
              <w:rPr>
                <w:lang w:val="en-CA" w:eastAsia="en-GB"/>
              </w:rPr>
              <w:t>$)</w:t>
            </w:r>
          </w:p>
        </w:tc>
        <w:tc>
          <w:tcPr>
            <w:tcW w:w="1590" w:type="dxa"/>
            <w:shd w:val="clear" w:color="auto" w:fill="auto"/>
            <w:noWrap/>
            <w:vAlign w:val="center"/>
            <w:hideMark/>
          </w:tcPr>
          <w:p w14:paraId="6C878DEF" w14:textId="349CAAE6" w:rsidR="00AE04C0" w:rsidRPr="00335657" w:rsidRDefault="00AE04C0" w:rsidP="00356E14">
            <w:pPr>
              <w:pStyle w:val="ExhibitText"/>
              <w:tabs>
                <w:tab w:val="decimal" w:pos="846"/>
              </w:tabs>
              <w:jc w:val="right"/>
              <w:rPr>
                <w:lang w:val="en-CA" w:eastAsia="en-GB"/>
              </w:rPr>
            </w:pPr>
            <w:r w:rsidRPr="00335657">
              <w:rPr>
                <w:lang w:val="en-CA" w:eastAsia="en-GB"/>
              </w:rPr>
              <w:t>14</w:t>
            </w:r>
            <w:r w:rsidR="002F3ED2" w:rsidRPr="00335657">
              <w:rPr>
                <w:lang w:val="en-CA" w:eastAsia="en-GB"/>
              </w:rPr>
              <w:t>,</w:t>
            </w:r>
            <w:r w:rsidRPr="00335657">
              <w:rPr>
                <w:lang w:val="en-CA" w:eastAsia="en-GB"/>
              </w:rPr>
              <w:t>000</w:t>
            </w:r>
          </w:p>
        </w:tc>
        <w:tc>
          <w:tcPr>
            <w:tcW w:w="1591" w:type="dxa"/>
            <w:shd w:val="clear" w:color="auto" w:fill="auto"/>
            <w:noWrap/>
            <w:vAlign w:val="center"/>
            <w:hideMark/>
          </w:tcPr>
          <w:p w14:paraId="275CEB15" w14:textId="79551723" w:rsidR="00AE04C0" w:rsidRPr="00335657" w:rsidRDefault="00AE04C0" w:rsidP="00356E14">
            <w:pPr>
              <w:pStyle w:val="ExhibitText"/>
              <w:tabs>
                <w:tab w:val="decimal" w:pos="874"/>
              </w:tabs>
              <w:jc w:val="right"/>
              <w:rPr>
                <w:lang w:val="en-CA" w:eastAsia="en-GB"/>
              </w:rPr>
            </w:pPr>
            <w:r w:rsidRPr="00335657">
              <w:rPr>
                <w:lang w:val="en-CA" w:eastAsia="en-GB"/>
              </w:rPr>
              <w:t>14</w:t>
            </w:r>
            <w:r w:rsidR="002F3ED2" w:rsidRPr="00335657">
              <w:rPr>
                <w:lang w:val="en-CA" w:eastAsia="en-GB"/>
              </w:rPr>
              <w:t>,</w:t>
            </w:r>
            <w:r w:rsidRPr="00335657">
              <w:rPr>
                <w:lang w:val="en-CA" w:eastAsia="en-GB"/>
              </w:rPr>
              <w:t>560</w:t>
            </w:r>
          </w:p>
        </w:tc>
        <w:tc>
          <w:tcPr>
            <w:tcW w:w="1591" w:type="dxa"/>
            <w:shd w:val="clear" w:color="auto" w:fill="auto"/>
            <w:noWrap/>
            <w:vAlign w:val="center"/>
            <w:hideMark/>
          </w:tcPr>
          <w:p w14:paraId="32B355C7" w14:textId="506594E5" w:rsidR="00AE04C0" w:rsidRPr="00335657" w:rsidRDefault="00AE04C0" w:rsidP="00356E14">
            <w:pPr>
              <w:pStyle w:val="ExhibitText"/>
              <w:tabs>
                <w:tab w:val="decimal" w:pos="722"/>
              </w:tabs>
              <w:jc w:val="right"/>
              <w:rPr>
                <w:lang w:val="en-CA" w:eastAsia="en-GB"/>
              </w:rPr>
            </w:pPr>
            <w:r w:rsidRPr="00335657">
              <w:rPr>
                <w:lang w:val="en-CA" w:eastAsia="en-GB"/>
              </w:rPr>
              <w:t>14</w:t>
            </w:r>
            <w:r w:rsidR="002F3ED2" w:rsidRPr="00335657">
              <w:rPr>
                <w:lang w:val="en-CA" w:eastAsia="en-GB"/>
              </w:rPr>
              <w:t>,</w:t>
            </w:r>
            <w:r w:rsidRPr="00335657">
              <w:rPr>
                <w:lang w:val="en-CA" w:eastAsia="en-GB"/>
              </w:rPr>
              <w:t>975</w:t>
            </w:r>
          </w:p>
        </w:tc>
      </w:tr>
    </w:tbl>
    <w:p w14:paraId="2DBDE08A" w14:textId="77777777" w:rsidR="002F3ED2" w:rsidRPr="00335657" w:rsidRDefault="002F3ED2" w:rsidP="001B427C">
      <w:pPr>
        <w:pStyle w:val="ExhibitText"/>
        <w:rPr>
          <w:lang w:val="en-CA"/>
        </w:rPr>
      </w:pPr>
    </w:p>
    <w:tbl>
      <w:tblPr>
        <w:tblW w:w="2596" w:type="pct"/>
        <w:jc w:val="center"/>
        <w:tblBorders>
          <w:top w:val="single" w:sz="4" w:space="0" w:color="auto"/>
          <w:bottom w:val="single" w:sz="4" w:space="0" w:color="auto"/>
        </w:tblBorders>
        <w:tblLayout w:type="fixed"/>
        <w:tblLook w:val="04A0" w:firstRow="1" w:lastRow="0" w:firstColumn="1" w:lastColumn="0" w:noHBand="0" w:noVBand="1"/>
      </w:tblPr>
      <w:tblGrid>
        <w:gridCol w:w="3960"/>
        <w:gridCol w:w="900"/>
      </w:tblGrid>
      <w:tr w:rsidR="002F3ED2" w:rsidRPr="00335657" w14:paraId="73CF7C6C" w14:textId="77777777" w:rsidTr="001B427C">
        <w:trPr>
          <w:trHeight w:val="288"/>
          <w:jc w:val="center"/>
        </w:trPr>
        <w:tc>
          <w:tcPr>
            <w:tcW w:w="3960" w:type="dxa"/>
            <w:tcBorders>
              <w:top w:val="single" w:sz="4" w:space="0" w:color="auto"/>
              <w:bottom w:val="single" w:sz="4" w:space="0" w:color="auto"/>
            </w:tcBorders>
            <w:shd w:val="clear" w:color="auto" w:fill="auto"/>
            <w:noWrap/>
            <w:vAlign w:val="center"/>
            <w:hideMark/>
          </w:tcPr>
          <w:p w14:paraId="6185BB76" w14:textId="48ACFA6D" w:rsidR="002F3ED2" w:rsidRPr="00335657" w:rsidRDefault="002F3ED2" w:rsidP="002F3ED2">
            <w:pPr>
              <w:pStyle w:val="ExhibitText"/>
              <w:rPr>
                <w:b/>
                <w:bCs/>
                <w:lang w:val="en-CA" w:eastAsia="en-GB"/>
              </w:rPr>
            </w:pPr>
            <w:r w:rsidRPr="00335657">
              <w:rPr>
                <w:b/>
                <w:bCs/>
                <w:lang w:val="en-CA" w:eastAsia="en-GB"/>
              </w:rPr>
              <w:t xml:space="preserve">Median Household Income (2011–2015) </w:t>
            </w:r>
          </w:p>
        </w:tc>
        <w:tc>
          <w:tcPr>
            <w:tcW w:w="900" w:type="dxa"/>
            <w:tcBorders>
              <w:top w:val="single" w:sz="4" w:space="0" w:color="auto"/>
              <w:bottom w:val="single" w:sz="4" w:space="0" w:color="auto"/>
            </w:tcBorders>
            <w:shd w:val="clear" w:color="auto" w:fill="auto"/>
            <w:vAlign w:val="center"/>
          </w:tcPr>
          <w:p w14:paraId="6D0855C6" w14:textId="6E597097" w:rsidR="002F3ED2" w:rsidRPr="00335657" w:rsidRDefault="002F3ED2" w:rsidP="001B427C">
            <w:pPr>
              <w:pStyle w:val="ExhibitText"/>
              <w:rPr>
                <w:b/>
                <w:bCs/>
                <w:lang w:val="en-CA" w:eastAsia="en-GB"/>
              </w:rPr>
            </w:pPr>
            <w:r w:rsidRPr="00335657">
              <w:rPr>
                <w:b/>
                <w:bCs/>
                <w:lang w:val="en-CA" w:eastAsia="en-GB"/>
              </w:rPr>
              <w:t>(US$)</w:t>
            </w:r>
          </w:p>
        </w:tc>
      </w:tr>
      <w:tr w:rsidR="002F3ED2" w:rsidRPr="00335657" w14:paraId="4B0C8FFE" w14:textId="77777777" w:rsidTr="002F3ED2">
        <w:trPr>
          <w:trHeight w:val="288"/>
          <w:jc w:val="center"/>
        </w:trPr>
        <w:tc>
          <w:tcPr>
            <w:tcW w:w="3960" w:type="dxa"/>
            <w:tcBorders>
              <w:top w:val="single" w:sz="4" w:space="0" w:color="auto"/>
            </w:tcBorders>
            <w:shd w:val="clear" w:color="auto" w:fill="auto"/>
            <w:noWrap/>
            <w:vAlign w:val="center"/>
            <w:hideMark/>
          </w:tcPr>
          <w:p w14:paraId="79E51FDC" w14:textId="77777777" w:rsidR="00AE04C0" w:rsidRPr="00335657" w:rsidRDefault="00AE04C0" w:rsidP="001B427C">
            <w:pPr>
              <w:pStyle w:val="ExhibitText"/>
              <w:rPr>
                <w:lang w:val="en-CA" w:eastAsia="en-GB"/>
              </w:rPr>
            </w:pPr>
            <w:r w:rsidRPr="00335657">
              <w:rPr>
                <w:lang w:val="en-CA" w:eastAsia="en-GB"/>
              </w:rPr>
              <w:t xml:space="preserve">Rural </w:t>
            </w:r>
          </w:p>
        </w:tc>
        <w:tc>
          <w:tcPr>
            <w:tcW w:w="900" w:type="dxa"/>
            <w:tcBorders>
              <w:top w:val="single" w:sz="4" w:space="0" w:color="auto"/>
            </w:tcBorders>
            <w:shd w:val="clear" w:color="auto" w:fill="auto"/>
            <w:noWrap/>
            <w:vAlign w:val="center"/>
            <w:hideMark/>
          </w:tcPr>
          <w:p w14:paraId="66043906" w14:textId="77777777" w:rsidR="00AE04C0" w:rsidRPr="00335657" w:rsidRDefault="00AE04C0" w:rsidP="001B427C">
            <w:pPr>
              <w:pStyle w:val="ExhibitText"/>
              <w:jc w:val="right"/>
              <w:rPr>
                <w:lang w:val="en-CA" w:eastAsia="en-GB"/>
              </w:rPr>
            </w:pPr>
            <w:r w:rsidRPr="00335657">
              <w:rPr>
                <w:lang w:val="en-CA" w:eastAsia="en-GB"/>
              </w:rPr>
              <w:t>52,386</w:t>
            </w:r>
          </w:p>
        </w:tc>
      </w:tr>
      <w:tr w:rsidR="00AE04C0" w:rsidRPr="00335657" w14:paraId="5B4735B1" w14:textId="77777777" w:rsidTr="001B427C">
        <w:trPr>
          <w:trHeight w:val="288"/>
          <w:jc w:val="center"/>
        </w:trPr>
        <w:tc>
          <w:tcPr>
            <w:tcW w:w="3960" w:type="dxa"/>
            <w:shd w:val="clear" w:color="auto" w:fill="auto"/>
            <w:noWrap/>
            <w:vAlign w:val="center"/>
            <w:hideMark/>
          </w:tcPr>
          <w:p w14:paraId="3BFCE3EE" w14:textId="77777777" w:rsidR="00AE04C0" w:rsidRPr="00335657" w:rsidRDefault="00AE04C0" w:rsidP="001B427C">
            <w:pPr>
              <w:pStyle w:val="ExhibitText"/>
              <w:rPr>
                <w:lang w:val="en-CA" w:eastAsia="en-GB"/>
              </w:rPr>
            </w:pPr>
            <w:r w:rsidRPr="00335657">
              <w:rPr>
                <w:lang w:val="en-CA" w:eastAsia="en-GB"/>
              </w:rPr>
              <w:t>Urban</w:t>
            </w:r>
          </w:p>
        </w:tc>
        <w:tc>
          <w:tcPr>
            <w:tcW w:w="900" w:type="dxa"/>
            <w:shd w:val="clear" w:color="auto" w:fill="auto"/>
            <w:noWrap/>
            <w:vAlign w:val="center"/>
            <w:hideMark/>
          </w:tcPr>
          <w:p w14:paraId="6FC10770" w14:textId="77777777" w:rsidR="00AE04C0" w:rsidRPr="00335657" w:rsidRDefault="00AE04C0" w:rsidP="001B427C">
            <w:pPr>
              <w:pStyle w:val="ExhibitText"/>
              <w:jc w:val="right"/>
              <w:rPr>
                <w:lang w:val="en-CA" w:eastAsia="en-GB"/>
              </w:rPr>
            </w:pPr>
            <w:r w:rsidRPr="00335657">
              <w:rPr>
                <w:lang w:val="en-CA" w:eastAsia="en-GB"/>
              </w:rPr>
              <w:t>54,296</w:t>
            </w:r>
          </w:p>
        </w:tc>
      </w:tr>
    </w:tbl>
    <w:p w14:paraId="64E884C5" w14:textId="77777777" w:rsidR="00AE04C0" w:rsidRPr="00335657" w:rsidRDefault="00AE04C0" w:rsidP="00AE04C0">
      <w:pPr>
        <w:pStyle w:val="ExhibitText"/>
        <w:rPr>
          <w:lang w:val="en-CA"/>
        </w:rPr>
      </w:pPr>
    </w:p>
    <w:p w14:paraId="3F986B38" w14:textId="483A7D75" w:rsidR="00AE04C0" w:rsidRPr="00335657" w:rsidRDefault="00AE04C0" w:rsidP="001B427C">
      <w:pPr>
        <w:pStyle w:val="Footnote"/>
        <w:rPr>
          <w:lang w:val="en-CA"/>
        </w:rPr>
      </w:pPr>
      <w:r w:rsidRPr="00335657">
        <w:rPr>
          <w:lang w:val="en-CA"/>
        </w:rPr>
        <w:t xml:space="preserve">Source: Erin </w:t>
      </w:r>
      <w:proofErr w:type="spellStart"/>
      <w:r w:rsidRPr="00335657">
        <w:rPr>
          <w:lang w:val="en-CA"/>
        </w:rPr>
        <w:t>Duffin</w:t>
      </w:r>
      <w:proofErr w:type="spellEnd"/>
      <w:r w:rsidRPr="00335657">
        <w:rPr>
          <w:lang w:val="en-CA"/>
        </w:rPr>
        <w:t>, “Size of Urban and Rural Population of the U.S. 1960-2019,” Statista, November 28, 2019, accessed August 17, 2020, www.statista.com/statistics/985183/size-urban-rural-population-us</w:t>
      </w:r>
      <w:r w:rsidR="002F3ED2" w:rsidRPr="00335657">
        <w:rPr>
          <w:lang w:val="en-CA"/>
        </w:rPr>
        <w:t xml:space="preserve">; </w:t>
      </w:r>
      <w:r w:rsidRPr="00335657">
        <w:rPr>
          <w:lang w:val="en-CA"/>
        </w:rPr>
        <w:t xml:space="preserve">Erin </w:t>
      </w:r>
      <w:proofErr w:type="spellStart"/>
      <w:r w:rsidRPr="00335657">
        <w:rPr>
          <w:lang w:val="en-CA"/>
        </w:rPr>
        <w:t>Duffin</w:t>
      </w:r>
      <w:proofErr w:type="spellEnd"/>
      <w:r w:rsidRPr="00335657">
        <w:rPr>
          <w:lang w:val="en-CA"/>
        </w:rPr>
        <w:t>, “Disposable Personal Income in the U.S. 2000</w:t>
      </w:r>
      <w:r w:rsidR="002F3ED2" w:rsidRPr="00335657">
        <w:rPr>
          <w:lang w:val="en-CA"/>
        </w:rPr>
        <w:t>–</w:t>
      </w:r>
      <w:r w:rsidRPr="00335657">
        <w:rPr>
          <w:lang w:val="en-CA"/>
        </w:rPr>
        <w:t xml:space="preserve">2019,” Statista, March 31, 2020, accessed August 17, 2020, www.statista.com/statistics/710209/us-disposable-income; “Families in the U.S.,” Statista, 2019, accessed August 17, 2020, www.statista.com/study/9824/families-in-the-us-statista-dossier; Alemayehu </w:t>
      </w:r>
      <w:proofErr w:type="spellStart"/>
      <w:r w:rsidRPr="00335657">
        <w:rPr>
          <w:lang w:val="en-CA"/>
        </w:rPr>
        <w:t>Bishaw</w:t>
      </w:r>
      <w:proofErr w:type="spellEnd"/>
      <w:r w:rsidRPr="00335657">
        <w:rPr>
          <w:lang w:val="en-CA"/>
        </w:rPr>
        <w:t xml:space="preserve"> and Kirby G. Posey, “A Comparison of Rural and Urban America: Household Income and Poverty,” United States Census Bureau, December 8, 2016, accessed August 17, 2020, www.census.gov/newsroom/blogs/random-samplings/2016/12/a_comparison_of_rura.html</w:t>
      </w:r>
      <w:r w:rsidR="000D1C9B" w:rsidRPr="00335657">
        <w:rPr>
          <w:lang w:val="en-CA"/>
        </w:rPr>
        <w:t>.</w:t>
      </w:r>
    </w:p>
    <w:p w14:paraId="5CB9E114" w14:textId="77777777" w:rsidR="00AE04C0" w:rsidRPr="00335657" w:rsidRDefault="00AE04C0" w:rsidP="00D7763D">
      <w:pPr>
        <w:rPr>
          <w:lang w:val="en-CA"/>
        </w:rPr>
      </w:pPr>
      <w:r w:rsidRPr="00335657">
        <w:rPr>
          <w:lang w:val="en-CA"/>
        </w:rPr>
        <w:br w:type="page"/>
      </w:r>
    </w:p>
    <w:p w14:paraId="4CF63EB4" w14:textId="75361D82" w:rsidR="00B87DC0" w:rsidRPr="00335657" w:rsidRDefault="00AE04C0" w:rsidP="00036044">
      <w:pPr>
        <w:pStyle w:val="ExhibitHeading"/>
        <w:jc w:val="left"/>
        <w:rPr>
          <w:lang w:val="en-CA"/>
        </w:rPr>
      </w:pPr>
      <w:r w:rsidRPr="00335657">
        <w:rPr>
          <w:lang w:val="en-CA"/>
        </w:rPr>
        <w:lastRenderedPageBreak/>
        <w:t>ENDNOTES</w:t>
      </w:r>
    </w:p>
    <w:sectPr w:rsidR="00B87DC0" w:rsidRPr="00335657"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019C2" w16cex:dateUtc="2021-01-18T19:29:00Z"/>
  <w16cex:commentExtensible w16cex:durableId="23C7CD54" w16cex:dateUtc="2021-02-05T18:57:00Z"/>
  <w16cex:commentExtensible w16cex:durableId="23B01B90" w16cex:dateUtc="2021-01-18T19:37:00Z"/>
  <w16cex:commentExtensible w16cex:durableId="23C7CD80" w16cex:dateUtc="2021-02-05T18:5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A3A2C" w14:textId="77777777" w:rsidR="00D626D1" w:rsidRDefault="00D626D1">
      <w:r>
        <w:separator/>
      </w:r>
    </w:p>
  </w:endnote>
  <w:endnote w:type="continuationSeparator" w:id="0">
    <w:p w14:paraId="34321E16" w14:textId="77777777" w:rsidR="00D626D1" w:rsidRPr="000636E9" w:rsidRDefault="00D626D1" w:rsidP="000636E9">
      <w:pPr>
        <w:pStyle w:val="Footer"/>
      </w:pPr>
    </w:p>
  </w:endnote>
  <w:endnote w:id="1">
    <w:p w14:paraId="7C5924D2" w14:textId="13003840" w:rsidR="00C323C2" w:rsidRPr="00AE04C0" w:rsidRDefault="00C323C2" w:rsidP="00AE04C0">
      <w:pPr>
        <w:pStyle w:val="Footnote"/>
      </w:pPr>
      <w:r w:rsidRPr="00D7763D">
        <w:rPr>
          <w:rStyle w:val="EndnoteReference"/>
        </w:rPr>
        <w:endnoteRef/>
      </w:r>
      <w:r w:rsidRPr="00AE04C0">
        <w:t xml:space="preserve"> </w:t>
      </w:r>
      <w:r w:rsidRPr="000A6AC0">
        <w:t xml:space="preserve">This case has been written on the basis of published sources only. Consequently, the interpretation and perspectives presented in this case are not necessarily those of </w:t>
      </w:r>
      <w:r w:rsidRPr="00AE04C0">
        <w:t>Space Exploration Technologies Corp</w:t>
      </w:r>
      <w:r>
        <w:t xml:space="preserve">. </w:t>
      </w:r>
      <w:r w:rsidRPr="000A6AC0">
        <w:t>or any of its employees.</w:t>
      </w:r>
    </w:p>
  </w:endnote>
  <w:endnote w:id="2">
    <w:p w14:paraId="49567F73" w14:textId="1F439C60" w:rsidR="00C323C2" w:rsidRPr="002523BD" w:rsidRDefault="00C323C2" w:rsidP="00AE04C0">
      <w:pPr>
        <w:pStyle w:val="Footnote"/>
      </w:pPr>
      <w:r w:rsidRPr="00D7763D">
        <w:rPr>
          <w:rStyle w:val="EndnoteReference"/>
        </w:rPr>
        <w:endnoteRef/>
      </w:r>
      <w:r w:rsidRPr="002523BD">
        <w:t xml:space="preserve"> Dave Mosher, “Elon Musk Just Revealed New Details about Starlink, </w:t>
      </w:r>
      <w:r>
        <w:t>a</w:t>
      </w:r>
      <w:r w:rsidRPr="002523BD">
        <w:t xml:space="preserve"> Plan to Surround Earth with 12,000 High-Speed Internet Satellites. Here</w:t>
      </w:r>
      <w:r>
        <w:t>’</w:t>
      </w:r>
      <w:r w:rsidRPr="002523BD">
        <w:t xml:space="preserve">s How it Might Work,” </w:t>
      </w:r>
      <w:r w:rsidRPr="002523BD">
        <w:rPr>
          <w:i/>
          <w:iCs/>
        </w:rPr>
        <w:t xml:space="preserve">Business Insider, </w:t>
      </w:r>
      <w:r w:rsidRPr="002523BD">
        <w:t xml:space="preserve">May 16, 2019, accessed August 17, 2020, </w:t>
      </w:r>
      <w:r w:rsidRPr="00A37365">
        <w:t>www.businessinsider.com/spacex-starlink-satellite-internet-how-it-works-2019-5</w:t>
      </w:r>
      <w:r>
        <w:t>.</w:t>
      </w:r>
    </w:p>
  </w:endnote>
  <w:endnote w:id="3">
    <w:p w14:paraId="16643732" w14:textId="56034B02" w:rsidR="00C323C2" w:rsidRPr="002523BD" w:rsidRDefault="00C323C2" w:rsidP="00AE04C0">
      <w:pPr>
        <w:pStyle w:val="Footnote"/>
      </w:pPr>
      <w:r w:rsidRPr="00D7763D">
        <w:rPr>
          <w:rStyle w:val="EndnoteReference"/>
        </w:rPr>
        <w:endnoteRef/>
      </w:r>
      <w:r w:rsidRPr="002523BD">
        <w:t xml:space="preserve"> </w:t>
      </w:r>
      <w:bookmarkStart w:id="1" w:name="_Hlk48658159"/>
      <w:r w:rsidRPr="002523BD">
        <w:t xml:space="preserve">Daniel Oberhaus, “SpaceX </w:t>
      </w:r>
      <w:r>
        <w:t>I</w:t>
      </w:r>
      <w:r w:rsidRPr="002523BD">
        <w:t>s Banking on Satellite Internet. Maybe It Shouldn</w:t>
      </w:r>
      <w:r>
        <w:t>’</w:t>
      </w:r>
      <w:r w:rsidRPr="002523BD">
        <w:t xml:space="preserve">t,” </w:t>
      </w:r>
      <w:r w:rsidRPr="002523BD">
        <w:rPr>
          <w:i/>
          <w:iCs/>
        </w:rPr>
        <w:t xml:space="preserve">Wired, </w:t>
      </w:r>
      <w:r w:rsidRPr="002523BD">
        <w:t xml:space="preserve">May 15, 2019, accessed August 17, 2020, </w:t>
      </w:r>
      <w:r w:rsidRPr="004A088E">
        <w:t>www.wired.com/story/spacex-starlink-satellite-internet</w:t>
      </w:r>
      <w:r>
        <w:t>. Broadband Internet referred to a high-speed signal that was always on and delivered by radio, phone, optical fibre, or cable lines.</w:t>
      </w:r>
      <w:bookmarkEnd w:id="1"/>
    </w:p>
  </w:endnote>
  <w:endnote w:id="4">
    <w:p w14:paraId="26E030E4" w14:textId="36266DC1" w:rsidR="00C323C2" w:rsidRPr="002523BD" w:rsidRDefault="00C323C2" w:rsidP="000D1C9B">
      <w:pPr>
        <w:pStyle w:val="Footnote"/>
        <w:rPr>
          <w:color w:val="1A1A1A"/>
          <w:spacing w:val="1"/>
        </w:rPr>
      </w:pPr>
      <w:r w:rsidRPr="00D7763D">
        <w:rPr>
          <w:rStyle w:val="EndnoteReference"/>
        </w:rPr>
        <w:endnoteRef/>
      </w:r>
      <w:r w:rsidRPr="002523BD">
        <w:t xml:space="preserve"> </w:t>
      </w:r>
      <w:r>
        <w:t>Ibid.</w:t>
      </w:r>
      <w:r w:rsidRPr="002523BD">
        <w:t xml:space="preserve"> </w:t>
      </w:r>
    </w:p>
  </w:endnote>
  <w:endnote w:id="5">
    <w:p w14:paraId="1DA63988" w14:textId="5EAB9191" w:rsidR="00C323C2" w:rsidRPr="00335657" w:rsidRDefault="00C323C2" w:rsidP="00AE04C0">
      <w:pPr>
        <w:pStyle w:val="Footnote"/>
        <w:rPr>
          <w:spacing w:val="-6"/>
          <w:kern w:val="17"/>
        </w:rPr>
      </w:pPr>
      <w:r w:rsidRPr="00335657">
        <w:rPr>
          <w:rStyle w:val="EndnoteReference"/>
          <w:spacing w:val="-6"/>
          <w:kern w:val="17"/>
        </w:rPr>
        <w:endnoteRef/>
      </w:r>
      <w:r w:rsidRPr="00335657">
        <w:rPr>
          <w:spacing w:val="-6"/>
          <w:kern w:val="17"/>
        </w:rPr>
        <w:t xml:space="preserve"> Michael Sheetz, “Here’s Why Amazon Is Trying to Reach Every Inch of the World with Satellites Providing Internet,” CNBC</w:t>
      </w:r>
      <w:r w:rsidRPr="00335657">
        <w:rPr>
          <w:i/>
          <w:iCs/>
          <w:spacing w:val="-6"/>
          <w:kern w:val="17"/>
        </w:rPr>
        <w:t>,</w:t>
      </w:r>
      <w:r w:rsidRPr="00335657">
        <w:rPr>
          <w:spacing w:val="-6"/>
          <w:kern w:val="17"/>
        </w:rPr>
        <w:t xml:space="preserve"> April 7, 2019, accessed August 17, 2020,</w:t>
      </w:r>
      <w:r w:rsidRPr="00335657">
        <w:rPr>
          <w:i/>
          <w:iCs/>
          <w:spacing w:val="-6"/>
          <w:kern w:val="17"/>
        </w:rPr>
        <w:t xml:space="preserve"> </w:t>
      </w:r>
      <w:r w:rsidRPr="00335657">
        <w:rPr>
          <w:spacing w:val="-6"/>
          <w:kern w:val="17"/>
        </w:rPr>
        <w:t>www.cnbc.com/2019/04/05/jeff-bezos-amazon-Internet-satellites-4-billion-new-customers.html.</w:t>
      </w:r>
    </w:p>
  </w:endnote>
  <w:endnote w:id="6">
    <w:p w14:paraId="0CF9CB02" w14:textId="226AFA2B" w:rsidR="00C323C2" w:rsidRPr="002523BD" w:rsidRDefault="00C323C2" w:rsidP="00AE04C0">
      <w:pPr>
        <w:pStyle w:val="Footnote"/>
        <w:rPr>
          <w:color w:val="000000"/>
          <w:spacing w:val="2"/>
        </w:rPr>
      </w:pPr>
      <w:r w:rsidRPr="00D7763D">
        <w:rPr>
          <w:rStyle w:val="EndnoteReference"/>
        </w:rPr>
        <w:endnoteRef/>
      </w:r>
      <w:r w:rsidRPr="002523BD">
        <w:t xml:space="preserve"> Oberhaus, </w:t>
      </w:r>
      <w:r>
        <w:t xml:space="preserve">op. cit. </w:t>
      </w:r>
    </w:p>
  </w:endnote>
  <w:endnote w:id="7">
    <w:p w14:paraId="65EDD2D5" w14:textId="50387E90" w:rsidR="00C323C2" w:rsidRPr="002523BD" w:rsidRDefault="00C323C2" w:rsidP="00AE04C0">
      <w:pPr>
        <w:pStyle w:val="Footnote"/>
      </w:pPr>
      <w:r w:rsidRPr="00D7763D">
        <w:rPr>
          <w:rStyle w:val="EndnoteReference"/>
        </w:rPr>
        <w:endnoteRef/>
      </w:r>
      <w:r>
        <w:t xml:space="preserve"> T-Mobile, </w:t>
      </w:r>
      <w:r w:rsidRPr="002523BD">
        <w:t>“</w:t>
      </w:r>
      <w:bookmarkStart w:id="3" w:name="_Hlk48658791"/>
      <w:r w:rsidRPr="002523BD">
        <w:t>T</w:t>
      </w:r>
      <w:r w:rsidRPr="002523BD">
        <w:rPr>
          <w:rFonts w:ascii="Cambria Math" w:hAnsi="Cambria Math" w:cs="Cambria Math"/>
        </w:rPr>
        <w:t>‑</w:t>
      </w:r>
      <w:r w:rsidRPr="002523BD">
        <w:t xml:space="preserve">Mobile Wins 5G Availability Award: Customers Get 5G 56x More Often </w:t>
      </w:r>
      <w:r>
        <w:t>T</w:t>
      </w:r>
      <w:r w:rsidRPr="002523BD">
        <w:t xml:space="preserve">han Verizon,” </w:t>
      </w:r>
      <w:r>
        <w:t>press release</w:t>
      </w:r>
      <w:r w:rsidRPr="002523BD">
        <w:rPr>
          <w:i/>
          <w:iCs/>
        </w:rPr>
        <w:t>,</w:t>
      </w:r>
      <w:r w:rsidRPr="002523BD">
        <w:t xml:space="preserve"> June 30, 2020, accessed August 17, 2020,</w:t>
      </w:r>
      <w:r w:rsidRPr="002523BD">
        <w:rPr>
          <w:b/>
          <w:bCs/>
        </w:rPr>
        <w:t xml:space="preserve"> </w:t>
      </w:r>
      <w:r w:rsidRPr="00AE04C0">
        <w:t>www.t-mobile.com/news/network/opensignal-5g-availability-win-june-2020</w:t>
      </w:r>
      <w:bookmarkEnd w:id="3"/>
      <w:r>
        <w:t>.</w:t>
      </w:r>
    </w:p>
  </w:endnote>
  <w:endnote w:id="8">
    <w:p w14:paraId="7928ACD0" w14:textId="372E6CE1" w:rsidR="00C323C2" w:rsidRPr="002523BD" w:rsidRDefault="00C323C2" w:rsidP="00AE04C0">
      <w:pPr>
        <w:pStyle w:val="Footnote"/>
      </w:pPr>
      <w:r w:rsidRPr="00D7763D">
        <w:rPr>
          <w:rStyle w:val="EndnoteReference"/>
        </w:rPr>
        <w:endnoteRef/>
      </w:r>
      <w:r w:rsidRPr="002523BD">
        <w:t xml:space="preserve"> </w:t>
      </w:r>
      <w:r>
        <w:t>Oberhaus</w:t>
      </w:r>
      <w:r w:rsidRPr="002523BD">
        <w:t xml:space="preserve">, </w:t>
      </w:r>
      <w:r>
        <w:t xml:space="preserve">op. cit. </w:t>
      </w:r>
    </w:p>
  </w:endnote>
  <w:endnote w:id="9">
    <w:p w14:paraId="287A9EC6" w14:textId="11C55850" w:rsidR="00C323C2" w:rsidRPr="002523BD" w:rsidRDefault="00C323C2" w:rsidP="00AE04C0">
      <w:pPr>
        <w:pStyle w:val="Footnote"/>
      </w:pPr>
      <w:r w:rsidRPr="00D7763D">
        <w:rPr>
          <w:rStyle w:val="EndnoteReference"/>
        </w:rPr>
        <w:endnoteRef/>
      </w:r>
      <w:r w:rsidRPr="002523BD">
        <w:t xml:space="preserve"> Michael White, “New Satellite Phone Venture </w:t>
      </w:r>
      <w:r>
        <w:t>I</w:t>
      </w:r>
      <w:r w:rsidRPr="002523BD">
        <w:t xml:space="preserve">s Struggling,” </w:t>
      </w:r>
      <w:r w:rsidRPr="002523BD">
        <w:rPr>
          <w:i/>
          <w:iCs/>
        </w:rPr>
        <w:t xml:space="preserve">Los Angeles Times, </w:t>
      </w:r>
      <w:r w:rsidRPr="002523BD">
        <w:t xml:space="preserve">August 21, 2000, accessed August 17, 2020, </w:t>
      </w:r>
      <w:r w:rsidRPr="00AE04C0">
        <w:t>www.latimes.com/archives/la-xpm-2000-aug-21-fi-7787-story.html</w:t>
      </w:r>
      <w:r>
        <w:t>.</w:t>
      </w:r>
    </w:p>
  </w:endnote>
  <w:endnote w:id="10">
    <w:p w14:paraId="0329EB79" w14:textId="1B9DF3CF" w:rsidR="00C323C2" w:rsidRPr="002523BD" w:rsidRDefault="00C323C2" w:rsidP="00AE04C0">
      <w:pPr>
        <w:pStyle w:val="Footnote"/>
      </w:pPr>
      <w:r w:rsidRPr="00D7763D">
        <w:rPr>
          <w:rStyle w:val="EndnoteReference"/>
        </w:rPr>
        <w:endnoteRef/>
      </w:r>
      <w:r w:rsidRPr="002523BD">
        <w:t xml:space="preserve"> Oberhaus, </w:t>
      </w:r>
      <w:r>
        <w:t xml:space="preserve">op. cit. </w:t>
      </w:r>
    </w:p>
  </w:endnote>
  <w:endnote w:id="11">
    <w:p w14:paraId="7A3B36C1" w14:textId="208AB85E" w:rsidR="00C323C2" w:rsidRPr="002523BD" w:rsidRDefault="00C323C2" w:rsidP="00AE04C0">
      <w:pPr>
        <w:pStyle w:val="Footnote"/>
      </w:pPr>
      <w:r w:rsidRPr="00D7763D">
        <w:rPr>
          <w:rStyle w:val="EndnoteReference"/>
        </w:rPr>
        <w:endnoteRef/>
      </w:r>
      <w:r w:rsidRPr="002523BD">
        <w:t xml:space="preserve"> Akhil Katam, “SpaceX</w:t>
      </w:r>
      <w:r>
        <w:t>’</w:t>
      </w:r>
      <w:r w:rsidRPr="002523BD">
        <w:t xml:space="preserve">s Starlink Satellites Ruined Photos of the </w:t>
      </w:r>
      <w:r>
        <w:t>NEOWISE</w:t>
      </w:r>
      <w:r w:rsidRPr="002523BD">
        <w:t xml:space="preserve"> Comet,” </w:t>
      </w:r>
      <w:r w:rsidRPr="002F427C">
        <w:t>News Landed</w:t>
      </w:r>
      <w:r w:rsidRPr="002523BD">
        <w:rPr>
          <w:i/>
          <w:iCs/>
        </w:rPr>
        <w:t xml:space="preserve">, </w:t>
      </w:r>
      <w:r w:rsidRPr="002523BD">
        <w:t xml:space="preserve">July 26, 2020, accessed August 17, 2020, </w:t>
      </w:r>
      <w:r w:rsidRPr="00AE04C0">
        <w:t>https://newslanded.com/2020/07/26/spacexs-starlink-satellites-ruined-photos-of-the-neowise-comet</w:t>
      </w:r>
      <w:r>
        <w:t>.</w:t>
      </w:r>
    </w:p>
  </w:endnote>
  <w:endnote w:id="12">
    <w:p w14:paraId="58CF3851" w14:textId="0FEB9FB6" w:rsidR="00C323C2" w:rsidRPr="00335657" w:rsidRDefault="00C323C2" w:rsidP="00633AC6">
      <w:pPr>
        <w:pStyle w:val="Footnote"/>
        <w:rPr>
          <w:spacing w:val="-6"/>
          <w:kern w:val="17"/>
        </w:rPr>
      </w:pPr>
      <w:r w:rsidRPr="00335657">
        <w:rPr>
          <w:rStyle w:val="EndnoteReference"/>
          <w:spacing w:val="-6"/>
          <w:kern w:val="17"/>
        </w:rPr>
        <w:endnoteRef/>
      </w:r>
      <w:r w:rsidRPr="00335657">
        <w:rPr>
          <w:spacing w:val="-6"/>
          <w:kern w:val="17"/>
        </w:rPr>
        <w:t xml:space="preserve"> Officially known as C/2020 F3, the comet was more commonly known for the mission that discovered it: NASA’s Near-Earth Object Wide-field Infrared Survey Explorer (NEOWISE), “Hubble Snaps Close-Up of Celebrity Comet NEOWISE,” NASA, August 21, 2020, accessed November 30, 2020, www.nasa.gov/feature/goddard/2020/hubble-snaps-close-up-of-celebrity-comet-neowise.</w:t>
      </w:r>
    </w:p>
  </w:endnote>
  <w:endnote w:id="13">
    <w:p w14:paraId="4CB073FD" w14:textId="2EECD3A1" w:rsidR="00C323C2" w:rsidRPr="002523BD" w:rsidRDefault="00C323C2" w:rsidP="00AE04C0">
      <w:pPr>
        <w:pStyle w:val="Footnote"/>
      </w:pPr>
      <w:r w:rsidRPr="00D7763D">
        <w:rPr>
          <w:rStyle w:val="EndnoteReference"/>
        </w:rPr>
        <w:endnoteRef/>
      </w:r>
      <w:r w:rsidRPr="002523BD">
        <w:t xml:space="preserve"> </w:t>
      </w:r>
      <w:r>
        <w:t xml:space="preserve">Katam, op. cit. </w:t>
      </w:r>
    </w:p>
  </w:endnote>
  <w:endnote w:id="14">
    <w:p w14:paraId="285E94A4" w14:textId="113A9E20" w:rsidR="00C323C2" w:rsidRPr="002523BD" w:rsidRDefault="00C323C2" w:rsidP="00AE04C0">
      <w:pPr>
        <w:pStyle w:val="Footnote"/>
      </w:pPr>
      <w:r w:rsidRPr="00D7763D">
        <w:rPr>
          <w:rStyle w:val="EndnoteReference"/>
        </w:rPr>
        <w:endnoteRef/>
      </w:r>
      <w:r w:rsidRPr="002523BD">
        <w:t xml:space="preserve"> All </w:t>
      </w:r>
      <w:r>
        <w:t>dollar</w:t>
      </w:r>
      <w:r w:rsidRPr="002523BD">
        <w:t xml:space="preserve"> amounts are in </w:t>
      </w:r>
      <w:r>
        <w:t>US dollars (USD)</w:t>
      </w:r>
      <w:r w:rsidRPr="002523BD">
        <w:t xml:space="preserve"> unless otherwise specified</w:t>
      </w:r>
      <w:r>
        <w:t>.</w:t>
      </w:r>
    </w:p>
  </w:endnote>
  <w:endnote w:id="15">
    <w:p w14:paraId="760DD730" w14:textId="0DD64DCD" w:rsidR="00C323C2" w:rsidRPr="002523BD" w:rsidRDefault="00C323C2" w:rsidP="00AE04C0">
      <w:pPr>
        <w:pStyle w:val="Footnote"/>
      </w:pPr>
      <w:r w:rsidRPr="00D7763D">
        <w:rPr>
          <w:rStyle w:val="EndnoteReference"/>
        </w:rPr>
        <w:endnoteRef/>
      </w:r>
      <w:r w:rsidRPr="002523BD">
        <w:t xml:space="preserve"> Michael Sheetz, “SpaceX </w:t>
      </w:r>
      <w:r>
        <w:t>I</w:t>
      </w:r>
      <w:r w:rsidRPr="002523BD">
        <w:t xml:space="preserve">s Looking to Raise </w:t>
      </w:r>
      <w:r>
        <w:t>a</w:t>
      </w:r>
      <w:r w:rsidRPr="002523BD">
        <w:t xml:space="preserve">bout $250 </w:t>
      </w:r>
      <w:r>
        <w:t>M</w:t>
      </w:r>
      <w:r w:rsidRPr="002523BD">
        <w:t>illion, Valuing Elon Musk</w:t>
      </w:r>
      <w:r>
        <w:t>’</w:t>
      </w:r>
      <w:r w:rsidRPr="002523BD">
        <w:t xml:space="preserve">s Space Company at $36 Billion,” </w:t>
      </w:r>
      <w:r w:rsidRPr="006A0232">
        <w:t>CNBC</w:t>
      </w:r>
      <w:r w:rsidRPr="002523BD">
        <w:rPr>
          <w:i/>
          <w:iCs/>
        </w:rPr>
        <w:t xml:space="preserve">, </w:t>
      </w:r>
      <w:r w:rsidRPr="002523BD">
        <w:t xml:space="preserve">February 21, 2020, accessed August 17, 2020, </w:t>
      </w:r>
      <w:r w:rsidRPr="00AE04C0">
        <w:t>www.cnbc.com/2020/02/21/spacex-raising-250-million-elon-musks-company-valuation-36-billion.html</w:t>
      </w:r>
      <w:r>
        <w:t>.</w:t>
      </w:r>
    </w:p>
  </w:endnote>
  <w:endnote w:id="16">
    <w:p w14:paraId="0C054C1E" w14:textId="71735A28" w:rsidR="00C323C2" w:rsidRPr="002523BD" w:rsidRDefault="00C323C2" w:rsidP="00AE04C0">
      <w:pPr>
        <w:pStyle w:val="Footnote"/>
      </w:pPr>
      <w:r w:rsidRPr="00D7763D">
        <w:rPr>
          <w:rStyle w:val="EndnoteReference"/>
        </w:rPr>
        <w:endnoteRef/>
      </w:r>
      <w:r w:rsidRPr="002523BD">
        <w:t xml:space="preserve"> </w:t>
      </w:r>
      <w:bookmarkStart w:id="6" w:name="_Hlk48658492"/>
      <w:r w:rsidRPr="002523BD">
        <w:t xml:space="preserve">Rich Smith, “Elon Musk Wants Taxpayers to Pay for His Starlink Satellites,” </w:t>
      </w:r>
      <w:r w:rsidRPr="002F427C">
        <w:t>Motley Fool</w:t>
      </w:r>
      <w:r w:rsidRPr="002523BD">
        <w:rPr>
          <w:i/>
          <w:iCs/>
        </w:rPr>
        <w:t xml:space="preserve">, </w:t>
      </w:r>
      <w:r w:rsidRPr="002523BD">
        <w:t xml:space="preserve">April 10, 2020, accessed August 17, 2020, </w:t>
      </w:r>
      <w:r w:rsidRPr="00AE04C0">
        <w:t>www.fool.com/investing/2020/04/10/elon-musk-wants-taxpayers-to-pay-for-his-starlink.aspx</w:t>
      </w:r>
      <w:r>
        <w:t>.</w:t>
      </w:r>
      <w:bookmarkEnd w:id="6"/>
    </w:p>
  </w:endnote>
  <w:endnote w:id="17">
    <w:p w14:paraId="4245E228" w14:textId="7156A292" w:rsidR="00C323C2" w:rsidRPr="00335657" w:rsidRDefault="00C323C2" w:rsidP="00AE04C0">
      <w:pPr>
        <w:pStyle w:val="Footnote"/>
        <w:rPr>
          <w:spacing w:val="-6"/>
          <w:kern w:val="17"/>
        </w:rPr>
      </w:pPr>
      <w:r w:rsidRPr="00335657">
        <w:rPr>
          <w:rStyle w:val="EndnoteReference"/>
          <w:spacing w:val="-6"/>
          <w:kern w:val="17"/>
        </w:rPr>
        <w:endnoteRef/>
      </w:r>
      <w:r w:rsidRPr="00335657">
        <w:rPr>
          <w:spacing w:val="-6"/>
          <w:kern w:val="17"/>
        </w:rPr>
        <w:t xml:space="preserve"> Michael Sheetz, “SpaceX Raising over $500 Million, Double What Elon Musk’s Company Planned to Bring In,” CNBC</w:t>
      </w:r>
      <w:r w:rsidRPr="00335657">
        <w:rPr>
          <w:i/>
          <w:iCs/>
          <w:spacing w:val="-6"/>
          <w:kern w:val="17"/>
        </w:rPr>
        <w:t xml:space="preserve">, </w:t>
      </w:r>
      <w:r w:rsidRPr="00335657">
        <w:rPr>
          <w:spacing w:val="-6"/>
          <w:kern w:val="17"/>
        </w:rPr>
        <w:t>March 9, 2020, accessed August 17, 2020, www.cnbc.com/2020/03/09/spacex-raising-500-million-in-new-funding-for-elon-musks-company.html.</w:t>
      </w:r>
    </w:p>
  </w:endnote>
  <w:endnote w:id="18">
    <w:p w14:paraId="0E01E868" w14:textId="047964B9" w:rsidR="00C323C2" w:rsidRPr="002523BD" w:rsidRDefault="00C323C2" w:rsidP="00AE04C0">
      <w:pPr>
        <w:pStyle w:val="Footnote"/>
      </w:pPr>
      <w:r w:rsidRPr="00D7763D">
        <w:rPr>
          <w:rStyle w:val="EndnoteReference"/>
        </w:rPr>
        <w:endnoteRef/>
      </w:r>
      <w:r w:rsidRPr="002523BD">
        <w:t xml:space="preserve"> </w:t>
      </w:r>
      <w:r>
        <w:t>Oberhaus</w:t>
      </w:r>
      <w:r w:rsidRPr="002523BD">
        <w:t xml:space="preserve">, </w:t>
      </w:r>
      <w:r>
        <w:t xml:space="preserve">op. cit. </w:t>
      </w:r>
    </w:p>
  </w:endnote>
  <w:endnote w:id="19">
    <w:p w14:paraId="7A3DA961" w14:textId="4019B778" w:rsidR="00C323C2" w:rsidRPr="002523BD" w:rsidRDefault="00C323C2" w:rsidP="00AE04C0">
      <w:pPr>
        <w:pStyle w:val="Footnote"/>
        <w:rPr>
          <w:i/>
          <w:iCs/>
        </w:rPr>
      </w:pPr>
      <w:r w:rsidRPr="00D7763D">
        <w:rPr>
          <w:rStyle w:val="EndnoteReference"/>
        </w:rPr>
        <w:endnoteRef/>
      </w:r>
      <w:r w:rsidRPr="002523BD">
        <w:t xml:space="preserve"> Larry Press, “Can SpaceX Launch 30,000 Second-Generation Starlink Satellites? Maybe,” </w:t>
      </w:r>
      <w:r w:rsidRPr="00A37365">
        <w:t>CircleID</w:t>
      </w:r>
      <w:r w:rsidRPr="002523BD">
        <w:t xml:space="preserve">, June 8, 2020, accessed August 17, 2020, </w:t>
      </w:r>
      <w:r w:rsidRPr="00AE04C0">
        <w:t>www.circleid.com/posts/20200608-can-spacex-launch-30000-second-generation-starlink-satellites</w:t>
      </w:r>
      <w:r>
        <w:t>.</w:t>
      </w:r>
      <w:r w:rsidRPr="002523BD">
        <w:rPr>
          <w:i/>
          <w:iCs/>
        </w:rPr>
        <w:t xml:space="preserve"> </w:t>
      </w:r>
    </w:p>
  </w:endnote>
  <w:endnote w:id="20">
    <w:p w14:paraId="2A97F902" w14:textId="5C7DC717" w:rsidR="00C323C2" w:rsidRPr="002523BD" w:rsidRDefault="00C323C2" w:rsidP="00AE04C0">
      <w:pPr>
        <w:pStyle w:val="Footnote"/>
      </w:pPr>
      <w:r w:rsidRPr="00D7763D">
        <w:rPr>
          <w:rStyle w:val="EndnoteReference"/>
        </w:rPr>
        <w:endnoteRef/>
      </w:r>
      <w:r w:rsidRPr="002523BD">
        <w:t xml:space="preserve"> </w:t>
      </w:r>
      <w:r>
        <w:t xml:space="preserve">Ibid. </w:t>
      </w:r>
    </w:p>
  </w:endnote>
  <w:endnote w:id="21">
    <w:p w14:paraId="586AE2D5" w14:textId="7260E63E" w:rsidR="00C323C2" w:rsidRPr="008075EF" w:rsidRDefault="00C323C2" w:rsidP="008075EF">
      <w:pPr>
        <w:pStyle w:val="Footnote"/>
      </w:pPr>
      <w:r w:rsidRPr="008075EF">
        <w:rPr>
          <w:vertAlign w:val="superscript"/>
        </w:rPr>
        <w:endnoteRef/>
      </w:r>
      <w:r w:rsidRPr="008075EF">
        <w:t xml:space="preserve"> Sheetz, “SpaceX </w:t>
      </w:r>
      <w:r>
        <w:t>I</w:t>
      </w:r>
      <w:r w:rsidRPr="008075EF">
        <w:t xml:space="preserve">s Looking to Raise </w:t>
      </w:r>
      <w:r>
        <w:t>a</w:t>
      </w:r>
      <w:r w:rsidRPr="008075EF">
        <w:t xml:space="preserve">bout $250 million,” </w:t>
      </w:r>
      <w:r>
        <w:t xml:space="preserve">op. cit. </w:t>
      </w:r>
    </w:p>
  </w:endnote>
  <w:endnote w:id="22">
    <w:p w14:paraId="2338847D" w14:textId="4920B618" w:rsidR="00C323C2" w:rsidRPr="002523BD" w:rsidRDefault="00C323C2" w:rsidP="00AE04C0">
      <w:pPr>
        <w:pStyle w:val="Footnote"/>
      </w:pPr>
      <w:r w:rsidRPr="00D7763D">
        <w:rPr>
          <w:rStyle w:val="EndnoteReference"/>
        </w:rPr>
        <w:endnoteRef/>
      </w:r>
      <w:r w:rsidRPr="002523BD">
        <w:t xml:space="preserve"> </w:t>
      </w:r>
      <w:r>
        <w:t>Oberhaus</w:t>
      </w:r>
      <w:r w:rsidRPr="002523BD">
        <w:t xml:space="preserve">, </w:t>
      </w:r>
      <w:r>
        <w:t xml:space="preserve">op. cit. </w:t>
      </w:r>
    </w:p>
  </w:endnote>
  <w:endnote w:id="23">
    <w:p w14:paraId="4A3F832E" w14:textId="06F69EA6" w:rsidR="00C323C2" w:rsidRPr="00335657" w:rsidRDefault="00C323C2" w:rsidP="00AE04C0">
      <w:pPr>
        <w:pStyle w:val="Footnote"/>
        <w:rPr>
          <w:spacing w:val="-4"/>
          <w:kern w:val="17"/>
        </w:rPr>
      </w:pPr>
      <w:r w:rsidRPr="00335657">
        <w:rPr>
          <w:rStyle w:val="EndnoteReference"/>
          <w:spacing w:val="-4"/>
          <w:kern w:val="17"/>
        </w:rPr>
        <w:endnoteRef/>
      </w:r>
      <w:r w:rsidRPr="00335657">
        <w:rPr>
          <w:spacing w:val="-4"/>
          <w:kern w:val="17"/>
        </w:rPr>
        <w:t xml:space="preserve"> Michael Sheetz, “Elon Musk Tells SpaceX Employees That Its Starship Rocket Is the Top Priority Now,” CNBC</w:t>
      </w:r>
      <w:r w:rsidRPr="00335657">
        <w:rPr>
          <w:i/>
          <w:iCs/>
          <w:spacing w:val="-4"/>
          <w:kern w:val="17"/>
        </w:rPr>
        <w:t xml:space="preserve">, </w:t>
      </w:r>
      <w:r w:rsidRPr="00335657">
        <w:rPr>
          <w:spacing w:val="-4"/>
          <w:kern w:val="17"/>
        </w:rPr>
        <w:t>June 7, 2020, accessed August 17, 2020, www.cnbc.com/2020/06/07/elon-musk-email-to-spacex-employees-starship-is-the-top-priority.html.</w:t>
      </w:r>
    </w:p>
  </w:endnote>
  <w:endnote w:id="24">
    <w:p w14:paraId="01985867" w14:textId="778C6398" w:rsidR="00C323C2" w:rsidRPr="002523BD" w:rsidRDefault="00C323C2" w:rsidP="00AE04C0">
      <w:pPr>
        <w:pStyle w:val="Footnote"/>
      </w:pPr>
      <w:r w:rsidRPr="00D7763D">
        <w:rPr>
          <w:rStyle w:val="EndnoteReference"/>
        </w:rPr>
        <w:endnoteRef/>
      </w:r>
      <w:r w:rsidRPr="002523BD">
        <w:t xml:space="preserve"> Trefis Team, “Revisiting SpaceX</w:t>
      </w:r>
      <w:r>
        <w:t>’</w:t>
      </w:r>
      <w:r w:rsidRPr="002523BD">
        <w:t xml:space="preserve">s $36-Billion Valuation </w:t>
      </w:r>
      <w:r>
        <w:t>a</w:t>
      </w:r>
      <w:r w:rsidRPr="002523BD">
        <w:t xml:space="preserve">fter Its First Manned Mission,” </w:t>
      </w:r>
      <w:r w:rsidRPr="002523BD">
        <w:rPr>
          <w:i/>
          <w:iCs/>
        </w:rPr>
        <w:t>Forbes</w:t>
      </w:r>
      <w:r w:rsidRPr="002523BD">
        <w:t xml:space="preserve">, June 2, 2020, accessed August 17, 2020, </w:t>
      </w:r>
      <w:r w:rsidRPr="00AE04C0">
        <w:t>www.forbes.com/sites/greatspeculations/2020/06/02/revisiting-spacexs-36-billion-valuation-after-its-first-manned-mission/#8bbad5144fb7</w:t>
      </w:r>
      <w:r>
        <w:t>.</w:t>
      </w:r>
    </w:p>
  </w:endnote>
  <w:endnote w:id="25">
    <w:p w14:paraId="4C840EFB" w14:textId="5FD5AC83" w:rsidR="00C323C2" w:rsidRPr="002523BD" w:rsidRDefault="00C323C2" w:rsidP="00AE04C0">
      <w:pPr>
        <w:pStyle w:val="Footnote"/>
      </w:pPr>
      <w:r w:rsidRPr="00D7763D">
        <w:rPr>
          <w:rStyle w:val="EndnoteReference"/>
        </w:rPr>
        <w:endnoteRef/>
      </w:r>
      <w:r w:rsidRPr="002523BD">
        <w:t xml:space="preserve"> Trefis Team, “How Much Value Can SpaceX Unlock from Starlink</w:t>
      </w:r>
      <w:r>
        <w:t>’</w:t>
      </w:r>
      <w:r w:rsidRPr="002523BD">
        <w:t>s Proposed IPO?</w:t>
      </w:r>
      <w:r>
        <w:t>,</w:t>
      </w:r>
      <w:r w:rsidRPr="00A37365">
        <w:t>”</w:t>
      </w:r>
      <w:r w:rsidRPr="002523BD">
        <w:t xml:space="preserve"> </w:t>
      </w:r>
      <w:r w:rsidRPr="002523BD">
        <w:rPr>
          <w:i/>
          <w:iCs/>
        </w:rPr>
        <w:t>Forbes</w:t>
      </w:r>
      <w:r w:rsidRPr="002F427C">
        <w:t>,</w:t>
      </w:r>
      <w:r w:rsidRPr="002523BD">
        <w:rPr>
          <w:i/>
          <w:iCs/>
        </w:rPr>
        <w:t xml:space="preserve"> </w:t>
      </w:r>
      <w:r w:rsidRPr="002523BD">
        <w:t xml:space="preserve">February 13, 2020, accessed August 17, 2020, </w:t>
      </w:r>
      <w:r w:rsidRPr="00AE04C0">
        <w:t>www.forbes.com/sites/greatspeculations/2020/02/13/how-much-value-can-spacex-unlock-from-starlinks-proposed-ipo/#781efe0c6a7c</w:t>
      </w:r>
      <w:r>
        <w:t>.</w:t>
      </w:r>
    </w:p>
  </w:endnote>
  <w:endnote w:id="26">
    <w:p w14:paraId="013F896E" w14:textId="75769CE7" w:rsidR="00C323C2" w:rsidRPr="002523BD" w:rsidRDefault="00C323C2" w:rsidP="00AE04C0">
      <w:pPr>
        <w:pStyle w:val="Footnote"/>
      </w:pPr>
      <w:r w:rsidRPr="00D7763D">
        <w:rPr>
          <w:rStyle w:val="EndnoteReference"/>
        </w:rPr>
        <w:endnoteRef/>
      </w:r>
      <w:r w:rsidRPr="002523BD">
        <w:t xml:space="preserve"> </w:t>
      </w:r>
      <w:r>
        <w:t>Oberhaus</w:t>
      </w:r>
      <w:r w:rsidRPr="002523BD">
        <w:t xml:space="preserve">, </w:t>
      </w:r>
      <w:r>
        <w:t xml:space="preserve">op. cit. </w:t>
      </w:r>
    </w:p>
  </w:endnote>
  <w:endnote w:id="27">
    <w:p w14:paraId="7D880285" w14:textId="7B529341" w:rsidR="00C323C2" w:rsidRPr="002523BD" w:rsidRDefault="00C323C2" w:rsidP="00AE04C0">
      <w:pPr>
        <w:pStyle w:val="Footnote"/>
        <w:rPr>
          <w:color w:val="1A1A1A"/>
          <w:spacing w:val="1"/>
        </w:rPr>
      </w:pPr>
      <w:r w:rsidRPr="00D7763D">
        <w:rPr>
          <w:rStyle w:val="EndnoteReference"/>
        </w:rPr>
        <w:endnoteRef/>
      </w:r>
      <w:r w:rsidRPr="002523BD">
        <w:t xml:space="preserve"> </w:t>
      </w:r>
      <w:r>
        <w:t xml:space="preserve">Ibid. </w:t>
      </w:r>
    </w:p>
  </w:endnote>
  <w:endnote w:id="28">
    <w:p w14:paraId="65D5A60C" w14:textId="4A57B1FB" w:rsidR="00C323C2" w:rsidRPr="002523BD" w:rsidRDefault="00C323C2" w:rsidP="00AE04C0">
      <w:pPr>
        <w:pStyle w:val="Footnote"/>
      </w:pPr>
      <w:r w:rsidRPr="00D7763D">
        <w:rPr>
          <w:rStyle w:val="EndnoteReference"/>
        </w:rPr>
        <w:endnoteRef/>
      </w:r>
      <w:r w:rsidRPr="002523BD">
        <w:t xml:space="preserve"> Nathan Rust, “Why Satellite Internet </w:t>
      </w:r>
      <w:r>
        <w:t>I</w:t>
      </w:r>
      <w:r w:rsidRPr="002523BD">
        <w:t xml:space="preserve">s the New Space Race,” </w:t>
      </w:r>
      <w:r w:rsidRPr="002523BD">
        <w:rPr>
          <w:i/>
          <w:iCs/>
        </w:rPr>
        <w:t>PC Mag</w:t>
      </w:r>
      <w:r>
        <w:rPr>
          <w:i/>
          <w:iCs/>
        </w:rPr>
        <w:t>azine</w:t>
      </w:r>
      <w:r w:rsidRPr="002523BD">
        <w:rPr>
          <w:i/>
          <w:iCs/>
        </w:rPr>
        <w:t xml:space="preserve">, </w:t>
      </w:r>
      <w:r w:rsidRPr="002523BD">
        <w:t xml:space="preserve">July 30, 2018, accessed August 17, 2020, </w:t>
      </w:r>
      <w:r w:rsidRPr="00AE04C0">
        <w:t>www.pcmag.com/news/why-satellite-</w:t>
      </w:r>
      <w:r>
        <w:t>Internet</w:t>
      </w:r>
      <w:r w:rsidRPr="00AE04C0">
        <w:t>-is-the-new-space-race</w:t>
      </w:r>
      <w:r>
        <w:t>.</w:t>
      </w:r>
    </w:p>
  </w:endnote>
  <w:endnote w:id="29">
    <w:p w14:paraId="504FF7CB" w14:textId="1EAB91BD" w:rsidR="00C323C2" w:rsidRPr="002523BD" w:rsidRDefault="00C323C2" w:rsidP="00AE04C0">
      <w:pPr>
        <w:pStyle w:val="Footnote"/>
      </w:pPr>
      <w:r w:rsidRPr="00D7763D">
        <w:rPr>
          <w:rStyle w:val="EndnoteReference"/>
        </w:rPr>
        <w:endnoteRef/>
      </w:r>
      <w:r w:rsidRPr="002523BD">
        <w:t xml:space="preserve"> </w:t>
      </w:r>
      <w:r>
        <w:t>Oberhaus</w:t>
      </w:r>
      <w:r w:rsidRPr="002523BD">
        <w:t xml:space="preserve">, </w:t>
      </w:r>
      <w:r>
        <w:t xml:space="preserve">op. cit. </w:t>
      </w:r>
    </w:p>
  </w:endnote>
  <w:endnote w:id="30">
    <w:p w14:paraId="7463E35B" w14:textId="3FF04AF4" w:rsidR="00C323C2" w:rsidRPr="002523BD" w:rsidRDefault="00C323C2" w:rsidP="00A03DBD">
      <w:pPr>
        <w:pStyle w:val="Footnote"/>
      </w:pPr>
      <w:r w:rsidRPr="00D7763D">
        <w:rPr>
          <w:rStyle w:val="EndnoteReference"/>
        </w:rPr>
        <w:endnoteRef/>
      </w:r>
      <w:r w:rsidRPr="002523BD">
        <w:t xml:space="preserve"> </w:t>
      </w:r>
      <w:r>
        <w:t xml:space="preserve">US Federal Communications Commission, as reported by Rob Toledo, “Report: The Average Household’s Internet Data Usage Has Jumped 38× in 10 Years,” Decision Data, April 17, 2020, accessed November 30, 2020, </w:t>
      </w:r>
      <w:r w:rsidRPr="00356745">
        <w:t>https://decisiondata.org/news/report-the-average-households-internet-data-usage-has-jumped-38x-in-10-years</w:t>
      </w:r>
      <w:r>
        <w:t>.</w:t>
      </w:r>
    </w:p>
  </w:endnote>
  <w:endnote w:id="31">
    <w:p w14:paraId="14A72B34" w14:textId="3702BA54" w:rsidR="00C323C2" w:rsidRPr="002523BD" w:rsidRDefault="00C323C2" w:rsidP="00A03DBD">
      <w:pPr>
        <w:pStyle w:val="Footnote"/>
        <w:rPr>
          <w:color w:val="1C1D20"/>
          <w:shd w:val="clear" w:color="auto" w:fill="FFFFFF"/>
        </w:rPr>
      </w:pPr>
      <w:r w:rsidRPr="00D7763D">
        <w:rPr>
          <w:rStyle w:val="EndnoteReference"/>
        </w:rPr>
        <w:endnoteRef/>
      </w:r>
      <w:r w:rsidRPr="002523BD">
        <w:t xml:space="preserve"> Luis Sanchez, “The Space Race </w:t>
      </w:r>
      <w:r>
        <w:t>a</w:t>
      </w:r>
      <w:r w:rsidRPr="002523BD">
        <w:t xml:space="preserve">mong Internet Service Providers,” </w:t>
      </w:r>
      <w:r w:rsidRPr="002F427C">
        <w:t>Motley Fool</w:t>
      </w:r>
      <w:r w:rsidRPr="002523BD">
        <w:rPr>
          <w:i/>
          <w:iCs/>
        </w:rPr>
        <w:t xml:space="preserve">, </w:t>
      </w:r>
      <w:r w:rsidRPr="002523BD">
        <w:t xml:space="preserve">November 21, 2019, accessed August 17, 2020, </w:t>
      </w:r>
      <w:r w:rsidRPr="00AE04C0">
        <w:t>www.fool.com/investing/2019/11/21/the-space-race-among-</w:t>
      </w:r>
      <w:r>
        <w:t>Internet</w:t>
      </w:r>
      <w:r w:rsidRPr="00AE04C0">
        <w:t>-service-providers.aspx</w:t>
      </w:r>
      <w:r>
        <w:t>.</w:t>
      </w:r>
    </w:p>
  </w:endnote>
  <w:endnote w:id="32">
    <w:p w14:paraId="26DCE255" w14:textId="7EB30AF8" w:rsidR="00C323C2" w:rsidRPr="002523BD" w:rsidRDefault="00C323C2" w:rsidP="00AE04C0">
      <w:pPr>
        <w:pStyle w:val="Footnote"/>
      </w:pPr>
      <w:r w:rsidRPr="00D7763D">
        <w:rPr>
          <w:rStyle w:val="EndnoteReference"/>
        </w:rPr>
        <w:endnoteRef/>
      </w:r>
      <w:r w:rsidRPr="002523BD">
        <w:t xml:space="preserve"> </w:t>
      </w:r>
      <w:bookmarkStart w:id="8" w:name="_Hlk48658709"/>
      <w:bookmarkStart w:id="9" w:name="_Hlk48658513"/>
      <w:r w:rsidRPr="002523BD">
        <w:t>Dave Schafer, “How Much Does Satellite Internet Cost?</w:t>
      </w:r>
      <w:r>
        <w:t>,</w:t>
      </w:r>
      <w:r w:rsidRPr="002523BD">
        <w:t>”</w:t>
      </w:r>
      <w:bookmarkEnd w:id="8"/>
      <w:r w:rsidRPr="002523BD">
        <w:t xml:space="preserve"> </w:t>
      </w:r>
      <w:r w:rsidRPr="002F427C">
        <w:t>Satellite Internet</w:t>
      </w:r>
      <w:r w:rsidRPr="002523BD">
        <w:t xml:space="preserve">, December 2, 2019, accessed August 17, 2020, </w:t>
      </w:r>
      <w:r w:rsidRPr="00AE04C0">
        <w:t>www.satellite</w:t>
      </w:r>
      <w:r>
        <w:t>Internet</w:t>
      </w:r>
      <w:r w:rsidRPr="00AE04C0">
        <w:t>.com/resources/how-much-does-satellite-</w:t>
      </w:r>
      <w:r>
        <w:t>Internet</w:t>
      </w:r>
      <w:r w:rsidRPr="00AE04C0">
        <w:t>-cost</w:t>
      </w:r>
      <w:r>
        <w:t>.</w:t>
      </w:r>
      <w:bookmarkEnd w:id="9"/>
    </w:p>
  </w:endnote>
  <w:endnote w:id="33">
    <w:p w14:paraId="33DECD12" w14:textId="35B8BFDC" w:rsidR="00C323C2" w:rsidRPr="00335657" w:rsidRDefault="00C323C2" w:rsidP="002F427C">
      <w:pPr>
        <w:pStyle w:val="Footnote"/>
        <w:rPr>
          <w:spacing w:val="-4"/>
          <w:kern w:val="17"/>
        </w:rPr>
      </w:pPr>
      <w:r w:rsidRPr="00335657">
        <w:rPr>
          <w:rStyle w:val="EndnoteReference"/>
          <w:spacing w:val="-4"/>
          <w:kern w:val="17"/>
        </w:rPr>
        <w:endnoteRef/>
      </w:r>
      <w:r w:rsidRPr="00335657">
        <w:rPr>
          <w:spacing w:val="-4"/>
          <w:kern w:val="17"/>
        </w:rPr>
        <w:t xml:space="preserve"> Viasat, “Order Viasat Home Satellite Internet,” accessed November 30, 2020, https://order.viasat.com/ooe/display-package.jsp.</w:t>
      </w:r>
    </w:p>
  </w:endnote>
  <w:endnote w:id="34">
    <w:p w14:paraId="33B37231" w14:textId="5D29B638" w:rsidR="00335657" w:rsidRDefault="00C323C2" w:rsidP="002F427C">
      <w:pPr>
        <w:pStyle w:val="Footnote"/>
      </w:pPr>
      <w:r>
        <w:rPr>
          <w:rStyle w:val="EndnoteReference"/>
        </w:rPr>
        <w:endnoteRef/>
      </w:r>
      <w:r>
        <w:t xml:space="preserve"> Catherine McNally,” Viasat (Formerly Exede) Satellite Internet Review 2020,” Reviews, November 30, 2020, accessed November 30, 2020, </w:t>
      </w:r>
      <w:r w:rsidR="00335657" w:rsidRPr="00335657">
        <w:t>www.reviews.org/internet-service/viasat-reviews</w:t>
      </w:r>
      <w:r>
        <w:t>.</w:t>
      </w:r>
    </w:p>
  </w:endnote>
  <w:endnote w:id="35">
    <w:p w14:paraId="02E3930D" w14:textId="18B8F85F" w:rsidR="00C323C2" w:rsidRPr="002523BD" w:rsidRDefault="00C323C2" w:rsidP="00AE04C0">
      <w:pPr>
        <w:pStyle w:val="Footnote"/>
      </w:pPr>
      <w:r w:rsidRPr="00D7763D">
        <w:rPr>
          <w:rStyle w:val="EndnoteReference"/>
        </w:rPr>
        <w:endnoteRef/>
      </w:r>
      <w:r w:rsidRPr="002523BD">
        <w:t xml:space="preserve"> </w:t>
      </w:r>
      <w:r>
        <w:t xml:space="preserve">Catherine McNally, “HughesNet Satellite Internet Review 2020,” Reviews, August 26, 2020, accessed November 30, 2020, </w:t>
      </w:r>
      <w:r w:rsidRPr="005706F7">
        <w:t>https://www.reviews.org/internet-service/hughesnet-reviews</w:t>
      </w:r>
      <w:r w:rsidRPr="002523BD">
        <w:t xml:space="preserve">. </w:t>
      </w:r>
    </w:p>
  </w:endnote>
  <w:endnote w:id="36">
    <w:p w14:paraId="45F138B6" w14:textId="0B725C6B" w:rsidR="00C323C2" w:rsidRDefault="00C323C2" w:rsidP="002F427C">
      <w:pPr>
        <w:pStyle w:val="Footnote"/>
      </w:pPr>
      <w:r>
        <w:rPr>
          <w:rStyle w:val="EndnoteReference"/>
        </w:rPr>
        <w:endnoteRef/>
      </w:r>
      <w:r>
        <w:t xml:space="preserve"> Ibid. </w:t>
      </w:r>
    </w:p>
  </w:endnote>
  <w:endnote w:id="37">
    <w:p w14:paraId="24EC0FAF" w14:textId="281DDD23" w:rsidR="00C323C2" w:rsidRPr="002523BD" w:rsidRDefault="00C323C2" w:rsidP="004B4F8C">
      <w:pPr>
        <w:pStyle w:val="Footnote"/>
      </w:pPr>
      <w:r w:rsidRPr="00D7763D">
        <w:rPr>
          <w:rStyle w:val="EndnoteReference"/>
        </w:rPr>
        <w:endnoteRef/>
      </w:r>
      <w:r w:rsidRPr="002523BD">
        <w:t xml:space="preserve"> </w:t>
      </w:r>
      <w:r>
        <w:t xml:space="preserve">McNally, “Viasat (Formerly Exede),” op. cit. </w:t>
      </w:r>
    </w:p>
  </w:endnote>
  <w:endnote w:id="38">
    <w:p w14:paraId="29F869C5" w14:textId="7191B72A" w:rsidR="00C323C2" w:rsidRPr="002523BD" w:rsidRDefault="00C323C2" w:rsidP="00352548">
      <w:pPr>
        <w:pStyle w:val="Footnote"/>
      </w:pPr>
      <w:r w:rsidRPr="00D7763D">
        <w:rPr>
          <w:rStyle w:val="EndnoteReference"/>
        </w:rPr>
        <w:endnoteRef/>
      </w:r>
      <w:r w:rsidRPr="002523BD">
        <w:t xml:space="preserve"> </w:t>
      </w:r>
      <w:r>
        <w:t>Oberhaus</w:t>
      </w:r>
      <w:r w:rsidRPr="002523BD">
        <w:t xml:space="preserve">, </w:t>
      </w:r>
      <w:r w:rsidR="00203989">
        <w:t xml:space="preserve">op. cit. </w:t>
      </w:r>
    </w:p>
  </w:endnote>
  <w:endnote w:id="39">
    <w:p w14:paraId="12560E1C" w14:textId="45E50B42" w:rsidR="00C323C2" w:rsidRPr="002523BD" w:rsidRDefault="00C323C2" w:rsidP="00B946E4">
      <w:pPr>
        <w:pStyle w:val="Footnote"/>
      </w:pPr>
      <w:r w:rsidRPr="00D7763D">
        <w:rPr>
          <w:rStyle w:val="EndnoteReference"/>
        </w:rPr>
        <w:endnoteRef/>
      </w:r>
      <w:r w:rsidRPr="002523BD">
        <w:t xml:space="preserve"> </w:t>
      </w:r>
      <w:r w:rsidR="0005040F">
        <w:t xml:space="preserve">Ibid. </w:t>
      </w:r>
    </w:p>
  </w:endnote>
  <w:endnote w:id="40">
    <w:p w14:paraId="744B75E6" w14:textId="66980907" w:rsidR="00C323C2" w:rsidRPr="002523BD" w:rsidRDefault="00C323C2" w:rsidP="00AE04C0">
      <w:pPr>
        <w:pStyle w:val="Footnote"/>
      </w:pPr>
      <w:r w:rsidRPr="00D7763D">
        <w:rPr>
          <w:rStyle w:val="EndnoteReference"/>
        </w:rPr>
        <w:endnoteRef/>
      </w:r>
      <w:r w:rsidRPr="002523BD">
        <w:t xml:space="preserve"> Caleb Henry, “Soyuz Launches 34 OneWeb Satellites,” Space News, March 21, 2020, accessed August 17, 2020, </w:t>
      </w:r>
      <w:r w:rsidRPr="00AE04C0">
        <w:t>https://spacenews.com/soyuz-launches-34-oneweb-satellites</w:t>
      </w:r>
      <w:r>
        <w:t>.</w:t>
      </w:r>
    </w:p>
  </w:endnote>
  <w:endnote w:id="41">
    <w:p w14:paraId="0DF6EF18" w14:textId="2E04F164" w:rsidR="00C323C2" w:rsidRPr="002523BD" w:rsidRDefault="00C323C2" w:rsidP="00AE04C0">
      <w:pPr>
        <w:pStyle w:val="Footnote"/>
      </w:pPr>
      <w:r w:rsidRPr="00D7763D">
        <w:rPr>
          <w:rStyle w:val="EndnoteReference"/>
        </w:rPr>
        <w:endnoteRef/>
      </w:r>
      <w:r w:rsidRPr="002523BD">
        <w:t xml:space="preserve"> </w:t>
      </w:r>
      <w:r>
        <w:t>Oberhaus</w:t>
      </w:r>
      <w:r w:rsidRPr="002523BD">
        <w:t xml:space="preserve">, </w:t>
      </w:r>
      <w:r w:rsidR="00203989">
        <w:t xml:space="preserve">op. cit. </w:t>
      </w:r>
    </w:p>
  </w:endnote>
  <w:endnote w:id="42">
    <w:p w14:paraId="553F2CFB" w14:textId="07A6F2D2" w:rsidR="00C323C2" w:rsidRPr="002523BD" w:rsidRDefault="00C323C2" w:rsidP="00AE04C0">
      <w:pPr>
        <w:pStyle w:val="Footnote"/>
      </w:pPr>
      <w:r w:rsidRPr="00D7763D">
        <w:rPr>
          <w:rStyle w:val="EndnoteReference"/>
        </w:rPr>
        <w:endnoteRef/>
      </w:r>
      <w:r w:rsidRPr="002523BD">
        <w:t xml:space="preserve"> Caleb Henry, “Telesat Preparing for Mid-2020 Constellation Manufacturer Selection,” </w:t>
      </w:r>
      <w:r w:rsidRPr="002F427C">
        <w:t>Space News</w:t>
      </w:r>
      <w:r w:rsidRPr="002523BD">
        <w:rPr>
          <w:i/>
          <w:iCs/>
        </w:rPr>
        <w:t xml:space="preserve">, </w:t>
      </w:r>
      <w:r w:rsidRPr="002523BD">
        <w:t xml:space="preserve">May 1, 2020, accessed August 17, 2020, </w:t>
      </w:r>
      <w:r w:rsidRPr="00AE04C0">
        <w:t>https://spacenews.com/telesat-preparing-for-mid-2020-constellation-manufacturer-selection</w:t>
      </w:r>
      <w:r>
        <w:t>.</w:t>
      </w:r>
    </w:p>
  </w:endnote>
  <w:endnote w:id="43">
    <w:p w14:paraId="4D2E7AF4" w14:textId="0EAD5B4E" w:rsidR="00C323C2" w:rsidRPr="00335657" w:rsidRDefault="00C323C2" w:rsidP="008075EF">
      <w:pPr>
        <w:pStyle w:val="Footnote"/>
        <w:rPr>
          <w:spacing w:val="-4"/>
          <w:kern w:val="17"/>
          <w:lang w:val="en-US"/>
        </w:rPr>
      </w:pPr>
      <w:r w:rsidRPr="00335657">
        <w:rPr>
          <w:rStyle w:val="EndnoteReference"/>
          <w:spacing w:val="-4"/>
          <w:kern w:val="17"/>
        </w:rPr>
        <w:endnoteRef/>
      </w:r>
      <w:r w:rsidRPr="00335657">
        <w:rPr>
          <w:spacing w:val="-4"/>
          <w:kern w:val="17"/>
        </w:rPr>
        <w:t xml:space="preserve"> Michael Sheetz, “FCC Approves SpaceX to Deploy up to 1 Million Small Antennas for Starlink Internet Network,” CNBC, March 20, 2020, August 17, 2020, www.cnbc.com/2020/03/20/fcc-approves-spacex-to-deploy-1-million-antennas-for-starlink-Internet.html.</w:t>
      </w:r>
    </w:p>
  </w:endnote>
  <w:endnote w:id="44">
    <w:p w14:paraId="1A207CA8" w14:textId="2B9467E0" w:rsidR="00C323C2" w:rsidRPr="00335657" w:rsidRDefault="00C323C2" w:rsidP="008075EF">
      <w:pPr>
        <w:pStyle w:val="Footnote"/>
        <w:rPr>
          <w:spacing w:val="-4"/>
          <w:kern w:val="17"/>
          <w:lang w:val="en-US"/>
        </w:rPr>
      </w:pPr>
      <w:r w:rsidRPr="00335657">
        <w:rPr>
          <w:rStyle w:val="EndnoteReference"/>
          <w:spacing w:val="-4"/>
          <w:kern w:val="17"/>
        </w:rPr>
        <w:endnoteRef/>
      </w:r>
      <w:r w:rsidRPr="00335657">
        <w:rPr>
          <w:spacing w:val="-4"/>
          <w:kern w:val="17"/>
        </w:rPr>
        <w:t xml:space="preserve"> Devin Coldewey, “SpaceX Reveals More Starlink Info </w:t>
      </w:r>
      <w:r w:rsidR="00203989" w:rsidRPr="00335657">
        <w:rPr>
          <w:spacing w:val="-4"/>
          <w:kern w:val="17"/>
        </w:rPr>
        <w:t>a</w:t>
      </w:r>
      <w:r w:rsidRPr="00335657">
        <w:rPr>
          <w:spacing w:val="-4"/>
          <w:kern w:val="17"/>
        </w:rPr>
        <w:t xml:space="preserve">fter Launch of First 60 Satellites,” </w:t>
      </w:r>
      <w:r w:rsidRPr="00335657">
        <w:rPr>
          <w:i/>
          <w:iCs/>
          <w:spacing w:val="-4"/>
          <w:kern w:val="17"/>
        </w:rPr>
        <w:t xml:space="preserve">Tech Crunch, </w:t>
      </w:r>
      <w:r w:rsidRPr="00335657">
        <w:rPr>
          <w:spacing w:val="-4"/>
          <w:kern w:val="17"/>
        </w:rPr>
        <w:t>May 24, 2019, accessed January 11, 2021, https://techcrunch.com/2019/05/24/spacex-reveals-more-starlink-info-after-launch-of-first-60-satellites/.</w:t>
      </w:r>
    </w:p>
  </w:endnote>
  <w:endnote w:id="45">
    <w:p w14:paraId="73AD7B0A" w14:textId="76084298" w:rsidR="00C323C2" w:rsidRPr="002523BD" w:rsidRDefault="00C323C2" w:rsidP="00AE04C0">
      <w:pPr>
        <w:pStyle w:val="Footnote"/>
      </w:pPr>
      <w:r w:rsidRPr="00D7763D">
        <w:rPr>
          <w:rStyle w:val="EndnoteReference"/>
        </w:rPr>
        <w:endnoteRef/>
      </w:r>
      <w:r w:rsidRPr="002523BD">
        <w:t xml:space="preserve"> </w:t>
      </w:r>
      <w:r>
        <w:t>Oberhaus</w:t>
      </w:r>
      <w:r w:rsidRPr="002523BD">
        <w:t xml:space="preserve">, </w:t>
      </w:r>
      <w:r w:rsidR="00203989">
        <w:t xml:space="preserve">op. cit. </w:t>
      </w:r>
    </w:p>
  </w:endnote>
  <w:endnote w:id="46">
    <w:p w14:paraId="3DD78CF6" w14:textId="35EFBFD9" w:rsidR="00C323C2" w:rsidRPr="002523BD" w:rsidRDefault="00C323C2" w:rsidP="00AE04C0">
      <w:pPr>
        <w:pStyle w:val="Footnote"/>
      </w:pPr>
      <w:r w:rsidRPr="00D7763D">
        <w:rPr>
          <w:rStyle w:val="EndnoteReference"/>
        </w:rPr>
        <w:endnoteRef/>
      </w:r>
      <w:r w:rsidRPr="002523BD">
        <w:t xml:space="preserve"> Jonathan O</w:t>
      </w:r>
      <w:r>
        <w:t>’</w:t>
      </w:r>
      <w:r w:rsidRPr="002523BD">
        <w:t>Callaghan, “</w:t>
      </w:r>
      <w:r>
        <w:t>‘</w:t>
      </w:r>
      <w:r w:rsidRPr="002523BD">
        <w:t>Not Good Enough</w:t>
      </w:r>
      <w:r>
        <w:t>’—</w:t>
      </w:r>
      <w:r w:rsidRPr="002523BD">
        <w:t xml:space="preserve">SpaceX Reveals </w:t>
      </w:r>
      <w:r>
        <w:t>T</w:t>
      </w:r>
      <w:r w:rsidRPr="002523BD">
        <w:t xml:space="preserve">hat 5% of </w:t>
      </w:r>
      <w:r>
        <w:t>Its</w:t>
      </w:r>
      <w:r w:rsidRPr="002523BD">
        <w:t xml:space="preserve"> Starlink Satellites Have Failed in Orbit </w:t>
      </w:r>
      <w:r>
        <w:t>S</w:t>
      </w:r>
      <w:r w:rsidRPr="002523BD">
        <w:t xml:space="preserve">o </w:t>
      </w:r>
      <w:r>
        <w:t>F</w:t>
      </w:r>
      <w:r w:rsidRPr="002523BD">
        <w:t xml:space="preserve">ar,” </w:t>
      </w:r>
      <w:r w:rsidRPr="002523BD">
        <w:rPr>
          <w:i/>
          <w:iCs/>
        </w:rPr>
        <w:t xml:space="preserve">Forbes, </w:t>
      </w:r>
      <w:r w:rsidRPr="002523BD">
        <w:t>June 30, 2019, accessed August 17, 2020,</w:t>
      </w:r>
      <w:r>
        <w:t xml:space="preserve"> </w:t>
      </w:r>
      <w:r w:rsidRPr="00AE04C0">
        <w:t>www.forbes.com/sites/jonathanocallaghan/2019/06/30/not-good-enough-spacex-reveals-that-5-of-its-starlink-satellites-have-failed-in-orbit/#4c58e03a7e6b</w:t>
      </w:r>
      <w:r>
        <w:t>.</w:t>
      </w:r>
    </w:p>
  </w:endnote>
  <w:endnote w:id="47">
    <w:p w14:paraId="1147904A" w14:textId="499FC0C6" w:rsidR="00C323C2" w:rsidRPr="002523BD" w:rsidRDefault="00C323C2" w:rsidP="00AE04C0">
      <w:pPr>
        <w:pStyle w:val="Footnote"/>
      </w:pPr>
      <w:r w:rsidRPr="00D7763D">
        <w:rPr>
          <w:rStyle w:val="EndnoteReference"/>
        </w:rPr>
        <w:endnoteRef/>
      </w:r>
      <w:r w:rsidRPr="002523BD">
        <w:t xml:space="preserve"> Tariq Malik, “SpaceX</w:t>
      </w:r>
      <w:r>
        <w:t>’</w:t>
      </w:r>
      <w:r w:rsidRPr="002523BD">
        <w:t xml:space="preserve">s Starlink Broadband Service Will Begin in 2020: Report,” Space, October 24, 2019, accessed August 17, 2020, </w:t>
      </w:r>
      <w:r w:rsidRPr="00AE04C0">
        <w:t>www.space.com/spacex-starlink-satellite-</w:t>
      </w:r>
      <w:r>
        <w:t>Internet</w:t>
      </w:r>
      <w:r w:rsidRPr="00AE04C0">
        <w:t>-service-2020.html</w:t>
      </w:r>
      <w:r>
        <w:t>.</w:t>
      </w:r>
    </w:p>
  </w:endnote>
  <w:endnote w:id="48">
    <w:p w14:paraId="5896DEA8" w14:textId="2D346FF5" w:rsidR="00C323C2" w:rsidRPr="008075EF" w:rsidRDefault="00C323C2" w:rsidP="008075EF">
      <w:pPr>
        <w:pStyle w:val="Footnote"/>
      </w:pPr>
      <w:r>
        <w:rPr>
          <w:rStyle w:val="EndnoteReference"/>
        </w:rPr>
        <w:endnoteRef/>
      </w:r>
      <w:r>
        <w:t xml:space="preserve"> </w:t>
      </w:r>
      <w:r w:rsidRPr="002523BD">
        <w:t xml:space="preserve">Sheetz, “FCC Approves SpaceX to Deploy up to 1 Million Small Antennas,” </w:t>
      </w:r>
      <w:r w:rsidR="00203989">
        <w:t xml:space="preserve">op. cit. </w:t>
      </w:r>
    </w:p>
  </w:endnote>
  <w:endnote w:id="49">
    <w:p w14:paraId="01F309B8" w14:textId="5A0C0567" w:rsidR="00C323C2" w:rsidRPr="008075EF" w:rsidRDefault="00C323C2" w:rsidP="008075EF">
      <w:pPr>
        <w:pStyle w:val="Footnote"/>
      </w:pPr>
      <w:r>
        <w:rPr>
          <w:rStyle w:val="EndnoteReference"/>
        </w:rPr>
        <w:endnoteRef/>
      </w:r>
      <w:r>
        <w:t xml:space="preserve"> Harmeet Kaur, “</w:t>
      </w:r>
      <w:r w:rsidRPr="00896F4A">
        <w:t xml:space="preserve">Why </w:t>
      </w:r>
      <w:r>
        <w:t>R</w:t>
      </w:r>
      <w:r w:rsidRPr="00896F4A">
        <w:t xml:space="preserve">ural Americans </w:t>
      </w:r>
      <w:r w:rsidR="007208FB">
        <w:t>A</w:t>
      </w:r>
      <w:r w:rsidRPr="00896F4A">
        <w:t xml:space="preserve">re </w:t>
      </w:r>
      <w:r>
        <w:t>H</w:t>
      </w:r>
      <w:r w:rsidRPr="00896F4A">
        <w:t xml:space="preserve">aving a </w:t>
      </w:r>
      <w:r>
        <w:t>H</w:t>
      </w:r>
      <w:r w:rsidRPr="00896F4A">
        <w:t xml:space="preserve">ard </w:t>
      </w:r>
      <w:r>
        <w:t>T</w:t>
      </w:r>
      <w:r w:rsidRPr="00896F4A">
        <w:t xml:space="preserve">ime </w:t>
      </w:r>
      <w:r>
        <w:t>W</w:t>
      </w:r>
      <w:r w:rsidRPr="00896F4A">
        <w:t xml:space="preserve">orking </w:t>
      </w:r>
      <w:r>
        <w:t>from</w:t>
      </w:r>
      <w:r w:rsidRPr="00896F4A">
        <w:t xml:space="preserve"> </w:t>
      </w:r>
      <w:r>
        <w:t>H</w:t>
      </w:r>
      <w:r w:rsidRPr="00896F4A">
        <w:t>ome</w:t>
      </w:r>
      <w:r>
        <w:t xml:space="preserve">,” </w:t>
      </w:r>
      <w:r>
        <w:rPr>
          <w:i/>
          <w:iCs/>
        </w:rPr>
        <w:t xml:space="preserve">CNN, </w:t>
      </w:r>
      <w:r>
        <w:t xml:space="preserve">April 29, 2020, accessed January 11, 2021, </w:t>
      </w:r>
      <w:r w:rsidRPr="00626AC1">
        <w:t>www.cnn.com/2020/04/29/us/rural-broadband-access-coronavirus-trnd/index.html</w:t>
      </w:r>
      <w:r>
        <w:t>.</w:t>
      </w:r>
    </w:p>
  </w:endnote>
  <w:endnote w:id="50">
    <w:p w14:paraId="4F8620C0" w14:textId="5CCC4DBB" w:rsidR="00C323C2" w:rsidRPr="002523BD" w:rsidRDefault="00C323C2" w:rsidP="00AE04C0">
      <w:pPr>
        <w:pStyle w:val="Footnote"/>
      </w:pPr>
      <w:r w:rsidRPr="00D7763D">
        <w:rPr>
          <w:rStyle w:val="EndnoteReference"/>
        </w:rPr>
        <w:endnoteRef/>
      </w:r>
      <w:r w:rsidRPr="002523BD">
        <w:t xml:space="preserve"> </w:t>
      </w:r>
      <w:r>
        <w:t>Oberhaus</w:t>
      </w:r>
      <w:r w:rsidRPr="002523BD">
        <w:t xml:space="preserve">, </w:t>
      </w:r>
      <w:r w:rsidR="007208FB">
        <w:t xml:space="preserve">op. cit. </w:t>
      </w:r>
    </w:p>
  </w:endnote>
  <w:endnote w:id="51">
    <w:p w14:paraId="67A34BBA" w14:textId="2EC39114" w:rsidR="00C323C2" w:rsidRPr="002523BD" w:rsidRDefault="00C323C2" w:rsidP="00AE04C0">
      <w:pPr>
        <w:pStyle w:val="Footnote"/>
        <w:rPr>
          <w:color w:val="000000"/>
        </w:rPr>
      </w:pPr>
      <w:r w:rsidRPr="00D7763D">
        <w:rPr>
          <w:rStyle w:val="EndnoteReference"/>
        </w:rPr>
        <w:endnoteRef/>
      </w:r>
      <w:r w:rsidRPr="002523BD">
        <w:t xml:space="preserve"> Caleb Henry, “Musk Says Starlink </w:t>
      </w:r>
      <w:r>
        <w:t>‘</w:t>
      </w:r>
      <w:r w:rsidRPr="002523BD">
        <w:t>Economically Viable</w:t>
      </w:r>
      <w:r>
        <w:t>’</w:t>
      </w:r>
      <w:r w:rsidRPr="002523BD">
        <w:t xml:space="preserve"> </w:t>
      </w:r>
      <w:r w:rsidR="007208FB">
        <w:t>w</w:t>
      </w:r>
      <w:r w:rsidRPr="002523BD">
        <w:t xml:space="preserve">ith </w:t>
      </w:r>
      <w:r w:rsidR="007208FB">
        <w:t>a</w:t>
      </w:r>
      <w:r w:rsidRPr="002523BD">
        <w:t xml:space="preserve">round 1,000 Satellites,” </w:t>
      </w:r>
      <w:r w:rsidRPr="002F427C">
        <w:t>Space News</w:t>
      </w:r>
      <w:r w:rsidRPr="002523BD">
        <w:rPr>
          <w:i/>
          <w:iCs/>
        </w:rPr>
        <w:t xml:space="preserve">, </w:t>
      </w:r>
      <w:r w:rsidRPr="002523BD">
        <w:t xml:space="preserve">May 15, 2019, accessed August 17, 2020, </w:t>
      </w:r>
      <w:r w:rsidRPr="00AE04C0">
        <w:t>https://spacenews.com/musk-says-starlink-economically-viable-with-around-1000-satellites</w:t>
      </w:r>
      <w:r>
        <w:t>.</w:t>
      </w:r>
    </w:p>
  </w:endnote>
  <w:endnote w:id="52">
    <w:p w14:paraId="7E9D0C09" w14:textId="0DCAA3AE" w:rsidR="00C323C2" w:rsidRPr="00335657" w:rsidRDefault="00C323C2" w:rsidP="00AE04C0">
      <w:pPr>
        <w:pStyle w:val="Footnote"/>
        <w:rPr>
          <w:spacing w:val="-4"/>
          <w:kern w:val="17"/>
        </w:rPr>
      </w:pPr>
      <w:r w:rsidRPr="00335657">
        <w:rPr>
          <w:rStyle w:val="EndnoteReference"/>
          <w:spacing w:val="-4"/>
          <w:kern w:val="17"/>
        </w:rPr>
        <w:endnoteRef/>
      </w:r>
      <w:r w:rsidRPr="00335657">
        <w:rPr>
          <w:spacing w:val="-4"/>
          <w:kern w:val="17"/>
        </w:rPr>
        <w:t xml:space="preserve"> Larry Press, “Low-Earth Orbit (LEO) Satellite Internet Service Developments for 2019,” Circle ID</w:t>
      </w:r>
      <w:r w:rsidRPr="00335657">
        <w:rPr>
          <w:i/>
          <w:iCs/>
          <w:spacing w:val="-4"/>
          <w:kern w:val="17"/>
        </w:rPr>
        <w:t xml:space="preserve">, </w:t>
      </w:r>
      <w:r w:rsidRPr="00335657">
        <w:rPr>
          <w:spacing w:val="-4"/>
          <w:kern w:val="17"/>
        </w:rPr>
        <w:t>January 14, 2020, accessed</w:t>
      </w:r>
      <w:r w:rsidR="00335657" w:rsidRPr="00335657">
        <w:rPr>
          <w:spacing w:val="-4"/>
          <w:kern w:val="17"/>
        </w:rPr>
        <w:t> </w:t>
      </w:r>
      <w:r w:rsidRPr="00335657">
        <w:rPr>
          <w:spacing w:val="-4"/>
          <w:kern w:val="17"/>
        </w:rPr>
        <w:t>August</w:t>
      </w:r>
      <w:r w:rsidR="00335657" w:rsidRPr="00335657">
        <w:rPr>
          <w:spacing w:val="-4"/>
          <w:kern w:val="17"/>
        </w:rPr>
        <w:t> </w:t>
      </w:r>
      <w:r w:rsidRPr="00335657">
        <w:rPr>
          <w:spacing w:val="-4"/>
          <w:kern w:val="17"/>
        </w:rPr>
        <w:t>17,</w:t>
      </w:r>
      <w:r w:rsidR="00335657" w:rsidRPr="00335657">
        <w:rPr>
          <w:spacing w:val="-4"/>
          <w:kern w:val="17"/>
        </w:rPr>
        <w:t> </w:t>
      </w:r>
      <w:r w:rsidRPr="00335657">
        <w:rPr>
          <w:spacing w:val="-4"/>
          <w:kern w:val="17"/>
        </w:rPr>
        <w:t>2020,</w:t>
      </w:r>
      <w:r w:rsidR="00335657" w:rsidRPr="00335657">
        <w:rPr>
          <w:spacing w:val="-4"/>
          <w:kern w:val="17"/>
        </w:rPr>
        <w:t> </w:t>
      </w:r>
      <w:r w:rsidRPr="00335657">
        <w:rPr>
          <w:spacing w:val="-4"/>
          <w:kern w:val="17"/>
        </w:rPr>
        <w:t>www.circleid.com/posts/20200114_low_earth_orbit_leo_satellite_Internet_developments_for_2019.</w:t>
      </w:r>
    </w:p>
  </w:endnote>
  <w:endnote w:id="53">
    <w:p w14:paraId="69E3C3EE" w14:textId="0E331E91" w:rsidR="00C323C2" w:rsidRPr="002523BD" w:rsidRDefault="00C323C2" w:rsidP="00AE04C0">
      <w:pPr>
        <w:pStyle w:val="Footnote"/>
      </w:pPr>
      <w:r w:rsidRPr="00D7763D">
        <w:rPr>
          <w:rStyle w:val="EndnoteReference"/>
        </w:rPr>
        <w:endnoteRef/>
      </w:r>
      <w:r w:rsidRPr="002523BD">
        <w:t xml:space="preserve"> Nathan Strout, “SpaceX Could Fill the US Military</w:t>
      </w:r>
      <w:r>
        <w:t>’</w:t>
      </w:r>
      <w:r w:rsidRPr="002523BD">
        <w:t xml:space="preserve">s Arctic Communications Gap by the End of This Year,” </w:t>
      </w:r>
      <w:r>
        <w:t>C4ISRNET</w:t>
      </w:r>
      <w:r w:rsidRPr="002523BD">
        <w:t xml:space="preserve">, May 12, 2020, August 17, 2020, </w:t>
      </w:r>
      <w:r w:rsidRPr="00AE04C0">
        <w:t>www.c4isrnet.com/smr/frozen-pathways/2020/05/11/spacex-could-fill-the-us-militarys-arctic-communications-gap-by-the-end-of-this-year</w:t>
      </w:r>
      <w:r>
        <w:t>.</w:t>
      </w:r>
    </w:p>
  </w:endnote>
  <w:endnote w:id="54">
    <w:p w14:paraId="61E07BAB" w14:textId="0B7E7D34" w:rsidR="00C323C2" w:rsidRPr="002523BD" w:rsidRDefault="00C323C2" w:rsidP="00AE04C0">
      <w:pPr>
        <w:pStyle w:val="Footnote"/>
      </w:pPr>
      <w:r w:rsidRPr="00D7763D">
        <w:rPr>
          <w:rStyle w:val="EndnoteReference"/>
        </w:rPr>
        <w:endnoteRef/>
      </w:r>
      <w:r w:rsidRPr="002523BD">
        <w:t xml:space="preserve"> </w:t>
      </w:r>
      <w:r>
        <w:t>Oberhaus</w:t>
      </w:r>
      <w:r w:rsidRPr="002523BD">
        <w:t xml:space="preserve">, </w:t>
      </w:r>
      <w:r w:rsidR="007208FB">
        <w:t xml:space="preserve">op. cit. </w:t>
      </w:r>
    </w:p>
  </w:endnote>
  <w:endnote w:id="55">
    <w:p w14:paraId="7BF532C6" w14:textId="75FA5ED4" w:rsidR="00C323C2" w:rsidRPr="002523BD" w:rsidRDefault="00C323C2" w:rsidP="00AE04C0">
      <w:pPr>
        <w:pStyle w:val="Footnote"/>
      </w:pPr>
      <w:r w:rsidRPr="00D7763D">
        <w:rPr>
          <w:rStyle w:val="EndnoteReference"/>
        </w:rPr>
        <w:endnoteRef/>
      </w:r>
      <w:r w:rsidRPr="002523BD">
        <w:t xml:space="preserve"> </w:t>
      </w:r>
      <w:r w:rsidR="007208FB">
        <w:t xml:space="preserve">Ibid. </w:t>
      </w:r>
    </w:p>
  </w:endnote>
  <w:endnote w:id="56">
    <w:p w14:paraId="08A9C61A" w14:textId="32B7C12C" w:rsidR="00C323C2" w:rsidRPr="002523BD" w:rsidRDefault="00C323C2" w:rsidP="00AE04C0">
      <w:pPr>
        <w:pStyle w:val="Footnote"/>
      </w:pPr>
      <w:r w:rsidRPr="00D7763D">
        <w:rPr>
          <w:rStyle w:val="EndnoteReference"/>
        </w:rPr>
        <w:endnoteRef/>
      </w:r>
      <w:r w:rsidRPr="002523BD">
        <w:t xml:space="preserve"> </w:t>
      </w:r>
      <w:r w:rsidR="007208FB">
        <w:t xml:space="preserve">Ibid. </w:t>
      </w:r>
    </w:p>
  </w:endnote>
  <w:endnote w:id="57">
    <w:p w14:paraId="742183C5" w14:textId="43E80E54" w:rsidR="00C323C2" w:rsidRPr="002523BD" w:rsidRDefault="00C323C2" w:rsidP="00AE04C0">
      <w:pPr>
        <w:pStyle w:val="Footnote"/>
      </w:pPr>
      <w:r w:rsidRPr="00D7763D">
        <w:rPr>
          <w:rStyle w:val="EndnoteReference"/>
        </w:rPr>
        <w:endnoteRef/>
      </w:r>
      <w:r w:rsidRPr="002523BD">
        <w:t xml:space="preserve"> Sheetz, “FCC Approves SpaceX</w:t>
      </w:r>
      <w:r w:rsidR="007208FB">
        <w:t>,</w:t>
      </w:r>
      <w:r w:rsidRPr="002523BD">
        <w:t>”</w:t>
      </w:r>
      <w:r w:rsidR="007208FB">
        <w:t xml:space="preserve"> op. cit. </w:t>
      </w:r>
    </w:p>
  </w:endnote>
  <w:endnote w:id="58">
    <w:p w14:paraId="44C922D7" w14:textId="387A8ADA" w:rsidR="00C323C2" w:rsidRPr="002523BD" w:rsidRDefault="00C323C2" w:rsidP="00AE04C0">
      <w:pPr>
        <w:pStyle w:val="Footnote"/>
      </w:pPr>
      <w:r w:rsidRPr="00D7763D">
        <w:rPr>
          <w:rStyle w:val="EndnoteReference"/>
        </w:rPr>
        <w:endnoteRef/>
      </w:r>
      <w:r w:rsidRPr="002523BD">
        <w:t xml:space="preserve"> Elizabeth Howell, “Space Companies Are Investing Big in 5G Technology,” Space, October 20, 2019, accessed August 16, 2020, </w:t>
      </w:r>
      <w:r w:rsidRPr="00AE04C0">
        <w:t>www.space.com/5g-in-space-</w:t>
      </w:r>
      <w:r>
        <w:t>Internet</w:t>
      </w:r>
      <w:r w:rsidRPr="00AE04C0">
        <w:t>-satellites.html</w:t>
      </w:r>
      <w:r>
        <w:t>.</w:t>
      </w:r>
    </w:p>
  </w:endnote>
  <w:endnote w:id="59">
    <w:p w14:paraId="734A58C3" w14:textId="502D9AF8" w:rsidR="00C323C2" w:rsidRPr="002523BD" w:rsidRDefault="00C323C2" w:rsidP="00AE04C0">
      <w:pPr>
        <w:pStyle w:val="Footnote"/>
      </w:pPr>
      <w:r w:rsidRPr="00D7763D">
        <w:rPr>
          <w:rStyle w:val="EndnoteReference"/>
        </w:rPr>
        <w:endnoteRef/>
      </w:r>
      <w:r w:rsidRPr="002523BD">
        <w:t xml:space="preserve"> </w:t>
      </w:r>
      <w:bookmarkStart w:id="12" w:name="_Hlk48658673"/>
      <w:r w:rsidRPr="002523BD">
        <w:t xml:space="preserve">Steven J. Vaughan-Nichols, “SpaceX Starlink Internet Prepares for Beta Users,” </w:t>
      </w:r>
      <w:r w:rsidRPr="002F427C">
        <w:t>ZD Net</w:t>
      </w:r>
      <w:r w:rsidRPr="002523BD">
        <w:rPr>
          <w:i/>
          <w:iCs/>
        </w:rPr>
        <w:t xml:space="preserve">, </w:t>
      </w:r>
      <w:r w:rsidRPr="002523BD">
        <w:t xml:space="preserve">June 15, 2020, accessed August 17, 2020, </w:t>
      </w:r>
      <w:r w:rsidRPr="00AE04C0">
        <w:t>www.zdnet.com/article/spacex-starlink-</w:t>
      </w:r>
      <w:r>
        <w:t>Internet</w:t>
      </w:r>
      <w:r w:rsidRPr="00AE04C0">
        <w:t>-prepares-for-beta-users</w:t>
      </w:r>
      <w:r>
        <w:t>.</w:t>
      </w:r>
      <w:bookmarkEnd w:id="12"/>
    </w:p>
  </w:endnote>
  <w:endnote w:id="60">
    <w:p w14:paraId="063C15B2" w14:textId="7859580A" w:rsidR="00C323C2" w:rsidRPr="002523BD" w:rsidRDefault="00C323C2" w:rsidP="00AE04C0">
      <w:pPr>
        <w:pStyle w:val="Footnote"/>
      </w:pPr>
      <w:r w:rsidRPr="00D7763D">
        <w:rPr>
          <w:rStyle w:val="EndnoteReference"/>
        </w:rPr>
        <w:endnoteRef/>
      </w:r>
      <w:r w:rsidRPr="002523BD">
        <w:t xml:space="preserve"> Derick David, “Are Elon Musk</w:t>
      </w:r>
      <w:r>
        <w:t>’</w:t>
      </w:r>
      <w:r w:rsidRPr="002523BD">
        <w:t>s Starlink Satellites Being Used For 5G?</w:t>
      </w:r>
      <w:r>
        <w:t>,</w:t>
      </w:r>
      <w:r w:rsidRPr="002523BD">
        <w:t xml:space="preserve">” </w:t>
      </w:r>
      <w:r w:rsidRPr="002F427C">
        <w:t>Medium</w:t>
      </w:r>
      <w:r w:rsidRPr="002523BD">
        <w:rPr>
          <w:i/>
          <w:iCs/>
        </w:rPr>
        <w:t xml:space="preserve">, </w:t>
      </w:r>
      <w:r w:rsidRPr="002523BD">
        <w:t xml:space="preserve">July 2, 2020, accessed August 17, 2020, </w:t>
      </w:r>
      <w:r w:rsidRPr="00AE04C0">
        <w:t>https://medium.com/@drckangelo/are-starlink-satellites-being-used-for-5g-38df3b79ebf2</w:t>
      </w:r>
      <w:r>
        <w:t>.</w:t>
      </w:r>
    </w:p>
  </w:endnote>
  <w:endnote w:id="61">
    <w:p w14:paraId="4A191405" w14:textId="009F0AC4" w:rsidR="00C323C2" w:rsidRPr="002523BD" w:rsidRDefault="00C323C2" w:rsidP="00AE04C0">
      <w:pPr>
        <w:pStyle w:val="Footnote"/>
      </w:pPr>
      <w:r w:rsidRPr="00D7763D">
        <w:rPr>
          <w:rStyle w:val="EndnoteReference"/>
        </w:rPr>
        <w:endnoteRef/>
      </w:r>
      <w:r w:rsidRPr="002523BD">
        <w:t xml:space="preserve"> Catherine Sbeglia, “FCC Unveils $9 Billion 5G Fund for Rural America,” </w:t>
      </w:r>
      <w:r>
        <w:t>RCR Wireless News</w:t>
      </w:r>
      <w:r w:rsidRPr="002523BD">
        <w:t xml:space="preserve">, December 5, 2019, accessed August 17, 2020, </w:t>
      </w:r>
      <w:r w:rsidRPr="00FB352C">
        <w:t>www.rcrwireless.com/20191205/policy/fcc-reveals-9-billion-5g-fund-for-rural-america</w:t>
      </w:r>
      <w:r>
        <w:t>.</w:t>
      </w:r>
    </w:p>
  </w:endnote>
  <w:endnote w:id="62">
    <w:p w14:paraId="3F21F329" w14:textId="706CBF8A" w:rsidR="00C323C2" w:rsidRPr="00335657" w:rsidRDefault="00C323C2" w:rsidP="00AE04C0">
      <w:pPr>
        <w:pStyle w:val="Footnote"/>
        <w:rPr>
          <w:spacing w:val="-4"/>
          <w:kern w:val="17"/>
        </w:rPr>
      </w:pPr>
      <w:r w:rsidRPr="00335657">
        <w:rPr>
          <w:rStyle w:val="EndnoteReference"/>
          <w:spacing w:val="-4"/>
          <w:kern w:val="17"/>
        </w:rPr>
        <w:endnoteRef/>
      </w:r>
      <w:r w:rsidRPr="00335657">
        <w:rPr>
          <w:spacing w:val="-4"/>
          <w:kern w:val="17"/>
        </w:rPr>
        <w:t xml:space="preserve"> S. O’Dea, “Number of Subscribers to Wireless Carriers in the U.S. From 1st Quarter 2013 to 3rd Quarter 2018, by Carrier,” Statista</w:t>
      </w:r>
      <w:r w:rsidRPr="00335657">
        <w:rPr>
          <w:i/>
          <w:iCs/>
          <w:spacing w:val="-4"/>
          <w:kern w:val="17"/>
        </w:rPr>
        <w:t xml:space="preserve">, </w:t>
      </w:r>
      <w:r w:rsidRPr="00335657">
        <w:rPr>
          <w:spacing w:val="-4"/>
          <w:kern w:val="17"/>
        </w:rPr>
        <w:t xml:space="preserve">June 5, 2020, accessed August 17, 2020, www.statista.com/statistics/283507/subscribers-to-top-wireless-carriers-in-the-us. </w:t>
      </w:r>
    </w:p>
  </w:endnote>
  <w:endnote w:id="63">
    <w:p w14:paraId="147A4297" w14:textId="16FD1622" w:rsidR="00C323C2" w:rsidRPr="002523BD" w:rsidRDefault="00C323C2" w:rsidP="00AE04C0">
      <w:pPr>
        <w:pStyle w:val="Footnote"/>
      </w:pPr>
      <w:r w:rsidRPr="00D7763D">
        <w:rPr>
          <w:rStyle w:val="EndnoteReference"/>
        </w:rPr>
        <w:endnoteRef/>
      </w:r>
      <w:r w:rsidRPr="002523BD">
        <w:t xml:space="preserve"> </w:t>
      </w:r>
      <w:r>
        <w:t xml:space="preserve">T-Mobile, </w:t>
      </w:r>
      <w:r w:rsidRPr="002523BD">
        <w:t>“T</w:t>
      </w:r>
      <w:r w:rsidRPr="002523BD">
        <w:rPr>
          <w:rFonts w:ascii="Cambria Math" w:hAnsi="Cambria Math" w:cs="Cambria Math"/>
        </w:rPr>
        <w:t>‑</w:t>
      </w:r>
      <w:r w:rsidRPr="002523BD">
        <w:t xml:space="preserve">Mobile Wins 5G Availability Award: Customers Get 5G 56x More Often than Verizon,” </w:t>
      </w:r>
      <w:r>
        <w:t xml:space="preserve">press release, Business Wire, June 30, 2020, accessed December 3, 2020, </w:t>
      </w:r>
      <w:r w:rsidRPr="004A6C4A">
        <w:t>www.businesswire.com/news/home/20200630005657/en/T-Mobile-Wins-5G-Availability-Award-Customers-Get-5G-56x-More-Often-than-Verizon</w:t>
      </w:r>
      <w:r w:rsidRPr="006C5A62">
        <w:t>.</w:t>
      </w:r>
      <w:r>
        <w:rPr>
          <w:i/>
          <w:iCs/>
        </w:rPr>
        <w:t xml:space="preserve"> </w:t>
      </w:r>
    </w:p>
  </w:endnote>
  <w:endnote w:id="64">
    <w:p w14:paraId="31595467" w14:textId="0646E541" w:rsidR="00C323C2" w:rsidRPr="002523BD" w:rsidRDefault="00C323C2" w:rsidP="00AE04C0">
      <w:pPr>
        <w:pStyle w:val="Footnote"/>
      </w:pPr>
      <w:r w:rsidRPr="00D7763D">
        <w:rPr>
          <w:rStyle w:val="EndnoteReference"/>
        </w:rPr>
        <w:endnoteRef/>
      </w:r>
      <w:r w:rsidRPr="002523BD">
        <w:t xml:space="preserve"> </w:t>
      </w:r>
      <w:bookmarkStart w:id="13" w:name="_Hlk48658626"/>
      <w:r w:rsidRPr="002523BD">
        <w:t xml:space="preserve">Philip Michaels, “T-Mobile 5G Rollout: Locations, Phones, Price and More,” </w:t>
      </w:r>
      <w:r w:rsidRPr="002F427C">
        <w:t>Tom’s Guide</w:t>
      </w:r>
      <w:r w:rsidRPr="002523BD">
        <w:rPr>
          <w:i/>
          <w:iCs/>
        </w:rPr>
        <w:t xml:space="preserve">, </w:t>
      </w:r>
      <w:r w:rsidRPr="002523BD">
        <w:t xml:space="preserve">May 6, 2020, accessed August 17, 2020, </w:t>
      </w:r>
      <w:r w:rsidRPr="00AE04C0">
        <w:t>www.tomsguide.com/uk/us/t-mobile-5g-network,news-29965.html</w:t>
      </w:r>
      <w:bookmarkEnd w:id="13"/>
      <w:r>
        <w:t>.</w:t>
      </w:r>
    </w:p>
  </w:endnote>
  <w:endnote w:id="65">
    <w:p w14:paraId="4B07BA13" w14:textId="68D5AC5A" w:rsidR="00C323C2" w:rsidRPr="002523BD" w:rsidRDefault="00C323C2" w:rsidP="00AE04C0">
      <w:pPr>
        <w:pStyle w:val="Footnote"/>
      </w:pPr>
      <w:r w:rsidRPr="00D7763D">
        <w:rPr>
          <w:rStyle w:val="EndnoteReference"/>
        </w:rPr>
        <w:endnoteRef/>
      </w:r>
      <w:r w:rsidRPr="002523BD">
        <w:t xml:space="preserve"> </w:t>
      </w:r>
      <w:bookmarkStart w:id="14" w:name="_Hlk48658652"/>
      <w:r w:rsidRPr="002523BD">
        <w:t xml:space="preserve">Bevin Fletcher, “FCC Floats Options for Proposed $9B 5G Rural Fund,” </w:t>
      </w:r>
      <w:r w:rsidRPr="002F427C">
        <w:t>Fierce Wireless</w:t>
      </w:r>
      <w:r w:rsidRPr="002523BD">
        <w:rPr>
          <w:i/>
          <w:iCs/>
        </w:rPr>
        <w:t xml:space="preserve">, </w:t>
      </w:r>
      <w:r w:rsidRPr="002523BD">
        <w:t xml:space="preserve">April 1, 2020, accessed August 17, 2020, </w:t>
      </w:r>
      <w:r w:rsidRPr="00AE04C0">
        <w:t>www.fiercewireless.com/regulatory/fcc-floats-options-for-proposed-9b-5g-rural-fund</w:t>
      </w:r>
      <w:bookmarkEnd w:id="14"/>
      <w:r>
        <w:t>.</w:t>
      </w:r>
    </w:p>
  </w:endnote>
  <w:endnote w:id="66">
    <w:p w14:paraId="027A4FC3" w14:textId="6841EC4F" w:rsidR="00C323C2" w:rsidRPr="002523BD" w:rsidRDefault="00C323C2" w:rsidP="00AE04C0">
      <w:pPr>
        <w:pStyle w:val="Footnote"/>
      </w:pPr>
      <w:bookmarkStart w:id="15" w:name="_Hlk48658817"/>
      <w:r w:rsidRPr="00D7763D">
        <w:rPr>
          <w:rStyle w:val="EndnoteReference"/>
        </w:rPr>
        <w:endnoteRef/>
      </w:r>
      <w:r w:rsidRPr="002523BD">
        <w:t xml:space="preserve"> “T-Mobile US Profit Margin 2006-2020 | TMUS,” </w:t>
      </w:r>
      <w:r w:rsidRPr="002F427C">
        <w:t>Macrotrends</w:t>
      </w:r>
      <w:r w:rsidRPr="002523BD">
        <w:rPr>
          <w:i/>
          <w:iCs/>
        </w:rPr>
        <w:t xml:space="preserve">, </w:t>
      </w:r>
      <w:r w:rsidRPr="002523BD">
        <w:t xml:space="preserve">June 30, 2020, accessed August 17, 2020, </w:t>
      </w:r>
      <w:r w:rsidRPr="00AE04C0">
        <w:t>www.macrotrends.net/stocks/charts/TMUS/t-mobile-us/profit-margins</w:t>
      </w:r>
      <w:bookmarkEnd w:id="15"/>
      <w:r>
        <w:t>.</w:t>
      </w:r>
    </w:p>
  </w:endnote>
  <w:endnote w:id="67">
    <w:p w14:paraId="29528BB0" w14:textId="1E3BF5D7" w:rsidR="00C323C2" w:rsidRPr="002523BD" w:rsidRDefault="00C323C2" w:rsidP="00AE04C0">
      <w:pPr>
        <w:pStyle w:val="Footnote"/>
      </w:pPr>
      <w:r w:rsidRPr="00D7763D">
        <w:rPr>
          <w:rStyle w:val="EndnoteReference"/>
        </w:rPr>
        <w:endnoteRef/>
      </w:r>
      <w:r w:rsidRPr="002523BD">
        <w:t xml:space="preserve"> Rust, </w:t>
      </w:r>
      <w:r w:rsidR="007208FB">
        <w:t xml:space="preserve">op. cit. </w:t>
      </w:r>
    </w:p>
  </w:endnote>
  <w:endnote w:id="68">
    <w:p w14:paraId="5EC599FB" w14:textId="56CCCD8A" w:rsidR="00C323C2" w:rsidRPr="002523BD" w:rsidRDefault="00C323C2" w:rsidP="00AE04C0">
      <w:pPr>
        <w:pStyle w:val="Footnote"/>
      </w:pPr>
      <w:r w:rsidRPr="00D7763D">
        <w:rPr>
          <w:rStyle w:val="EndnoteReference"/>
        </w:rPr>
        <w:endnoteRef/>
      </w:r>
      <w:r w:rsidR="0005040F">
        <w:t xml:space="preserve"> </w:t>
      </w:r>
      <w:r w:rsidR="0005040F" w:rsidRPr="005A7CF2">
        <w:t>Ibid</w:t>
      </w:r>
      <w:r w:rsidR="007208FB">
        <w:t>.</w:t>
      </w:r>
      <w:r w:rsidR="007208FB" w:rsidRPr="002523BD">
        <w:t xml:space="preserve"> </w:t>
      </w:r>
    </w:p>
  </w:endnote>
  <w:endnote w:id="69">
    <w:p w14:paraId="5DB1281F" w14:textId="7BB5BDE5" w:rsidR="00C323C2" w:rsidRPr="002523BD" w:rsidRDefault="00C323C2" w:rsidP="00AE04C0">
      <w:pPr>
        <w:pStyle w:val="Footnote"/>
      </w:pPr>
      <w:r w:rsidRPr="00D7763D">
        <w:rPr>
          <w:rStyle w:val="EndnoteReference"/>
        </w:rPr>
        <w:endnoteRef/>
      </w:r>
      <w:r w:rsidRPr="002523BD">
        <w:t xml:space="preserve"> Smith, </w:t>
      </w:r>
      <w:r w:rsidR="00B25BD3">
        <w:t xml:space="preserve">op. cit. </w:t>
      </w:r>
    </w:p>
  </w:endnote>
  <w:endnote w:id="70">
    <w:p w14:paraId="6456B26D" w14:textId="6803643F" w:rsidR="00C323C2" w:rsidRPr="008075EF" w:rsidRDefault="00C323C2" w:rsidP="008075EF">
      <w:pPr>
        <w:pStyle w:val="Footnote"/>
        <w:rPr>
          <w:lang w:val="en-US"/>
        </w:rPr>
      </w:pPr>
      <w:r>
        <w:rPr>
          <w:rStyle w:val="EndnoteReference"/>
        </w:rPr>
        <w:endnoteRef/>
      </w:r>
      <w:r>
        <w:t xml:space="preserve"> “</w:t>
      </w:r>
      <w:r w:rsidRPr="002C07AD">
        <w:t>Starlink vs 5G Internet Detailed Comparison</w:t>
      </w:r>
      <w:r>
        <w:t xml:space="preserve">,” </w:t>
      </w:r>
      <w:r w:rsidRPr="008075EF">
        <w:rPr>
          <w:i/>
          <w:iCs/>
        </w:rPr>
        <w:t>Bitactro</w:t>
      </w:r>
      <w:r>
        <w:t xml:space="preserve">, December 25, 2020, accessed January 11, 2021, </w:t>
      </w:r>
      <w:r w:rsidRPr="001B5778">
        <w:t>https://bitactro.com/starlink-vs-5g/</w:t>
      </w:r>
      <w:r>
        <w:t>.</w:t>
      </w:r>
    </w:p>
  </w:endnote>
  <w:endnote w:id="71">
    <w:p w14:paraId="705D035A" w14:textId="55BCB112" w:rsidR="00C323C2" w:rsidRPr="002523BD" w:rsidRDefault="00C323C2" w:rsidP="00AE04C0">
      <w:pPr>
        <w:pStyle w:val="Footnote"/>
      </w:pPr>
      <w:r w:rsidRPr="00D7763D">
        <w:rPr>
          <w:rStyle w:val="EndnoteReference"/>
        </w:rPr>
        <w:endnoteRef/>
      </w:r>
      <w:r>
        <w:t xml:space="preserve"> </w:t>
      </w:r>
      <w:r w:rsidRPr="002523BD">
        <w:t>J.</w:t>
      </w:r>
      <w:r>
        <w:t xml:space="preserve"> </w:t>
      </w:r>
      <w:r w:rsidRPr="002523BD">
        <w:t xml:space="preserve">Jordan, “Uber Freight: What </w:t>
      </w:r>
      <w:r>
        <w:t>I</w:t>
      </w:r>
      <w:r w:rsidRPr="002523BD">
        <w:t xml:space="preserve">s </w:t>
      </w:r>
      <w:r>
        <w:t>I</w:t>
      </w:r>
      <w:r w:rsidRPr="002523BD">
        <w:t xml:space="preserve">t and </w:t>
      </w:r>
      <w:r>
        <w:t>I</w:t>
      </w:r>
      <w:r w:rsidRPr="002523BD">
        <w:t xml:space="preserve">s </w:t>
      </w:r>
      <w:r>
        <w:t>I</w:t>
      </w:r>
      <w:r w:rsidRPr="002523BD">
        <w:t>t a Threat to the Industry?</w:t>
      </w:r>
      <w:r>
        <w:t>,</w:t>
      </w:r>
      <w:r w:rsidRPr="002523BD">
        <w:t xml:space="preserve">” </w:t>
      </w:r>
      <w:r w:rsidRPr="002F427C">
        <w:t>Telenet Logistics</w:t>
      </w:r>
      <w:r w:rsidRPr="002523BD">
        <w:t xml:space="preserve">, January 19, 2020, accessed August 17, 2020, </w:t>
      </w:r>
      <w:r w:rsidRPr="00AE04C0">
        <w:t>http://telenetlogistics.com/uber-freight.</w:t>
      </w:r>
    </w:p>
  </w:endnote>
  <w:endnote w:id="72">
    <w:p w14:paraId="3B568896" w14:textId="6831A426" w:rsidR="00C323C2" w:rsidRPr="002523BD" w:rsidRDefault="00C323C2" w:rsidP="00AE04C0">
      <w:pPr>
        <w:pStyle w:val="Footnote"/>
      </w:pPr>
      <w:r w:rsidRPr="00D7763D">
        <w:rPr>
          <w:rStyle w:val="EndnoteReference"/>
        </w:rPr>
        <w:endnoteRef/>
      </w:r>
      <w:r w:rsidRPr="002523BD">
        <w:t xml:space="preserve"> David, </w:t>
      </w:r>
      <w:r w:rsidR="00B25BD3">
        <w:t xml:space="preserve">op. cit. </w:t>
      </w:r>
    </w:p>
  </w:endnote>
  <w:endnote w:id="73">
    <w:p w14:paraId="01C2A3C2" w14:textId="02BEBB8D" w:rsidR="00C323C2" w:rsidRPr="002523BD" w:rsidRDefault="00C323C2" w:rsidP="00AE04C0">
      <w:pPr>
        <w:pStyle w:val="Footnote"/>
      </w:pPr>
      <w:r w:rsidRPr="00D7763D">
        <w:rPr>
          <w:rStyle w:val="EndnoteReference"/>
        </w:rPr>
        <w:endnoteRef/>
      </w:r>
      <w:r w:rsidRPr="002523BD">
        <w:t xml:space="preserve"> </w:t>
      </w:r>
      <w:r w:rsidR="00B25BD3">
        <w:t xml:space="preserve">Ibid. </w:t>
      </w:r>
    </w:p>
  </w:endnote>
  <w:endnote w:id="74">
    <w:p w14:paraId="231104F9" w14:textId="6A2DCABD" w:rsidR="00C323C2" w:rsidRPr="002523BD" w:rsidRDefault="00C323C2" w:rsidP="00AE04C0">
      <w:pPr>
        <w:pStyle w:val="Footnote"/>
      </w:pPr>
      <w:r w:rsidRPr="00D7763D">
        <w:rPr>
          <w:rStyle w:val="EndnoteReference"/>
        </w:rPr>
        <w:endnoteRef/>
      </w:r>
      <w:r w:rsidRPr="002523BD">
        <w:t xml:space="preserve"> Andy Baryer, “5G From Space: The Role of Satellites in 5G,” Futur</w:t>
      </w:r>
      <w:r>
        <w:t>-I</w:t>
      </w:r>
      <w:r w:rsidRPr="002523BD">
        <w:t xml:space="preserve">thmic, March 10, 2020, accessed August 17, 2020, </w:t>
      </w:r>
      <w:bookmarkStart w:id="17" w:name="_Hlk60724651"/>
      <w:r w:rsidRPr="00AE04C0">
        <w:t>www.futurithmic.com/2020/03/10/5g-from-space-role-of-satellites</w:t>
      </w:r>
      <w:bookmarkEnd w:id="17"/>
      <w:r>
        <w:t>.</w:t>
      </w:r>
    </w:p>
  </w:endnote>
  <w:endnote w:id="75">
    <w:p w14:paraId="5EF8807A" w14:textId="79C7AF8B" w:rsidR="00C323C2" w:rsidRPr="00335657" w:rsidRDefault="00C323C2" w:rsidP="00AE04C0">
      <w:pPr>
        <w:pStyle w:val="Footnote"/>
        <w:rPr>
          <w:spacing w:val="-6"/>
          <w:kern w:val="17"/>
        </w:rPr>
      </w:pPr>
      <w:r w:rsidRPr="00335657">
        <w:rPr>
          <w:rStyle w:val="EndnoteReference"/>
          <w:spacing w:val="-6"/>
          <w:kern w:val="17"/>
        </w:rPr>
        <w:endnoteRef/>
      </w:r>
      <w:r w:rsidRPr="00335657">
        <w:rPr>
          <w:spacing w:val="-6"/>
          <w:kern w:val="17"/>
        </w:rPr>
        <w:t xml:space="preserve"> “Scientists Warn of Potential Serious Health Effects of 5G,” 5G Appeal</w:t>
      </w:r>
      <w:r w:rsidRPr="00335657">
        <w:rPr>
          <w:i/>
          <w:iCs/>
          <w:spacing w:val="-6"/>
          <w:kern w:val="17"/>
        </w:rPr>
        <w:t xml:space="preserve">, </w:t>
      </w:r>
      <w:r w:rsidRPr="00335657">
        <w:rPr>
          <w:spacing w:val="-6"/>
          <w:kern w:val="17"/>
        </w:rPr>
        <w:t>accessed August 17, 2020, www.5gappeal.eu/the-5g-appeal.</w:t>
      </w:r>
    </w:p>
  </w:endnote>
  <w:endnote w:id="76">
    <w:p w14:paraId="7E65A5C1" w14:textId="06FDC3CD" w:rsidR="00C323C2" w:rsidRPr="002523BD" w:rsidRDefault="00C323C2" w:rsidP="00AE04C0">
      <w:pPr>
        <w:pStyle w:val="Footnote"/>
      </w:pPr>
      <w:r w:rsidRPr="00D7763D">
        <w:rPr>
          <w:rStyle w:val="EndnoteReference"/>
        </w:rPr>
        <w:endnoteRef/>
      </w:r>
      <w:r w:rsidRPr="002523BD">
        <w:t xml:space="preserve"> Joel M. Moskowitz, “We Have No Reason to Believe 5G Is Safe,” </w:t>
      </w:r>
      <w:r w:rsidRPr="002523BD">
        <w:rPr>
          <w:i/>
          <w:iCs/>
        </w:rPr>
        <w:t xml:space="preserve">Scientific American, </w:t>
      </w:r>
      <w:r w:rsidRPr="002523BD">
        <w:t xml:space="preserve">October 17, 2019, accessed August 17, 2020, </w:t>
      </w:r>
      <w:r w:rsidRPr="00AE04C0">
        <w:t>https://blogs.scientificamerican.com/observations/we-have-no-reason-to-believe-5g-is-safe</w:t>
      </w:r>
      <w:r>
        <w:t>.</w:t>
      </w:r>
    </w:p>
  </w:endnote>
  <w:endnote w:id="77">
    <w:p w14:paraId="1C94CA5C" w14:textId="3C2B8381" w:rsidR="00C323C2" w:rsidRPr="002523BD" w:rsidRDefault="00C323C2" w:rsidP="00AE04C0">
      <w:pPr>
        <w:pStyle w:val="Footnote"/>
      </w:pPr>
      <w:r w:rsidRPr="00D7763D">
        <w:rPr>
          <w:rStyle w:val="EndnoteReference"/>
        </w:rPr>
        <w:endnoteRef/>
      </w:r>
      <w:r w:rsidRPr="002523BD">
        <w:t xml:space="preserve"> </w:t>
      </w:r>
      <w:r w:rsidR="00B25BD3">
        <w:t xml:space="preserve">Ibid. </w:t>
      </w:r>
    </w:p>
  </w:endnote>
  <w:endnote w:id="78">
    <w:p w14:paraId="1323FEF8" w14:textId="6C60C553" w:rsidR="00C323C2" w:rsidRPr="002523BD" w:rsidRDefault="00C323C2" w:rsidP="00AE04C0">
      <w:pPr>
        <w:pStyle w:val="Footnote"/>
      </w:pPr>
      <w:r w:rsidRPr="00D7763D">
        <w:rPr>
          <w:rStyle w:val="EndnoteReference"/>
        </w:rPr>
        <w:endnoteRef/>
      </w:r>
      <w:r w:rsidRPr="002523BD">
        <w:t xml:space="preserve"> Jonathan O</w:t>
      </w:r>
      <w:r>
        <w:t>’</w:t>
      </w:r>
      <w:r w:rsidRPr="002523BD">
        <w:t xml:space="preserve">Callaghan, “The Risky Rush for Mega Constellations,” </w:t>
      </w:r>
      <w:r w:rsidRPr="002523BD">
        <w:rPr>
          <w:i/>
          <w:iCs/>
        </w:rPr>
        <w:t xml:space="preserve">Scientific American, </w:t>
      </w:r>
      <w:r w:rsidRPr="002523BD">
        <w:t xml:space="preserve">October 31, 2019, accessed August 17, 2020, </w:t>
      </w:r>
      <w:r w:rsidRPr="00AE04C0">
        <w:t>www.scientificamerican.com/article/the-risky-rush-for-mega-constellations</w:t>
      </w:r>
      <w:r>
        <w:t>.</w:t>
      </w:r>
    </w:p>
  </w:endnote>
  <w:endnote w:id="79">
    <w:p w14:paraId="66F937DF" w14:textId="6E88D600" w:rsidR="00C323C2" w:rsidRPr="002523BD" w:rsidRDefault="00C323C2" w:rsidP="00AE04C0">
      <w:pPr>
        <w:pStyle w:val="Footnote"/>
      </w:pPr>
      <w:r w:rsidRPr="00D7763D">
        <w:rPr>
          <w:rStyle w:val="EndnoteReference"/>
        </w:rPr>
        <w:endnoteRef/>
      </w:r>
      <w:r w:rsidRPr="002523BD">
        <w:t xml:space="preserve"> White, </w:t>
      </w:r>
      <w:r w:rsidR="00B25BD3">
        <w:t xml:space="preserve">op. cit. </w:t>
      </w:r>
    </w:p>
  </w:endnote>
  <w:endnote w:id="80">
    <w:p w14:paraId="01E166AB" w14:textId="55194FC6" w:rsidR="00C323C2" w:rsidRPr="002523BD" w:rsidRDefault="00C323C2" w:rsidP="00AE04C0">
      <w:pPr>
        <w:pStyle w:val="Footnote"/>
      </w:pPr>
      <w:r w:rsidRPr="00D7763D">
        <w:rPr>
          <w:rStyle w:val="EndnoteReference"/>
        </w:rPr>
        <w:endnoteRef/>
      </w:r>
      <w:r w:rsidRPr="002523BD">
        <w:t xml:space="preserve"> Xinmei Shen, “Satellite Internet Failed 20 Years Ago. But This Time </w:t>
      </w:r>
      <w:r w:rsidR="00B25BD3">
        <w:t>I</w:t>
      </w:r>
      <w:r w:rsidRPr="002523BD">
        <w:t xml:space="preserve">s Different,” </w:t>
      </w:r>
      <w:r w:rsidRPr="002F427C">
        <w:t>Abacus</w:t>
      </w:r>
      <w:r w:rsidRPr="002523BD">
        <w:t>, June 18, 2020, accessed August 17, 2020</w:t>
      </w:r>
      <w:r>
        <w:t xml:space="preserve">, </w:t>
      </w:r>
      <w:r w:rsidRPr="006902ED">
        <w:t>www.scmp.com/abacus/tech/article/3089481/satellite-internet-failed-20-years-ago-time-different</w:t>
      </w:r>
      <w:r>
        <w:t>.</w:t>
      </w:r>
    </w:p>
  </w:endnote>
  <w:endnote w:id="81">
    <w:p w14:paraId="3F2C5CE0" w14:textId="4716407C" w:rsidR="00C323C2" w:rsidRPr="002523BD" w:rsidRDefault="00C323C2" w:rsidP="00AE04C0">
      <w:pPr>
        <w:pStyle w:val="Footnote"/>
      </w:pPr>
      <w:r w:rsidRPr="00D7763D">
        <w:rPr>
          <w:rStyle w:val="EndnoteReference"/>
        </w:rPr>
        <w:endnoteRef/>
      </w:r>
      <w:r w:rsidRPr="002523BD">
        <w:t xml:space="preserve"> Chris Daehnick, Isabelle Klinghoffer, Ben Maritz, and Bill Wiseman, “Large LEO Satellite Constellations: Will </w:t>
      </w:r>
      <w:r>
        <w:t>I</w:t>
      </w:r>
      <w:r w:rsidRPr="002523BD">
        <w:t xml:space="preserve">t </w:t>
      </w:r>
      <w:r>
        <w:t>B</w:t>
      </w:r>
      <w:r w:rsidRPr="002523BD">
        <w:t>e Different this Time?</w:t>
      </w:r>
      <w:r w:rsidR="00B25BD3">
        <w:t>,</w:t>
      </w:r>
      <w:r w:rsidRPr="002523BD">
        <w:t xml:space="preserve">” McKinsey &amp; Company, May 4, 2020, accessed August 17, 2020, </w:t>
      </w:r>
      <w:r w:rsidRPr="00AE04C0">
        <w:t>www.mckinsey.com/industries/aerospace-and-defense/our-insights/large-leo-satellite-constellations-will-it-be-different-this-time#</w:t>
      </w:r>
      <w:r>
        <w:t>.</w:t>
      </w:r>
    </w:p>
  </w:endnote>
  <w:endnote w:id="82">
    <w:p w14:paraId="23F3E468" w14:textId="3BB4C1EB" w:rsidR="00C323C2" w:rsidRPr="002523BD" w:rsidRDefault="00C323C2" w:rsidP="00AE04C0">
      <w:pPr>
        <w:pStyle w:val="Footnote"/>
      </w:pPr>
      <w:r w:rsidRPr="00D7763D">
        <w:rPr>
          <w:rStyle w:val="EndnoteReference"/>
        </w:rPr>
        <w:endnoteRef/>
      </w:r>
      <w:r w:rsidRPr="002523BD">
        <w:t xml:space="preserve"> </w:t>
      </w:r>
      <w:bookmarkStart w:id="18" w:name="_Hlk48658760"/>
      <w:r w:rsidRPr="002523BD">
        <w:t>Samantha Masunaga, “Cost Could Be SpaceX</w:t>
      </w:r>
      <w:r>
        <w:t>’</w:t>
      </w:r>
      <w:r w:rsidRPr="002523BD">
        <w:t xml:space="preserve">s Biggest Barrier to Satellite Internet,” </w:t>
      </w:r>
      <w:r w:rsidRPr="002F427C">
        <w:t>Government Technology</w:t>
      </w:r>
      <w:r w:rsidRPr="002523BD">
        <w:rPr>
          <w:i/>
          <w:iCs/>
        </w:rPr>
        <w:t xml:space="preserve">, </w:t>
      </w:r>
      <w:r w:rsidRPr="002523BD">
        <w:t>July 1, 2019, accessed August 17, 2020,</w:t>
      </w:r>
      <w:r w:rsidRPr="002523BD">
        <w:rPr>
          <w:i/>
          <w:iCs/>
        </w:rPr>
        <w:t xml:space="preserve"> </w:t>
      </w:r>
      <w:r w:rsidRPr="00AE04C0">
        <w:t>www.govtech.com/network/Cost-Could-Be-SpaceXs-Biggest-Barrier-to-Satellite-Internet.html</w:t>
      </w:r>
      <w:bookmarkEnd w:id="18"/>
      <w:r>
        <w:t>.</w:t>
      </w:r>
    </w:p>
  </w:endnote>
  <w:endnote w:id="83">
    <w:p w14:paraId="5E8E2AE4" w14:textId="04760B69" w:rsidR="00C323C2" w:rsidRPr="00AD5A6E" w:rsidRDefault="00C323C2" w:rsidP="00AE04C0">
      <w:pPr>
        <w:pStyle w:val="Footnote"/>
      </w:pPr>
      <w:r w:rsidRPr="00D7763D">
        <w:rPr>
          <w:rStyle w:val="EndnoteReference"/>
        </w:rPr>
        <w:endnoteRef/>
      </w:r>
      <w:r>
        <w:t xml:space="preserve"> </w:t>
      </w:r>
      <w:r w:rsidR="00B25BD3">
        <w:t xml:space="preserve">Ibid. </w:t>
      </w:r>
    </w:p>
  </w:endnote>
  <w:endnote w:id="84">
    <w:p w14:paraId="0F10671D" w14:textId="0588F287" w:rsidR="00C323C2" w:rsidRPr="002523BD" w:rsidRDefault="00C323C2" w:rsidP="00AE04C0">
      <w:pPr>
        <w:pStyle w:val="Footnote"/>
        <w:rPr>
          <w:color w:val="333333"/>
        </w:rPr>
      </w:pPr>
      <w:r w:rsidRPr="00D7763D">
        <w:rPr>
          <w:rStyle w:val="EndnoteReference"/>
        </w:rPr>
        <w:endnoteRef/>
      </w:r>
      <w:r w:rsidRPr="002523BD">
        <w:t xml:space="preserve"> </w:t>
      </w:r>
      <w:r w:rsidR="00B25BD3">
        <w:t xml:space="preserve">Ibid. </w:t>
      </w:r>
    </w:p>
  </w:endnote>
  <w:endnote w:id="85">
    <w:p w14:paraId="035087CD" w14:textId="1E9410FF" w:rsidR="00C323C2" w:rsidRPr="002523BD" w:rsidRDefault="00C323C2" w:rsidP="00AE04C0">
      <w:pPr>
        <w:pStyle w:val="Footnote"/>
      </w:pPr>
      <w:r w:rsidRPr="00D7763D">
        <w:rPr>
          <w:rStyle w:val="EndnoteReference"/>
        </w:rPr>
        <w:endnoteRef/>
      </w:r>
      <w:r w:rsidRPr="002523BD">
        <w:t xml:space="preserve"> Henry, “Musk Says Starlink </w:t>
      </w:r>
      <w:r>
        <w:t>‘</w:t>
      </w:r>
      <w:r w:rsidRPr="002523BD">
        <w:t>Economically Viable</w:t>
      </w:r>
      <w:r w:rsidR="00B25BD3">
        <w:t>,</w:t>
      </w:r>
      <w:r>
        <w:t>’</w:t>
      </w:r>
      <w:r w:rsidRPr="002523BD">
        <w:t xml:space="preserve">” </w:t>
      </w:r>
      <w:r w:rsidR="00B25BD3">
        <w:t xml:space="preserve">op. cit. </w:t>
      </w:r>
    </w:p>
  </w:endnote>
  <w:endnote w:id="86">
    <w:p w14:paraId="437662CB" w14:textId="315CBB2A" w:rsidR="00C323C2" w:rsidRPr="002523BD" w:rsidRDefault="00C323C2" w:rsidP="00AE04C0">
      <w:pPr>
        <w:pStyle w:val="Footnote"/>
      </w:pPr>
      <w:r w:rsidRPr="00D7763D">
        <w:rPr>
          <w:rStyle w:val="EndnoteReference"/>
        </w:rPr>
        <w:endnoteRef/>
      </w:r>
      <w:r w:rsidRPr="002523BD">
        <w:t xml:space="preserve"> Alan Burkitt-Gray, “SpaceX Wins Licence for One Million Starlink Terminals Across the US,” </w:t>
      </w:r>
      <w:r w:rsidRPr="002F427C">
        <w:t>Capacity Media</w:t>
      </w:r>
      <w:r w:rsidRPr="002523BD">
        <w:rPr>
          <w:i/>
          <w:iCs/>
        </w:rPr>
        <w:t xml:space="preserve">, </w:t>
      </w:r>
      <w:r w:rsidRPr="002523BD">
        <w:t xml:space="preserve">May 23, 2020, accessed August 17, 2020, </w:t>
      </w:r>
      <w:r w:rsidRPr="00AE04C0">
        <w:t>www.capacitymedia.com/articles/3825149/spacex-wins-licence-for-one-million-starlink-terminals-across-the-us</w:t>
      </w:r>
      <w:r>
        <w:t>.</w:t>
      </w:r>
    </w:p>
  </w:endnote>
  <w:endnote w:id="87">
    <w:p w14:paraId="2FB8DCBE" w14:textId="4D84FA65" w:rsidR="00C323C2" w:rsidRPr="002523BD" w:rsidRDefault="00C323C2" w:rsidP="00AE04C0">
      <w:pPr>
        <w:pStyle w:val="Footnote"/>
      </w:pPr>
      <w:r w:rsidRPr="00D7763D">
        <w:rPr>
          <w:rStyle w:val="EndnoteReference"/>
        </w:rPr>
        <w:endnoteRef/>
      </w:r>
      <w:r w:rsidRPr="002523BD">
        <w:t xml:space="preserve"> </w:t>
      </w:r>
      <w:bookmarkStart w:id="20" w:name="_Hlk48658413"/>
      <w:r w:rsidRPr="002523BD">
        <w:t>Rich Smith, “Europe Races SpaceX in 2020: Who Will Launch the Most?</w:t>
      </w:r>
      <w:r w:rsidR="00B25BD3">
        <w:t>,</w:t>
      </w:r>
      <w:r w:rsidRPr="002523BD">
        <w:t xml:space="preserve">” </w:t>
      </w:r>
      <w:r w:rsidRPr="002F427C">
        <w:t>Motley Fool</w:t>
      </w:r>
      <w:r w:rsidRPr="002523BD">
        <w:rPr>
          <w:i/>
          <w:iCs/>
        </w:rPr>
        <w:t xml:space="preserve">, </w:t>
      </w:r>
      <w:r w:rsidRPr="002523BD">
        <w:t xml:space="preserve">January 26, 2020, accessed August 17, 2020, </w:t>
      </w:r>
      <w:r w:rsidRPr="00AE04C0">
        <w:t>www.fool.com/investing/2020/01/26/europe-races-spacex-in-2020-who-will-launch-most.aspx</w:t>
      </w:r>
      <w:bookmarkEnd w:id="20"/>
      <w:r>
        <w:t>.</w:t>
      </w:r>
    </w:p>
  </w:endnote>
  <w:endnote w:id="88">
    <w:p w14:paraId="61F92B14" w14:textId="193D5DB2" w:rsidR="00C323C2" w:rsidRPr="002523BD" w:rsidRDefault="00C323C2" w:rsidP="00AE04C0">
      <w:pPr>
        <w:pStyle w:val="Footnote"/>
      </w:pPr>
      <w:r w:rsidRPr="00D7763D">
        <w:rPr>
          <w:rStyle w:val="EndnoteReference"/>
        </w:rPr>
        <w:endnoteRef/>
      </w:r>
      <w:r w:rsidRPr="002523BD">
        <w:t xml:space="preserve"> Smith, “Elon Musk Wants Taxpayers</w:t>
      </w:r>
      <w:r w:rsidR="007208FB">
        <w:t>,</w:t>
      </w:r>
      <w:r w:rsidRPr="002523BD">
        <w:t>”</w:t>
      </w:r>
      <w:r w:rsidR="007208FB">
        <w:t xml:space="preserve"> op. cit. </w:t>
      </w:r>
    </w:p>
  </w:endnote>
  <w:endnote w:id="89">
    <w:p w14:paraId="395E5C31" w14:textId="265EABC2" w:rsidR="00C323C2" w:rsidRPr="008075EF" w:rsidRDefault="00C323C2" w:rsidP="008075EF">
      <w:pPr>
        <w:pStyle w:val="Footnote"/>
        <w:rPr>
          <w:lang w:val="en-US"/>
        </w:rPr>
      </w:pPr>
      <w:r>
        <w:rPr>
          <w:rStyle w:val="EndnoteReference"/>
        </w:rPr>
        <w:endnoteRef/>
      </w:r>
      <w:r>
        <w:t xml:space="preserve"> </w:t>
      </w:r>
      <w:r w:rsidRPr="002C07AD">
        <w:t>Dave Mosher and Samantha Lee</w:t>
      </w:r>
      <w:r>
        <w:t>, “</w:t>
      </w:r>
      <w:r w:rsidRPr="002C07AD">
        <w:t xml:space="preserve">More than 14,000 </w:t>
      </w:r>
      <w:r>
        <w:t>H</w:t>
      </w:r>
      <w:r w:rsidRPr="002C07AD">
        <w:t xml:space="preserve">unks of </w:t>
      </w:r>
      <w:r>
        <w:t>D</w:t>
      </w:r>
      <w:r w:rsidRPr="002C07AD">
        <w:t xml:space="preserve">angerous </w:t>
      </w:r>
      <w:r>
        <w:t>S</w:t>
      </w:r>
      <w:r w:rsidRPr="002C07AD">
        <w:t xml:space="preserve">pace </w:t>
      </w:r>
      <w:r>
        <w:t>J</w:t>
      </w:r>
      <w:r w:rsidRPr="002C07AD">
        <w:t xml:space="preserve">unk </w:t>
      </w:r>
      <w:r w:rsidR="00B25BD3">
        <w:t>A</w:t>
      </w:r>
      <w:r w:rsidRPr="002C07AD">
        <w:t xml:space="preserve">re </w:t>
      </w:r>
      <w:r>
        <w:t>H</w:t>
      </w:r>
      <w:r w:rsidRPr="002C07AD">
        <w:t xml:space="preserve">urtling </w:t>
      </w:r>
      <w:r w:rsidR="00B25BD3">
        <w:t>a</w:t>
      </w:r>
      <w:r w:rsidRPr="002C07AD">
        <w:t xml:space="preserve">round Earth — </w:t>
      </w:r>
      <w:r>
        <w:t>H</w:t>
      </w:r>
      <w:r w:rsidRPr="002C07AD">
        <w:t xml:space="preserve">ere's </w:t>
      </w:r>
      <w:r>
        <w:t>W</w:t>
      </w:r>
      <w:r w:rsidRPr="002C07AD">
        <w:t xml:space="preserve">ho </w:t>
      </w:r>
      <w:r>
        <w:t>P</w:t>
      </w:r>
      <w:r w:rsidRPr="002C07AD">
        <w:t xml:space="preserve">ut </w:t>
      </w:r>
      <w:r w:rsidR="007208FB">
        <w:t>I</w:t>
      </w:r>
      <w:r w:rsidRPr="002C07AD">
        <w:t xml:space="preserve">t </w:t>
      </w:r>
      <w:r>
        <w:t>A</w:t>
      </w:r>
      <w:r w:rsidRPr="002C07AD">
        <w:t xml:space="preserve">ll </w:t>
      </w:r>
      <w:r>
        <w:t>U</w:t>
      </w:r>
      <w:r w:rsidRPr="002C07AD">
        <w:t xml:space="preserve">p </w:t>
      </w:r>
      <w:r>
        <w:t>T</w:t>
      </w:r>
      <w:r w:rsidRPr="002C07AD">
        <w:t>here</w:t>
      </w:r>
      <w:r>
        <w:t xml:space="preserve">,” Business Insider, March 29, 2018, accessed January 11, 2021, </w:t>
      </w:r>
      <w:r w:rsidRPr="00BA3299">
        <w:t>www.businessinsider.com/space-junk-debris-amount-statistics-countries-2018-3</w:t>
      </w:r>
      <w:r>
        <w:t>.</w:t>
      </w:r>
    </w:p>
  </w:endnote>
  <w:endnote w:id="90">
    <w:p w14:paraId="2EF6981A" w14:textId="47CD23B0" w:rsidR="00C323C2" w:rsidRPr="002523BD" w:rsidRDefault="00C323C2" w:rsidP="00AE04C0">
      <w:pPr>
        <w:pStyle w:val="Footnote"/>
      </w:pPr>
      <w:r w:rsidRPr="00D7763D">
        <w:rPr>
          <w:rStyle w:val="EndnoteReference"/>
        </w:rPr>
        <w:endnoteRef/>
      </w:r>
      <w:r w:rsidRPr="002523BD">
        <w:t xml:space="preserve"> Lizzie Plaugic, “This </w:t>
      </w:r>
      <w:r w:rsidR="007208FB">
        <w:t>I</w:t>
      </w:r>
      <w:r w:rsidRPr="002523BD">
        <w:t xml:space="preserve">s What Happens When a Tiny Piece of Flying Space Debris Hits the ISS,” </w:t>
      </w:r>
      <w:r w:rsidRPr="002F427C">
        <w:t>Verge</w:t>
      </w:r>
      <w:r w:rsidRPr="002523BD">
        <w:rPr>
          <w:i/>
          <w:iCs/>
        </w:rPr>
        <w:t xml:space="preserve">, </w:t>
      </w:r>
      <w:r w:rsidRPr="002523BD">
        <w:t xml:space="preserve">May 12, 2016, accessed August 17, 2020, </w:t>
      </w:r>
      <w:r w:rsidRPr="00AE04C0">
        <w:t>www.theverge.com/2016/5/12/11664668/iss-window-chip-space-debris-tim-peake</w:t>
      </w:r>
      <w:r>
        <w:t>.</w:t>
      </w:r>
    </w:p>
  </w:endnote>
  <w:endnote w:id="91">
    <w:p w14:paraId="4535DE42" w14:textId="16C05BAD" w:rsidR="00C323C2" w:rsidRPr="002523BD" w:rsidRDefault="00C323C2" w:rsidP="00AE04C0">
      <w:pPr>
        <w:pStyle w:val="Footnote"/>
      </w:pPr>
      <w:r w:rsidRPr="00D7763D">
        <w:rPr>
          <w:rStyle w:val="EndnoteReference"/>
        </w:rPr>
        <w:endnoteRef/>
      </w:r>
      <w:r w:rsidRPr="002523BD">
        <w:t xml:space="preserve"> O</w:t>
      </w:r>
      <w:r>
        <w:t>’</w:t>
      </w:r>
      <w:r w:rsidRPr="002523BD">
        <w:t>Callaghan, “The Risky Rush</w:t>
      </w:r>
      <w:r w:rsidR="00B25BD3">
        <w:t>,</w:t>
      </w:r>
      <w:r w:rsidRPr="002523BD">
        <w:t>”</w:t>
      </w:r>
      <w:r w:rsidR="00B25BD3">
        <w:t xml:space="preserve"> op. cit. </w:t>
      </w:r>
    </w:p>
  </w:endnote>
  <w:endnote w:id="92">
    <w:p w14:paraId="3E9C6863" w14:textId="5AE0304A" w:rsidR="00C323C2" w:rsidRPr="002523BD" w:rsidRDefault="00C323C2" w:rsidP="00AE04C0">
      <w:pPr>
        <w:pStyle w:val="Footnote"/>
      </w:pPr>
      <w:r w:rsidRPr="00D7763D">
        <w:rPr>
          <w:rStyle w:val="EndnoteReference"/>
        </w:rPr>
        <w:endnoteRef/>
      </w:r>
      <w:r w:rsidRPr="002523BD">
        <w:t xml:space="preserve"> </w:t>
      </w:r>
      <w:r w:rsidR="00B25BD3">
        <w:t xml:space="preserve">Ibid. </w:t>
      </w:r>
    </w:p>
  </w:endnote>
  <w:endnote w:id="93">
    <w:p w14:paraId="115D72B6" w14:textId="5AFE8AF9" w:rsidR="00C323C2" w:rsidRPr="002523BD" w:rsidRDefault="00C323C2" w:rsidP="00AE04C0">
      <w:pPr>
        <w:pStyle w:val="Footnote"/>
      </w:pPr>
      <w:r w:rsidRPr="00D7763D">
        <w:rPr>
          <w:rStyle w:val="EndnoteReference"/>
        </w:rPr>
        <w:endnoteRef/>
      </w:r>
      <w:r w:rsidRPr="002523BD">
        <w:t xml:space="preserve"> </w:t>
      </w:r>
      <w:r w:rsidR="00B25BD3">
        <w:t xml:space="preserve">Ibid. </w:t>
      </w:r>
    </w:p>
  </w:endnote>
  <w:endnote w:id="94">
    <w:p w14:paraId="4906744D" w14:textId="1E91752B" w:rsidR="00C323C2" w:rsidRPr="002523BD" w:rsidRDefault="00C323C2" w:rsidP="00AE04C0">
      <w:pPr>
        <w:pStyle w:val="Footnote"/>
      </w:pPr>
      <w:r w:rsidRPr="00D7763D">
        <w:rPr>
          <w:rStyle w:val="EndnoteReference"/>
        </w:rPr>
        <w:endnoteRef/>
      </w:r>
      <w:r w:rsidRPr="002523BD">
        <w:t xml:space="preserve"> </w:t>
      </w:r>
      <w:r>
        <w:t>Oberhaus</w:t>
      </w:r>
      <w:r w:rsidRPr="002523BD">
        <w:t xml:space="preserve">, </w:t>
      </w:r>
      <w:r w:rsidR="00B25BD3">
        <w:t xml:space="preserve">op. cit. </w:t>
      </w:r>
    </w:p>
  </w:endnote>
  <w:endnote w:id="95">
    <w:p w14:paraId="17A8930E" w14:textId="5E03A149" w:rsidR="00C323C2" w:rsidRPr="002523BD" w:rsidRDefault="00C323C2" w:rsidP="00AE04C0">
      <w:pPr>
        <w:pStyle w:val="Footnote"/>
      </w:pPr>
      <w:r w:rsidRPr="00D7763D">
        <w:rPr>
          <w:rStyle w:val="EndnoteReference"/>
        </w:rPr>
        <w:endnoteRef/>
      </w:r>
      <w:r w:rsidRPr="002523BD">
        <w:t xml:space="preserve"> </w:t>
      </w:r>
      <w:r w:rsidR="00B25BD3">
        <w:t xml:space="preserve">Ibid. </w:t>
      </w:r>
    </w:p>
  </w:endnote>
  <w:endnote w:id="96">
    <w:p w14:paraId="391E34D6" w14:textId="389CCE6F" w:rsidR="00C323C2" w:rsidRPr="002523BD" w:rsidRDefault="00C323C2" w:rsidP="00AE04C0">
      <w:pPr>
        <w:pStyle w:val="Footnote"/>
      </w:pPr>
      <w:r w:rsidRPr="00D7763D">
        <w:rPr>
          <w:rStyle w:val="EndnoteReference"/>
        </w:rPr>
        <w:endnoteRef/>
      </w:r>
      <w:r w:rsidRPr="002523BD">
        <w:t xml:space="preserve"> </w:t>
      </w:r>
      <w:r w:rsidR="00B25BD3">
        <w:t xml:space="preserve">Ibid. </w:t>
      </w:r>
    </w:p>
  </w:endnote>
  <w:endnote w:id="97">
    <w:p w14:paraId="56DDCAC9" w14:textId="72A83816" w:rsidR="00C323C2" w:rsidRPr="002523BD" w:rsidRDefault="00C323C2" w:rsidP="00AE04C0">
      <w:pPr>
        <w:pStyle w:val="Footnote"/>
      </w:pPr>
      <w:r w:rsidRPr="00D7763D">
        <w:rPr>
          <w:rStyle w:val="EndnoteReference"/>
        </w:rPr>
        <w:endnoteRef/>
      </w:r>
      <w:r w:rsidRPr="002523BD">
        <w:t xml:space="preserve"> </w:t>
      </w:r>
      <w:bookmarkStart w:id="21" w:name="_Hlk48658560"/>
      <w:r w:rsidRPr="002523BD">
        <w:t xml:space="preserve">Matthew DeBord, “The Whole Point of Tesla </w:t>
      </w:r>
      <w:r>
        <w:t>I</w:t>
      </w:r>
      <w:r w:rsidRPr="002523BD">
        <w:t xml:space="preserve">s </w:t>
      </w:r>
      <w:r>
        <w:t>T</w:t>
      </w:r>
      <w:r w:rsidRPr="002523BD">
        <w:t xml:space="preserve">hat </w:t>
      </w:r>
      <w:r>
        <w:t>I</w:t>
      </w:r>
      <w:r w:rsidRPr="002523BD">
        <w:t xml:space="preserve">t Always Overpromises and Underdelivers,” </w:t>
      </w:r>
      <w:r w:rsidRPr="002523BD">
        <w:rPr>
          <w:i/>
          <w:iCs/>
        </w:rPr>
        <w:t xml:space="preserve">Business Insider, </w:t>
      </w:r>
      <w:r w:rsidRPr="002523BD">
        <w:t xml:space="preserve">August 16, 2016, accessed August 17, 2020, </w:t>
      </w:r>
      <w:r w:rsidRPr="00AE04C0">
        <w:t>www.businessinsider.com/why-tesla-always-overpromises-and-underdelivers-2016-8</w:t>
      </w:r>
      <w:bookmarkEnd w:id="21"/>
      <w:r>
        <w:t>.</w:t>
      </w:r>
    </w:p>
  </w:endnote>
  <w:endnote w:id="98">
    <w:p w14:paraId="15B96115" w14:textId="727F4009" w:rsidR="00C323C2" w:rsidRPr="002523BD" w:rsidRDefault="00C323C2" w:rsidP="00AE04C0">
      <w:pPr>
        <w:pStyle w:val="Footnote"/>
      </w:pPr>
      <w:r w:rsidRPr="00D7763D">
        <w:rPr>
          <w:rStyle w:val="EndnoteReference"/>
        </w:rPr>
        <w:endnoteRef/>
      </w:r>
      <w:r w:rsidRPr="002523BD">
        <w:t xml:space="preserve"> </w:t>
      </w:r>
      <w:r>
        <w:t>Oberhaus</w:t>
      </w:r>
      <w:r w:rsidRPr="002523BD">
        <w:t xml:space="preserve">, </w:t>
      </w:r>
      <w:r w:rsidR="00B25BD3">
        <w:t xml:space="preserve">op. cit. </w:t>
      </w:r>
    </w:p>
  </w:endnote>
  <w:endnote w:id="99">
    <w:p w14:paraId="03CE10DD" w14:textId="0D107EA9" w:rsidR="00C323C2" w:rsidRPr="002523BD" w:rsidRDefault="00C323C2" w:rsidP="00AE04C0">
      <w:pPr>
        <w:pStyle w:val="Footnote"/>
      </w:pPr>
      <w:r w:rsidRPr="00D7763D">
        <w:rPr>
          <w:rStyle w:val="EndnoteReference"/>
        </w:rPr>
        <w:endnoteRef/>
      </w:r>
      <w:r w:rsidRPr="002523BD">
        <w:t xml:space="preserve"> Rust, </w:t>
      </w:r>
      <w:r w:rsidR="00B25BD3">
        <w:t xml:space="preserve">op. cit. </w:t>
      </w:r>
    </w:p>
    <w:p w14:paraId="1369A489" w14:textId="77777777" w:rsidR="00C323C2" w:rsidRPr="002523BD" w:rsidRDefault="00C323C2" w:rsidP="00AE04C0">
      <w:pPr>
        <w:pStyle w:val="Footnote"/>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55100" w14:textId="77777777" w:rsidR="00D626D1" w:rsidRDefault="00D626D1">
      <w:r>
        <w:separator/>
      </w:r>
    </w:p>
  </w:footnote>
  <w:footnote w:type="continuationSeparator" w:id="0">
    <w:p w14:paraId="6F2E2A1F" w14:textId="77777777" w:rsidR="00D626D1" w:rsidRDefault="00D626D1" w:rsidP="00D75295">
      <w:r>
        <w:continuationSeparator/>
      </w:r>
    </w:p>
    <w:p w14:paraId="5912EA16" w14:textId="77777777" w:rsidR="00D626D1" w:rsidRDefault="00D626D1"/>
    <w:p w14:paraId="45AB2D87" w14:textId="77777777" w:rsidR="00D626D1" w:rsidRDefault="00D626D1"/>
    <w:p w14:paraId="52FE5E39" w14:textId="77777777" w:rsidR="00D626D1" w:rsidRDefault="00D626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382E3FE" w:rsidR="00C323C2" w:rsidRPr="00C92CC4" w:rsidRDefault="00C323C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14</w:t>
    </w:r>
    <w:r>
      <w:rPr>
        <w:rFonts w:ascii="Arial" w:hAnsi="Arial"/>
        <w:b/>
      </w:rPr>
      <w:fldChar w:fldCharType="end"/>
    </w:r>
    <w:r>
      <w:rPr>
        <w:rFonts w:ascii="Arial" w:hAnsi="Arial"/>
        <w:b/>
      </w:rPr>
      <w:tab/>
    </w:r>
    <w:r w:rsidR="00335657">
      <w:rPr>
        <w:rFonts w:ascii="Arial" w:hAnsi="Arial"/>
        <w:b/>
      </w:rPr>
      <w:t>9B21A004</w:t>
    </w:r>
  </w:p>
  <w:p w14:paraId="2B53C0A0" w14:textId="77777777" w:rsidR="00C323C2" w:rsidRDefault="00C323C2" w:rsidP="00D13667">
    <w:pPr>
      <w:pStyle w:val="Header"/>
      <w:tabs>
        <w:tab w:val="clear" w:pos="4680"/>
      </w:tabs>
      <w:rPr>
        <w:sz w:val="18"/>
        <w:szCs w:val="18"/>
      </w:rPr>
    </w:pPr>
  </w:p>
  <w:p w14:paraId="3A56D77C" w14:textId="77777777" w:rsidR="00C323C2" w:rsidRDefault="00C323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02E0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7A12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D6AEF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14D9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1ECFD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8825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8D292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EA8C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DE411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E9C16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1A5F"/>
    <w:rsid w:val="00024ED4"/>
    <w:rsid w:val="00025DC7"/>
    <w:rsid w:val="00026C27"/>
    <w:rsid w:val="00035828"/>
    <w:rsid w:val="00035F09"/>
    <w:rsid w:val="00036044"/>
    <w:rsid w:val="00036581"/>
    <w:rsid w:val="000404D1"/>
    <w:rsid w:val="00044ECC"/>
    <w:rsid w:val="0005040F"/>
    <w:rsid w:val="000531D3"/>
    <w:rsid w:val="00053A73"/>
    <w:rsid w:val="0005646B"/>
    <w:rsid w:val="000615D1"/>
    <w:rsid w:val="000636E9"/>
    <w:rsid w:val="0008102D"/>
    <w:rsid w:val="00086B26"/>
    <w:rsid w:val="00087BB4"/>
    <w:rsid w:val="00094C0E"/>
    <w:rsid w:val="000A146D"/>
    <w:rsid w:val="000C075A"/>
    <w:rsid w:val="000C2093"/>
    <w:rsid w:val="000D1C9B"/>
    <w:rsid w:val="000D2A2F"/>
    <w:rsid w:val="000D463B"/>
    <w:rsid w:val="000D7091"/>
    <w:rsid w:val="000E1750"/>
    <w:rsid w:val="000E7703"/>
    <w:rsid w:val="000F0C22"/>
    <w:rsid w:val="000F6B09"/>
    <w:rsid w:val="000F6FDC"/>
    <w:rsid w:val="00104567"/>
    <w:rsid w:val="00104653"/>
    <w:rsid w:val="00104916"/>
    <w:rsid w:val="00104AA7"/>
    <w:rsid w:val="00117BB5"/>
    <w:rsid w:val="0012732D"/>
    <w:rsid w:val="00131A69"/>
    <w:rsid w:val="00143F25"/>
    <w:rsid w:val="00152682"/>
    <w:rsid w:val="00154FC9"/>
    <w:rsid w:val="00160FB9"/>
    <w:rsid w:val="001901C0"/>
    <w:rsid w:val="0019241A"/>
    <w:rsid w:val="00192A18"/>
    <w:rsid w:val="001A22D1"/>
    <w:rsid w:val="001A752D"/>
    <w:rsid w:val="001A757E"/>
    <w:rsid w:val="001B427C"/>
    <w:rsid w:val="001B5032"/>
    <w:rsid w:val="001B5778"/>
    <w:rsid w:val="001C132F"/>
    <w:rsid w:val="001C7777"/>
    <w:rsid w:val="001D344B"/>
    <w:rsid w:val="001E1DB0"/>
    <w:rsid w:val="001E364F"/>
    <w:rsid w:val="001E6861"/>
    <w:rsid w:val="001E7A51"/>
    <w:rsid w:val="001F4222"/>
    <w:rsid w:val="00201E15"/>
    <w:rsid w:val="00202248"/>
    <w:rsid w:val="00203989"/>
    <w:rsid w:val="00203AA1"/>
    <w:rsid w:val="00213E98"/>
    <w:rsid w:val="00214B32"/>
    <w:rsid w:val="00215ED6"/>
    <w:rsid w:val="00230150"/>
    <w:rsid w:val="0023081A"/>
    <w:rsid w:val="00230F5A"/>
    <w:rsid w:val="00233111"/>
    <w:rsid w:val="002445F9"/>
    <w:rsid w:val="00247236"/>
    <w:rsid w:val="002506D5"/>
    <w:rsid w:val="002519CA"/>
    <w:rsid w:val="0026550B"/>
    <w:rsid w:val="00265FA8"/>
    <w:rsid w:val="002859FA"/>
    <w:rsid w:val="00286AB7"/>
    <w:rsid w:val="00291591"/>
    <w:rsid w:val="002A3C36"/>
    <w:rsid w:val="002B40FF"/>
    <w:rsid w:val="002C063C"/>
    <w:rsid w:val="002C07AD"/>
    <w:rsid w:val="002C4E29"/>
    <w:rsid w:val="002D743F"/>
    <w:rsid w:val="002E248C"/>
    <w:rsid w:val="002F3ED2"/>
    <w:rsid w:val="002F427C"/>
    <w:rsid w:val="002F460C"/>
    <w:rsid w:val="002F48D6"/>
    <w:rsid w:val="002F4C29"/>
    <w:rsid w:val="003038E6"/>
    <w:rsid w:val="00317391"/>
    <w:rsid w:val="00326216"/>
    <w:rsid w:val="003338D0"/>
    <w:rsid w:val="00334903"/>
    <w:rsid w:val="00335657"/>
    <w:rsid w:val="00336580"/>
    <w:rsid w:val="00352548"/>
    <w:rsid w:val="00354899"/>
    <w:rsid w:val="00355FD6"/>
    <w:rsid w:val="00356745"/>
    <w:rsid w:val="00356E14"/>
    <w:rsid w:val="00364A5C"/>
    <w:rsid w:val="00367B3B"/>
    <w:rsid w:val="00370068"/>
    <w:rsid w:val="00373FB1"/>
    <w:rsid w:val="00385B91"/>
    <w:rsid w:val="00386456"/>
    <w:rsid w:val="00396C76"/>
    <w:rsid w:val="003A2A52"/>
    <w:rsid w:val="003B30D8"/>
    <w:rsid w:val="003B7EF2"/>
    <w:rsid w:val="003C1E7A"/>
    <w:rsid w:val="003C3FA4"/>
    <w:rsid w:val="003C7F82"/>
    <w:rsid w:val="003D0BA1"/>
    <w:rsid w:val="003E0D13"/>
    <w:rsid w:val="003E1767"/>
    <w:rsid w:val="003F2B0C"/>
    <w:rsid w:val="004071CC"/>
    <w:rsid w:val="004105B2"/>
    <w:rsid w:val="00410E59"/>
    <w:rsid w:val="0041145A"/>
    <w:rsid w:val="00412900"/>
    <w:rsid w:val="00413D55"/>
    <w:rsid w:val="004221E4"/>
    <w:rsid w:val="00423EE7"/>
    <w:rsid w:val="004273F8"/>
    <w:rsid w:val="004355A3"/>
    <w:rsid w:val="00441709"/>
    <w:rsid w:val="00445969"/>
    <w:rsid w:val="00446546"/>
    <w:rsid w:val="00452769"/>
    <w:rsid w:val="00454FA7"/>
    <w:rsid w:val="00465348"/>
    <w:rsid w:val="00474001"/>
    <w:rsid w:val="00475A49"/>
    <w:rsid w:val="00483905"/>
    <w:rsid w:val="00494C01"/>
    <w:rsid w:val="004979A5"/>
    <w:rsid w:val="004A088E"/>
    <w:rsid w:val="004A25E0"/>
    <w:rsid w:val="004A6C07"/>
    <w:rsid w:val="004A6C4A"/>
    <w:rsid w:val="004B1CCB"/>
    <w:rsid w:val="004B4F8C"/>
    <w:rsid w:val="004B5862"/>
    <w:rsid w:val="004B632F"/>
    <w:rsid w:val="004D3FB1"/>
    <w:rsid w:val="004D6F21"/>
    <w:rsid w:val="004D73A5"/>
    <w:rsid w:val="004E26EE"/>
    <w:rsid w:val="005160F1"/>
    <w:rsid w:val="00521E9C"/>
    <w:rsid w:val="00524F2F"/>
    <w:rsid w:val="00527E5C"/>
    <w:rsid w:val="00532CF5"/>
    <w:rsid w:val="00536F8A"/>
    <w:rsid w:val="005473CA"/>
    <w:rsid w:val="005528CB"/>
    <w:rsid w:val="00566771"/>
    <w:rsid w:val="005706F7"/>
    <w:rsid w:val="00581E2E"/>
    <w:rsid w:val="00584F15"/>
    <w:rsid w:val="005870C2"/>
    <w:rsid w:val="0059514B"/>
    <w:rsid w:val="0059527A"/>
    <w:rsid w:val="005A1B0F"/>
    <w:rsid w:val="005A2626"/>
    <w:rsid w:val="005A7CF2"/>
    <w:rsid w:val="005B4CE6"/>
    <w:rsid w:val="005B5EFE"/>
    <w:rsid w:val="00606A0B"/>
    <w:rsid w:val="00607144"/>
    <w:rsid w:val="006163F7"/>
    <w:rsid w:val="0061736E"/>
    <w:rsid w:val="00626256"/>
    <w:rsid w:val="006267EE"/>
    <w:rsid w:val="00626AC1"/>
    <w:rsid w:val="00627C63"/>
    <w:rsid w:val="0063350B"/>
    <w:rsid w:val="00633AC6"/>
    <w:rsid w:val="00652606"/>
    <w:rsid w:val="006554ED"/>
    <w:rsid w:val="00656526"/>
    <w:rsid w:val="0065734C"/>
    <w:rsid w:val="00657F5C"/>
    <w:rsid w:val="0067226E"/>
    <w:rsid w:val="006902ED"/>
    <w:rsid w:val="006946EE"/>
    <w:rsid w:val="006A30AB"/>
    <w:rsid w:val="006A58A9"/>
    <w:rsid w:val="006A606D"/>
    <w:rsid w:val="006B6DAA"/>
    <w:rsid w:val="006C0371"/>
    <w:rsid w:val="006C08B6"/>
    <w:rsid w:val="006C0B1A"/>
    <w:rsid w:val="006C6065"/>
    <w:rsid w:val="006C7F9F"/>
    <w:rsid w:val="006D1398"/>
    <w:rsid w:val="006E16A0"/>
    <w:rsid w:val="006E2F6D"/>
    <w:rsid w:val="006E58F6"/>
    <w:rsid w:val="006E77E1"/>
    <w:rsid w:val="006F0FC5"/>
    <w:rsid w:val="006F131D"/>
    <w:rsid w:val="00711642"/>
    <w:rsid w:val="0071233F"/>
    <w:rsid w:val="00716BDF"/>
    <w:rsid w:val="007208FB"/>
    <w:rsid w:val="00725636"/>
    <w:rsid w:val="007507C6"/>
    <w:rsid w:val="00751E0B"/>
    <w:rsid w:val="00752BCD"/>
    <w:rsid w:val="00766DA1"/>
    <w:rsid w:val="007713D4"/>
    <w:rsid w:val="00780D94"/>
    <w:rsid w:val="00785F93"/>
    <w:rsid w:val="007866A6"/>
    <w:rsid w:val="0079348B"/>
    <w:rsid w:val="00794546"/>
    <w:rsid w:val="007A130D"/>
    <w:rsid w:val="007D1A2D"/>
    <w:rsid w:val="007D32E6"/>
    <w:rsid w:val="007D4102"/>
    <w:rsid w:val="007E54A7"/>
    <w:rsid w:val="007F43B7"/>
    <w:rsid w:val="008075EF"/>
    <w:rsid w:val="008173A3"/>
    <w:rsid w:val="00821FFC"/>
    <w:rsid w:val="008271CA"/>
    <w:rsid w:val="00845D2D"/>
    <w:rsid w:val="008467D5"/>
    <w:rsid w:val="0085531E"/>
    <w:rsid w:val="0086119F"/>
    <w:rsid w:val="00865313"/>
    <w:rsid w:val="0086774D"/>
    <w:rsid w:val="00867A2F"/>
    <w:rsid w:val="00896F4A"/>
    <w:rsid w:val="008A26F6"/>
    <w:rsid w:val="008A4DC4"/>
    <w:rsid w:val="008B2921"/>
    <w:rsid w:val="008B438C"/>
    <w:rsid w:val="008C3B25"/>
    <w:rsid w:val="008C7719"/>
    <w:rsid w:val="008D06CA"/>
    <w:rsid w:val="008D3A46"/>
    <w:rsid w:val="008E4964"/>
    <w:rsid w:val="008F2385"/>
    <w:rsid w:val="009067A4"/>
    <w:rsid w:val="00926128"/>
    <w:rsid w:val="00930885"/>
    <w:rsid w:val="00933D68"/>
    <w:rsid w:val="009340DB"/>
    <w:rsid w:val="009449A6"/>
    <w:rsid w:val="0094618C"/>
    <w:rsid w:val="00947821"/>
    <w:rsid w:val="0095684B"/>
    <w:rsid w:val="00972498"/>
    <w:rsid w:val="0097481F"/>
    <w:rsid w:val="00974CC6"/>
    <w:rsid w:val="00976AD4"/>
    <w:rsid w:val="00995547"/>
    <w:rsid w:val="009A312F"/>
    <w:rsid w:val="009A5348"/>
    <w:rsid w:val="009B0AB7"/>
    <w:rsid w:val="009B3771"/>
    <w:rsid w:val="009C76D5"/>
    <w:rsid w:val="009D3142"/>
    <w:rsid w:val="009F7AA4"/>
    <w:rsid w:val="00A03DBD"/>
    <w:rsid w:val="00A10AD7"/>
    <w:rsid w:val="00A13892"/>
    <w:rsid w:val="00A2309C"/>
    <w:rsid w:val="00A323B0"/>
    <w:rsid w:val="00A37365"/>
    <w:rsid w:val="00A42FCB"/>
    <w:rsid w:val="00A559DB"/>
    <w:rsid w:val="00A569EA"/>
    <w:rsid w:val="00A577D7"/>
    <w:rsid w:val="00A641C6"/>
    <w:rsid w:val="00A676A0"/>
    <w:rsid w:val="00AA7E9D"/>
    <w:rsid w:val="00AC449D"/>
    <w:rsid w:val="00AD0A3A"/>
    <w:rsid w:val="00AE04C0"/>
    <w:rsid w:val="00AF35FC"/>
    <w:rsid w:val="00AF4EF8"/>
    <w:rsid w:val="00AF5556"/>
    <w:rsid w:val="00B01B16"/>
    <w:rsid w:val="00B03639"/>
    <w:rsid w:val="00B0652A"/>
    <w:rsid w:val="00B252BD"/>
    <w:rsid w:val="00B25BD3"/>
    <w:rsid w:val="00B26E92"/>
    <w:rsid w:val="00B40937"/>
    <w:rsid w:val="00B423EF"/>
    <w:rsid w:val="00B453DE"/>
    <w:rsid w:val="00B6015C"/>
    <w:rsid w:val="00B60C11"/>
    <w:rsid w:val="00B62497"/>
    <w:rsid w:val="00B6250E"/>
    <w:rsid w:val="00B72597"/>
    <w:rsid w:val="00B84241"/>
    <w:rsid w:val="00B87DC0"/>
    <w:rsid w:val="00B901F9"/>
    <w:rsid w:val="00B917DC"/>
    <w:rsid w:val="00B93BC1"/>
    <w:rsid w:val="00B946E4"/>
    <w:rsid w:val="00BA3299"/>
    <w:rsid w:val="00BA47C5"/>
    <w:rsid w:val="00BA5E1F"/>
    <w:rsid w:val="00BC4D98"/>
    <w:rsid w:val="00BC50BF"/>
    <w:rsid w:val="00BD6EFB"/>
    <w:rsid w:val="00BE3DF5"/>
    <w:rsid w:val="00BF4797"/>
    <w:rsid w:val="00BF5EAB"/>
    <w:rsid w:val="00C02410"/>
    <w:rsid w:val="00C0480E"/>
    <w:rsid w:val="00C12742"/>
    <w:rsid w:val="00C1584D"/>
    <w:rsid w:val="00C15BE2"/>
    <w:rsid w:val="00C323C2"/>
    <w:rsid w:val="00C32B80"/>
    <w:rsid w:val="00C3447F"/>
    <w:rsid w:val="00C3569D"/>
    <w:rsid w:val="00C44714"/>
    <w:rsid w:val="00C67102"/>
    <w:rsid w:val="00C81491"/>
    <w:rsid w:val="00C81676"/>
    <w:rsid w:val="00C85C5D"/>
    <w:rsid w:val="00C92CC4"/>
    <w:rsid w:val="00CA0AFB"/>
    <w:rsid w:val="00CA2CE1"/>
    <w:rsid w:val="00CA3976"/>
    <w:rsid w:val="00CA50E3"/>
    <w:rsid w:val="00CA757B"/>
    <w:rsid w:val="00CB6A97"/>
    <w:rsid w:val="00CC1787"/>
    <w:rsid w:val="00CC182C"/>
    <w:rsid w:val="00CD0824"/>
    <w:rsid w:val="00CD09F9"/>
    <w:rsid w:val="00CD2908"/>
    <w:rsid w:val="00CE7BD6"/>
    <w:rsid w:val="00D03A82"/>
    <w:rsid w:val="00D13667"/>
    <w:rsid w:val="00D15344"/>
    <w:rsid w:val="00D23F57"/>
    <w:rsid w:val="00D272FA"/>
    <w:rsid w:val="00D31BEC"/>
    <w:rsid w:val="00D32712"/>
    <w:rsid w:val="00D626D1"/>
    <w:rsid w:val="00D63150"/>
    <w:rsid w:val="00D636BA"/>
    <w:rsid w:val="00D64A32"/>
    <w:rsid w:val="00D64EFC"/>
    <w:rsid w:val="00D6583A"/>
    <w:rsid w:val="00D75295"/>
    <w:rsid w:val="00D76CE9"/>
    <w:rsid w:val="00D7763D"/>
    <w:rsid w:val="00D8090A"/>
    <w:rsid w:val="00D82F6B"/>
    <w:rsid w:val="00D953A4"/>
    <w:rsid w:val="00D96129"/>
    <w:rsid w:val="00D97A13"/>
    <w:rsid w:val="00D97F12"/>
    <w:rsid w:val="00DA3169"/>
    <w:rsid w:val="00DA6095"/>
    <w:rsid w:val="00DB42E7"/>
    <w:rsid w:val="00DC09D8"/>
    <w:rsid w:val="00DD1AAD"/>
    <w:rsid w:val="00DE01A6"/>
    <w:rsid w:val="00DE5F10"/>
    <w:rsid w:val="00DE7A98"/>
    <w:rsid w:val="00DF32C2"/>
    <w:rsid w:val="00DF571F"/>
    <w:rsid w:val="00E27642"/>
    <w:rsid w:val="00E471A7"/>
    <w:rsid w:val="00E541F9"/>
    <w:rsid w:val="00E635CF"/>
    <w:rsid w:val="00E91C88"/>
    <w:rsid w:val="00E97922"/>
    <w:rsid w:val="00EA7D3A"/>
    <w:rsid w:val="00EB1E3B"/>
    <w:rsid w:val="00EC6E0A"/>
    <w:rsid w:val="00ED4E18"/>
    <w:rsid w:val="00ED5BEB"/>
    <w:rsid w:val="00ED71AB"/>
    <w:rsid w:val="00ED7922"/>
    <w:rsid w:val="00EE02C4"/>
    <w:rsid w:val="00EE1F37"/>
    <w:rsid w:val="00F0159C"/>
    <w:rsid w:val="00F105B7"/>
    <w:rsid w:val="00F13220"/>
    <w:rsid w:val="00F17A21"/>
    <w:rsid w:val="00F258E2"/>
    <w:rsid w:val="00F26D2B"/>
    <w:rsid w:val="00F3595D"/>
    <w:rsid w:val="00F36FC2"/>
    <w:rsid w:val="00F37B27"/>
    <w:rsid w:val="00F46556"/>
    <w:rsid w:val="00F50E91"/>
    <w:rsid w:val="00F56799"/>
    <w:rsid w:val="00F57D29"/>
    <w:rsid w:val="00F60786"/>
    <w:rsid w:val="00F65EE6"/>
    <w:rsid w:val="00F665EB"/>
    <w:rsid w:val="00F85AEB"/>
    <w:rsid w:val="00F91BC7"/>
    <w:rsid w:val="00F94CD4"/>
    <w:rsid w:val="00F96201"/>
    <w:rsid w:val="00F964A8"/>
    <w:rsid w:val="00FA1BBC"/>
    <w:rsid w:val="00FA4146"/>
    <w:rsid w:val="00FA6923"/>
    <w:rsid w:val="00FB167A"/>
    <w:rsid w:val="00FB352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7226E"/>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67226E"/>
    <w:pPr>
      <w:keepNext/>
    </w:pPr>
    <w:rPr>
      <w:rFonts w:ascii="Arial" w:hAnsi="Arial" w:cs="Arial"/>
      <w:b/>
      <w:caps/>
      <w:sz w:val="20"/>
      <w:szCs w:val="20"/>
    </w:rPr>
  </w:style>
  <w:style w:type="character" w:customStyle="1" w:styleId="Casehead1Char">
    <w:name w:val="Casehead 1 Char"/>
    <w:basedOn w:val="BodyTextMainChar"/>
    <w:link w:val="Casehead1"/>
    <w:rsid w:val="0067226E"/>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D7763D"/>
    <w:rPr>
      <w:b/>
      <w:color w:val="FF0000"/>
      <w:vertAlign w:val="superscript"/>
    </w:rPr>
  </w:style>
  <w:style w:type="paragraph" w:customStyle="1" w:styleId="Footnote">
    <w:name w:val="Footnote"/>
    <w:basedOn w:val="FootnoteText"/>
    <w:link w:val="FootnoteChar"/>
    <w:qFormat/>
    <w:rsid w:val="00117BB5"/>
    <w:pPr>
      <w:jc w:val="both"/>
    </w:pPr>
    <w:rPr>
      <w:rFonts w:ascii="Arial" w:hAnsi="Arial" w:cs="Arial"/>
      <w:sz w:val="17"/>
      <w:szCs w:val="17"/>
    </w:rPr>
  </w:style>
  <w:style w:type="character" w:customStyle="1" w:styleId="FootnoteChar">
    <w:name w:val="Footnote Char"/>
    <w:basedOn w:val="FootnoteTextChar"/>
    <w:link w:val="Footnote"/>
    <w:rsid w:val="00117BB5"/>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67226E"/>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67226E"/>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117BB5"/>
    <w:rPr>
      <w:b w:val="0"/>
      <w:color w:val="auto"/>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social-iconslist-item">
    <w:name w:val="social-icons__list-item"/>
    <w:basedOn w:val="Normal"/>
    <w:rsid w:val="00AE04C0"/>
    <w:pPr>
      <w:spacing w:before="100" w:beforeAutospacing="1" w:after="100" w:afterAutospacing="1"/>
    </w:pPr>
    <w:rPr>
      <w:sz w:val="24"/>
      <w:szCs w:val="24"/>
    </w:rPr>
  </w:style>
  <w:style w:type="paragraph" w:customStyle="1" w:styleId="krttext">
    <w:name w:val="krttext"/>
    <w:basedOn w:val="Normal"/>
    <w:rsid w:val="00AE04C0"/>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B60C11"/>
    <w:rPr>
      <w:color w:val="605E5C"/>
      <w:shd w:val="clear" w:color="auto" w:fill="E1DFDD"/>
    </w:rPr>
  </w:style>
  <w:style w:type="character" w:styleId="UnresolvedMention">
    <w:name w:val="Unresolved Mention"/>
    <w:basedOn w:val="DefaultParagraphFont"/>
    <w:uiPriority w:val="99"/>
    <w:semiHidden/>
    <w:unhideWhenUsed/>
    <w:rsid w:val="00335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26500">
      <w:bodyDiv w:val="1"/>
      <w:marLeft w:val="0"/>
      <w:marRight w:val="0"/>
      <w:marTop w:val="0"/>
      <w:marBottom w:val="0"/>
      <w:divBdr>
        <w:top w:val="none" w:sz="0" w:space="0" w:color="auto"/>
        <w:left w:val="none" w:sz="0" w:space="0" w:color="auto"/>
        <w:bottom w:val="none" w:sz="0" w:space="0" w:color="auto"/>
        <w:right w:val="none" w:sz="0" w:space="0" w:color="auto"/>
      </w:divBdr>
    </w:div>
    <w:div w:id="322973079">
      <w:bodyDiv w:val="1"/>
      <w:marLeft w:val="0"/>
      <w:marRight w:val="0"/>
      <w:marTop w:val="0"/>
      <w:marBottom w:val="0"/>
      <w:divBdr>
        <w:top w:val="none" w:sz="0" w:space="0" w:color="auto"/>
        <w:left w:val="none" w:sz="0" w:space="0" w:color="auto"/>
        <w:bottom w:val="none" w:sz="0" w:space="0" w:color="auto"/>
        <w:right w:val="none" w:sz="0" w:space="0" w:color="auto"/>
      </w:divBdr>
    </w:div>
    <w:div w:id="591932691">
      <w:bodyDiv w:val="1"/>
      <w:marLeft w:val="0"/>
      <w:marRight w:val="0"/>
      <w:marTop w:val="0"/>
      <w:marBottom w:val="0"/>
      <w:divBdr>
        <w:top w:val="none" w:sz="0" w:space="0" w:color="auto"/>
        <w:left w:val="none" w:sz="0" w:space="0" w:color="auto"/>
        <w:bottom w:val="none" w:sz="0" w:space="0" w:color="auto"/>
        <w:right w:val="none" w:sz="0" w:space="0" w:color="auto"/>
      </w:divBdr>
      <w:divsChild>
        <w:div w:id="1699163219">
          <w:marLeft w:val="0"/>
          <w:marRight w:val="0"/>
          <w:marTop w:val="0"/>
          <w:marBottom w:val="0"/>
          <w:divBdr>
            <w:top w:val="none" w:sz="0" w:space="0" w:color="auto"/>
            <w:left w:val="none" w:sz="0" w:space="0" w:color="auto"/>
            <w:bottom w:val="none" w:sz="0" w:space="0" w:color="auto"/>
            <w:right w:val="none" w:sz="0" w:space="0" w:color="auto"/>
          </w:divBdr>
          <w:divsChild>
            <w:div w:id="323363895">
              <w:marLeft w:val="0"/>
              <w:marRight w:val="0"/>
              <w:marTop w:val="0"/>
              <w:marBottom w:val="0"/>
              <w:divBdr>
                <w:top w:val="none" w:sz="0" w:space="0" w:color="auto"/>
                <w:left w:val="none" w:sz="0" w:space="0" w:color="auto"/>
                <w:bottom w:val="none" w:sz="0" w:space="0" w:color="auto"/>
                <w:right w:val="none" w:sz="0" w:space="0" w:color="auto"/>
              </w:divBdr>
              <w:divsChild>
                <w:div w:id="978728427">
                  <w:marLeft w:val="0"/>
                  <w:marRight w:val="0"/>
                  <w:marTop w:val="0"/>
                  <w:marBottom w:val="0"/>
                  <w:divBdr>
                    <w:top w:val="none" w:sz="0" w:space="0" w:color="auto"/>
                    <w:left w:val="none" w:sz="0" w:space="0" w:color="auto"/>
                    <w:bottom w:val="none" w:sz="0" w:space="0" w:color="auto"/>
                    <w:right w:val="none" w:sz="0" w:space="0" w:color="auto"/>
                  </w:divBdr>
                  <w:divsChild>
                    <w:div w:id="1989363785">
                      <w:marLeft w:val="0"/>
                      <w:marRight w:val="0"/>
                      <w:marTop w:val="0"/>
                      <w:marBottom w:val="0"/>
                      <w:divBdr>
                        <w:top w:val="none" w:sz="0" w:space="0" w:color="auto"/>
                        <w:left w:val="none" w:sz="0" w:space="0" w:color="auto"/>
                        <w:bottom w:val="none" w:sz="0" w:space="0" w:color="auto"/>
                        <w:right w:val="none" w:sz="0" w:space="0" w:color="auto"/>
                      </w:divBdr>
                      <w:divsChild>
                        <w:div w:id="1533181680">
                          <w:marLeft w:val="0"/>
                          <w:marRight w:val="0"/>
                          <w:marTop w:val="0"/>
                          <w:marBottom w:val="0"/>
                          <w:divBdr>
                            <w:top w:val="none" w:sz="0" w:space="0" w:color="auto"/>
                            <w:left w:val="none" w:sz="0" w:space="0" w:color="auto"/>
                            <w:bottom w:val="none" w:sz="0" w:space="0" w:color="auto"/>
                            <w:right w:val="none" w:sz="0" w:space="0" w:color="auto"/>
                          </w:divBdr>
                          <w:divsChild>
                            <w:div w:id="1220944977">
                              <w:marLeft w:val="0"/>
                              <w:marRight w:val="0"/>
                              <w:marTop w:val="0"/>
                              <w:marBottom w:val="0"/>
                              <w:divBdr>
                                <w:top w:val="none" w:sz="0" w:space="0" w:color="auto"/>
                                <w:left w:val="none" w:sz="0" w:space="0" w:color="auto"/>
                                <w:bottom w:val="none" w:sz="0" w:space="0" w:color="auto"/>
                                <w:right w:val="none" w:sz="0" w:space="0" w:color="auto"/>
                              </w:divBdr>
                              <w:divsChild>
                                <w:div w:id="1641956172">
                                  <w:marLeft w:val="0"/>
                                  <w:marRight w:val="0"/>
                                  <w:marTop w:val="0"/>
                                  <w:marBottom w:val="0"/>
                                  <w:divBdr>
                                    <w:top w:val="none" w:sz="0" w:space="0" w:color="auto"/>
                                    <w:left w:val="none" w:sz="0" w:space="0" w:color="auto"/>
                                    <w:bottom w:val="none" w:sz="0" w:space="0" w:color="auto"/>
                                    <w:right w:val="none" w:sz="0" w:space="0" w:color="auto"/>
                                  </w:divBdr>
                                </w:div>
                                <w:div w:id="1463383255">
                                  <w:marLeft w:val="0"/>
                                  <w:marRight w:val="0"/>
                                  <w:marTop w:val="0"/>
                                  <w:marBottom w:val="0"/>
                                  <w:divBdr>
                                    <w:top w:val="none" w:sz="0" w:space="0" w:color="auto"/>
                                    <w:left w:val="none" w:sz="0" w:space="0" w:color="auto"/>
                                    <w:bottom w:val="none" w:sz="0" w:space="0" w:color="auto"/>
                                    <w:right w:val="none" w:sz="0" w:space="0" w:color="auto"/>
                                  </w:divBdr>
                                </w:div>
                                <w:div w:id="907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215808">
          <w:marLeft w:val="0"/>
          <w:marRight w:val="0"/>
          <w:marTop w:val="0"/>
          <w:marBottom w:val="0"/>
          <w:divBdr>
            <w:top w:val="none" w:sz="0" w:space="0" w:color="auto"/>
            <w:left w:val="none" w:sz="0" w:space="0" w:color="auto"/>
            <w:bottom w:val="none" w:sz="0" w:space="0" w:color="auto"/>
            <w:right w:val="none" w:sz="0" w:space="0" w:color="auto"/>
          </w:divBdr>
          <w:divsChild>
            <w:div w:id="16005354">
              <w:marLeft w:val="0"/>
              <w:marRight w:val="0"/>
              <w:marTop w:val="375"/>
              <w:marBottom w:val="0"/>
              <w:divBdr>
                <w:top w:val="none" w:sz="0" w:space="0" w:color="auto"/>
                <w:left w:val="none" w:sz="0" w:space="0" w:color="auto"/>
                <w:bottom w:val="none" w:sz="0" w:space="0" w:color="auto"/>
                <w:right w:val="none" w:sz="0" w:space="0" w:color="auto"/>
              </w:divBdr>
              <w:divsChild>
                <w:div w:id="25983655">
                  <w:marLeft w:val="0"/>
                  <w:marRight w:val="0"/>
                  <w:marTop w:val="750"/>
                  <w:marBottom w:val="225"/>
                  <w:divBdr>
                    <w:top w:val="none" w:sz="0" w:space="0" w:color="auto"/>
                    <w:left w:val="none" w:sz="0" w:space="0" w:color="auto"/>
                    <w:bottom w:val="none" w:sz="0" w:space="0" w:color="auto"/>
                    <w:right w:val="none" w:sz="0" w:space="0" w:color="auto"/>
                  </w:divBdr>
                  <w:divsChild>
                    <w:div w:id="249780644">
                      <w:marLeft w:val="0"/>
                      <w:marRight w:val="0"/>
                      <w:marTop w:val="0"/>
                      <w:marBottom w:val="0"/>
                      <w:divBdr>
                        <w:top w:val="none" w:sz="0" w:space="0" w:color="auto"/>
                        <w:left w:val="none" w:sz="0" w:space="0" w:color="auto"/>
                        <w:bottom w:val="none" w:sz="0" w:space="0" w:color="auto"/>
                        <w:right w:val="none" w:sz="0" w:space="0" w:color="auto"/>
                      </w:divBdr>
                      <w:divsChild>
                        <w:div w:id="2050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9348">
          <w:marLeft w:val="0"/>
          <w:marRight w:val="0"/>
          <w:marTop w:val="0"/>
          <w:marBottom w:val="0"/>
          <w:divBdr>
            <w:top w:val="none" w:sz="0" w:space="0" w:color="auto"/>
            <w:left w:val="none" w:sz="0" w:space="0" w:color="auto"/>
            <w:bottom w:val="none" w:sz="0" w:space="0" w:color="auto"/>
            <w:right w:val="none" w:sz="0" w:space="0" w:color="auto"/>
          </w:divBdr>
          <w:divsChild>
            <w:div w:id="1703674701">
              <w:marLeft w:val="0"/>
              <w:marRight w:val="0"/>
              <w:marTop w:val="0"/>
              <w:marBottom w:val="0"/>
              <w:divBdr>
                <w:top w:val="none" w:sz="0" w:space="0" w:color="auto"/>
                <w:left w:val="none" w:sz="0" w:space="0" w:color="auto"/>
                <w:bottom w:val="none" w:sz="0" w:space="0" w:color="auto"/>
                <w:right w:val="none" w:sz="0" w:space="0" w:color="auto"/>
              </w:divBdr>
              <w:divsChild>
                <w:div w:id="1387333742">
                  <w:marLeft w:val="0"/>
                  <w:marRight w:val="0"/>
                  <w:marTop w:val="0"/>
                  <w:marBottom w:val="0"/>
                  <w:divBdr>
                    <w:top w:val="none" w:sz="0" w:space="0" w:color="auto"/>
                    <w:left w:val="none" w:sz="0" w:space="0" w:color="auto"/>
                    <w:bottom w:val="none" w:sz="0" w:space="0" w:color="auto"/>
                    <w:right w:val="none" w:sz="0" w:space="0" w:color="auto"/>
                  </w:divBdr>
                  <w:divsChild>
                    <w:div w:id="1602447069">
                      <w:marLeft w:val="-225"/>
                      <w:marRight w:val="-225"/>
                      <w:marTop w:val="0"/>
                      <w:marBottom w:val="0"/>
                      <w:divBdr>
                        <w:top w:val="none" w:sz="0" w:space="0" w:color="auto"/>
                        <w:left w:val="none" w:sz="0" w:space="0" w:color="auto"/>
                        <w:bottom w:val="none" w:sz="0" w:space="0" w:color="auto"/>
                        <w:right w:val="none" w:sz="0" w:space="0" w:color="auto"/>
                      </w:divBdr>
                      <w:divsChild>
                        <w:div w:id="997462313">
                          <w:marLeft w:val="0"/>
                          <w:marRight w:val="0"/>
                          <w:marTop w:val="0"/>
                          <w:marBottom w:val="0"/>
                          <w:divBdr>
                            <w:top w:val="none" w:sz="0" w:space="0" w:color="auto"/>
                            <w:left w:val="none" w:sz="0" w:space="0" w:color="auto"/>
                            <w:bottom w:val="none" w:sz="0" w:space="0" w:color="auto"/>
                            <w:right w:val="none" w:sz="0" w:space="0" w:color="auto"/>
                          </w:divBdr>
                          <w:divsChild>
                            <w:div w:id="17996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992760">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B76B2-C55C-43D5-A1F8-6A68A015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4230</Words>
  <Characters>24112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Product Coordinator</cp:lastModifiedBy>
  <cp:revision>3</cp:revision>
  <cp:lastPrinted>2021-02-11T16:30:00Z</cp:lastPrinted>
  <dcterms:created xsi:type="dcterms:W3CDTF">2021-10-08T12:40:00Z</dcterms:created>
  <dcterms:modified xsi:type="dcterms:W3CDTF">2021-10-08T12:47:00Z</dcterms:modified>
</cp:coreProperties>
</file>