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1E29C" w14:textId="6D69601F" w:rsidR="003A5366" w:rsidRPr="00182514" w:rsidRDefault="00852A08" w:rsidP="00C02410">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CA" w:eastAsia="en-CA"/>
        </w:rPr>
        <w:drawing>
          <wp:inline distT="0" distB="0" distL="0" distR="0" wp14:anchorId="7E9980AA" wp14:editId="1031B25F">
            <wp:extent cx="2613804" cy="551245"/>
            <wp:effectExtent l="0" t="0" r="0" b="1270"/>
            <wp:docPr id="4" name="Picture 4"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2D1172FA" w:rsidR="00C02410" w:rsidRPr="00182514" w:rsidRDefault="00852A08" w:rsidP="00C02410">
      <w:pPr>
        <w:pStyle w:val="ProductNumber"/>
        <w:rPr>
          <w:lang w:val="en-GB"/>
        </w:rPr>
      </w:pPr>
      <w:r>
        <w:rPr>
          <w:lang w:val="en-GB"/>
        </w:rPr>
        <w:t>9B21A010</w:t>
      </w:r>
    </w:p>
    <w:p w14:paraId="4E057522" w14:textId="7A113CB1" w:rsidR="00D75295" w:rsidRPr="00182514" w:rsidRDefault="00D75295" w:rsidP="00D75295">
      <w:pPr>
        <w:jc w:val="right"/>
        <w:rPr>
          <w:rFonts w:ascii="Arial" w:hAnsi="Arial"/>
          <w:b/>
          <w:lang w:val="en-GB"/>
        </w:rPr>
      </w:pPr>
    </w:p>
    <w:p w14:paraId="02524312" w14:textId="77777777" w:rsidR="001901C0" w:rsidRPr="00182514" w:rsidRDefault="001901C0" w:rsidP="00D75295">
      <w:pPr>
        <w:jc w:val="right"/>
        <w:rPr>
          <w:rFonts w:ascii="Arial" w:hAnsi="Arial"/>
          <w:b/>
          <w:lang w:val="en-GB"/>
        </w:rPr>
      </w:pPr>
    </w:p>
    <w:p w14:paraId="2F03D26A" w14:textId="5159B85B" w:rsidR="00013360" w:rsidRPr="00182514" w:rsidRDefault="0064317A" w:rsidP="00013360">
      <w:pPr>
        <w:pStyle w:val="CaseTitle"/>
        <w:spacing w:after="0" w:line="240" w:lineRule="auto"/>
        <w:rPr>
          <w:sz w:val="20"/>
          <w:szCs w:val="20"/>
          <w:lang w:val="en-GB"/>
        </w:rPr>
      </w:pPr>
      <w:r w:rsidRPr="00182514">
        <w:rPr>
          <w:rFonts w:eastAsia="Calibri"/>
          <w:lang w:val="en-GB"/>
        </w:rPr>
        <w:t>tentree: planting for the future</w:t>
      </w:r>
    </w:p>
    <w:p w14:paraId="40ABF6FD" w14:textId="77777777" w:rsidR="00CA3976" w:rsidRPr="00182514" w:rsidRDefault="00CA3976" w:rsidP="00013360">
      <w:pPr>
        <w:pStyle w:val="CaseTitle"/>
        <w:spacing w:after="0" w:line="240" w:lineRule="auto"/>
        <w:rPr>
          <w:sz w:val="20"/>
          <w:szCs w:val="20"/>
          <w:lang w:val="en-GB"/>
        </w:rPr>
      </w:pPr>
    </w:p>
    <w:p w14:paraId="202F1085" w14:textId="77777777" w:rsidR="00013360" w:rsidRPr="00182514" w:rsidRDefault="00013360" w:rsidP="00013360">
      <w:pPr>
        <w:pStyle w:val="CaseTitle"/>
        <w:spacing w:after="0" w:line="240" w:lineRule="auto"/>
        <w:rPr>
          <w:sz w:val="20"/>
          <w:szCs w:val="20"/>
          <w:lang w:val="en-GB"/>
        </w:rPr>
      </w:pPr>
    </w:p>
    <w:p w14:paraId="58B0C73F" w14:textId="0CD7E8B7" w:rsidR="00086B26" w:rsidRPr="00182514" w:rsidRDefault="0064317A" w:rsidP="00086B26">
      <w:pPr>
        <w:pStyle w:val="StyleCopyrightStatementAfter0ptBottomSinglesolidline1"/>
        <w:rPr>
          <w:lang w:val="en-GB"/>
        </w:rPr>
      </w:pPr>
      <w:r w:rsidRPr="00182514">
        <w:rPr>
          <w:lang w:val="en-GB"/>
        </w:rPr>
        <w:t>Jack Stevenson wrote this case under the supervision of Julie Gosse</w:t>
      </w:r>
      <w:r w:rsidR="00ED7922" w:rsidRPr="00182514">
        <w:rPr>
          <w:rFonts w:cs="Arial"/>
          <w:szCs w:val="16"/>
          <w:lang w:val="en-GB"/>
        </w:rPr>
        <w:t xml:space="preserve"> </w:t>
      </w:r>
      <w:r w:rsidR="00086B26" w:rsidRPr="00182514">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182514" w:rsidRDefault="00086B26" w:rsidP="00086B26">
      <w:pPr>
        <w:pStyle w:val="StyleCopyrightStatementAfter0ptBottomSinglesolidline1"/>
        <w:rPr>
          <w:lang w:val="en-GB"/>
        </w:rPr>
      </w:pPr>
    </w:p>
    <w:p w14:paraId="34F0594A" w14:textId="77777777" w:rsidR="00F845EA" w:rsidRPr="00A323B0" w:rsidRDefault="00F845EA" w:rsidP="00F845EA">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w:t>
      </w:r>
      <w:r w:rsidRPr="00E23AB7">
        <w:t xml:space="preserve">(e) </w:t>
      </w:r>
      <w:hyperlink r:id="rId9" w:history="1">
        <w:r w:rsidRPr="00E23AB7">
          <w:t>cases@ivey.ca</w:t>
        </w:r>
      </w:hyperlink>
      <w:r w:rsidRPr="00E23AB7">
        <w:t xml:space="preserve">; </w:t>
      </w:r>
      <w:hyperlink r:id="rId10" w:history="1">
        <w:r w:rsidRPr="00E23AB7">
          <w:t>www.</w:t>
        </w:r>
        <w:r>
          <w:t>iveypublishing.ca</w:t>
        </w:r>
      </w:hyperlink>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1EEEBFE5" w14:textId="1678D782" w:rsidR="00A323B0" w:rsidRPr="00F845EA" w:rsidRDefault="00A323B0" w:rsidP="00A323B0">
      <w:pPr>
        <w:pStyle w:val="StyleStyleCopyrightStatementAfter0ptBottomSinglesolid"/>
        <w:rPr>
          <w:rFonts w:cs="Arial"/>
          <w:szCs w:val="16"/>
        </w:rPr>
      </w:pPr>
      <w:bookmarkStart w:id="0" w:name="_GoBack"/>
      <w:bookmarkEnd w:id="0"/>
    </w:p>
    <w:p w14:paraId="21F0694C" w14:textId="1F044AEC" w:rsidR="003A5366" w:rsidRPr="00182514" w:rsidRDefault="003A5366" w:rsidP="00A323B0">
      <w:pPr>
        <w:pStyle w:val="StyleStyleCopyrightStatementAfter0ptBottomSinglesolid"/>
        <w:rPr>
          <w:rFonts w:cs="Arial"/>
          <w:szCs w:val="16"/>
          <w:lang w:val="en-GB"/>
        </w:rPr>
      </w:pPr>
    </w:p>
    <w:p w14:paraId="3922E14F" w14:textId="4ABA6323" w:rsidR="00751E0B" w:rsidRPr="00182514" w:rsidRDefault="00852A08" w:rsidP="00A323B0">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182514">
        <w:rPr>
          <w:rFonts w:cs="Arial"/>
          <w:iCs w:val="0"/>
          <w:color w:val="auto"/>
          <w:szCs w:val="16"/>
          <w:lang w:val="en-GB"/>
        </w:rPr>
        <w:tab/>
        <w:t xml:space="preserve">Version: </w:t>
      </w:r>
      <w:r w:rsidR="0064317A" w:rsidRPr="00182514">
        <w:rPr>
          <w:rFonts w:cs="Arial"/>
          <w:iCs w:val="0"/>
          <w:color w:val="auto"/>
          <w:szCs w:val="16"/>
          <w:lang w:val="en-GB"/>
        </w:rPr>
        <w:t>202</w:t>
      </w:r>
      <w:r w:rsidR="00FA26DB">
        <w:rPr>
          <w:rFonts w:cs="Arial"/>
          <w:iCs w:val="0"/>
          <w:color w:val="auto"/>
          <w:szCs w:val="16"/>
          <w:lang w:val="en-GB"/>
        </w:rPr>
        <w:t>2</w:t>
      </w:r>
      <w:r w:rsidR="0064317A" w:rsidRPr="00182514">
        <w:rPr>
          <w:rFonts w:cs="Arial"/>
          <w:iCs w:val="0"/>
          <w:color w:val="auto"/>
          <w:szCs w:val="16"/>
          <w:lang w:val="en-GB"/>
        </w:rPr>
        <w:t>-</w:t>
      </w:r>
      <w:r w:rsidR="00FA26DB">
        <w:rPr>
          <w:rFonts w:cs="Arial"/>
          <w:iCs w:val="0"/>
          <w:color w:val="auto"/>
          <w:szCs w:val="16"/>
          <w:lang w:val="en-GB"/>
        </w:rPr>
        <w:t>02-22</w:t>
      </w:r>
    </w:p>
    <w:p w14:paraId="0A2A54E4" w14:textId="77777777" w:rsidR="00751E0B" w:rsidRPr="00563E1B" w:rsidRDefault="00751E0B" w:rsidP="00751E0B">
      <w:pPr>
        <w:pStyle w:val="StyleCopyrightStatementAfter0ptBottomSinglesolidline1"/>
        <w:rPr>
          <w:rFonts w:ascii="Times New Roman" w:hAnsi="Times New Roman"/>
          <w:i w:val="0"/>
          <w:sz w:val="22"/>
          <w:szCs w:val="22"/>
          <w:lang w:val="en-GB"/>
        </w:rPr>
      </w:pPr>
    </w:p>
    <w:p w14:paraId="2C183161" w14:textId="28980590" w:rsidR="00B87DC0" w:rsidRPr="00563E1B" w:rsidRDefault="00B87DC0" w:rsidP="002B40FF">
      <w:pPr>
        <w:pStyle w:val="Casehead1"/>
        <w:rPr>
          <w:rFonts w:ascii="Times New Roman" w:hAnsi="Times New Roman" w:cs="Times New Roman"/>
          <w:b w:val="0"/>
          <w:sz w:val="22"/>
          <w:szCs w:val="22"/>
          <w:lang w:val="en-GB"/>
        </w:rPr>
      </w:pPr>
    </w:p>
    <w:p w14:paraId="22360872" w14:textId="1DCA4B68" w:rsidR="0064317A" w:rsidRPr="00182514" w:rsidRDefault="0064317A" w:rsidP="0064317A">
      <w:pPr>
        <w:pStyle w:val="BodyTextMain"/>
        <w:rPr>
          <w:lang w:val="en-GB"/>
        </w:rPr>
      </w:pPr>
      <w:r w:rsidRPr="00182514">
        <w:rPr>
          <w:lang w:val="en-GB"/>
        </w:rPr>
        <w:t xml:space="preserve">It was late December 2019, and </w:t>
      </w:r>
      <w:r w:rsidR="00F90CE8" w:rsidRPr="00182514">
        <w:rPr>
          <w:lang w:val="en-GB"/>
        </w:rPr>
        <w:t xml:space="preserve">as </w:t>
      </w:r>
      <w:r w:rsidRPr="00182514">
        <w:rPr>
          <w:lang w:val="en-GB"/>
        </w:rPr>
        <w:t xml:space="preserve">Shawn McIntyre sat with his </w:t>
      </w:r>
      <w:r w:rsidR="00B706E1" w:rsidRPr="00182514">
        <w:rPr>
          <w:lang w:val="en-GB"/>
        </w:rPr>
        <w:t xml:space="preserve">sashimi </w:t>
      </w:r>
      <w:r w:rsidRPr="00182514">
        <w:rPr>
          <w:lang w:val="en-GB"/>
        </w:rPr>
        <w:t xml:space="preserve">lunch at his desk </w:t>
      </w:r>
      <w:r w:rsidR="00B706E1" w:rsidRPr="00182514">
        <w:rPr>
          <w:lang w:val="en-GB"/>
        </w:rPr>
        <w:t xml:space="preserve">at the Vancouver headquarters of </w:t>
      </w:r>
      <w:r w:rsidR="00022D20" w:rsidRPr="00182514">
        <w:rPr>
          <w:lang w:val="en-GB"/>
        </w:rPr>
        <w:t>Ten</w:t>
      </w:r>
      <w:r w:rsidR="0017740B">
        <w:rPr>
          <w:lang w:val="en-GB"/>
        </w:rPr>
        <w:t xml:space="preserve"> T</w:t>
      </w:r>
      <w:r w:rsidR="00022D20" w:rsidRPr="00182514">
        <w:rPr>
          <w:lang w:val="en-GB"/>
        </w:rPr>
        <w:t>ree International Inc. (</w:t>
      </w:r>
      <w:r w:rsidRPr="00182514">
        <w:rPr>
          <w:lang w:val="en-GB"/>
        </w:rPr>
        <w:t>tentree</w:t>
      </w:r>
      <w:r w:rsidR="00022D20" w:rsidRPr="00182514">
        <w:rPr>
          <w:lang w:val="en-GB"/>
        </w:rPr>
        <w:t>)</w:t>
      </w:r>
      <w:r w:rsidR="00B706E1" w:rsidRPr="00182514">
        <w:rPr>
          <w:lang w:val="en-GB"/>
        </w:rPr>
        <w:t xml:space="preserve">, he knew he had some important decisions to make regarding tentree’s marketing plan. </w:t>
      </w:r>
      <w:r w:rsidRPr="00182514">
        <w:rPr>
          <w:lang w:val="en-GB"/>
        </w:rPr>
        <w:t xml:space="preserve">McIntyre had worked </w:t>
      </w:r>
      <w:r w:rsidR="00B706E1" w:rsidRPr="00182514">
        <w:rPr>
          <w:lang w:val="en-GB"/>
        </w:rPr>
        <w:t xml:space="preserve">as the digital marketing manager </w:t>
      </w:r>
      <w:r w:rsidRPr="00182514">
        <w:rPr>
          <w:lang w:val="en-GB"/>
        </w:rPr>
        <w:t>at tentree for three years and had loved every minute of it. He was proud of being a tentree employee because</w:t>
      </w:r>
      <w:r w:rsidR="00B706E1" w:rsidRPr="00182514">
        <w:rPr>
          <w:lang w:val="en-GB"/>
        </w:rPr>
        <w:t>,</w:t>
      </w:r>
      <w:r w:rsidRPr="00182514">
        <w:rPr>
          <w:lang w:val="en-GB"/>
        </w:rPr>
        <w:t xml:space="preserve"> as an eco-friendly clothing retailer, the business focused on making a positive impact on the environment. For every item a customer purchased, tentree planted ten trees in areas that needed reforestation.</w:t>
      </w:r>
      <w:r w:rsidR="00146027">
        <w:rPr>
          <w:lang w:val="en-GB"/>
        </w:rPr>
        <w:t xml:space="preserve"> </w:t>
      </w:r>
    </w:p>
    <w:p w14:paraId="18A3CBDE" w14:textId="77777777" w:rsidR="0064317A" w:rsidRPr="00A25EAD" w:rsidRDefault="0064317A" w:rsidP="0064317A">
      <w:pPr>
        <w:pStyle w:val="BodyTextMain"/>
        <w:rPr>
          <w:lang w:val="en-GB"/>
        </w:rPr>
      </w:pPr>
    </w:p>
    <w:p w14:paraId="0DEEC499" w14:textId="459F84BF" w:rsidR="00CF2498" w:rsidRPr="00182514" w:rsidRDefault="00B706E1" w:rsidP="0064317A">
      <w:pPr>
        <w:pStyle w:val="BodyTextMain"/>
        <w:rPr>
          <w:lang w:val="en-GB"/>
        </w:rPr>
      </w:pPr>
      <w:r w:rsidRPr="00182514">
        <w:rPr>
          <w:lang w:val="en-GB"/>
        </w:rPr>
        <w:t>McIntyre had just come from a meeting with his chief executive officer (CEO), Derrick Emsley, d</w:t>
      </w:r>
      <w:r w:rsidR="0064317A" w:rsidRPr="00182514">
        <w:rPr>
          <w:lang w:val="en-GB"/>
        </w:rPr>
        <w:t xml:space="preserve">uring </w:t>
      </w:r>
      <w:r w:rsidRPr="00182514">
        <w:rPr>
          <w:lang w:val="en-GB"/>
        </w:rPr>
        <w:t>which they</w:t>
      </w:r>
      <w:r w:rsidR="0064317A" w:rsidRPr="00182514">
        <w:rPr>
          <w:lang w:val="en-GB"/>
        </w:rPr>
        <w:t xml:space="preserve"> had discussed the results from this fiscal year end. Both </w:t>
      </w:r>
      <w:r w:rsidRPr="00182514">
        <w:rPr>
          <w:lang w:val="en-GB"/>
        </w:rPr>
        <w:t xml:space="preserve">men were </w:t>
      </w:r>
      <w:r w:rsidR="0064317A" w:rsidRPr="00182514">
        <w:rPr>
          <w:lang w:val="en-GB"/>
        </w:rPr>
        <w:t xml:space="preserve">happy with the overall outcomes and excited about the future. This past year had been momentous for their brand. After just over seven years of operations, </w:t>
      </w:r>
      <w:proofErr w:type="spellStart"/>
      <w:r w:rsidR="0064317A" w:rsidRPr="00182514">
        <w:rPr>
          <w:lang w:val="en-GB"/>
        </w:rPr>
        <w:t>tentree</w:t>
      </w:r>
      <w:proofErr w:type="spellEnd"/>
      <w:r w:rsidR="0064317A" w:rsidRPr="00182514">
        <w:rPr>
          <w:lang w:val="en-GB"/>
        </w:rPr>
        <w:t xml:space="preserve"> had </w:t>
      </w:r>
      <w:r w:rsidR="00D4207A" w:rsidRPr="00182514">
        <w:rPr>
          <w:lang w:val="en-GB"/>
        </w:rPr>
        <w:t xml:space="preserve">achieved </w:t>
      </w:r>
      <w:r w:rsidR="00FA26DB" w:rsidRPr="00182514">
        <w:rPr>
          <w:lang w:val="en-GB"/>
        </w:rPr>
        <w:t>$32 million dollars</w:t>
      </w:r>
      <w:r w:rsidR="00FA26DB" w:rsidRPr="00182514">
        <w:rPr>
          <w:rStyle w:val="FootnoteReference"/>
          <w:lang w:val="en-GB"/>
        </w:rPr>
        <w:footnoteReference w:id="1"/>
      </w:r>
      <w:r w:rsidR="00FA26DB" w:rsidRPr="00182514">
        <w:rPr>
          <w:lang w:val="en-GB"/>
        </w:rPr>
        <w:t xml:space="preserve"> </w:t>
      </w:r>
      <w:r w:rsidR="00FA26DB">
        <w:rPr>
          <w:lang w:val="en-GB"/>
        </w:rPr>
        <w:t xml:space="preserve">in annual </w:t>
      </w:r>
      <w:r w:rsidR="0064317A" w:rsidRPr="00182514">
        <w:rPr>
          <w:lang w:val="en-GB"/>
        </w:rPr>
        <w:t xml:space="preserve">revenues </w:t>
      </w:r>
      <w:r w:rsidR="00CF2498" w:rsidRPr="00182514">
        <w:rPr>
          <w:lang w:val="en-GB"/>
        </w:rPr>
        <w:t xml:space="preserve">and had reached a major milestone of 30 million trees planted. </w:t>
      </w:r>
      <w:proofErr w:type="spellStart"/>
      <w:r w:rsidR="00CA63E9">
        <w:rPr>
          <w:lang w:val="en-GB"/>
        </w:rPr>
        <w:t>t</w:t>
      </w:r>
      <w:r w:rsidR="00CF2498" w:rsidRPr="00182514">
        <w:rPr>
          <w:lang w:val="en-GB"/>
        </w:rPr>
        <w:t>entree</w:t>
      </w:r>
      <w:proofErr w:type="spellEnd"/>
      <w:r w:rsidR="00CF2498" w:rsidRPr="00182514">
        <w:rPr>
          <w:lang w:val="en-GB"/>
        </w:rPr>
        <w:t xml:space="preserve"> had also launched its most successful promotional campaign to date, which had celebrated Earth Week in 2019. With such an impressive year wrapping up, McIntyre was now looking forward and trying to determine tentree’s next steps. He had a revenue goal of $43 million dollars for 2020 and he wanted to generate a healthy profit margin. He took a bite of his lunch and considered the information he had in front of him.</w:t>
      </w:r>
    </w:p>
    <w:p w14:paraId="1BF8EA7D" w14:textId="7727A363" w:rsidR="00CF2498" w:rsidRPr="00A25EAD" w:rsidRDefault="00CF2498" w:rsidP="00EF0955">
      <w:pPr>
        <w:pStyle w:val="BodyTextMain"/>
        <w:rPr>
          <w:lang w:val="en-GB"/>
        </w:rPr>
      </w:pPr>
    </w:p>
    <w:p w14:paraId="46B3FCC2" w14:textId="77777777" w:rsidR="00CF2498" w:rsidRPr="00A25EAD" w:rsidRDefault="00CF2498" w:rsidP="00EF0955">
      <w:pPr>
        <w:pStyle w:val="BodyTextMain"/>
        <w:rPr>
          <w:lang w:val="en-GB"/>
        </w:rPr>
      </w:pPr>
    </w:p>
    <w:p w14:paraId="37488D22" w14:textId="77777777" w:rsidR="00CF2498" w:rsidRPr="00182514" w:rsidRDefault="00CF2498" w:rsidP="00EF0955">
      <w:pPr>
        <w:pStyle w:val="Casehead1"/>
        <w:rPr>
          <w:lang w:val="en-GB"/>
        </w:rPr>
      </w:pPr>
      <w:r w:rsidRPr="00182514">
        <w:rPr>
          <w:lang w:val="en-GB"/>
        </w:rPr>
        <w:t>VANCOUVER</w:t>
      </w:r>
    </w:p>
    <w:p w14:paraId="1B766D0E" w14:textId="77777777" w:rsidR="00CF2498" w:rsidRPr="00A25EAD" w:rsidRDefault="00CF2498" w:rsidP="0064317A">
      <w:pPr>
        <w:pStyle w:val="BodyTextMain"/>
        <w:rPr>
          <w:lang w:val="en-GB"/>
        </w:rPr>
      </w:pPr>
    </w:p>
    <w:p w14:paraId="755B3561" w14:textId="4F30E804" w:rsidR="00CF2498" w:rsidRPr="00182514" w:rsidRDefault="00CF2498" w:rsidP="0064317A">
      <w:pPr>
        <w:pStyle w:val="BodyTextMain"/>
        <w:rPr>
          <w:lang w:val="en-GB"/>
        </w:rPr>
      </w:pPr>
      <w:r w:rsidRPr="00182514">
        <w:rPr>
          <w:lang w:val="en-GB"/>
        </w:rPr>
        <w:t>Vancouver was the third-largest city in Canada and the largest city in British Columbia, with a population of 631,486 in an area of 114 square kilometres.</w:t>
      </w:r>
      <w:r w:rsidRPr="00182514">
        <w:rPr>
          <w:rStyle w:val="FootnoteReference"/>
          <w:lang w:val="en-GB"/>
        </w:rPr>
        <w:footnoteReference w:id="2"/>
      </w:r>
      <w:r w:rsidRPr="00182514">
        <w:rPr>
          <w:lang w:val="en-GB"/>
        </w:rPr>
        <w:t xml:space="preserve"> An international tourist destination, Vancouver was known for its natural beauty and outdoor activities. It was considered to be among the world’s best cities in terms of quality of life, and it attracted those who loved the outdoors.</w:t>
      </w:r>
      <w:r w:rsidRPr="00182514">
        <w:rPr>
          <w:rStyle w:val="FootnoteReference"/>
          <w:lang w:val="en-GB"/>
        </w:rPr>
        <w:footnoteReference w:id="3"/>
      </w:r>
      <w:r w:rsidRPr="00182514">
        <w:rPr>
          <w:lang w:val="en-GB"/>
        </w:rPr>
        <w:t xml:space="preserve"> Home to a number of iconic neighbourhoods, Vancouver was one of the most diverse cities in Canada (see Exhibit 1).</w:t>
      </w:r>
      <w:r w:rsidRPr="00182514">
        <w:rPr>
          <w:rStyle w:val="FootnoteReference"/>
          <w:lang w:val="en-GB"/>
        </w:rPr>
        <w:footnoteReference w:id="4"/>
      </w:r>
      <w:r w:rsidRPr="00182514">
        <w:rPr>
          <w:lang w:val="en-GB"/>
        </w:rPr>
        <w:t xml:space="preserve"> Vancouver was</w:t>
      </w:r>
      <w:r w:rsidR="00563E1B">
        <w:rPr>
          <w:lang w:val="en-GB"/>
        </w:rPr>
        <w:t xml:space="preserve"> </w:t>
      </w:r>
      <w:r w:rsidRPr="00182514">
        <w:rPr>
          <w:lang w:val="en-GB"/>
        </w:rPr>
        <w:lastRenderedPageBreak/>
        <w:t>also known for its dedication to the environment. It was currently the 10</w:t>
      </w:r>
      <w:r w:rsidRPr="000811E4">
        <w:rPr>
          <w:lang w:val="en-GB"/>
        </w:rPr>
        <w:t>th</w:t>
      </w:r>
      <w:r w:rsidRPr="00182514">
        <w:rPr>
          <w:lang w:val="en-GB"/>
        </w:rPr>
        <w:t xml:space="preserve"> cleanest city in the world,</w:t>
      </w:r>
      <w:r w:rsidRPr="00182514">
        <w:rPr>
          <w:rStyle w:val="FootnoteReference"/>
          <w:lang w:val="en-GB"/>
        </w:rPr>
        <w:footnoteReference w:id="5"/>
      </w:r>
      <w:r w:rsidRPr="00182514">
        <w:rPr>
          <w:lang w:val="en-GB"/>
        </w:rPr>
        <w:t xml:space="preserve"> and it aimed to be known as the greenest city by 2020.</w:t>
      </w:r>
      <w:r w:rsidRPr="00182514">
        <w:rPr>
          <w:rStyle w:val="FootnoteReference"/>
          <w:lang w:val="en-GB"/>
        </w:rPr>
        <w:footnoteReference w:id="6"/>
      </w:r>
    </w:p>
    <w:p w14:paraId="471BB6E2" w14:textId="3244D857" w:rsidR="00CF2498" w:rsidRPr="00182514" w:rsidRDefault="00CF2498" w:rsidP="0064317A">
      <w:pPr>
        <w:pStyle w:val="BodyTextMain"/>
        <w:rPr>
          <w:lang w:val="en-GB"/>
        </w:rPr>
      </w:pPr>
    </w:p>
    <w:p w14:paraId="162C402C" w14:textId="77777777" w:rsidR="00CF2498" w:rsidRPr="00182514" w:rsidRDefault="00CF2498" w:rsidP="0064317A">
      <w:pPr>
        <w:pStyle w:val="BodyTextMain"/>
        <w:rPr>
          <w:lang w:val="en-GB"/>
        </w:rPr>
      </w:pPr>
    </w:p>
    <w:p w14:paraId="0D43E4A1" w14:textId="77777777" w:rsidR="00CF2498" w:rsidRPr="00182514" w:rsidRDefault="00CF2498" w:rsidP="000811E4">
      <w:pPr>
        <w:pStyle w:val="Casehead1"/>
        <w:keepNext/>
        <w:keepLines/>
        <w:rPr>
          <w:lang w:val="en-GB"/>
        </w:rPr>
      </w:pPr>
      <w:r w:rsidRPr="00182514">
        <w:rPr>
          <w:lang w:val="en-GB"/>
        </w:rPr>
        <w:t>TENTREE’S HISTORY</w:t>
      </w:r>
    </w:p>
    <w:p w14:paraId="4F51C8A7" w14:textId="77777777" w:rsidR="00CF2498" w:rsidRPr="00182514" w:rsidRDefault="00CF2498" w:rsidP="000811E4">
      <w:pPr>
        <w:pStyle w:val="BodyTextMain"/>
        <w:keepNext/>
        <w:keepLines/>
        <w:rPr>
          <w:lang w:val="en-GB"/>
        </w:rPr>
      </w:pPr>
    </w:p>
    <w:p w14:paraId="00A6B6E1" w14:textId="6BE88787" w:rsidR="00CF2498" w:rsidRPr="00182514" w:rsidRDefault="00CA63E9" w:rsidP="000811E4">
      <w:pPr>
        <w:pStyle w:val="BodyTextMain"/>
        <w:keepNext/>
        <w:keepLines/>
        <w:rPr>
          <w:lang w:val="en-GB"/>
        </w:rPr>
      </w:pPr>
      <w:r>
        <w:rPr>
          <w:lang w:val="en-GB"/>
        </w:rPr>
        <w:t>t</w:t>
      </w:r>
      <w:r w:rsidR="00CF2498" w:rsidRPr="00182514">
        <w:rPr>
          <w:lang w:val="en-GB"/>
        </w:rPr>
        <w:t xml:space="preserve">entree was founded in 2012 by Kalen Emsley and David Luba. Emsley, inspired by his job as a tree planter, was visiting Luba in Hawaii when the pair came up with the idea for a clothing brand that gave back to the environment. The duo then brought in Derrick Emsley, a graduate of Ivey Business School, which McIntyre had also attended, to act as CEO, and tentree was born. Initially operating out of Kalen Emsley’s basement in Regina, Saskatchewan, tentree quickly outgrew this space. After four years of operations—during which it planted over </w:t>
      </w:r>
      <w:r w:rsidR="005D57EA">
        <w:rPr>
          <w:lang w:val="en-GB"/>
        </w:rPr>
        <w:t>1</w:t>
      </w:r>
      <w:r w:rsidR="00CF2498" w:rsidRPr="00182514">
        <w:rPr>
          <w:lang w:val="en-GB"/>
        </w:rPr>
        <w:t xml:space="preserve"> million trees, appeared on the reality venture capital TV show </w:t>
      </w:r>
      <w:r w:rsidR="00CF2498" w:rsidRPr="00556A64">
        <w:rPr>
          <w:i/>
          <w:lang w:val="en-GB"/>
        </w:rPr>
        <w:t>Dragons’ Den</w:t>
      </w:r>
      <w:r w:rsidR="00CF2498" w:rsidRPr="00182514">
        <w:rPr>
          <w:lang w:val="en-GB"/>
        </w:rPr>
        <w:t>, and created over 160,000 hours of employment in developing countries—tentree decided to move its home office to Vancouver, British Columbia.</w:t>
      </w:r>
      <w:r w:rsidR="00CF2498" w:rsidRPr="00182514">
        <w:rPr>
          <w:rStyle w:val="FootnoteReference"/>
          <w:lang w:val="en-GB"/>
        </w:rPr>
        <w:footnoteReference w:id="7"/>
      </w:r>
    </w:p>
    <w:p w14:paraId="3EE67545" w14:textId="77777777" w:rsidR="00CF2498" w:rsidRPr="00182514" w:rsidRDefault="00CF2498" w:rsidP="0064317A">
      <w:pPr>
        <w:pStyle w:val="BodyTextMain"/>
        <w:rPr>
          <w:lang w:val="en-GB"/>
        </w:rPr>
      </w:pPr>
    </w:p>
    <w:p w14:paraId="16C286AB" w14:textId="3F9364CC" w:rsidR="00CF2498" w:rsidRPr="00182514" w:rsidRDefault="00CF2498" w:rsidP="0064317A">
      <w:pPr>
        <w:pStyle w:val="BodyTextMain"/>
        <w:rPr>
          <w:lang w:val="en-GB"/>
        </w:rPr>
      </w:pPr>
      <w:r w:rsidRPr="00182514">
        <w:rPr>
          <w:lang w:val="en-GB"/>
        </w:rPr>
        <w:t>Planting trees was not enough for tentree</w:t>
      </w:r>
      <w:r>
        <w:rPr>
          <w:lang w:val="en-GB"/>
        </w:rPr>
        <w:t>. T</w:t>
      </w:r>
      <w:r w:rsidRPr="00182514">
        <w:rPr>
          <w:lang w:val="en-GB"/>
        </w:rPr>
        <w:t>he company founders wanted to make a larger environmental impact</w:t>
      </w:r>
      <w:r>
        <w:rPr>
          <w:lang w:val="en-GB"/>
        </w:rPr>
        <w:t>, and t</w:t>
      </w:r>
      <w:r w:rsidRPr="00182514">
        <w:rPr>
          <w:lang w:val="en-GB"/>
        </w:rPr>
        <w:t>he best way to do this was to focus on their supply chain. They decided that their supply chain should be based on the same principles as the company itself: transparency, sustainability, and respect. To ensure these values were upheld, the company shifted its production to incorporate more sustainable fabrics and environmentally progressive clothing. As the majority of its suppliers were located overseas (70 per cent in China, and the rest distributed across Vietnam, India, and Central America), tentree was unable to monitor its production facilities regularly. To ensure that the company’s suppliers shared its values, tentree created a strict supplier code of conduct (see Exhibit 2). This collection of strict supplier standards was a key driver that enabled tentree to be certified as a B Corporation (B Corp) in 2016</w:t>
      </w:r>
      <w:r>
        <w:rPr>
          <w:lang w:val="en-GB"/>
        </w:rPr>
        <w:t>.</w:t>
      </w:r>
      <w:r w:rsidRPr="00182514">
        <w:rPr>
          <w:rStyle w:val="FootnoteReference"/>
          <w:lang w:val="en-GB"/>
        </w:rPr>
        <w:footnoteReference w:id="8"/>
      </w:r>
      <w:r w:rsidRPr="00182514">
        <w:rPr>
          <w:lang w:val="en-GB"/>
        </w:rPr>
        <w:t xml:space="preserve"> In order to become certified B Corps, brands had to score at least 80 points on the B Corp scale. </w:t>
      </w:r>
      <w:r w:rsidR="00CA63E9">
        <w:rPr>
          <w:lang w:val="en-GB"/>
        </w:rPr>
        <w:t>t</w:t>
      </w:r>
      <w:r w:rsidRPr="00182514">
        <w:rPr>
          <w:lang w:val="en-GB"/>
        </w:rPr>
        <w:t>entree scored 124, demonstrating the brand’s commitment to the environment.</w:t>
      </w:r>
      <w:r w:rsidRPr="00182514">
        <w:rPr>
          <w:rStyle w:val="FootnoteReference"/>
          <w:lang w:val="en-GB"/>
        </w:rPr>
        <w:footnoteReference w:id="9"/>
      </w:r>
    </w:p>
    <w:p w14:paraId="3FB5190D" w14:textId="0EF1292E" w:rsidR="00CF2498" w:rsidRPr="00182514" w:rsidRDefault="00CF2498" w:rsidP="0064317A">
      <w:pPr>
        <w:pStyle w:val="BodyTextMain"/>
        <w:rPr>
          <w:lang w:val="en-GB"/>
        </w:rPr>
      </w:pPr>
    </w:p>
    <w:p w14:paraId="54C57ACA" w14:textId="77777777" w:rsidR="00CF2498" w:rsidRPr="00182514" w:rsidRDefault="00CF2498" w:rsidP="0064317A">
      <w:pPr>
        <w:pStyle w:val="BodyTextMain"/>
        <w:rPr>
          <w:lang w:val="en-GB"/>
        </w:rPr>
      </w:pPr>
    </w:p>
    <w:p w14:paraId="218EDF47" w14:textId="77777777" w:rsidR="00CF2498" w:rsidRPr="00182514" w:rsidRDefault="00CF2498" w:rsidP="00EF0955">
      <w:pPr>
        <w:pStyle w:val="Casehead1"/>
        <w:rPr>
          <w:lang w:val="en-GB"/>
        </w:rPr>
      </w:pPr>
      <w:r w:rsidRPr="00182514">
        <w:rPr>
          <w:lang w:val="en-GB"/>
        </w:rPr>
        <w:t>EARTH WEEK 2019</w:t>
      </w:r>
    </w:p>
    <w:p w14:paraId="14105785" w14:textId="77777777" w:rsidR="00CF2498" w:rsidRPr="00182514" w:rsidRDefault="00CF2498" w:rsidP="0064317A">
      <w:pPr>
        <w:pStyle w:val="BodyTextMain"/>
        <w:rPr>
          <w:lang w:val="en-GB"/>
        </w:rPr>
      </w:pPr>
    </w:p>
    <w:p w14:paraId="011876F8" w14:textId="66FEF986" w:rsidR="00CF2498" w:rsidRPr="00182514" w:rsidRDefault="00CF2498" w:rsidP="0064317A">
      <w:pPr>
        <w:pStyle w:val="BodyTextMain"/>
        <w:rPr>
          <w:lang w:val="en-GB"/>
        </w:rPr>
      </w:pPr>
      <w:r w:rsidRPr="00182514">
        <w:rPr>
          <w:lang w:val="en-GB"/>
        </w:rPr>
        <w:t>Earth Week was a week-long international campaign focused on environmental sustainability. Every year, Earth Week was celebrated by individuals, organizations, and educational institutions alike. The centrepiece of the week was Earth Day, on which people around the world raised awareness about the effects of humans on the planet and encouraged others to take action to reduce our impacts.</w:t>
      </w:r>
      <w:r w:rsidRPr="00182514">
        <w:rPr>
          <w:rStyle w:val="FootnoteReference"/>
          <w:lang w:val="en-GB"/>
        </w:rPr>
        <w:footnoteReference w:id="10"/>
      </w:r>
      <w:r w:rsidRPr="00182514">
        <w:rPr>
          <w:lang w:val="en-GB"/>
        </w:rPr>
        <w:t xml:space="preserve"> Earth Week events included community park clean-ups, tree planting, and forums on how businesses could become greener.</w:t>
      </w:r>
      <w:r w:rsidRPr="00182514">
        <w:rPr>
          <w:rStyle w:val="FootnoteReference"/>
          <w:lang w:val="en-GB"/>
        </w:rPr>
        <w:footnoteReference w:id="11"/>
      </w:r>
    </w:p>
    <w:p w14:paraId="0092EC1C" w14:textId="77777777" w:rsidR="00CF2498" w:rsidRPr="00182514" w:rsidRDefault="00CF2498" w:rsidP="0064317A">
      <w:pPr>
        <w:pStyle w:val="BodyTextMain"/>
        <w:rPr>
          <w:lang w:val="en-GB"/>
        </w:rPr>
      </w:pPr>
    </w:p>
    <w:p w14:paraId="2298C935" w14:textId="16C1EC16" w:rsidR="00CF2498" w:rsidRPr="00182514" w:rsidRDefault="00CF2498" w:rsidP="0064317A">
      <w:pPr>
        <w:pStyle w:val="BodyTextMain"/>
        <w:rPr>
          <w:lang w:val="en-GB"/>
        </w:rPr>
      </w:pPr>
      <w:r w:rsidRPr="00182514">
        <w:rPr>
          <w:lang w:val="en-GB"/>
        </w:rPr>
        <w:t xml:space="preserve">For Earth Week in 2019, tentree was looking for a way to create a tangible positive impact while simultaneously increasing its brand awareness. After a series of debates and brainstorming sessions, </w:t>
      </w:r>
      <w:r w:rsidRPr="00182514">
        <w:rPr>
          <w:lang w:val="en-GB"/>
        </w:rPr>
        <w:lastRenderedPageBreak/>
        <w:t xml:space="preserve">tentree’s marketing team decided to create a campaign </w:t>
      </w:r>
      <w:r>
        <w:rPr>
          <w:lang w:val="en-GB"/>
        </w:rPr>
        <w:t>highlighting</w:t>
      </w:r>
      <w:r w:rsidR="005D57EA">
        <w:rPr>
          <w:lang w:val="en-GB"/>
        </w:rPr>
        <w:t xml:space="preserve"> </w:t>
      </w:r>
      <w:r w:rsidRPr="00182514">
        <w:rPr>
          <w:lang w:val="en-GB"/>
        </w:rPr>
        <w:t xml:space="preserve">“the world’s most sustainable post” on Instagram. Partnering with the non-profit Eden Reforestation Projects, tentree promised to plant a tree for every </w:t>
      </w:r>
      <w:r w:rsidR="005D57EA">
        <w:rPr>
          <w:lang w:val="en-GB"/>
        </w:rPr>
        <w:t>10</w:t>
      </w:r>
      <w:r w:rsidRPr="00182514">
        <w:rPr>
          <w:lang w:val="en-GB"/>
        </w:rPr>
        <w:t xml:space="preserve"> likes the post received.</w:t>
      </w:r>
      <w:r w:rsidRPr="00182514">
        <w:rPr>
          <w:rStyle w:val="FootnoteReference"/>
          <w:lang w:val="en-GB"/>
        </w:rPr>
        <w:footnoteReference w:id="12"/>
      </w:r>
      <w:r w:rsidRPr="00182514">
        <w:rPr>
          <w:lang w:val="en-GB"/>
        </w:rPr>
        <w:t xml:space="preserve"> The initial goal for the campaign was </w:t>
      </w:r>
      <w:r w:rsidR="005D57EA">
        <w:rPr>
          <w:lang w:val="en-GB"/>
        </w:rPr>
        <w:t>5</w:t>
      </w:r>
      <w:r w:rsidRPr="00182514">
        <w:rPr>
          <w:lang w:val="en-GB"/>
        </w:rPr>
        <w:t xml:space="preserve"> million likes, which would translat</w:t>
      </w:r>
      <w:r w:rsidR="005D57EA">
        <w:rPr>
          <w:lang w:val="en-GB"/>
        </w:rPr>
        <w:t>e</w:t>
      </w:r>
      <w:r w:rsidRPr="00182514">
        <w:rPr>
          <w:lang w:val="en-GB"/>
        </w:rPr>
        <w:t xml:space="preserve"> to 500,000 trees planted.</w:t>
      </w:r>
      <w:r w:rsidRPr="00182514">
        <w:rPr>
          <w:rStyle w:val="FootnoteReference"/>
          <w:lang w:val="en-GB"/>
        </w:rPr>
        <w:footnoteReference w:id="13"/>
      </w:r>
      <w:r w:rsidRPr="00182514">
        <w:rPr>
          <w:lang w:val="en-GB"/>
        </w:rPr>
        <w:t xml:space="preserve"> With 2.3 million followers, an employee count of 50 people</w:t>
      </w:r>
      <w:r w:rsidR="005D57EA">
        <w:rPr>
          <w:lang w:val="en-GB"/>
        </w:rPr>
        <w:t>,</w:t>
      </w:r>
      <w:r w:rsidRPr="00182514">
        <w:rPr>
          <w:rStyle w:val="FootnoteReference"/>
          <w:lang w:val="en-GB"/>
        </w:rPr>
        <w:footnoteReference w:id="14"/>
      </w:r>
      <w:r w:rsidRPr="00182514">
        <w:rPr>
          <w:lang w:val="en-GB"/>
        </w:rPr>
        <w:t xml:space="preserve"> and an average of 80,000–100,000 likes per post, this was an ambitious goal.</w:t>
      </w:r>
      <w:r w:rsidRPr="00182514">
        <w:rPr>
          <w:rStyle w:val="FootnoteReference"/>
          <w:lang w:val="en-GB"/>
        </w:rPr>
        <w:footnoteReference w:id="15"/>
      </w:r>
      <w:r w:rsidRPr="00182514">
        <w:rPr>
          <w:lang w:val="en-GB"/>
        </w:rPr>
        <w:t xml:space="preserve"> </w:t>
      </w:r>
    </w:p>
    <w:p w14:paraId="299C264A" w14:textId="77777777" w:rsidR="00CF2498" w:rsidRPr="00182514" w:rsidRDefault="00CF2498" w:rsidP="0064317A">
      <w:pPr>
        <w:pStyle w:val="BodyTextMain"/>
        <w:rPr>
          <w:lang w:val="en-GB"/>
        </w:rPr>
      </w:pPr>
    </w:p>
    <w:p w14:paraId="5A6BCA2C" w14:textId="288AD5C5" w:rsidR="00CF2498" w:rsidRPr="00182514" w:rsidRDefault="00CF2498" w:rsidP="0064317A">
      <w:pPr>
        <w:pStyle w:val="BodyTextMain"/>
        <w:rPr>
          <w:lang w:val="en-GB"/>
        </w:rPr>
      </w:pPr>
      <w:r w:rsidRPr="00182514">
        <w:rPr>
          <w:lang w:val="en-GB"/>
        </w:rPr>
        <w:t>The marketing team decided that the post would need to be easy to understand, catch the attention of the viewer, clearly indicate what the viewer needed to do, and be easy to share with friends.</w:t>
      </w:r>
      <w:r w:rsidRPr="00182514">
        <w:rPr>
          <w:rStyle w:val="FootnoteReference"/>
          <w:lang w:val="en-GB"/>
        </w:rPr>
        <w:footnoteReference w:id="16"/>
      </w:r>
      <w:r w:rsidRPr="00182514">
        <w:rPr>
          <w:lang w:val="en-GB"/>
        </w:rPr>
        <w:t xml:space="preserve"> These four criteria were the basis on which tentree judged dozens of photos (see Exhibit 3) before deciding on the final images that would be the focus of its campaign (see Exhibit 4). In order to maximize awareness of the post, tentree also partnered with social media influencers and press agencies so that consumers would be aware of the campaign from day one. This strategy was extremely successful</w:t>
      </w:r>
      <w:r w:rsidR="00D54027">
        <w:rPr>
          <w:lang w:val="en-GB"/>
        </w:rPr>
        <w:t>,</w:t>
      </w:r>
      <w:r w:rsidRPr="00182514">
        <w:rPr>
          <w:lang w:val="en-GB"/>
        </w:rPr>
        <w:t xml:space="preserve"> as throughout Earth Week, tentree’s brand awareness reached new heights. The campaign quickly surpassed the initial goal of 5 million likes, within days of posting, and it was even featured on the stories of celebrities such as Stephen Laurel “</w:t>
      </w:r>
      <w:proofErr w:type="spellStart"/>
      <w:r w:rsidRPr="00182514">
        <w:rPr>
          <w:lang w:val="en-GB"/>
        </w:rPr>
        <w:t>tWitch</w:t>
      </w:r>
      <w:proofErr w:type="spellEnd"/>
      <w:r w:rsidRPr="00182514">
        <w:rPr>
          <w:lang w:val="en-GB"/>
        </w:rPr>
        <w:t>” Boss (Ellen DeGeneres’s DJ) and actress Rosario Dawson.</w:t>
      </w:r>
      <w:r w:rsidRPr="00182514">
        <w:rPr>
          <w:rStyle w:val="FootnoteReference"/>
          <w:lang w:val="en-GB"/>
        </w:rPr>
        <w:footnoteReference w:id="17"/>
      </w:r>
      <w:r w:rsidRPr="00182514">
        <w:rPr>
          <w:lang w:val="en-GB"/>
        </w:rPr>
        <w:t xml:space="preserve"> </w:t>
      </w:r>
    </w:p>
    <w:p w14:paraId="4E98739C" w14:textId="77777777" w:rsidR="00CF2498" w:rsidRPr="00182514" w:rsidRDefault="00CF2498" w:rsidP="0064317A">
      <w:pPr>
        <w:pStyle w:val="BodyTextMain"/>
        <w:rPr>
          <w:lang w:val="en-GB"/>
        </w:rPr>
      </w:pPr>
    </w:p>
    <w:p w14:paraId="7437F01B" w14:textId="003C85B8" w:rsidR="00CF2498" w:rsidRPr="00182514" w:rsidRDefault="00CF2498" w:rsidP="0064317A">
      <w:pPr>
        <w:pStyle w:val="BodyTextMain"/>
        <w:rPr>
          <w:lang w:val="en-GB"/>
        </w:rPr>
      </w:pPr>
      <w:r w:rsidRPr="00182514">
        <w:rPr>
          <w:lang w:val="en-GB"/>
        </w:rPr>
        <w:t>By the end of the week, tentree had gained an additional 400,000 followers on Instagram and increased its website traffic by over 200 per cent.</w:t>
      </w:r>
      <w:r w:rsidRPr="00182514">
        <w:rPr>
          <w:rStyle w:val="FootnoteReference"/>
          <w:lang w:val="en-GB"/>
        </w:rPr>
        <w:footnoteReference w:id="18"/>
      </w:r>
      <w:r w:rsidRPr="00182514">
        <w:rPr>
          <w:lang w:val="en-GB"/>
        </w:rPr>
        <w:t xml:space="preserve"> Its post even became the fifth-most-liked photo on Instagram, with a total of 15.6 million likes.</w:t>
      </w:r>
      <w:r w:rsidRPr="00182514">
        <w:rPr>
          <w:rStyle w:val="FootnoteReference"/>
          <w:lang w:val="en-GB"/>
        </w:rPr>
        <w:footnoteReference w:id="19"/>
      </w:r>
      <w:r w:rsidRPr="00182514">
        <w:rPr>
          <w:lang w:val="en-GB"/>
        </w:rPr>
        <w:t xml:space="preserve"> </w:t>
      </w:r>
      <w:proofErr w:type="spellStart"/>
      <w:r w:rsidR="00CA63E9">
        <w:rPr>
          <w:lang w:val="en-GB"/>
        </w:rPr>
        <w:t>t</w:t>
      </w:r>
      <w:r w:rsidRPr="00182514">
        <w:rPr>
          <w:lang w:val="en-GB"/>
        </w:rPr>
        <w:t>entree</w:t>
      </w:r>
      <w:proofErr w:type="spellEnd"/>
      <w:r w:rsidRPr="00182514">
        <w:rPr>
          <w:lang w:val="en-GB"/>
        </w:rPr>
        <w:t xml:space="preserve"> was thrilled that its post had gone viral, but this increased awareness had not translated to a</w:t>
      </w:r>
      <w:r>
        <w:rPr>
          <w:lang w:val="en-GB"/>
        </w:rPr>
        <w:t xml:space="preserve"> similar</w:t>
      </w:r>
      <w:r w:rsidRPr="00182514">
        <w:rPr>
          <w:lang w:val="en-GB"/>
        </w:rPr>
        <w:t xml:space="preserve"> increase in sales. Other than an increase of around $20,000 over regular sales levels, the campaign had had no lasting impacts. With tentree’s average conversion rate for online advertisements sitting at 2.0 per cent in Canada and 1.5 per cent in the United States, this comparatively small sales bump was disappointing. Five months later, McIntyre was wondering how the company could take this increased brand awareness and translate it into sales.</w:t>
      </w:r>
    </w:p>
    <w:p w14:paraId="2103368B" w14:textId="6F35F637" w:rsidR="00CF2498" w:rsidRPr="00182514" w:rsidRDefault="00CF2498" w:rsidP="0064317A">
      <w:pPr>
        <w:pStyle w:val="BodyTextMain"/>
        <w:rPr>
          <w:lang w:val="en-GB"/>
        </w:rPr>
      </w:pPr>
    </w:p>
    <w:p w14:paraId="04339CF0" w14:textId="77777777" w:rsidR="00CF2498" w:rsidRPr="00182514" w:rsidRDefault="00CF2498" w:rsidP="0064317A">
      <w:pPr>
        <w:pStyle w:val="BodyTextMain"/>
        <w:rPr>
          <w:lang w:val="en-GB"/>
        </w:rPr>
      </w:pPr>
    </w:p>
    <w:p w14:paraId="13503A5B" w14:textId="77777777" w:rsidR="00CF2498" w:rsidRPr="00182514" w:rsidRDefault="00CF2498" w:rsidP="00EF0955">
      <w:pPr>
        <w:pStyle w:val="Casehead1"/>
        <w:rPr>
          <w:lang w:val="en-GB"/>
        </w:rPr>
      </w:pPr>
      <w:r w:rsidRPr="00182514">
        <w:rPr>
          <w:lang w:val="en-GB"/>
        </w:rPr>
        <w:t>REVENUE STREAMS</w:t>
      </w:r>
    </w:p>
    <w:p w14:paraId="000D085E" w14:textId="77777777" w:rsidR="00CF2498" w:rsidRPr="00182514" w:rsidRDefault="00CF2498" w:rsidP="0064317A">
      <w:pPr>
        <w:pStyle w:val="BodyTextMain"/>
        <w:rPr>
          <w:lang w:val="en-GB"/>
        </w:rPr>
      </w:pPr>
    </w:p>
    <w:p w14:paraId="07DB6FF5" w14:textId="2CE29C1E" w:rsidR="00CF2498" w:rsidRPr="00182514" w:rsidRDefault="00CA63E9" w:rsidP="0064317A">
      <w:pPr>
        <w:pStyle w:val="BodyTextMain"/>
        <w:rPr>
          <w:lang w:val="en-GB"/>
        </w:rPr>
      </w:pPr>
      <w:r>
        <w:rPr>
          <w:lang w:val="en-GB"/>
        </w:rPr>
        <w:t>t</w:t>
      </w:r>
      <w:r w:rsidR="00CF2498" w:rsidRPr="00182514">
        <w:rPr>
          <w:lang w:val="en-GB"/>
        </w:rPr>
        <w:t>entree currently had two main revenue streams: sales from e-commerce and sales from brick-and-mortar stores. Since its advent, e-commerce had been increasing in both size and popularity. Since 2001, online retail sales had grown by 300 per cent, increasing 11.4 per cent in 2018 alone.</w:t>
      </w:r>
      <w:r w:rsidR="00CF2498" w:rsidRPr="00182514">
        <w:rPr>
          <w:rStyle w:val="FootnoteReference"/>
          <w:lang w:val="en-GB"/>
        </w:rPr>
        <w:footnoteReference w:id="20"/>
      </w:r>
      <w:r w:rsidR="00CF2498" w:rsidRPr="00182514">
        <w:rPr>
          <w:lang w:val="en-GB"/>
        </w:rPr>
        <w:t xml:space="preserve"> More and more businesses were transitioning to e-commerce, and it was more cost-effective to operate websites than to operate physical storefronts.</w:t>
      </w:r>
      <w:r w:rsidR="00CF2498" w:rsidRPr="00182514">
        <w:rPr>
          <w:rStyle w:val="FootnoteReference"/>
          <w:lang w:val="en-GB"/>
        </w:rPr>
        <w:footnoteReference w:id="21"/>
      </w:r>
      <w:r w:rsidR="00CF2498" w:rsidRPr="00182514">
        <w:rPr>
          <w:lang w:val="en-GB"/>
        </w:rPr>
        <w:t xml:space="preserve"> Transitioning to e-commerce was also beneficial for stores because it allowed them to track and understand their customers using digital analytics and to more quickly and easily expand into </w:t>
      </w:r>
      <w:r w:rsidR="00CF2498" w:rsidRPr="00182514">
        <w:rPr>
          <w:lang w:val="en-GB"/>
        </w:rPr>
        <w:lastRenderedPageBreak/>
        <w:t>new geographical areas.</w:t>
      </w:r>
      <w:r w:rsidR="00CF2498" w:rsidRPr="00182514">
        <w:rPr>
          <w:rStyle w:val="FootnoteReference"/>
          <w:lang w:val="en-GB"/>
        </w:rPr>
        <w:footnoteReference w:id="22"/>
      </w:r>
      <w:r w:rsidR="00CF2498" w:rsidRPr="00182514">
        <w:rPr>
          <w:lang w:val="en-GB"/>
        </w:rPr>
        <w:t xml:space="preserve"> However, as more companies entered the e-commerce space, consumers were beginning to have higher expectations in terms of the service and quality of goods they could expect from e-commerce companies. In fact, the average length consumers were willing to wait for online purchases had dropped from 5.5 days to 4.5 days.</w:t>
      </w:r>
      <w:r w:rsidR="00CF2498" w:rsidRPr="00182514">
        <w:rPr>
          <w:rStyle w:val="FootnoteReference"/>
          <w:lang w:val="en-GB"/>
        </w:rPr>
        <w:footnoteReference w:id="23"/>
      </w:r>
      <w:r w:rsidR="00CF2498" w:rsidRPr="00182514">
        <w:rPr>
          <w:lang w:val="en-GB"/>
        </w:rPr>
        <w:t xml:space="preserve"> Throughout 2019, tentree had generated $17 million through online sales, with $8.5 million coming from Canada and $7.0 million coming from the United States. Over the last several years, tentree’s website sales had increased overall by 40–60 per cent.</w:t>
      </w:r>
    </w:p>
    <w:p w14:paraId="673141FA" w14:textId="77777777" w:rsidR="00CF2498" w:rsidRPr="00182514" w:rsidRDefault="00CF2498" w:rsidP="0064317A">
      <w:pPr>
        <w:pStyle w:val="BodyTextMain"/>
        <w:rPr>
          <w:lang w:val="en-GB"/>
        </w:rPr>
      </w:pPr>
    </w:p>
    <w:p w14:paraId="76C83810" w14:textId="22A4345A" w:rsidR="00CF2498" w:rsidRPr="00182514" w:rsidRDefault="00CF2498" w:rsidP="0064317A">
      <w:pPr>
        <w:pStyle w:val="BodyTextMain"/>
        <w:rPr>
          <w:lang w:val="en-GB"/>
        </w:rPr>
      </w:pPr>
      <w:r w:rsidRPr="00182514">
        <w:rPr>
          <w:lang w:val="en-GB"/>
        </w:rPr>
        <w:t>The success of e-commerce did</w:t>
      </w:r>
      <w:r w:rsidR="002C7939">
        <w:rPr>
          <w:lang w:val="en-GB"/>
        </w:rPr>
        <w:t xml:space="preserve"> not</w:t>
      </w:r>
      <w:r w:rsidRPr="00182514">
        <w:rPr>
          <w:lang w:val="en-GB"/>
        </w:rPr>
        <w:t xml:space="preserve"> represent the death of all brick-and mortar-stores—those businesses that sold their goods and services primarily through physical locations.</w:t>
      </w:r>
      <w:r w:rsidRPr="00182514">
        <w:rPr>
          <w:rStyle w:val="FootnoteReference"/>
          <w:lang w:val="en-GB"/>
        </w:rPr>
        <w:footnoteReference w:id="24"/>
      </w:r>
      <w:r w:rsidRPr="00182514">
        <w:rPr>
          <w:lang w:val="en-GB"/>
        </w:rPr>
        <w:t xml:space="preserve"> Overall, 61 per cent of consumers still shopped mainly in stores rather than online. Doing so allowed them to obtain goods instantly and to access employee expertise, and it gave them the option to physically interact with items to test their durability and fit.</w:t>
      </w:r>
      <w:r w:rsidRPr="00182514">
        <w:rPr>
          <w:rStyle w:val="FootnoteReference"/>
          <w:lang w:val="en-GB"/>
        </w:rPr>
        <w:footnoteReference w:id="25"/>
      </w:r>
      <w:r w:rsidRPr="00182514">
        <w:rPr>
          <w:lang w:val="en-GB"/>
        </w:rPr>
        <w:t xml:space="preserve"> With overall brick-and-mortar sales amounting to over $3 trillion dollars in 2019 and growing at 1.4 per cent per </w:t>
      </w:r>
      <w:r w:rsidR="002C7939">
        <w:rPr>
          <w:lang w:val="en-GB"/>
        </w:rPr>
        <w:t>year</w:t>
      </w:r>
      <w:r w:rsidRPr="00182514">
        <w:rPr>
          <w:lang w:val="en-GB"/>
        </w:rPr>
        <w:t>,</w:t>
      </w:r>
      <w:r w:rsidRPr="00182514">
        <w:rPr>
          <w:rStyle w:val="FootnoteReference"/>
          <w:lang w:val="en-GB"/>
        </w:rPr>
        <w:footnoteReference w:id="26"/>
      </w:r>
      <w:r w:rsidRPr="00182514">
        <w:rPr>
          <w:lang w:val="en-GB"/>
        </w:rPr>
        <w:t xml:space="preserve"> this method of distribution did</w:t>
      </w:r>
      <w:r w:rsidR="002C7939">
        <w:rPr>
          <w:lang w:val="en-GB"/>
        </w:rPr>
        <w:t xml:space="preserve"> not</w:t>
      </w:r>
      <w:r w:rsidRPr="00182514">
        <w:rPr>
          <w:lang w:val="en-GB"/>
        </w:rPr>
        <w:t xml:space="preserve"> appear to be leaving any time soon. </w:t>
      </w:r>
    </w:p>
    <w:p w14:paraId="11CEE55A" w14:textId="77777777" w:rsidR="00CF2498" w:rsidRPr="00182514" w:rsidRDefault="00CF2498" w:rsidP="0064317A">
      <w:pPr>
        <w:pStyle w:val="BodyTextMain"/>
        <w:rPr>
          <w:lang w:val="en-GB"/>
        </w:rPr>
      </w:pPr>
    </w:p>
    <w:p w14:paraId="0862B4A4" w14:textId="10791945" w:rsidR="00CF2498" w:rsidRPr="00A25EAD" w:rsidRDefault="00CA63E9" w:rsidP="0064317A">
      <w:pPr>
        <w:pStyle w:val="BodyTextMain"/>
        <w:rPr>
          <w:spacing w:val="-2"/>
          <w:lang w:val="en-GB"/>
        </w:rPr>
      </w:pPr>
      <w:r w:rsidRPr="00A25EAD">
        <w:rPr>
          <w:spacing w:val="-2"/>
          <w:lang w:val="en-GB"/>
        </w:rPr>
        <w:t>t</w:t>
      </w:r>
      <w:r w:rsidR="00CF2498" w:rsidRPr="00A25EAD">
        <w:rPr>
          <w:spacing w:val="-2"/>
          <w:lang w:val="en-GB"/>
        </w:rPr>
        <w:t>entree’s wholesale accounts generated $15 million in sales, which represented about a 10 per cent growth from the year before. With $10 million in sales in Canada and $5 million in the United States, both markets were a large source of revenue. Major retailers in Canada included Boathouse, Below the Belt, and Mountain Equipment Co-op (MEC); Buckle Inc., LIDZ, and Zappos were tentree’s main retailers in the United States.</w:t>
      </w:r>
    </w:p>
    <w:p w14:paraId="397CF4A8" w14:textId="77777777" w:rsidR="00CF2498" w:rsidRPr="00182514" w:rsidRDefault="00CF2498" w:rsidP="00EF0955">
      <w:pPr>
        <w:pStyle w:val="BodyTextMain"/>
        <w:rPr>
          <w:lang w:val="en-GB"/>
        </w:rPr>
      </w:pPr>
    </w:p>
    <w:p w14:paraId="4DB8B89E" w14:textId="5BA09735" w:rsidR="00CF2498" w:rsidRPr="00182514" w:rsidRDefault="00CF2498" w:rsidP="0064317A">
      <w:pPr>
        <w:pStyle w:val="BodyTextMain"/>
        <w:rPr>
          <w:lang w:val="en-GB"/>
        </w:rPr>
      </w:pPr>
      <w:r w:rsidRPr="00182514">
        <w:rPr>
          <w:lang w:val="en-GB"/>
        </w:rPr>
        <w:t>Many businesses, tentree included, favoured a blended model that focused on both e-commerce and in-person sales. When consumers shopped, few looked exclusively online or in person before making decisions about what to buy: 87 per cent of shoppers started their retail experiences online, taking advantage of price comparisons and narrowing their options</w:t>
      </w:r>
      <w:r>
        <w:rPr>
          <w:lang w:val="en-GB"/>
        </w:rPr>
        <w:t>.</w:t>
      </w:r>
      <w:r w:rsidRPr="00182514">
        <w:rPr>
          <w:lang w:val="en-GB"/>
        </w:rPr>
        <w:t xml:space="preserve"> </w:t>
      </w:r>
      <w:r>
        <w:rPr>
          <w:lang w:val="en-GB"/>
        </w:rPr>
        <w:t>They then</w:t>
      </w:r>
      <w:r w:rsidRPr="00182514">
        <w:rPr>
          <w:lang w:val="en-GB"/>
        </w:rPr>
        <w:t xml:space="preserve"> visited physical retail stores later to determine the quality of products and avoid shipping fees and lengthy waits for deliveries.</w:t>
      </w:r>
      <w:r w:rsidRPr="00182514">
        <w:rPr>
          <w:rStyle w:val="FootnoteReference"/>
          <w:lang w:val="en-GB"/>
        </w:rPr>
        <w:footnoteReference w:id="27"/>
      </w:r>
    </w:p>
    <w:p w14:paraId="428F525A" w14:textId="59513E3A" w:rsidR="00CF2498" w:rsidRPr="00182514" w:rsidRDefault="00CF2498" w:rsidP="0064317A">
      <w:pPr>
        <w:pStyle w:val="BodyTextMain"/>
        <w:rPr>
          <w:lang w:val="en-GB"/>
        </w:rPr>
      </w:pPr>
    </w:p>
    <w:p w14:paraId="1CCD1C00" w14:textId="77777777" w:rsidR="00CF2498" w:rsidRPr="00182514" w:rsidRDefault="00CF2498" w:rsidP="0064317A">
      <w:pPr>
        <w:pStyle w:val="BodyTextMain"/>
        <w:rPr>
          <w:lang w:val="en-GB"/>
        </w:rPr>
      </w:pPr>
    </w:p>
    <w:p w14:paraId="0F570F14" w14:textId="77777777" w:rsidR="00CF2498" w:rsidRPr="00182514" w:rsidRDefault="00CF2498" w:rsidP="00556A64">
      <w:pPr>
        <w:pStyle w:val="Casehead1"/>
        <w:keepNext/>
        <w:keepLines/>
        <w:rPr>
          <w:lang w:val="en-GB"/>
        </w:rPr>
      </w:pPr>
      <w:r w:rsidRPr="00182514">
        <w:rPr>
          <w:lang w:val="en-GB"/>
        </w:rPr>
        <w:t>PRODUCTION INFORMATION</w:t>
      </w:r>
    </w:p>
    <w:p w14:paraId="38719F93" w14:textId="77777777" w:rsidR="00CF2498" w:rsidRPr="00182514" w:rsidRDefault="00CF2498" w:rsidP="00556A64">
      <w:pPr>
        <w:pStyle w:val="BodyTextMain"/>
        <w:keepNext/>
        <w:keepLines/>
        <w:rPr>
          <w:lang w:val="en-GB"/>
        </w:rPr>
      </w:pPr>
    </w:p>
    <w:p w14:paraId="19EA3794" w14:textId="10CB24DE" w:rsidR="00CF2498" w:rsidRPr="00182514" w:rsidRDefault="00CA63E9" w:rsidP="00556A64">
      <w:pPr>
        <w:pStyle w:val="BodyTextMain"/>
        <w:keepNext/>
        <w:keepLines/>
        <w:rPr>
          <w:lang w:val="en-GB"/>
        </w:rPr>
      </w:pPr>
      <w:r>
        <w:rPr>
          <w:lang w:val="en-GB"/>
        </w:rPr>
        <w:t>t</w:t>
      </w:r>
      <w:r w:rsidR="00CF2498" w:rsidRPr="00182514">
        <w:rPr>
          <w:lang w:val="en-GB"/>
        </w:rPr>
        <w:t>entree sold a wide array of both men’s and women’s clothing. Given its recent success and a sales breakdown that was fairly equal across all categories, tentree was not currently planning to launch any new products in the near future and was not interested in expanding into categories beyond those it had already established. The company’s average cost of goods sold (COGS) across all products was 30 per cent of its retail selling price (RSP) (see Exhibit 5). To ensure that the prices on its website matched those charged by brick-and-mortar retailers, tentree sold its products at 50 per cent of its RSP to wholesalers, who then marked the items up 100 per cent.</w:t>
      </w:r>
    </w:p>
    <w:p w14:paraId="4DDAD975" w14:textId="77777777" w:rsidR="00CF2498" w:rsidRPr="00182514" w:rsidRDefault="00CF2498" w:rsidP="0064317A">
      <w:pPr>
        <w:pStyle w:val="BodyTextMain"/>
        <w:rPr>
          <w:lang w:val="en-GB"/>
        </w:rPr>
      </w:pPr>
    </w:p>
    <w:p w14:paraId="4962DCEA" w14:textId="7126DDC0" w:rsidR="00CF2498" w:rsidRPr="00182514" w:rsidRDefault="00CA63E9" w:rsidP="0064317A">
      <w:pPr>
        <w:pStyle w:val="BodyTextMain"/>
        <w:rPr>
          <w:lang w:val="en-GB"/>
        </w:rPr>
      </w:pPr>
      <w:r>
        <w:rPr>
          <w:lang w:val="en-GB"/>
        </w:rPr>
        <w:t>t</w:t>
      </w:r>
      <w:r w:rsidR="00CF2498" w:rsidRPr="00182514">
        <w:rPr>
          <w:lang w:val="en-GB"/>
        </w:rPr>
        <w:t xml:space="preserve">entree had to include not only the costs of production but also tree-planting costs when determining its net profit from each sale. Depending on the location and type of tree planted, this cost could vary—from $0.10 for a tree planted in Canada to $3.00 for a tree planted in remote areas of Peru. On average, though, the cost to plant </w:t>
      </w:r>
      <w:r w:rsidR="00FA26DB">
        <w:rPr>
          <w:lang w:val="en-GB"/>
        </w:rPr>
        <w:t>ten</w:t>
      </w:r>
      <w:r w:rsidR="00CF2498" w:rsidRPr="00182514">
        <w:rPr>
          <w:lang w:val="en-GB"/>
        </w:rPr>
        <w:t xml:space="preserve"> tree</w:t>
      </w:r>
      <w:r w:rsidR="00FA26DB">
        <w:rPr>
          <w:lang w:val="en-GB"/>
        </w:rPr>
        <w:t>s</w:t>
      </w:r>
      <w:r w:rsidR="00CF2498" w:rsidRPr="00182514">
        <w:rPr>
          <w:lang w:val="en-GB"/>
        </w:rPr>
        <w:t xml:space="preserve"> was $2.00. Because the current US administration had recently increased tariffs on goods </w:t>
      </w:r>
      <w:r w:rsidR="00CF2498" w:rsidRPr="00182514">
        <w:rPr>
          <w:lang w:val="en-GB"/>
        </w:rPr>
        <w:lastRenderedPageBreak/>
        <w:t>manufactured in China, it had become more expensive to export products to tentree’s US consumer base. McIntyre was concerned that this administration might increase tariffs even further, decreasing the company’s profitability levels.</w:t>
      </w:r>
    </w:p>
    <w:p w14:paraId="70C1E707" w14:textId="55FF5D1F" w:rsidR="00CF2498" w:rsidRPr="00A25EAD" w:rsidRDefault="00CF2498" w:rsidP="0064317A">
      <w:pPr>
        <w:pStyle w:val="BodyTextMain"/>
        <w:rPr>
          <w:sz w:val="20"/>
          <w:lang w:val="en-GB"/>
        </w:rPr>
      </w:pPr>
    </w:p>
    <w:p w14:paraId="40A46253" w14:textId="77777777" w:rsidR="00CF2498" w:rsidRPr="00A25EAD" w:rsidRDefault="00CF2498" w:rsidP="0064317A">
      <w:pPr>
        <w:pStyle w:val="BodyTextMain"/>
        <w:rPr>
          <w:sz w:val="20"/>
          <w:lang w:val="en-GB"/>
        </w:rPr>
      </w:pPr>
    </w:p>
    <w:p w14:paraId="59C8F891" w14:textId="77777777" w:rsidR="00CF2498" w:rsidRPr="00182514" w:rsidRDefault="00CF2498" w:rsidP="00EF0955">
      <w:pPr>
        <w:pStyle w:val="Casehead1"/>
        <w:rPr>
          <w:lang w:val="en-GB"/>
        </w:rPr>
      </w:pPr>
      <w:r w:rsidRPr="00182514">
        <w:rPr>
          <w:lang w:val="en-GB"/>
        </w:rPr>
        <w:t>COMPETITION</w:t>
      </w:r>
    </w:p>
    <w:p w14:paraId="71A43A59" w14:textId="77777777" w:rsidR="00CF2498" w:rsidRPr="00A25EAD" w:rsidRDefault="00CF2498" w:rsidP="0064317A">
      <w:pPr>
        <w:pStyle w:val="BodyTextMain"/>
        <w:rPr>
          <w:sz w:val="20"/>
          <w:lang w:val="en-GB"/>
        </w:rPr>
      </w:pPr>
    </w:p>
    <w:p w14:paraId="0DF4CACA" w14:textId="535C0EEB" w:rsidR="00CF2498" w:rsidRPr="00182514" w:rsidRDefault="00CA63E9" w:rsidP="0064317A">
      <w:pPr>
        <w:pStyle w:val="BodyTextMain"/>
        <w:rPr>
          <w:lang w:val="en-GB"/>
        </w:rPr>
      </w:pPr>
      <w:r>
        <w:rPr>
          <w:lang w:val="en-GB"/>
        </w:rPr>
        <w:t>t</w:t>
      </w:r>
      <w:r w:rsidR="00CF2498" w:rsidRPr="00182514">
        <w:rPr>
          <w:lang w:val="en-GB"/>
        </w:rPr>
        <w:t xml:space="preserve">entree’s largest competition in North America was United by Blue (Blue), another clothing retailer looking to give back to the environment. Whereas tentree planted </w:t>
      </w:r>
      <w:r w:rsidR="00FA26DB">
        <w:rPr>
          <w:lang w:val="en-GB"/>
        </w:rPr>
        <w:t>ten</w:t>
      </w:r>
      <w:r w:rsidR="00CF2498" w:rsidRPr="00182514">
        <w:rPr>
          <w:lang w:val="en-GB"/>
        </w:rPr>
        <w:t xml:space="preserve"> tree</w:t>
      </w:r>
      <w:r w:rsidR="00FA26DB">
        <w:rPr>
          <w:lang w:val="en-GB"/>
        </w:rPr>
        <w:t>s</w:t>
      </w:r>
      <w:r w:rsidR="00CF2498" w:rsidRPr="00182514">
        <w:rPr>
          <w:lang w:val="en-GB"/>
        </w:rPr>
        <w:t xml:space="preserve"> for each item </w:t>
      </w:r>
      <w:r w:rsidR="00FA26DB">
        <w:rPr>
          <w:lang w:val="en-GB"/>
        </w:rPr>
        <w:t>sold</w:t>
      </w:r>
      <w:r w:rsidR="00CF2498" w:rsidRPr="00182514">
        <w:rPr>
          <w:lang w:val="en-GB"/>
        </w:rPr>
        <w:t>, Blue removed one pound (0.45 kilograms) of trash from oceans and waterways.</w:t>
      </w:r>
      <w:r w:rsidR="00CF2498" w:rsidRPr="00182514">
        <w:rPr>
          <w:rStyle w:val="FootnoteReference"/>
          <w:lang w:val="en-GB"/>
        </w:rPr>
        <w:footnoteReference w:id="28"/>
      </w:r>
      <w:r w:rsidR="00CF2498">
        <w:rPr>
          <w:lang w:val="en-GB"/>
        </w:rPr>
        <w:t xml:space="preserve"> </w:t>
      </w:r>
      <w:r w:rsidR="00CF2498" w:rsidRPr="00182514">
        <w:rPr>
          <w:lang w:val="en-GB"/>
        </w:rPr>
        <w:t xml:space="preserve">Based in Philadelphia, Blue partnered with both US and Canadian distributors, selling </w:t>
      </w:r>
      <w:r w:rsidR="00CF2498">
        <w:rPr>
          <w:lang w:val="en-GB"/>
        </w:rPr>
        <w:t>its</w:t>
      </w:r>
      <w:r w:rsidR="00CF2498" w:rsidRPr="00182514">
        <w:rPr>
          <w:lang w:val="en-GB"/>
        </w:rPr>
        <w:t xml:space="preserve"> products in stores that tentree was also listed in, such as MEC.</w:t>
      </w:r>
      <w:r w:rsidR="00CF2498" w:rsidRPr="00182514">
        <w:rPr>
          <w:rStyle w:val="FootnoteReference"/>
          <w:lang w:val="en-GB"/>
        </w:rPr>
        <w:footnoteReference w:id="29"/>
      </w:r>
      <w:r w:rsidR="00CF2498" w:rsidRPr="00182514">
        <w:rPr>
          <w:lang w:val="en-GB"/>
        </w:rPr>
        <w:t xml:space="preserve"> Like many retail clothing lines, Blue had no self-branded physical locations, but sold its products on its website, which meant that consumers who did</w:t>
      </w:r>
      <w:r w:rsidR="00BF7534">
        <w:rPr>
          <w:lang w:val="en-GB"/>
        </w:rPr>
        <w:t xml:space="preserve"> not</w:t>
      </w:r>
      <w:r w:rsidR="00CF2498" w:rsidRPr="00182514">
        <w:rPr>
          <w:lang w:val="en-GB"/>
        </w:rPr>
        <w:t xml:space="preserve"> live near a store could purchase Blue products online. This put Blue and tentree in direct competition for the attention of consumers who were looking to use their disposable income to make an environmental impact.</w:t>
      </w:r>
    </w:p>
    <w:p w14:paraId="1061FD13" w14:textId="77777777" w:rsidR="00CF2498" w:rsidRPr="00A25EAD" w:rsidRDefault="00CF2498" w:rsidP="0064317A">
      <w:pPr>
        <w:pStyle w:val="BodyTextMain"/>
        <w:rPr>
          <w:sz w:val="20"/>
          <w:lang w:val="en-GB"/>
        </w:rPr>
      </w:pPr>
    </w:p>
    <w:p w14:paraId="03146162" w14:textId="076460C4" w:rsidR="00CF2498" w:rsidRPr="00CF2498" w:rsidRDefault="00CF2498" w:rsidP="0064317A">
      <w:pPr>
        <w:pStyle w:val="BodyTextMain"/>
        <w:rPr>
          <w:spacing w:val="-2"/>
          <w:lang w:val="en-GB"/>
        </w:rPr>
      </w:pPr>
      <w:r w:rsidRPr="00CF2498">
        <w:rPr>
          <w:spacing w:val="-2"/>
          <w:lang w:val="en-GB"/>
        </w:rPr>
        <w:t>Another noteworthy competitor of tentree was Roots Canada (Roots), a Canadian company with an iconic brand that was easily recognized based on its beaver-shaped logo. A considerable portion of Roots’ branding was built around its Canadian heritage, and the company had generated a strong reputation as a producer of high-quality, fashionable products.</w:t>
      </w:r>
      <w:r w:rsidRPr="00CF2498">
        <w:rPr>
          <w:rStyle w:val="FootnoteReference"/>
          <w:spacing w:val="-2"/>
          <w:lang w:val="en-GB"/>
        </w:rPr>
        <w:footnoteReference w:id="30"/>
      </w:r>
      <w:r w:rsidRPr="00CF2498">
        <w:rPr>
          <w:spacing w:val="-2"/>
          <w:lang w:val="en-GB"/>
        </w:rPr>
        <w:t xml:space="preserve"> Although Roots did not have a similar commitment to giving back to its community or a transparent supply chain, its products were strong competitors. One of Roots’ staples was its loungewear; as this category was popular among tentree’s target market, this made Roots a credible threat to tentree’s long-term success. Additionally, Roots had more financial and marketing resources than tentree. With total sales of $329 million,</w:t>
      </w:r>
      <w:r w:rsidRPr="00CF2498">
        <w:rPr>
          <w:rStyle w:val="FootnoteReference"/>
          <w:spacing w:val="-2"/>
          <w:lang w:val="en-GB"/>
        </w:rPr>
        <w:footnoteReference w:id="31"/>
      </w:r>
      <w:r w:rsidRPr="00CF2498">
        <w:rPr>
          <w:spacing w:val="-2"/>
          <w:lang w:val="en-GB"/>
        </w:rPr>
        <w:t xml:space="preserve"> it was able to spend much more on marketing than tentree.</w:t>
      </w:r>
    </w:p>
    <w:p w14:paraId="19693DD7" w14:textId="77777777" w:rsidR="00CF2498" w:rsidRPr="00A25EAD" w:rsidRDefault="00CF2498" w:rsidP="0064317A">
      <w:pPr>
        <w:pStyle w:val="BodyTextMain"/>
        <w:rPr>
          <w:sz w:val="20"/>
          <w:lang w:val="en-GB"/>
        </w:rPr>
      </w:pPr>
    </w:p>
    <w:p w14:paraId="3FE89058" w14:textId="5F4CC301" w:rsidR="00CF2498" w:rsidRPr="00182514" w:rsidRDefault="00CF2498" w:rsidP="0064317A">
      <w:pPr>
        <w:pStyle w:val="BodyTextMain"/>
        <w:rPr>
          <w:lang w:val="en-GB"/>
        </w:rPr>
      </w:pPr>
      <w:r w:rsidRPr="00182514">
        <w:rPr>
          <w:lang w:val="en-GB"/>
        </w:rPr>
        <w:t xml:space="preserve">A final significant competitor was the large skate and surf brand </w:t>
      </w:r>
      <w:proofErr w:type="spellStart"/>
      <w:r w:rsidRPr="00182514">
        <w:rPr>
          <w:lang w:val="en-GB"/>
        </w:rPr>
        <w:t>Quiksilver</w:t>
      </w:r>
      <w:proofErr w:type="spellEnd"/>
      <w:r w:rsidRPr="00182514">
        <w:rPr>
          <w:lang w:val="en-GB"/>
        </w:rPr>
        <w:t>. Founded in Australia in 1969,</w:t>
      </w:r>
      <w:r w:rsidRPr="00182514">
        <w:rPr>
          <w:rStyle w:val="FootnoteReference"/>
          <w:lang w:val="en-GB"/>
        </w:rPr>
        <w:footnoteReference w:id="32"/>
      </w:r>
      <w:r w:rsidRPr="00182514">
        <w:rPr>
          <w:lang w:val="en-GB"/>
        </w:rPr>
        <w:t xml:space="preserve"> </w:t>
      </w:r>
      <w:proofErr w:type="spellStart"/>
      <w:r w:rsidRPr="00182514">
        <w:rPr>
          <w:lang w:val="en-GB"/>
        </w:rPr>
        <w:t>Quiksilver</w:t>
      </w:r>
      <w:proofErr w:type="spellEnd"/>
      <w:r w:rsidRPr="00182514">
        <w:rPr>
          <w:lang w:val="en-GB"/>
        </w:rPr>
        <w:t xml:space="preserve"> had grown its business internationally and become one of the most recognizable skate brands in North America. Although this brand did not have any formalized community contribution programs, it shared a similar aesthetic with tentree, and its products were often sold in the same stores, but at lower average price points.</w:t>
      </w:r>
      <w:r w:rsidRPr="00182514">
        <w:rPr>
          <w:rStyle w:val="FootnoteReference"/>
          <w:lang w:val="en-GB"/>
        </w:rPr>
        <w:footnoteReference w:id="33"/>
      </w:r>
      <w:r w:rsidRPr="00182514">
        <w:rPr>
          <w:lang w:val="en-GB"/>
        </w:rPr>
        <w:t xml:space="preserve"> This brand also had the advantage of being older and much larger than tentree, with yearly revenues over $1 billion.</w:t>
      </w:r>
      <w:r w:rsidRPr="00182514">
        <w:rPr>
          <w:rStyle w:val="FootnoteReference"/>
          <w:lang w:val="en-GB"/>
        </w:rPr>
        <w:footnoteReference w:id="34"/>
      </w:r>
    </w:p>
    <w:p w14:paraId="57F64C19" w14:textId="302F974C" w:rsidR="00CF2498" w:rsidRPr="00A25EAD" w:rsidRDefault="00CF2498" w:rsidP="0064317A">
      <w:pPr>
        <w:pStyle w:val="BodyTextMain"/>
        <w:rPr>
          <w:sz w:val="20"/>
          <w:lang w:val="en-GB"/>
        </w:rPr>
      </w:pPr>
    </w:p>
    <w:p w14:paraId="2CCC189A" w14:textId="77777777" w:rsidR="00CF2498" w:rsidRPr="00A25EAD" w:rsidRDefault="00CF2498" w:rsidP="0064317A">
      <w:pPr>
        <w:pStyle w:val="BodyTextMain"/>
        <w:rPr>
          <w:sz w:val="20"/>
          <w:lang w:val="en-GB"/>
        </w:rPr>
      </w:pPr>
    </w:p>
    <w:p w14:paraId="1ED23A8B" w14:textId="77777777" w:rsidR="00CF2498" w:rsidRPr="00182514" w:rsidRDefault="00CF2498" w:rsidP="00A25EAD">
      <w:pPr>
        <w:pStyle w:val="Casehead1"/>
        <w:rPr>
          <w:u w:val="single"/>
          <w:lang w:val="en-GB"/>
        </w:rPr>
      </w:pPr>
      <w:r w:rsidRPr="00182514">
        <w:rPr>
          <w:lang w:val="en-GB"/>
        </w:rPr>
        <w:t>CONSUMERS</w:t>
      </w:r>
    </w:p>
    <w:p w14:paraId="70F0689B" w14:textId="77777777" w:rsidR="00CF2498" w:rsidRPr="00A25EAD" w:rsidRDefault="00CF2498" w:rsidP="00A25EAD">
      <w:pPr>
        <w:pStyle w:val="BodyTextMain"/>
        <w:rPr>
          <w:sz w:val="16"/>
          <w:lang w:val="en-GB"/>
        </w:rPr>
      </w:pPr>
    </w:p>
    <w:p w14:paraId="021CA9B6" w14:textId="217E315D" w:rsidR="00CF2498" w:rsidRPr="00182514" w:rsidRDefault="00CF2498" w:rsidP="00A25EAD">
      <w:pPr>
        <w:pStyle w:val="BodyTextMain"/>
        <w:rPr>
          <w:lang w:val="en-GB"/>
        </w:rPr>
      </w:pPr>
      <w:r w:rsidRPr="00182514">
        <w:rPr>
          <w:lang w:val="en-GB"/>
        </w:rPr>
        <w:t>The ways that consumers interacted with retail businesses were affected by many trends, including ethical and values-based shopping, which had never been more prominent in North America than they were now. Consumers wanted to feel good about the brands they were buying rather than just searching blindly for the lowest prices.</w:t>
      </w:r>
      <w:r w:rsidRPr="00182514">
        <w:rPr>
          <w:rStyle w:val="FootnoteReference"/>
          <w:lang w:val="en-GB"/>
        </w:rPr>
        <w:footnoteReference w:id="35"/>
      </w:r>
      <w:r w:rsidRPr="00182514">
        <w:rPr>
          <w:lang w:val="en-GB"/>
        </w:rPr>
        <w:t xml:space="preserve"> Consumers also wanted to interact with brands—and not just their products—when they </w:t>
      </w:r>
      <w:r w:rsidRPr="00182514">
        <w:rPr>
          <w:lang w:val="en-GB"/>
        </w:rPr>
        <w:lastRenderedPageBreak/>
        <w:t xml:space="preserve">were browsing. This desire had led to the popularity of pop-up </w:t>
      </w:r>
      <w:r w:rsidRPr="00CF2498">
        <w:rPr>
          <w:lang w:val="en-GB"/>
        </w:rPr>
        <w:t>partnerships within large retailers.</w:t>
      </w:r>
      <w:r w:rsidRPr="00CF2498">
        <w:rPr>
          <w:rStyle w:val="FootnoteReference"/>
          <w:lang w:val="en-GB"/>
        </w:rPr>
        <w:footnoteReference w:id="36"/>
      </w:r>
      <w:r w:rsidRPr="00182514">
        <w:rPr>
          <w:lang w:val="en-GB"/>
        </w:rPr>
        <w:t xml:space="preserve"> This trend was popular with brands that focused on corporate responsibility, as it allowed the brand representatives to explain the purchasing benefits that went beyond the quality of these products. Different consumer age groups also displayed different preferences: for example, 67 per cent of millennials and 56 per cent of generation X consumers claimed a preference for online shopping,</w:t>
      </w:r>
      <w:r w:rsidRPr="00182514">
        <w:rPr>
          <w:rStyle w:val="FootnoteReference"/>
          <w:lang w:val="en-GB"/>
        </w:rPr>
        <w:footnoteReference w:id="37"/>
      </w:r>
      <w:r w:rsidRPr="00182514">
        <w:rPr>
          <w:lang w:val="en-GB"/>
        </w:rPr>
        <w:t xml:space="preserve"> whereas 41 per cent of baby boomers and 72 per cent of seniors still preferred to shop in person.</w:t>
      </w:r>
      <w:r w:rsidRPr="00182514">
        <w:rPr>
          <w:rStyle w:val="FootnoteReference"/>
          <w:lang w:val="en-GB"/>
        </w:rPr>
        <w:footnoteReference w:id="38"/>
      </w:r>
    </w:p>
    <w:p w14:paraId="6AFBC483" w14:textId="77777777" w:rsidR="00CF2498" w:rsidRPr="00182514" w:rsidRDefault="00CF2498" w:rsidP="0064317A">
      <w:pPr>
        <w:pStyle w:val="BodyTextMain"/>
        <w:rPr>
          <w:lang w:val="en-GB"/>
        </w:rPr>
      </w:pPr>
    </w:p>
    <w:p w14:paraId="20A75BF9" w14:textId="2555B761" w:rsidR="00CF2498" w:rsidRPr="00A25EAD" w:rsidRDefault="00CA63E9" w:rsidP="0064317A">
      <w:pPr>
        <w:pStyle w:val="BodyTextMain"/>
        <w:rPr>
          <w:spacing w:val="-2"/>
          <w:lang w:val="en-GB"/>
        </w:rPr>
      </w:pPr>
      <w:r w:rsidRPr="00A25EAD">
        <w:rPr>
          <w:spacing w:val="-2"/>
          <w:lang w:val="en-GB"/>
        </w:rPr>
        <w:t>t</w:t>
      </w:r>
      <w:r w:rsidR="00CF2498" w:rsidRPr="00A25EAD">
        <w:rPr>
          <w:spacing w:val="-2"/>
          <w:lang w:val="en-GB"/>
        </w:rPr>
        <w:t>entree described its target demographic as “Earthmovers.” These people typically lived in urban areas but still cared about the environment and considered themselves to be eco-progressive. They enjoyed participating in engaging outdoor adventures that were not extreme, and they were willing to invest in brands that supported the environment they loved. Within this overarching group, tentree targeted those who were 18–35 years old, with annual incomes from $70,000 to $100,000. Seventy per cent of tentree’s consumers were female, which was noteworthy, since men, on average, spent 30 per cent more online than their female counterparts.</w:t>
      </w:r>
      <w:r w:rsidR="00CF2498" w:rsidRPr="00A25EAD">
        <w:rPr>
          <w:rStyle w:val="FootnoteReference"/>
          <w:spacing w:val="-2"/>
          <w:lang w:val="en-GB"/>
        </w:rPr>
        <w:footnoteReference w:id="39"/>
      </w:r>
      <w:r w:rsidR="00CF2498" w:rsidRPr="00A25EAD">
        <w:rPr>
          <w:spacing w:val="-2"/>
          <w:lang w:val="en-GB"/>
        </w:rPr>
        <w:t xml:space="preserve"> </w:t>
      </w:r>
    </w:p>
    <w:p w14:paraId="7B53E134" w14:textId="77777777" w:rsidR="00CF2498" w:rsidRPr="00182514" w:rsidRDefault="00CF2498" w:rsidP="0064317A">
      <w:pPr>
        <w:pStyle w:val="BodyTextMain"/>
        <w:rPr>
          <w:lang w:val="en-GB"/>
        </w:rPr>
      </w:pPr>
    </w:p>
    <w:p w14:paraId="4F80236B" w14:textId="6468CB0B" w:rsidR="00CF2498" w:rsidRPr="00182514" w:rsidRDefault="00CF2498" w:rsidP="0064317A">
      <w:pPr>
        <w:pStyle w:val="BodyTextMain"/>
        <w:rPr>
          <w:lang w:val="en-GB"/>
        </w:rPr>
      </w:pPr>
      <w:r w:rsidRPr="00182514">
        <w:rPr>
          <w:lang w:val="en-GB"/>
        </w:rPr>
        <w:t xml:space="preserve">Within the Earthmover demographic, tentree split its market between Canadian, US, and international consumers. Canadian consumers were </w:t>
      </w:r>
      <w:r w:rsidR="00BF7534">
        <w:rPr>
          <w:lang w:val="en-GB"/>
        </w:rPr>
        <w:t>its</w:t>
      </w:r>
      <w:r w:rsidRPr="00182514">
        <w:rPr>
          <w:lang w:val="en-GB"/>
        </w:rPr>
        <w:t xml:space="preserve"> largest group and were major contributors to the company’s current success. Canadians had become environmentally conscious in recent years, with a large inclination towards sustainability. Roughly 33 per cent of Canadians indicated that they were willing to pay a premium for sustainably or ethically produced products, especially in relation to the fashion industry.</w:t>
      </w:r>
      <w:r w:rsidRPr="00182514">
        <w:rPr>
          <w:rStyle w:val="FootnoteReference"/>
          <w:lang w:val="en-GB"/>
        </w:rPr>
        <w:footnoteReference w:id="40"/>
      </w:r>
      <w:r w:rsidRPr="00182514">
        <w:rPr>
          <w:lang w:val="en-GB"/>
        </w:rPr>
        <w:t xml:space="preserve"> This inclination for sustainability had led to both a high repeat purchase rate and an average order value (AOV)</w:t>
      </w:r>
      <w:r w:rsidRPr="00BA1E42">
        <w:rPr>
          <w:rStyle w:val="FootnoteReference"/>
          <w:lang w:val="en-GB"/>
        </w:rPr>
        <w:footnoteReference w:id="41"/>
      </w:r>
      <w:r w:rsidRPr="00182514">
        <w:rPr>
          <w:lang w:val="en-GB"/>
        </w:rPr>
        <w:t xml:space="preserve"> of $125 at tentree. However, Canadians were more price sensitive than tentree’s other demographics. They focused more on the prices of the products they were buying than on the particular brands.</w:t>
      </w:r>
      <w:r w:rsidRPr="00182514">
        <w:rPr>
          <w:rStyle w:val="FootnoteReference"/>
          <w:lang w:val="en-GB"/>
        </w:rPr>
        <w:footnoteReference w:id="42"/>
      </w:r>
    </w:p>
    <w:p w14:paraId="39DF495F" w14:textId="77777777" w:rsidR="00CF2498" w:rsidRPr="00182514" w:rsidRDefault="00CF2498" w:rsidP="0064317A">
      <w:pPr>
        <w:pStyle w:val="BodyTextMain"/>
        <w:rPr>
          <w:b/>
          <w:lang w:val="en-GB"/>
        </w:rPr>
      </w:pPr>
    </w:p>
    <w:p w14:paraId="01DBA70D" w14:textId="60DF8057" w:rsidR="00CF2498" w:rsidRPr="00182514" w:rsidRDefault="00CF2498" w:rsidP="0064317A">
      <w:pPr>
        <w:pStyle w:val="BodyTextMain"/>
        <w:rPr>
          <w:lang w:val="en-GB"/>
        </w:rPr>
      </w:pPr>
      <w:r w:rsidRPr="00182514">
        <w:rPr>
          <w:lang w:val="en-GB"/>
        </w:rPr>
        <w:t>Compared to Canadians, US consumers were less concerned about their environmental impact; over half of US citizens believed that climate change was not an issue currently harming people.</w:t>
      </w:r>
      <w:r w:rsidRPr="00182514">
        <w:rPr>
          <w:rStyle w:val="FootnoteReference"/>
          <w:lang w:val="en-GB"/>
        </w:rPr>
        <w:footnoteReference w:id="43"/>
      </w:r>
      <w:r w:rsidRPr="00182514">
        <w:rPr>
          <w:lang w:val="en-GB"/>
        </w:rPr>
        <w:t xml:space="preserve"> However, with a population 10 times the size of Canada, the United States represented huge potential for tentree. With similar sales growth rates in the United States and Canada, increased penetration throughout the United States could lead to a large influx in sales for tentree. In addition to different attitudes about environmentalism, Canadian and US shoppers also had very different shopping habits. US shoppers were more comfortable shopping online than their Canadian counterparts, and they purchased more online in terms of dollars spent.</w:t>
      </w:r>
      <w:r w:rsidRPr="00182514">
        <w:rPr>
          <w:rStyle w:val="FootnoteReference"/>
          <w:lang w:val="en-GB"/>
        </w:rPr>
        <w:footnoteReference w:id="44"/>
      </w:r>
      <w:r w:rsidRPr="00182514">
        <w:rPr>
          <w:lang w:val="en-GB"/>
        </w:rPr>
        <w:t xml:space="preserve"> Additionally, they placed a high value on innovation and were more likely to shop with companies they saw actively promoting new products or ideas.</w:t>
      </w:r>
      <w:r w:rsidRPr="00182514">
        <w:rPr>
          <w:rStyle w:val="FootnoteReference"/>
          <w:lang w:val="en-GB"/>
        </w:rPr>
        <w:footnoteReference w:id="45"/>
      </w:r>
      <w:r w:rsidRPr="00182514">
        <w:rPr>
          <w:lang w:val="en-GB"/>
        </w:rPr>
        <w:t xml:space="preserve"> With an AOV of $80 and a lower repeat purchase rate, tentree still clearly had room for improvement within the US market.</w:t>
      </w:r>
    </w:p>
    <w:p w14:paraId="760B1D9D" w14:textId="77777777" w:rsidR="00CF2498" w:rsidRPr="00182514" w:rsidRDefault="00CF2498" w:rsidP="0064317A">
      <w:pPr>
        <w:pStyle w:val="BodyTextMain"/>
        <w:rPr>
          <w:lang w:val="en-GB"/>
        </w:rPr>
      </w:pPr>
    </w:p>
    <w:p w14:paraId="62A455C4" w14:textId="234257CA" w:rsidR="00CF2498" w:rsidRPr="00182514" w:rsidRDefault="00CF2498" w:rsidP="0064317A">
      <w:pPr>
        <w:pStyle w:val="BodyTextMain"/>
        <w:rPr>
          <w:lang w:val="en-GB"/>
        </w:rPr>
      </w:pPr>
      <w:r w:rsidRPr="00182514">
        <w:rPr>
          <w:lang w:val="en-GB"/>
        </w:rPr>
        <w:lastRenderedPageBreak/>
        <w:t xml:space="preserve">The international market—specifically Europe, whose population of 741 million was enticing—represented another area with huge growth potential for tentree. A large difference between European and North American shoppers was North American consumers’ </w:t>
      </w:r>
      <w:r>
        <w:rPr>
          <w:lang w:val="en-GB"/>
        </w:rPr>
        <w:t xml:space="preserve">increased </w:t>
      </w:r>
      <w:r w:rsidRPr="00182514">
        <w:rPr>
          <w:lang w:val="en-GB"/>
        </w:rPr>
        <w:t>willingness to purchase online. Due to their higher population density, European consumers enjoyed easier access to storefront locations and did</w:t>
      </w:r>
      <w:r w:rsidR="00E23927">
        <w:rPr>
          <w:lang w:val="en-GB"/>
        </w:rPr>
        <w:t xml:space="preserve"> not</w:t>
      </w:r>
      <w:r w:rsidRPr="00182514">
        <w:rPr>
          <w:lang w:val="en-GB"/>
        </w:rPr>
        <w:t xml:space="preserve"> rely as heavily on the distribution networks that made e-commerce so successful in North America.</w:t>
      </w:r>
      <w:r w:rsidRPr="00182514">
        <w:rPr>
          <w:rStyle w:val="FootnoteReference"/>
          <w:lang w:val="en-GB"/>
        </w:rPr>
        <w:footnoteReference w:id="46"/>
      </w:r>
      <w:r w:rsidRPr="00182514">
        <w:rPr>
          <w:lang w:val="en-GB"/>
        </w:rPr>
        <w:t xml:space="preserve"> It would also be more logistically complex for tentree to ship to Europe, and this would lead to longer delivery times than in North America. However, Europeans shared Canadians’ sentiments about the environment, with citizens of most European nations viewing climate change as a major threat.</w:t>
      </w:r>
      <w:r w:rsidRPr="00182514">
        <w:rPr>
          <w:rStyle w:val="FootnoteReference"/>
          <w:lang w:val="en-GB"/>
        </w:rPr>
        <w:footnoteReference w:id="47"/>
      </w:r>
      <w:r w:rsidRPr="00182514">
        <w:rPr>
          <w:lang w:val="en-GB"/>
        </w:rPr>
        <w:t xml:space="preserve"> Since the company had limited experience operating in the European market, McIntyre thought expanding into the United Kingdom, a country with 66.5 million potential consumers,</w:t>
      </w:r>
      <w:r w:rsidRPr="00182514">
        <w:rPr>
          <w:rStyle w:val="FootnoteReference"/>
          <w:lang w:val="en-GB"/>
        </w:rPr>
        <w:footnoteReference w:id="48"/>
      </w:r>
      <w:r w:rsidRPr="00182514">
        <w:rPr>
          <w:lang w:val="en-GB"/>
        </w:rPr>
        <w:t xml:space="preserve"> should be the first step in testing the market. He did not have an AOV on hand, but he expected it to be similar to that in the United States. If tentree did decide to expand into the United Kingdom, it would need to decide how to distribute its products</w:t>
      </w:r>
      <w:r w:rsidR="00E23927">
        <w:rPr>
          <w:lang w:val="en-GB"/>
        </w:rPr>
        <w:t xml:space="preserve"> there</w:t>
      </w:r>
      <w:r w:rsidRPr="00182514">
        <w:rPr>
          <w:lang w:val="en-GB"/>
        </w:rPr>
        <w:t>.</w:t>
      </w:r>
    </w:p>
    <w:p w14:paraId="557B3B50" w14:textId="045E134B" w:rsidR="00CF2498" w:rsidRPr="00182514" w:rsidRDefault="00CF2498" w:rsidP="00EF0955">
      <w:pPr>
        <w:pStyle w:val="BodyTextMain"/>
        <w:rPr>
          <w:lang w:val="en-GB"/>
        </w:rPr>
      </w:pPr>
    </w:p>
    <w:p w14:paraId="2816E6B6" w14:textId="77777777" w:rsidR="00CF2498" w:rsidRPr="00182514" w:rsidRDefault="00CF2498" w:rsidP="00EF0955">
      <w:pPr>
        <w:pStyle w:val="BodyTextMain"/>
        <w:rPr>
          <w:lang w:val="en-GB"/>
        </w:rPr>
      </w:pPr>
    </w:p>
    <w:p w14:paraId="739F473F" w14:textId="77777777" w:rsidR="00CF2498" w:rsidRPr="00182514" w:rsidRDefault="00CF2498" w:rsidP="00EF0955">
      <w:pPr>
        <w:pStyle w:val="Casehead1"/>
        <w:rPr>
          <w:lang w:val="en-GB"/>
        </w:rPr>
      </w:pPr>
      <w:r w:rsidRPr="00182514">
        <w:rPr>
          <w:lang w:val="en-GB"/>
        </w:rPr>
        <w:t>DISTRIBUTION ALTERNATIVES</w:t>
      </w:r>
    </w:p>
    <w:p w14:paraId="569C78E2" w14:textId="77777777" w:rsidR="00CF2498" w:rsidRPr="00182514" w:rsidRDefault="00CF2498" w:rsidP="0064317A">
      <w:pPr>
        <w:pStyle w:val="BodyTextMain"/>
        <w:rPr>
          <w:lang w:val="en-GB"/>
        </w:rPr>
      </w:pPr>
    </w:p>
    <w:p w14:paraId="407D3E43" w14:textId="432E9E59" w:rsidR="00CF2498" w:rsidRPr="00182514" w:rsidRDefault="00CF2498" w:rsidP="0064317A">
      <w:pPr>
        <w:pStyle w:val="BodyTextMain"/>
        <w:rPr>
          <w:lang w:val="en-GB"/>
        </w:rPr>
      </w:pPr>
      <w:r w:rsidRPr="00182514">
        <w:rPr>
          <w:lang w:val="en-GB"/>
        </w:rPr>
        <w:t>The different distribution options McIntyre was considering could be separated into two overarching categories: direct sales and channel sales. Direct selling was the process of selling directly to the end</w:t>
      </w:r>
      <w:r>
        <w:rPr>
          <w:lang w:val="en-GB"/>
        </w:rPr>
        <w:t>-</w:t>
      </w:r>
      <w:r w:rsidRPr="00182514">
        <w:rPr>
          <w:lang w:val="en-GB"/>
        </w:rPr>
        <w:t>consumer, avoiding the markups and complications of wholesale partners.</w:t>
      </w:r>
      <w:r w:rsidRPr="00182514">
        <w:rPr>
          <w:rStyle w:val="FootnoteReference"/>
          <w:lang w:val="en-GB"/>
        </w:rPr>
        <w:footnoteReference w:id="49"/>
      </w:r>
      <w:r w:rsidRPr="00182514">
        <w:rPr>
          <w:lang w:val="en-GB"/>
        </w:rPr>
        <w:t xml:space="preserve"> Many companies implemented this strategy exclusively due to the high margins and the level of control it gave them over their sales process. Not partnering with other organizations meant that companies using the direct sales method received all of the profit associated with a single sale and were able to decide where to sell their goods and for how much. It was also much easier for them to receive feedback from customers about future iterations of their product due to their direct relationships with end</w:t>
      </w:r>
      <w:r>
        <w:rPr>
          <w:lang w:val="en-GB"/>
        </w:rPr>
        <w:t>-</w:t>
      </w:r>
      <w:r w:rsidRPr="00182514">
        <w:rPr>
          <w:lang w:val="en-GB"/>
        </w:rPr>
        <w:t xml:space="preserve">consumers. </w:t>
      </w:r>
      <w:r w:rsidR="00CA63E9">
        <w:rPr>
          <w:lang w:val="en-GB"/>
        </w:rPr>
        <w:t>t</w:t>
      </w:r>
      <w:r w:rsidRPr="00182514">
        <w:rPr>
          <w:lang w:val="en-GB"/>
        </w:rPr>
        <w:t>entree currently pursued this strategy with its online shop, which received approximately 20,000 visitors a day and cost roughly $100,000 in platform fees each year to run.</w:t>
      </w:r>
    </w:p>
    <w:p w14:paraId="61E98B06" w14:textId="77777777" w:rsidR="00CF2498" w:rsidRPr="00182514" w:rsidRDefault="00CF2498" w:rsidP="0064317A">
      <w:pPr>
        <w:pStyle w:val="BodyTextMain"/>
        <w:rPr>
          <w:lang w:val="en-GB"/>
        </w:rPr>
      </w:pPr>
    </w:p>
    <w:p w14:paraId="1A6E86FB" w14:textId="6E7D9E7C" w:rsidR="00CF2498" w:rsidRPr="00A25EAD" w:rsidRDefault="00CF2498" w:rsidP="0064317A">
      <w:pPr>
        <w:pStyle w:val="BodyTextMain"/>
        <w:rPr>
          <w:spacing w:val="-2"/>
          <w:lang w:val="en-GB"/>
        </w:rPr>
      </w:pPr>
      <w:r w:rsidRPr="00A25EAD">
        <w:rPr>
          <w:spacing w:val="-2"/>
          <w:lang w:val="en-GB"/>
        </w:rPr>
        <w:t>One of the major problems associated with direct selling was the high cost and difficulty of expanding into new markets.</w:t>
      </w:r>
      <w:r w:rsidRPr="00A25EAD">
        <w:rPr>
          <w:rStyle w:val="FootnoteReference"/>
          <w:spacing w:val="-2"/>
          <w:lang w:val="en-GB"/>
        </w:rPr>
        <w:footnoteReference w:id="50"/>
      </w:r>
      <w:r w:rsidRPr="00A25EAD">
        <w:rPr>
          <w:spacing w:val="-2"/>
          <w:lang w:val="en-GB"/>
        </w:rPr>
        <w:t xml:space="preserve"> Without external partners, these businesses relied entirely on their internal marketing and sales teams to drive revenue growth. Maintaining these teams was expensive and required additional overhead for activities such as payroll and administration. If they were looking to expand into new markets, these businesses also had to essentially start from scratch: they had to build brand awareness among consumers in a new region and convince these consumers to choose their brand over familiar brands. There were also many costs associated with direct selling that were</w:t>
      </w:r>
      <w:r w:rsidR="00C43B8C" w:rsidRPr="00A25EAD">
        <w:rPr>
          <w:spacing w:val="-2"/>
          <w:lang w:val="en-GB"/>
        </w:rPr>
        <w:t xml:space="preserve"> not</w:t>
      </w:r>
      <w:r w:rsidRPr="00A25EAD">
        <w:rPr>
          <w:spacing w:val="-2"/>
          <w:lang w:val="en-GB"/>
        </w:rPr>
        <w:t xml:space="preserve"> present with channel sales. For example, orders that were placed on tentree’s website were subject to fees that did not apply to orders in the wholesale stream. On average, 2 per cent of each online order went towards processing fees: $3 from each order went towards pick-and-pack fees, and an additional charge was levied for shipping, depending on the origin of the order.</w:t>
      </w:r>
      <w:r w:rsidRPr="00A25EAD">
        <w:rPr>
          <w:rStyle w:val="FootnoteReference"/>
          <w:spacing w:val="-2"/>
          <w:lang w:val="en-GB"/>
        </w:rPr>
        <w:footnoteReference w:id="51"/>
      </w:r>
    </w:p>
    <w:p w14:paraId="2E442E81" w14:textId="77777777" w:rsidR="00CF2498" w:rsidRPr="00182514" w:rsidRDefault="00CF2498" w:rsidP="0064317A">
      <w:pPr>
        <w:pStyle w:val="BodyTextMain"/>
        <w:rPr>
          <w:lang w:val="en-GB"/>
        </w:rPr>
      </w:pPr>
    </w:p>
    <w:p w14:paraId="33A8B4C3" w14:textId="605130D6" w:rsidR="00CF2498" w:rsidRPr="00DB13A2" w:rsidRDefault="00CF2498" w:rsidP="0064317A">
      <w:pPr>
        <w:pStyle w:val="BodyTextMain"/>
        <w:rPr>
          <w:spacing w:val="-2"/>
          <w:lang w:val="en-GB"/>
        </w:rPr>
      </w:pPr>
      <w:r w:rsidRPr="00DB13A2">
        <w:rPr>
          <w:spacing w:val="-2"/>
          <w:lang w:val="en-GB"/>
        </w:rPr>
        <w:lastRenderedPageBreak/>
        <w:t xml:space="preserve">McIntyre wondered if, moving forward, tentree should double down on e-commerce and focus on selling online. The large portion of its sales being generated through e-commerce indicated that consumers were clearly comfortable with shopping online. </w:t>
      </w:r>
      <w:r w:rsidR="00CA63E9" w:rsidRPr="00DB13A2">
        <w:rPr>
          <w:spacing w:val="-2"/>
          <w:lang w:val="en-GB"/>
        </w:rPr>
        <w:t>t</w:t>
      </w:r>
      <w:r w:rsidRPr="00DB13A2">
        <w:rPr>
          <w:spacing w:val="-2"/>
          <w:lang w:val="en-GB"/>
        </w:rPr>
        <w:t>entree could run its website as usual, or it could invest in improving it. The main website improvement tentree was considering was the introduction of a virtual fitting room. As long as consumers had access to a camera on the device they were shopping with, a virtual fitting room would allow them to try on tentree’s products and see how they looked. To add this functionality, tentree would partner with a third-party developer, which would charge it $450 per month or $4,500 per year.</w:t>
      </w:r>
      <w:r w:rsidRPr="00DB13A2">
        <w:rPr>
          <w:rStyle w:val="FootnoteReference"/>
          <w:spacing w:val="-2"/>
          <w:lang w:val="en-GB"/>
        </w:rPr>
        <w:footnoteReference w:id="52"/>
      </w:r>
      <w:r w:rsidRPr="00DB13A2">
        <w:rPr>
          <w:spacing w:val="-2"/>
          <w:lang w:val="en-GB"/>
        </w:rPr>
        <w:t xml:space="preserve"> As virtual fitting rooms were a relatively new development, there was still little research in terms of their discernible impacts. McIntyre had learned at Ivey that physical retail stores had a 25 per cent foot traffic</w:t>
      </w:r>
      <w:r w:rsidR="00C43B8C" w:rsidRPr="00DB13A2">
        <w:rPr>
          <w:spacing w:val="-2"/>
          <w:lang w:val="en-GB"/>
        </w:rPr>
        <w:t>-</w:t>
      </w:r>
      <w:r w:rsidRPr="00DB13A2">
        <w:rPr>
          <w:spacing w:val="-2"/>
          <w:lang w:val="en-GB"/>
        </w:rPr>
        <w:t>to</w:t>
      </w:r>
      <w:r w:rsidR="00C43B8C" w:rsidRPr="00DB13A2">
        <w:rPr>
          <w:spacing w:val="-2"/>
          <w:lang w:val="en-GB"/>
        </w:rPr>
        <w:t>-</w:t>
      </w:r>
      <w:r w:rsidRPr="00DB13A2">
        <w:rPr>
          <w:spacing w:val="-2"/>
          <w:lang w:val="en-GB"/>
        </w:rPr>
        <w:t>fitting room conversion rate, and that 67 per cent of those customers made purchases.</w:t>
      </w:r>
      <w:r w:rsidRPr="00DB13A2">
        <w:rPr>
          <w:rStyle w:val="FootnoteReference"/>
          <w:spacing w:val="-2"/>
          <w:lang w:val="en-GB"/>
        </w:rPr>
        <w:footnoteReference w:id="53"/>
      </w:r>
      <w:r w:rsidRPr="00DB13A2">
        <w:rPr>
          <w:spacing w:val="-2"/>
          <w:lang w:val="en-GB"/>
        </w:rPr>
        <w:t xml:space="preserve"> He wondered if the same would be true with a digital fitting room and how many purchases would be needed for it to be worthwhile. </w:t>
      </w:r>
    </w:p>
    <w:p w14:paraId="23F117AC" w14:textId="77777777" w:rsidR="00CF2498" w:rsidRPr="00DB13A2" w:rsidRDefault="00CF2498" w:rsidP="0064317A">
      <w:pPr>
        <w:pStyle w:val="BodyTextMain"/>
        <w:rPr>
          <w:spacing w:val="-2"/>
          <w:lang w:val="en-GB"/>
        </w:rPr>
      </w:pPr>
    </w:p>
    <w:p w14:paraId="6A2B75ED" w14:textId="07E90306" w:rsidR="00CF2498" w:rsidRPr="00DB13A2" w:rsidRDefault="00CF2498" w:rsidP="0064317A">
      <w:pPr>
        <w:pStyle w:val="BodyTextMain"/>
        <w:rPr>
          <w:spacing w:val="-2"/>
          <w:lang w:val="en-GB"/>
        </w:rPr>
      </w:pPr>
      <w:r w:rsidRPr="00DB13A2">
        <w:rPr>
          <w:spacing w:val="-2"/>
          <w:lang w:val="en-GB"/>
        </w:rPr>
        <w:t xml:space="preserve">The other direct selling option tentree was considering was opening its own brick-and-mortar store in downtown Vancouver. Currently, tentree did not operate any physical stores directly. Opening physical stores could be a strong way to increase awareness of the brand and to provide more opportunities for consumers to interact with the brand. Before tentree committed to opening stores in multiple cities, it would need to ensure that customers would react positively. McIntyre believed the location that made the most sense was downtown Vancouver, where many tentree enthusiasts lived; this was </w:t>
      </w:r>
      <w:r w:rsidR="00C43B8C" w:rsidRPr="00DB13A2">
        <w:rPr>
          <w:spacing w:val="-2"/>
          <w:lang w:val="en-GB"/>
        </w:rPr>
        <w:t xml:space="preserve">also </w:t>
      </w:r>
      <w:r w:rsidRPr="00DB13A2">
        <w:rPr>
          <w:spacing w:val="-2"/>
          <w:lang w:val="en-GB"/>
        </w:rPr>
        <w:t>close enough to the company’s head offices that it could be monitored regularly. He projected that the first year of operations would cost about $30,000, not including COGS or tree planting. After each year, these costs would decrease slightly as the company learned how to manage the store properly. Having never run a brick-and-mortar location before, McIntyre was unsure how much profit the store would generate during its first few years in operation. He knew that, on average, a single store of a tentree retail partner generated $3,000–$50,000 in sales of tentree products, depending on the size of the account. He believed this would make a useful starting point for his projections.</w:t>
      </w:r>
    </w:p>
    <w:p w14:paraId="30E270FC" w14:textId="77777777" w:rsidR="00CF2498" w:rsidRPr="00DB13A2" w:rsidRDefault="00CF2498" w:rsidP="0064317A">
      <w:pPr>
        <w:pStyle w:val="BodyTextMain"/>
        <w:rPr>
          <w:spacing w:val="-2"/>
          <w:lang w:val="en-GB"/>
        </w:rPr>
      </w:pPr>
    </w:p>
    <w:p w14:paraId="2058042E" w14:textId="73003AFD" w:rsidR="00CF2498" w:rsidRPr="00DB13A2" w:rsidRDefault="00CF2498" w:rsidP="0064317A">
      <w:pPr>
        <w:pStyle w:val="BodyTextMain"/>
        <w:rPr>
          <w:spacing w:val="-4"/>
          <w:lang w:val="en-GB"/>
        </w:rPr>
      </w:pPr>
      <w:r w:rsidRPr="00DB13A2">
        <w:rPr>
          <w:spacing w:val="-4"/>
          <w:lang w:val="en-GB"/>
        </w:rPr>
        <w:t>The other overarching distribution category tentree pursued was a channel sales strategy—a process whereby the company sold its products to consumers through third-party partners.</w:t>
      </w:r>
      <w:r w:rsidRPr="00DB13A2">
        <w:rPr>
          <w:rStyle w:val="FootnoteReference"/>
          <w:spacing w:val="-4"/>
          <w:lang w:val="en-GB"/>
        </w:rPr>
        <w:footnoteReference w:id="54"/>
      </w:r>
      <w:r w:rsidRPr="00DB13A2">
        <w:rPr>
          <w:spacing w:val="-4"/>
          <w:lang w:val="en-GB"/>
        </w:rPr>
        <w:t xml:space="preserve"> One of the benefits of pursuing this strategy was that partnering with well-known brands allowed the company to reach out to new customers with whom it would never have interacted before. It was also easier to scale a business and enter new geographic regions by partnering with several key wholesale partners.</w:t>
      </w:r>
      <w:r w:rsidRPr="00DB13A2">
        <w:rPr>
          <w:rStyle w:val="FootnoteReference"/>
          <w:spacing w:val="-4"/>
          <w:lang w:val="en-GB"/>
        </w:rPr>
        <w:footnoteReference w:id="55"/>
      </w:r>
      <w:r w:rsidRPr="00DB13A2">
        <w:rPr>
          <w:spacing w:val="-4"/>
          <w:lang w:val="en-GB"/>
        </w:rPr>
        <w:t xml:space="preserve"> Currently, tentree pursued this strategy by selling through brick-and-mortar wholesale retail partners. Having found success through physical wholesalers, McIntyre was interested in partnering with digital wholesalers and having tentree’s products listed on their sites. </w:t>
      </w:r>
    </w:p>
    <w:p w14:paraId="4ED605B6" w14:textId="77777777" w:rsidR="00CF2498" w:rsidRPr="00182514" w:rsidRDefault="00CF2498" w:rsidP="0064317A">
      <w:pPr>
        <w:pStyle w:val="BodyTextMain"/>
        <w:rPr>
          <w:lang w:val="en-GB"/>
        </w:rPr>
      </w:pPr>
    </w:p>
    <w:p w14:paraId="6BA50E95" w14:textId="25CB6879" w:rsidR="00CF2498" w:rsidRPr="00182514" w:rsidRDefault="00CF2498" w:rsidP="0064317A">
      <w:pPr>
        <w:pStyle w:val="BodyTextMain"/>
        <w:rPr>
          <w:lang w:val="en-GB"/>
        </w:rPr>
      </w:pPr>
      <w:r w:rsidRPr="00182514">
        <w:rPr>
          <w:lang w:val="en-GB"/>
        </w:rPr>
        <w:t xml:space="preserve">The first partner he was considering was </w:t>
      </w:r>
      <w:proofErr w:type="spellStart"/>
      <w:r w:rsidRPr="00182514">
        <w:rPr>
          <w:lang w:val="en-GB"/>
        </w:rPr>
        <w:t>DoneGood</w:t>
      </w:r>
      <w:proofErr w:type="spellEnd"/>
      <w:r w:rsidRPr="00182514">
        <w:rPr>
          <w:lang w:val="en-GB"/>
        </w:rPr>
        <w:t xml:space="preserve"> (DG), a US-based B Corp online marketplace that listed products only from companies that were dedicated to making a positive impact on the world.</w:t>
      </w:r>
      <w:r w:rsidRPr="00182514">
        <w:rPr>
          <w:rStyle w:val="FootnoteReference"/>
          <w:lang w:val="en-GB"/>
        </w:rPr>
        <w:footnoteReference w:id="56"/>
      </w:r>
      <w:r w:rsidRPr="00182514">
        <w:rPr>
          <w:lang w:val="en-GB"/>
        </w:rPr>
        <w:t xml:space="preserve"> McIntyre believed that DG would be willing to list tentree’s products due to tentree’s mandate to plant </w:t>
      </w:r>
      <w:r w:rsidR="00A31FC3">
        <w:rPr>
          <w:lang w:val="en-GB"/>
        </w:rPr>
        <w:t>10</w:t>
      </w:r>
      <w:r w:rsidRPr="00182514">
        <w:rPr>
          <w:lang w:val="en-GB"/>
        </w:rPr>
        <w:t xml:space="preserve"> trees per item sold. Being listed on DG would be a great way to increase brand awareness in the United States, where tentree still had room to grow. As well, DG was known for only listing brands it supported, and this would add legitimacy to tentree’s brand in the eyes of consumers who had not yet interacted with tentree. By virtue of the nature of DG’s business model, the consumers who shopped at DG were looking to use their purchasing power to make a difference and would be naturally attracted to tentree’s mission.</w:t>
      </w:r>
    </w:p>
    <w:p w14:paraId="545ED49B" w14:textId="77777777" w:rsidR="00CF2498" w:rsidRPr="00182514" w:rsidRDefault="00CF2498" w:rsidP="0064317A">
      <w:pPr>
        <w:pStyle w:val="BodyTextMain"/>
        <w:rPr>
          <w:lang w:val="en-GB"/>
        </w:rPr>
      </w:pPr>
    </w:p>
    <w:p w14:paraId="362D5AF9" w14:textId="07739E8F" w:rsidR="00CF2498" w:rsidRPr="00182514" w:rsidRDefault="00CF2498" w:rsidP="0064317A">
      <w:pPr>
        <w:pStyle w:val="BodyTextMain"/>
        <w:rPr>
          <w:lang w:val="en-GB"/>
        </w:rPr>
      </w:pPr>
      <w:r w:rsidRPr="00182514">
        <w:rPr>
          <w:lang w:val="en-GB"/>
        </w:rPr>
        <w:lastRenderedPageBreak/>
        <w:t>Another digital marketplace tentree was considering was Vancouver-based ARC Apparel (ARC). Like DG, ARC only listed brands that focused on sustainability, ethical manufacturing, or giving back.</w:t>
      </w:r>
      <w:r w:rsidRPr="00182514">
        <w:rPr>
          <w:rStyle w:val="FootnoteReference"/>
          <w:lang w:val="en-GB"/>
        </w:rPr>
        <w:footnoteReference w:id="57"/>
      </w:r>
      <w:r w:rsidRPr="00182514">
        <w:rPr>
          <w:lang w:val="en-GB"/>
        </w:rPr>
        <w:t xml:space="preserve"> Considering that tentree fulfilled all three of these requirements, McIntyre was confident he could have tentree listed on the site. ARC would provide tentree with a similar level of legitimacy as DG—but with Canadian consumers who were unfamiliar with the brand. Unlike selling to a physical wholesale partner, who then owned the inventory sold to them, listing tentree products on the DG or ARC sites would mean that tentree still owned the products and would be charged on a per-sale basis. McIntyre anticipated that the costs of selling through a digital marketplace would include 12 per cent of the RSP, </w:t>
      </w:r>
      <w:r>
        <w:rPr>
          <w:lang w:val="en-GB"/>
        </w:rPr>
        <w:t>going</w:t>
      </w:r>
      <w:r w:rsidRPr="00182514">
        <w:rPr>
          <w:lang w:val="en-GB"/>
        </w:rPr>
        <w:t xml:space="preserve"> towards a marketplace fee; 3 per cent, </w:t>
      </w:r>
      <w:r>
        <w:rPr>
          <w:lang w:val="en-GB"/>
        </w:rPr>
        <w:t>going</w:t>
      </w:r>
      <w:r w:rsidRPr="00182514">
        <w:rPr>
          <w:lang w:val="en-GB"/>
        </w:rPr>
        <w:t xml:space="preserve"> to a payment processor; a</w:t>
      </w:r>
      <w:r>
        <w:rPr>
          <w:lang w:val="en-GB"/>
        </w:rPr>
        <w:t>s well as</w:t>
      </w:r>
      <w:r w:rsidRPr="00182514">
        <w:rPr>
          <w:lang w:val="en-GB"/>
        </w:rPr>
        <w:t xml:space="preserve"> pick-and-pack fees and shipping costs, which would come to around the same totals as with website sales. Based on the sizes of DG and ARC, McIntyre expected that if tentree were listed on their sites, it would be exposed to an additional 100,000 and 1,000,000 potential consumers, respectively.</w:t>
      </w:r>
    </w:p>
    <w:p w14:paraId="51AC50B1" w14:textId="77777777" w:rsidR="00CF2498" w:rsidRPr="00182514" w:rsidRDefault="00CF2498" w:rsidP="00EF0955">
      <w:pPr>
        <w:pStyle w:val="BodyTextMain"/>
        <w:rPr>
          <w:lang w:val="en-GB"/>
        </w:rPr>
      </w:pPr>
    </w:p>
    <w:p w14:paraId="0507CB37" w14:textId="74E739A2" w:rsidR="00CF2498" w:rsidRPr="00A25EAD" w:rsidRDefault="00CF2498" w:rsidP="0064317A">
      <w:pPr>
        <w:pStyle w:val="BodyTextMain"/>
        <w:rPr>
          <w:spacing w:val="-2"/>
          <w:lang w:val="en-GB"/>
        </w:rPr>
      </w:pPr>
      <w:r w:rsidRPr="00A25EAD">
        <w:rPr>
          <w:spacing w:val="-2"/>
          <w:lang w:val="en-GB"/>
        </w:rPr>
        <w:t>The final online marketplace being considered was Amazon.com Inc. (Amazon), an international digital marketplace that prided itself on selling everything from A to Z. With more than 200 million unique visitors to the Amazon website,</w:t>
      </w:r>
      <w:r w:rsidRPr="00A25EAD">
        <w:rPr>
          <w:rStyle w:val="FootnoteReference"/>
          <w:spacing w:val="-2"/>
          <w:lang w:val="en-GB"/>
        </w:rPr>
        <w:footnoteReference w:id="58"/>
      </w:r>
      <w:r w:rsidRPr="00A25EAD">
        <w:rPr>
          <w:spacing w:val="-2"/>
          <w:lang w:val="en-GB"/>
        </w:rPr>
        <w:t xml:space="preserve"> being listed here would massively increase tentree’s reach and could potentially allow the company to expand into markets it had</w:t>
      </w:r>
      <w:r w:rsidR="00A31FC3" w:rsidRPr="00A25EAD">
        <w:rPr>
          <w:spacing w:val="-2"/>
          <w:lang w:val="en-GB"/>
        </w:rPr>
        <w:t xml:space="preserve"> not</w:t>
      </w:r>
      <w:r w:rsidRPr="00A25EAD">
        <w:rPr>
          <w:spacing w:val="-2"/>
          <w:lang w:val="en-GB"/>
        </w:rPr>
        <w:t xml:space="preserve"> yet explored. Amazon’s listing policies were not as strict as those of the other marketplaces McIntyre was considering. This made him worry that tentree might become lost in a sea of competitors. In order to list its products and have Amazon manage delivery logistics, tentree would be charged $55 per month as a flat fee, with an additional 17 per cent of each sale going towards referral fees and $5.35 per order to shipping fees.</w:t>
      </w:r>
      <w:r w:rsidRPr="00A25EAD">
        <w:rPr>
          <w:rStyle w:val="FootnoteReference"/>
          <w:spacing w:val="-2"/>
          <w:lang w:val="en-GB"/>
        </w:rPr>
        <w:footnoteReference w:id="59"/>
      </w:r>
      <w:r w:rsidRPr="00A25EAD">
        <w:rPr>
          <w:spacing w:val="-2"/>
          <w:lang w:val="en-GB"/>
        </w:rPr>
        <w:t xml:space="preserve"> </w:t>
      </w:r>
      <w:r w:rsidR="00CA63E9" w:rsidRPr="00A25EAD">
        <w:rPr>
          <w:spacing w:val="-2"/>
          <w:lang w:val="en-GB"/>
        </w:rPr>
        <w:t>t</w:t>
      </w:r>
      <w:r w:rsidRPr="00A25EAD">
        <w:rPr>
          <w:spacing w:val="-2"/>
          <w:lang w:val="en-GB"/>
        </w:rPr>
        <w:t>entree would still be responsible for the initial packing of orders. If tentree was able to effectively attract its target market to Amazon, this could mean a huge increase in sales.</w:t>
      </w:r>
    </w:p>
    <w:p w14:paraId="659B00B3" w14:textId="0676AED1" w:rsidR="00D4743B" w:rsidRDefault="00D4743B" w:rsidP="0064317A">
      <w:pPr>
        <w:pStyle w:val="BodyTextMain"/>
        <w:rPr>
          <w:lang w:val="en-GB"/>
        </w:rPr>
      </w:pPr>
    </w:p>
    <w:p w14:paraId="121D4EF6" w14:textId="77777777" w:rsidR="00D4743B" w:rsidRDefault="00D4743B" w:rsidP="0064317A">
      <w:pPr>
        <w:pStyle w:val="BodyTextMain"/>
        <w:rPr>
          <w:lang w:val="en-GB"/>
        </w:rPr>
      </w:pPr>
    </w:p>
    <w:p w14:paraId="38A2517A" w14:textId="77777777" w:rsidR="00CF2498" w:rsidRPr="00182514" w:rsidRDefault="00CF2498" w:rsidP="0064317A">
      <w:pPr>
        <w:pStyle w:val="BodyTextMain"/>
        <w:rPr>
          <w:rFonts w:ascii="Arial" w:hAnsi="Arial" w:cs="Arial"/>
          <w:b/>
          <w:sz w:val="20"/>
          <w:lang w:val="en-GB"/>
        </w:rPr>
      </w:pPr>
      <w:r w:rsidRPr="00182514">
        <w:rPr>
          <w:rFonts w:ascii="Arial" w:hAnsi="Arial" w:cs="Arial"/>
          <w:b/>
          <w:sz w:val="20"/>
          <w:lang w:val="en-GB"/>
        </w:rPr>
        <w:t>PROMOTION ALTERNATIVES</w:t>
      </w:r>
    </w:p>
    <w:p w14:paraId="4B2F2ABA" w14:textId="77777777" w:rsidR="00CF2498" w:rsidRPr="00182514" w:rsidRDefault="00CF2498" w:rsidP="0064317A">
      <w:pPr>
        <w:pStyle w:val="BodyTextMain"/>
        <w:rPr>
          <w:lang w:val="en-GB"/>
        </w:rPr>
      </w:pPr>
    </w:p>
    <w:p w14:paraId="461C7ADB" w14:textId="1D9C6D9F" w:rsidR="00CF2498" w:rsidRDefault="00CF2498" w:rsidP="0064317A">
      <w:pPr>
        <w:pStyle w:val="BodyTextMain"/>
        <w:rPr>
          <w:lang w:val="en-GB"/>
        </w:rPr>
      </w:pPr>
      <w:r w:rsidRPr="00182514">
        <w:rPr>
          <w:lang w:val="en-GB"/>
        </w:rPr>
        <w:t>Regardless of what distribution channel McIntyre chose, he still needed to come up with a promotion plan to accompany it. In order to maintain brand awareness, tentree needed to advertise on social media. The costs to advertise on each site differed. This meant that promoted posts would have different impacts, depending on the site chosen and whether the company pursued a cost-per-click (CPC) or a cost-per-impression pricing strategy (see Exhibit 6). McIntyre needed to determine how much of the $5,000,000 advertising budget would be allocated to standard social media advertising compared to the other options he was currently considering</w:t>
      </w:r>
      <w:r w:rsidR="00D4743B">
        <w:rPr>
          <w:lang w:val="en-GB"/>
        </w:rPr>
        <w:t>.</w:t>
      </w:r>
    </w:p>
    <w:p w14:paraId="152622F0" w14:textId="77777777" w:rsidR="00D4743B" w:rsidRPr="00182514" w:rsidRDefault="00D4743B" w:rsidP="0064317A">
      <w:pPr>
        <w:pStyle w:val="BodyTextMain"/>
        <w:rPr>
          <w:lang w:val="en-GB"/>
        </w:rPr>
      </w:pPr>
    </w:p>
    <w:p w14:paraId="4DA1EC9D" w14:textId="6ADC1DDA" w:rsidR="00CF2498" w:rsidRPr="00A25EAD" w:rsidRDefault="00CF2498" w:rsidP="0064317A">
      <w:pPr>
        <w:pStyle w:val="BodyTextMain"/>
        <w:rPr>
          <w:spacing w:val="-4"/>
          <w:lang w:val="en-GB"/>
        </w:rPr>
      </w:pPr>
      <w:r w:rsidRPr="00A25EAD">
        <w:rPr>
          <w:spacing w:val="-4"/>
          <w:lang w:val="en-GB"/>
        </w:rPr>
        <w:t xml:space="preserve">One of these alternatives was to create a viral follow-up social media campaign. Not wanting consumers to forget tentree, McIntyre felt that another campaign would be a great way to keep the business front of mind. As the 2019 Instagram campaign had been so successful, he wondered if maybe it was time to branch out to other forms of social media. How would the users of sites such as Twitter and </w:t>
      </w:r>
      <w:proofErr w:type="spellStart"/>
      <w:r w:rsidRPr="00A25EAD">
        <w:rPr>
          <w:spacing w:val="-4"/>
          <w:lang w:val="en-GB"/>
        </w:rPr>
        <w:t>TikTok</w:t>
      </w:r>
      <w:proofErr w:type="spellEnd"/>
      <w:r w:rsidRPr="00A25EAD">
        <w:rPr>
          <w:spacing w:val="-4"/>
          <w:lang w:val="en-GB"/>
        </w:rPr>
        <w:t xml:space="preserve"> respond to a brand focused on giving back to the environment (see Exhibit 7)? He knew that he could</w:t>
      </w:r>
      <w:r w:rsidR="00C714C4" w:rsidRPr="00A25EAD">
        <w:rPr>
          <w:spacing w:val="-4"/>
          <w:lang w:val="en-GB"/>
        </w:rPr>
        <w:t xml:space="preserve"> not</w:t>
      </w:r>
      <w:r w:rsidRPr="00A25EAD">
        <w:rPr>
          <w:spacing w:val="-4"/>
          <w:lang w:val="en-GB"/>
        </w:rPr>
        <w:t xml:space="preserve"> recycle the 2019 campaign, but he still </w:t>
      </w:r>
      <w:r w:rsidR="00C714C4" w:rsidRPr="00A25EAD">
        <w:rPr>
          <w:spacing w:val="-4"/>
          <w:lang w:val="en-GB"/>
        </w:rPr>
        <w:t>had no</w:t>
      </w:r>
      <w:r w:rsidRPr="00A25EAD">
        <w:rPr>
          <w:spacing w:val="-4"/>
          <w:lang w:val="en-GB"/>
        </w:rPr>
        <w:t xml:space="preserve"> ideas about what the new campaign would be about or what medium tentree should use. </w:t>
      </w:r>
    </w:p>
    <w:p w14:paraId="3F0C3DCB" w14:textId="77777777" w:rsidR="00CF2498" w:rsidRPr="00182514" w:rsidRDefault="00CF2498" w:rsidP="0064317A">
      <w:pPr>
        <w:pStyle w:val="BodyTextMain"/>
        <w:rPr>
          <w:lang w:val="en-GB"/>
        </w:rPr>
      </w:pPr>
    </w:p>
    <w:p w14:paraId="57FF20B2" w14:textId="5A66B08D" w:rsidR="0064317A" w:rsidRPr="00182514" w:rsidRDefault="00CF2498" w:rsidP="0064317A">
      <w:pPr>
        <w:pStyle w:val="BodyTextMain"/>
        <w:rPr>
          <w:lang w:val="en-GB"/>
        </w:rPr>
      </w:pPr>
      <w:r w:rsidRPr="00182514">
        <w:rPr>
          <w:lang w:val="en-GB"/>
        </w:rPr>
        <w:t xml:space="preserve">A second promotional method being considered was partnering with influencers to have them promote tentree. As tentree had seen with the 2019 Earth Day campaign, its previous relationships with influencers had been quite positive. However, that campaign had focused on nature, photography, and outdoor space </w:t>
      </w:r>
      <w:r w:rsidRPr="00182514">
        <w:rPr>
          <w:lang w:val="en-GB"/>
        </w:rPr>
        <w:lastRenderedPageBreak/>
        <w:t>influencers</w:t>
      </w:r>
      <w:r w:rsidRPr="00182514">
        <w:rPr>
          <w:rStyle w:val="FootnoteReference"/>
          <w:lang w:val="en-GB"/>
        </w:rPr>
        <w:footnoteReference w:id="60"/>
      </w:r>
      <w:r w:rsidRPr="00182514">
        <w:rPr>
          <w:lang w:val="en-GB"/>
        </w:rPr>
        <w:t xml:space="preserve">—which had helped provide tentree with legitimacy as a brand that supported the environment—but partnerships with </w:t>
      </w:r>
      <w:r>
        <w:rPr>
          <w:lang w:val="en-GB"/>
        </w:rPr>
        <w:t xml:space="preserve">more prominent </w:t>
      </w:r>
      <w:r w:rsidRPr="00182514">
        <w:rPr>
          <w:lang w:val="en-GB"/>
        </w:rPr>
        <w:t xml:space="preserve">influencers with wider reaches could translate into a tangible increase in sales. Depending on the site, prices for influencers varied; McIntyre was weighing the options of partnering with several smaller-scale influencers against partnering with one influencer with a great many followers (see Exhibit 8). During this past Earth Week, several celebrities had shared tentree’s post to their stories. McIntyre wondered if tentree could potentially commission a celebrity. Either way, he knew that many consumers trusted real people’s experiences more than they trusted regular advertisements. </w:t>
      </w:r>
      <w:r w:rsidR="00FA26DB">
        <w:rPr>
          <w:lang w:val="en-GB"/>
        </w:rPr>
        <w:t>O</w:t>
      </w:r>
      <w:proofErr w:type="spellStart"/>
      <w:r w:rsidR="00FA26DB">
        <w:t>n</w:t>
      </w:r>
      <w:proofErr w:type="spellEnd"/>
      <w:r w:rsidR="00FA26DB">
        <w:t xml:space="preserve"> average, the site conversion rate for an influencer was 3.13 per cent</w:t>
      </w:r>
      <w:r w:rsidR="00FA26DB">
        <w:rPr>
          <w:rStyle w:val="FootnoteReference"/>
        </w:rPr>
        <w:footnoteReference w:id="61"/>
      </w:r>
      <w:r w:rsidRPr="00182514">
        <w:rPr>
          <w:lang w:val="en-GB"/>
        </w:rPr>
        <w:t xml:space="preserve">—noticeably higher than </w:t>
      </w:r>
      <w:proofErr w:type="spellStart"/>
      <w:r w:rsidRPr="00182514">
        <w:rPr>
          <w:lang w:val="en-GB"/>
        </w:rPr>
        <w:t>tentree’s</w:t>
      </w:r>
      <w:proofErr w:type="spellEnd"/>
      <w:r w:rsidRPr="00182514">
        <w:rPr>
          <w:lang w:val="en-GB"/>
        </w:rPr>
        <w:t xml:space="preserve"> typical conversion rates.</w:t>
      </w:r>
      <w:r w:rsidRPr="00182514">
        <w:rPr>
          <w:rStyle w:val="FootnoteReference"/>
          <w:lang w:val="en-GB"/>
        </w:rPr>
        <w:footnoteReference w:id="62"/>
      </w:r>
      <w:r w:rsidRPr="00182514">
        <w:rPr>
          <w:lang w:val="en-GB"/>
        </w:rPr>
        <w:t xml:space="preserve"> </w:t>
      </w:r>
      <w:r w:rsidR="0064317A" w:rsidRPr="00182514">
        <w:rPr>
          <w:lang w:val="en-GB"/>
        </w:rPr>
        <w:t>The question still remained</w:t>
      </w:r>
      <w:r w:rsidR="00C714C4">
        <w:rPr>
          <w:lang w:val="en-GB"/>
        </w:rPr>
        <w:t>:</w:t>
      </w:r>
      <w:r w:rsidR="0064317A" w:rsidRPr="00182514">
        <w:rPr>
          <w:lang w:val="en-GB"/>
        </w:rPr>
        <w:t xml:space="preserve"> </w:t>
      </w:r>
      <w:r w:rsidR="00B70709" w:rsidRPr="00182514">
        <w:rPr>
          <w:lang w:val="en-GB"/>
        </w:rPr>
        <w:t xml:space="preserve">Who </w:t>
      </w:r>
      <w:r w:rsidR="0064317A" w:rsidRPr="00182514">
        <w:rPr>
          <w:lang w:val="en-GB"/>
        </w:rPr>
        <w:t>would tentree’s target market respond best to</w:t>
      </w:r>
      <w:r w:rsidR="00B70709" w:rsidRPr="00182514">
        <w:rPr>
          <w:lang w:val="en-GB"/>
        </w:rPr>
        <w:t>,</w:t>
      </w:r>
      <w:r w:rsidR="0064317A" w:rsidRPr="00182514">
        <w:rPr>
          <w:lang w:val="en-GB"/>
        </w:rPr>
        <w:t xml:space="preserve"> and what platform made the most sense?</w:t>
      </w:r>
    </w:p>
    <w:p w14:paraId="619E03D0" w14:textId="77777777" w:rsidR="00EF0955" w:rsidRPr="00182514" w:rsidRDefault="00EF0955" w:rsidP="0064317A">
      <w:pPr>
        <w:pStyle w:val="BodyTextMain"/>
        <w:rPr>
          <w:lang w:val="en-GB"/>
        </w:rPr>
      </w:pPr>
    </w:p>
    <w:p w14:paraId="71962873" w14:textId="4AEF9A38" w:rsidR="0064317A" w:rsidRPr="006823DA" w:rsidRDefault="00B70709" w:rsidP="0064317A">
      <w:pPr>
        <w:pStyle w:val="BodyTextMain"/>
        <w:rPr>
          <w:spacing w:val="-2"/>
          <w:lang w:val="en-GB"/>
        </w:rPr>
      </w:pPr>
      <w:r w:rsidRPr="006823DA">
        <w:rPr>
          <w:spacing w:val="-2"/>
          <w:lang w:val="en-GB"/>
        </w:rPr>
        <w:t xml:space="preserve">McIntyre </w:t>
      </w:r>
      <w:r w:rsidR="0064317A" w:rsidRPr="006823DA">
        <w:rPr>
          <w:spacing w:val="-2"/>
          <w:lang w:val="en-GB"/>
        </w:rPr>
        <w:t xml:space="preserve">was also considering launching a new program </w:t>
      </w:r>
      <w:r w:rsidRPr="006823DA">
        <w:rPr>
          <w:spacing w:val="-2"/>
          <w:lang w:val="en-GB"/>
        </w:rPr>
        <w:t>called Climate+ to</w:t>
      </w:r>
      <w:r w:rsidR="0064317A" w:rsidRPr="006823DA">
        <w:rPr>
          <w:spacing w:val="-2"/>
          <w:lang w:val="en-GB"/>
        </w:rPr>
        <w:t xml:space="preserve"> catch the attention of potential consumers. Climate+ introduced the idea of carbon offsetting at an individual level. </w:t>
      </w:r>
      <w:r w:rsidRPr="006823DA">
        <w:rPr>
          <w:spacing w:val="-2"/>
          <w:lang w:val="en-GB"/>
        </w:rPr>
        <w:t xml:space="preserve">In carbon </w:t>
      </w:r>
      <w:r w:rsidR="0064317A" w:rsidRPr="006823DA">
        <w:rPr>
          <w:spacing w:val="-2"/>
          <w:lang w:val="en-GB"/>
        </w:rPr>
        <w:t xml:space="preserve">offsetting, a process typically performed by large companies, organizations participated in activities that reduced the amount of carbon in the air </w:t>
      </w:r>
      <w:r w:rsidRPr="006823DA">
        <w:rPr>
          <w:spacing w:val="-2"/>
          <w:lang w:val="en-GB"/>
        </w:rPr>
        <w:t xml:space="preserve">by an amount that was </w:t>
      </w:r>
      <w:r w:rsidR="0064317A" w:rsidRPr="006823DA">
        <w:rPr>
          <w:spacing w:val="-2"/>
          <w:lang w:val="en-GB"/>
        </w:rPr>
        <w:t xml:space="preserve">equivalent to the amount of carbon they produced. Climate+ would run on the same underlying logic, </w:t>
      </w:r>
      <w:r w:rsidRPr="006823DA">
        <w:rPr>
          <w:spacing w:val="-2"/>
          <w:lang w:val="en-GB"/>
        </w:rPr>
        <w:t xml:space="preserve">but would </w:t>
      </w:r>
      <w:r w:rsidR="0064317A" w:rsidRPr="006823DA">
        <w:rPr>
          <w:spacing w:val="-2"/>
          <w:lang w:val="en-GB"/>
        </w:rPr>
        <w:t>focus on daily activities that the average person performed</w:t>
      </w:r>
      <w:r w:rsidRPr="006823DA">
        <w:rPr>
          <w:spacing w:val="-2"/>
          <w:lang w:val="en-GB"/>
        </w:rPr>
        <w:t xml:space="preserve"> and the number of trees required to offset those activities (see</w:t>
      </w:r>
      <w:r w:rsidR="0064317A" w:rsidRPr="006823DA">
        <w:rPr>
          <w:spacing w:val="-2"/>
          <w:lang w:val="en-GB"/>
        </w:rPr>
        <w:t xml:space="preserve"> Exhibit 9</w:t>
      </w:r>
      <w:r w:rsidRPr="006823DA">
        <w:rPr>
          <w:spacing w:val="-2"/>
          <w:lang w:val="en-GB"/>
        </w:rPr>
        <w:t>)</w:t>
      </w:r>
      <w:r w:rsidR="0064317A" w:rsidRPr="006823DA">
        <w:rPr>
          <w:spacing w:val="-2"/>
          <w:lang w:val="en-GB"/>
        </w:rPr>
        <w:t>. For these packages, tentree planned to plant trees in Canada and charge $0.50 per tree</w:t>
      </w:r>
      <w:r w:rsidRPr="006823DA">
        <w:rPr>
          <w:spacing w:val="-2"/>
          <w:lang w:val="en-GB"/>
        </w:rPr>
        <w:t>—</w:t>
      </w:r>
      <w:r w:rsidR="0064317A" w:rsidRPr="006823DA">
        <w:rPr>
          <w:spacing w:val="-2"/>
          <w:lang w:val="en-GB"/>
        </w:rPr>
        <w:t xml:space="preserve">but </w:t>
      </w:r>
      <w:r w:rsidRPr="006823DA">
        <w:rPr>
          <w:spacing w:val="-2"/>
          <w:lang w:val="en-GB"/>
        </w:rPr>
        <w:t xml:space="preserve">it </w:t>
      </w:r>
      <w:r w:rsidR="0064317A" w:rsidRPr="006823DA">
        <w:rPr>
          <w:spacing w:val="-2"/>
          <w:lang w:val="en-GB"/>
        </w:rPr>
        <w:t xml:space="preserve">was </w:t>
      </w:r>
      <w:r w:rsidRPr="006823DA">
        <w:rPr>
          <w:spacing w:val="-2"/>
          <w:lang w:val="en-GB"/>
        </w:rPr>
        <w:t xml:space="preserve">uncertain </w:t>
      </w:r>
      <w:r w:rsidR="0064317A" w:rsidRPr="006823DA">
        <w:rPr>
          <w:spacing w:val="-2"/>
          <w:lang w:val="en-GB"/>
        </w:rPr>
        <w:t xml:space="preserve">whether this would be enough for the campaign to be profitable. McIntyre believed </w:t>
      </w:r>
      <w:r w:rsidRPr="006823DA">
        <w:rPr>
          <w:spacing w:val="-2"/>
          <w:lang w:val="en-GB"/>
        </w:rPr>
        <w:t xml:space="preserve">the </w:t>
      </w:r>
      <w:r w:rsidR="0064317A" w:rsidRPr="006823DA">
        <w:rPr>
          <w:spacing w:val="-2"/>
          <w:lang w:val="en-GB"/>
        </w:rPr>
        <w:t>program would both inform consumers about the process of carbon offsetting</w:t>
      </w:r>
      <w:r w:rsidRPr="006823DA">
        <w:rPr>
          <w:spacing w:val="-2"/>
          <w:lang w:val="en-GB"/>
        </w:rPr>
        <w:t xml:space="preserve"> and</w:t>
      </w:r>
      <w:r w:rsidR="0064317A" w:rsidRPr="006823DA">
        <w:rPr>
          <w:spacing w:val="-2"/>
          <w:lang w:val="en-GB"/>
        </w:rPr>
        <w:t xml:space="preserve"> </w:t>
      </w:r>
      <w:r w:rsidRPr="006823DA">
        <w:rPr>
          <w:spacing w:val="-2"/>
          <w:lang w:val="en-GB"/>
        </w:rPr>
        <w:t xml:space="preserve">create </w:t>
      </w:r>
      <w:r w:rsidR="0064317A" w:rsidRPr="006823DA">
        <w:rPr>
          <w:spacing w:val="-2"/>
          <w:lang w:val="en-GB"/>
        </w:rPr>
        <w:t xml:space="preserve">an even stronger eco-friendly brand image for tentree. </w:t>
      </w:r>
    </w:p>
    <w:p w14:paraId="289AB12D" w14:textId="7FCA1633" w:rsidR="0064317A" w:rsidRPr="00182514" w:rsidRDefault="0064317A" w:rsidP="0064317A">
      <w:pPr>
        <w:pStyle w:val="BodyTextMain"/>
        <w:rPr>
          <w:lang w:val="en-GB"/>
        </w:rPr>
      </w:pPr>
    </w:p>
    <w:p w14:paraId="06C28CC8" w14:textId="77777777" w:rsidR="00EF0955" w:rsidRPr="00182514" w:rsidRDefault="00EF0955" w:rsidP="0064317A">
      <w:pPr>
        <w:pStyle w:val="BodyTextMain"/>
        <w:rPr>
          <w:lang w:val="en-GB"/>
        </w:rPr>
      </w:pPr>
    </w:p>
    <w:p w14:paraId="518BC651" w14:textId="77777777" w:rsidR="0064317A" w:rsidRPr="00182514" w:rsidRDefault="0064317A" w:rsidP="00EF0955">
      <w:pPr>
        <w:pStyle w:val="Casehead1"/>
        <w:rPr>
          <w:lang w:val="en-GB"/>
        </w:rPr>
      </w:pPr>
      <w:r w:rsidRPr="00182514">
        <w:rPr>
          <w:lang w:val="en-GB"/>
        </w:rPr>
        <w:t>CONCLUSION</w:t>
      </w:r>
    </w:p>
    <w:p w14:paraId="67452817" w14:textId="77777777" w:rsidR="00C714C4" w:rsidRDefault="00C714C4" w:rsidP="0064317A">
      <w:pPr>
        <w:pStyle w:val="BodyTextMain"/>
        <w:rPr>
          <w:lang w:val="en-GB"/>
        </w:rPr>
      </w:pPr>
    </w:p>
    <w:p w14:paraId="7A43E963" w14:textId="397DF07F" w:rsidR="0064317A" w:rsidRPr="00182514" w:rsidRDefault="0064317A" w:rsidP="0064317A">
      <w:pPr>
        <w:pStyle w:val="BodyTextMain"/>
        <w:rPr>
          <w:lang w:val="en-GB"/>
        </w:rPr>
      </w:pPr>
      <w:r w:rsidRPr="00182514">
        <w:rPr>
          <w:lang w:val="en-GB"/>
        </w:rPr>
        <w:t xml:space="preserve">Although tentree had seen huge levels of success this year, McIntyre knew that now was not the time to get complacent. </w:t>
      </w:r>
      <w:r w:rsidR="00CA63E9">
        <w:rPr>
          <w:lang w:val="en-GB"/>
        </w:rPr>
        <w:t>t</w:t>
      </w:r>
      <w:r w:rsidR="00B70709" w:rsidRPr="00182514">
        <w:rPr>
          <w:lang w:val="en-GB"/>
        </w:rPr>
        <w:t xml:space="preserve">entree </w:t>
      </w:r>
      <w:r w:rsidRPr="00182514">
        <w:rPr>
          <w:lang w:val="en-GB"/>
        </w:rPr>
        <w:t>had much more room to grow</w:t>
      </w:r>
      <w:r w:rsidR="00B70709" w:rsidRPr="00182514">
        <w:rPr>
          <w:lang w:val="en-GB"/>
        </w:rPr>
        <w:t>,</w:t>
      </w:r>
      <w:r w:rsidRPr="00182514">
        <w:rPr>
          <w:lang w:val="en-GB"/>
        </w:rPr>
        <w:t xml:space="preserve"> and he was determined to prove that his plan would be the way to get </w:t>
      </w:r>
      <w:r w:rsidR="00C714C4">
        <w:rPr>
          <w:lang w:val="en-GB"/>
        </w:rPr>
        <w:t>it</w:t>
      </w:r>
      <w:r w:rsidRPr="00182514">
        <w:rPr>
          <w:lang w:val="en-GB"/>
        </w:rPr>
        <w:t xml:space="preserve"> there. Finishing the last bite of his sashimi, he refocused on the information in front of him and prepared to make his decision.</w:t>
      </w:r>
    </w:p>
    <w:p w14:paraId="1A5D849C" w14:textId="7E6D4D3A" w:rsidR="00EF0955" w:rsidRPr="00182514" w:rsidRDefault="00EF0955">
      <w:pPr>
        <w:spacing w:after="200" w:line="276" w:lineRule="auto"/>
        <w:rPr>
          <w:lang w:val="en-GB"/>
        </w:rPr>
      </w:pPr>
      <w:r w:rsidRPr="00182514">
        <w:rPr>
          <w:lang w:val="en-GB"/>
        </w:rPr>
        <w:br w:type="page"/>
      </w:r>
    </w:p>
    <w:p w14:paraId="5E6750A4" w14:textId="77777777" w:rsidR="00037187" w:rsidRDefault="00037187" w:rsidP="00EF0955">
      <w:pPr>
        <w:pStyle w:val="ExhibitHeading"/>
        <w:rPr>
          <w:lang w:val="en-GB"/>
        </w:rPr>
        <w:sectPr w:rsidR="00037187" w:rsidSect="00751E0B">
          <w:headerReference w:type="default" r:id="rId11"/>
          <w:endnotePr>
            <w:numFmt w:val="decimal"/>
          </w:endnotePr>
          <w:pgSz w:w="12240" w:h="15840" w:code="1"/>
          <w:pgMar w:top="1080" w:right="1440" w:bottom="1440" w:left="1440" w:header="1080" w:footer="720" w:gutter="0"/>
          <w:cols w:space="720"/>
          <w:titlePg/>
          <w:docGrid w:linePitch="360"/>
        </w:sectPr>
      </w:pPr>
    </w:p>
    <w:p w14:paraId="0FE8FEBC" w14:textId="5268778E" w:rsidR="0064317A" w:rsidRPr="00182514" w:rsidRDefault="0064317A" w:rsidP="00BA1E42">
      <w:pPr>
        <w:pStyle w:val="ExhibitHeading"/>
        <w:rPr>
          <w:lang w:val="en-GB"/>
        </w:rPr>
      </w:pPr>
      <w:r w:rsidRPr="00182514">
        <w:rPr>
          <w:lang w:val="en-GB"/>
        </w:rPr>
        <w:lastRenderedPageBreak/>
        <w:t xml:space="preserve">EXHIBIT 1: </w:t>
      </w:r>
      <w:r w:rsidR="00E05AD7" w:rsidRPr="00182514">
        <w:rPr>
          <w:lang w:val="en-GB"/>
        </w:rPr>
        <w:t xml:space="preserve">VANCOUVER </w:t>
      </w:r>
      <w:r w:rsidRPr="00182514">
        <w:rPr>
          <w:lang w:val="en-GB"/>
        </w:rPr>
        <w:t xml:space="preserve">POPULATION BY AGE </w:t>
      </w:r>
    </w:p>
    <w:p w14:paraId="347B5FE3" w14:textId="77777777" w:rsidR="002C11BA" w:rsidRPr="00182514" w:rsidRDefault="002C11BA" w:rsidP="002C11BA">
      <w:pPr>
        <w:pStyle w:val="ExhibitText"/>
        <w:rPr>
          <w:lang w:val="en-GB"/>
        </w:rPr>
      </w:pPr>
    </w:p>
    <w:p w14:paraId="602712E5" w14:textId="229EA90D" w:rsidR="00EF0955" w:rsidRPr="00182514" w:rsidRDefault="008D272C" w:rsidP="00FD0A48">
      <w:pPr>
        <w:pStyle w:val="Casehead3"/>
        <w:rPr>
          <w:b/>
          <w:bCs/>
          <w:lang w:val="en-GB"/>
        </w:rPr>
      </w:pPr>
      <w:r w:rsidRPr="00182514">
        <w:rPr>
          <w:noProof/>
          <w:lang w:val="en-CA" w:eastAsia="en-CA"/>
        </w:rPr>
        <w:drawing>
          <wp:inline distT="0" distB="0" distL="0" distR="0" wp14:anchorId="0A74813F" wp14:editId="5C0F2767">
            <wp:extent cx="6013450" cy="4686300"/>
            <wp:effectExtent l="0" t="0" r="6350" b="0"/>
            <wp:docPr id="1" name="Chart 1" descr="Graph showing Vancouver population by age and gende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6B96AE1" w14:textId="77777777" w:rsidR="00E05AD7" w:rsidRPr="00182514" w:rsidRDefault="00E05AD7" w:rsidP="0064317A">
      <w:pPr>
        <w:rPr>
          <w:rFonts w:ascii="Arial" w:hAnsi="Arial" w:cs="Arial"/>
          <w:sz w:val="17"/>
          <w:szCs w:val="17"/>
          <w:lang w:val="en-GB"/>
        </w:rPr>
      </w:pPr>
    </w:p>
    <w:p w14:paraId="78811EE0" w14:textId="3C3246BE" w:rsidR="0064317A" w:rsidRPr="00182514" w:rsidRDefault="0064317A" w:rsidP="00A25EAD">
      <w:pPr>
        <w:pStyle w:val="Footnote"/>
        <w:rPr>
          <w:lang w:val="en-GB"/>
        </w:rPr>
      </w:pPr>
      <w:r w:rsidRPr="00182514">
        <w:rPr>
          <w:lang w:val="en-GB"/>
        </w:rPr>
        <w:t xml:space="preserve">Source: </w:t>
      </w:r>
      <w:r w:rsidR="00022D20" w:rsidRPr="00182514">
        <w:rPr>
          <w:lang w:val="en-GB"/>
        </w:rPr>
        <w:t>Government of Canada</w:t>
      </w:r>
      <w:r w:rsidRPr="00182514">
        <w:rPr>
          <w:lang w:val="en-GB"/>
        </w:rPr>
        <w:t>, “Census Profile, 2016 Census</w:t>
      </w:r>
      <w:r w:rsidR="00022D20" w:rsidRPr="00182514">
        <w:rPr>
          <w:lang w:val="en-GB"/>
        </w:rPr>
        <w:t>: Age Groups—100% Data, Both Sexes</w:t>
      </w:r>
      <w:r w:rsidRPr="00182514">
        <w:rPr>
          <w:lang w:val="en-GB"/>
        </w:rPr>
        <w:t xml:space="preserve">,” </w:t>
      </w:r>
      <w:r w:rsidRPr="00FD0A48">
        <w:rPr>
          <w:lang w:val="en-GB"/>
        </w:rPr>
        <w:t>Statistics Canada</w:t>
      </w:r>
      <w:r w:rsidR="00022D20" w:rsidRPr="00182514">
        <w:rPr>
          <w:lang w:val="en-GB"/>
        </w:rPr>
        <w:t xml:space="preserve">, April 21, 2020, </w:t>
      </w:r>
      <w:r w:rsidRPr="00182514">
        <w:rPr>
          <w:lang w:val="en-GB"/>
        </w:rPr>
        <w:t>accessed May 10, 2020, www12.statcan.gc.ca/census-recensement/2016/dp-pd/prof/details/page_Figures.cfm?Lang=E&amp;Tab=1&amp;Geo1=CSD&amp;Code1=5915022&amp;Geo2=PR&amp;Code2=01&amp;SearchText=5915022&amp;SearchType=Begins&amp;SearchPR=01&amp;B1=All&amp;TABID=3&amp;type=0.</w:t>
      </w:r>
    </w:p>
    <w:p w14:paraId="11D82920" w14:textId="77777777" w:rsidR="00EF0955" w:rsidRPr="00182514" w:rsidRDefault="00EF0955" w:rsidP="00EF0955">
      <w:pPr>
        <w:pStyle w:val="ExhibitText"/>
        <w:rPr>
          <w:lang w:val="en-GB"/>
        </w:rPr>
      </w:pPr>
    </w:p>
    <w:p w14:paraId="0B167952" w14:textId="77777777" w:rsidR="00037187" w:rsidRDefault="00037187" w:rsidP="008D272C">
      <w:pPr>
        <w:pStyle w:val="ExhibitHeading"/>
        <w:rPr>
          <w:lang w:val="en-GB"/>
        </w:rPr>
        <w:sectPr w:rsidR="00037187" w:rsidSect="00BA1E42">
          <w:headerReference w:type="default" r:id="rId13"/>
          <w:endnotePr>
            <w:numFmt w:val="decimal"/>
          </w:endnotePr>
          <w:pgSz w:w="12240" w:h="15840" w:code="1"/>
          <w:pgMar w:top="1080" w:right="1440" w:bottom="1440" w:left="1440" w:header="1080" w:footer="720" w:gutter="0"/>
          <w:cols w:space="720"/>
          <w:docGrid w:linePitch="360"/>
        </w:sectPr>
      </w:pPr>
    </w:p>
    <w:p w14:paraId="02FB722A" w14:textId="77777777" w:rsidR="00037187" w:rsidRPr="00037187" w:rsidRDefault="0064317A" w:rsidP="00037187">
      <w:pPr>
        <w:pStyle w:val="ExhibitHeading"/>
      </w:pPr>
      <w:r w:rsidRPr="00037187">
        <w:lastRenderedPageBreak/>
        <w:t>EXHIBIT 2: TENTREE’S SUPPLIER CODE OF CONDUCT</w:t>
      </w:r>
    </w:p>
    <w:p w14:paraId="72544B68" w14:textId="2D3C7258" w:rsidR="00EF0955" w:rsidRPr="00182514" w:rsidRDefault="00EF0955" w:rsidP="00037187">
      <w:pPr>
        <w:pStyle w:val="ExhibitHeading"/>
        <w:jc w:val="both"/>
        <w:rPr>
          <w:lang w:val="en-GB"/>
        </w:rPr>
      </w:pPr>
      <w:r w:rsidRPr="00182514">
        <w:rPr>
          <w:noProof/>
          <w:lang w:val="en-CA" w:eastAsia="en-CA"/>
        </w:rPr>
        <w:drawing>
          <wp:anchor distT="0" distB="0" distL="114300" distR="114300" simplePos="0" relativeHeight="251660288" behindDoc="1" locked="0" layoutInCell="1" allowOverlap="1" wp14:anchorId="475F1C1D" wp14:editId="52868C4B">
            <wp:simplePos x="0" y="0"/>
            <wp:positionH relativeFrom="margin">
              <wp:posOffset>62865</wp:posOffset>
            </wp:positionH>
            <wp:positionV relativeFrom="paragraph">
              <wp:posOffset>245110</wp:posOffset>
            </wp:positionV>
            <wp:extent cx="5914390" cy="6329045"/>
            <wp:effectExtent l="38100" t="38100" r="29210" b="33655"/>
            <wp:wrapTopAndBottom/>
            <wp:docPr id="2" name="Picture 2" descr="tentree's supplier code of con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348"/>
                    <a:stretch/>
                  </pic:blipFill>
                  <pic:spPr bwMode="auto">
                    <a:xfrm>
                      <a:off x="0" y="0"/>
                      <a:ext cx="5914390" cy="6329045"/>
                    </a:xfrm>
                    <a:prstGeom prst="rect">
                      <a:avLst/>
                    </a:prstGeom>
                    <a:ln w="285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424E7B" w14:textId="77777777" w:rsidR="00EF0955" w:rsidRPr="00182514" w:rsidRDefault="00EF0955" w:rsidP="0064317A">
      <w:pPr>
        <w:rPr>
          <w:rFonts w:ascii="Arial" w:hAnsi="Arial" w:cs="Arial"/>
          <w:sz w:val="17"/>
          <w:szCs w:val="17"/>
          <w:lang w:val="en-GB"/>
        </w:rPr>
      </w:pPr>
    </w:p>
    <w:p w14:paraId="41B69A34" w14:textId="4CB37995" w:rsidR="00022D20" w:rsidRPr="00182514" w:rsidRDefault="0064317A" w:rsidP="00FD0A48">
      <w:pPr>
        <w:pStyle w:val="Footnote"/>
        <w:rPr>
          <w:lang w:val="en-GB"/>
        </w:rPr>
      </w:pPr>
      <w:r w:rsidRPr="00182514">
        <w:rPr>
          <w:lang w:val="en-GB"/>
        </w:rPr>
        <w:t xml:space="preserve">Source: </w:t>
      </w:r>
      <w:r w:rsidR="00022D20" w:rsidRPr="00182514">
        <w:rPr>
          <w:lang w:val="en-GB"/>
        </w:rPr>
        <w:t>Tentree</w:t>
      </w:r>
      <w:r w:rsidRPr="00182514">
        <w:rPr>
          <w:lang w:val="en-GB"/>
        </w:rPr>
        <w:t xml:space="preserve">, “Supplier Code of Conduct,” </w:t>
      </w:r>
      <w:r w:rsidR="00022D20" w:rsidRPr="00182514">
        <w:rPr>
          <w:lang w:val="en-GB"/>
        </w:rPr>
        <w:t xml:space="preserve">Shopify, </w:t>
      </w:r>
      <w:r w:rsidRPr="00182514">
        <w:rPr>
          <w:lang w:val="en-GB"/>
        </w:rPr>
        <w:t xml:space="preserve">accessed May 10, 2020, </w:t>
      </w:r>
      <w:r w:rsidR="00B5536C" w:rsidRPr="00B5536C">
        <w:rPr>
          <w:lang w:val="en-GB"/>
        </w:rPr>
        <w:t>https://cdn.shopify.com/s/files/1/2404/6643/t/439/assets/Code_of_Conduct_2020.pdf?v=16608280940142435475</w:t>
      </w:r>
      <w:r w:rsidRPr="00182514">
        <w:rPr>
          <w:lang w:val="en-GB"/>
        </w:rPr>
        <w:t>.</w:t>
      </w:r>
    </w:p>
    <w:p w14:paraId="3970ACE7" w14:textId="77777777" w:rsidR="00EF0955" w:rsidRPr="00182514" w:rsidRDefault="00EF0955">
      <w:pPr>
        <w:spacing w:after="200" w:line="276" w:lineRule="auto"/>
        <w:rPr>
          <w:rFonts w:ascii="Arial" w:hAnsi="Arial" w:cs="Arial"/>
          <w:sz w:val="17"/>
          <w:szCs w:val="17"/>
          <w:lang w:val="en-GB"/>
        </w:rPr>
      </w:pPr>
      <w:r w:rsidRPr="00182514">
        <w:rPr>
          <w:rFonts w:ascii="Arial" w:hAnsi="Arial" w:cs="Arial"/>
          <w:sz w:val="17"/>
          <w:szCs w:val="17"/>
          <w:lang w:val="en-GB"/>
        </w:rPr>
        <w:br w:type="page"/>
      </w:r>
    </w:p>
    <w:p w14:paraId="2101F525" w14:textId="309E4D7D" w:rsidR="0064317A" w:rsidRPr="00182514" w:rsidRDefault="0064317A" w:rsidP="00EF0955">
      <w:pPr>
        <w:pStyle w:val="ExhibitHeading"/>
        <w:rPr>
          <w:lang w:val="en-GB"/>
        </w:rPr>
      </w:pPr>
      <w:r w:rsidRPr="00182514">
        <w:rPr>
          <w:lang w:val="en-GB"/>
        </w:rPr>
        <w:lastRenderedPageBreak/>
        <w:t xml:space="preserve">EXHIBIT 3: </w:t>
      </w:r>
      <w:r w:rsidR="00947D37" w:rsidRPr="00182514">
        <w:rPr>
          <w:lang w:val="en-GB"/>
        </w:rPr>
        <w:t>PHOTOS Not c</w:t>
      </w:r>
      <w:r w:rsidRPr="00182514">
        <w:rPr>
          <w:lang w:val="en-GB"/>
        </w:rPr>
        <w:t xml:space="preserve">HOSEN </w:t>
      </w:r>
      <w:r w:rsidR="00947D37" w:rsidRPr="00182514">
        <w:rPr>
          <w:lang w:val="en-GB"/>
        </w:rPr>
        <w:t xml:space="preserve">for tentree’s </w:t>
      </w:r>
      <w:r w:rsidRPr="00182514">
        <w:rPr>
          <w:lang w:val="en-GB"/>
        </w:rPr>
        <w:t xml:space="preserve">EARTH WEEK 2019 </w:t>
      </w:r>
      <w:r w:rsidR="00947D37" w:rsidRPr="00182514">
        <w:rPr>
          <w:lang w:val="en-GB"/>
        </w:rPr>
        <w:t>campaign</w:t>
      </w:r>
    </w:p>
    <w:p w14:paraId="63265904" w14:textId="76500691" w:rsidR="0064317A" w:rsidRPr="00182514" w:rsidRDefault="00EF0955" w:rsidP="00FD0A48">
      <w:pPr>
        <w:tabs>
          <w:tab w:val="left" w:pos="6148"/>
        </w:tabs>
        <w:jc w:val="both"/>
        <w:rPr>
          <w:sz w:val="18"/>
          <w:lang w:val="en-GB"/>
        </w:rPr>
      </w:pPr>
      <w:r w:rsidRPr="00182514">
        <w:rPr>
          <w:noProof/>
          <w:lang w:val="en-CA" w:eastAsia="en-CA"/>
        </w:rPr>
        <w:drawing>
          <wp:anchor distT="0" distB="0" distL="114300" distR="114300" simplePos="0" relativeHeight="251661312" behindDoc="1" locked="0" layoutInCell="1" allowOverlap="1" wp14:anchorId="24F3E578" wp14:editId="6C721802">
            <wp:simplePos x="0" y="0"/>
            <wp:positionH relativeFrom="margin">
              <wp:posOffset>958045</wp:posOffset>
            </wp:positionH>
            <wp:positionV relativeFrom="paragraph">
              <wp:posOffset>194566</wp:posOffset>
            </wp:positionV>
            <wp:extent cx="4086860" cy="2743200"/>
            <wp:effectExtent l="0" t="0" r="8890" b="0"/>
            <wp:wrapTopAndBottom/>
            <wp:docPr id="3" name="Picture 3" descr="Photos not chosen for tentree's Earth Week 2019 campa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86860" cy="2743200"/>
                    </a:xfrm>
                    <a:prstGeom prst="rect">
                      <a:avLst/>
                    </a:prstGeom>
                  </pic:spPr>
                </pic:pic>
              </a:graphicData>
            </a:graphic>
            <wp14:sizeRelH relativeFrom="page">
              <wp14:pctWidth>0</wp14:pctWidth>
            </wp14:sizeRelH>
            <wp14:sizeRelV relativeFrom="page">
              <wp14:pctHeight>0</wp14:pctHeight>
            </wp14:sizeRelV>
          </wp:anchor>
        </w:drawing>
      </w:r>
    </w:p>
    <w:p w14:paraId="52FE6C4D" w14:textId="77777777" w:rsidR="00EF0955" w:rsidRPr="00182514" w:rsidRDefault="00EF0955" w:rsidP="0064317A">
      <w:pPr>
        <w:rPr>
          <w:rFonts w:ascii="Arial" w:hAnsi="Arial" w:cs="Arial"/>
          <w:sz w:val="17"/>
          <w:szCs w:val="17"/>
          <w:lang w:val="en-GB"/>
        </w:rPr>
      </w:pPr>
    </w:p>
    <w:p w14:paraId="71FCAA9C" w14:textId="40041AA6" w:rsidR="0064317A" w:rsidRPr="00182514" w:rsidRDefault="0064317A" w:rsidP="00EF0955">
      <w:pPr>
        <w:pStyle w:val="Footnote"/>
        <w:rPr>
          <w:lang w:val="en-GB"/>
        </w:rPr>
      </w:pPr>
      <w:r w:rsidRPr="00182514">
        <w:rPr>
          <w:lang w:val="en-GB"/>
        </w:rPr>
        <w:t xml:space="preserve">Source: </w:t>
      </w:r>
      <w:r w:rsidR="00947D37" w:rsidRPr="00182514">
        <w:rPr>
          <w:lang w:val="en-GB"/>
        </w:rPr>
        <w:t xml:space="preserve">Ash Read, “How tentree Took Over Instagram: Behind a Record-Breaking Social Media Campaign,” </w:t>
      </w:r>
      <w:r w:rsidR="00947D37" w:rsidRPr="00182514">
        <w:rPr>
          <w:i/>
          <w:lang w:val="en-GB"/>
        </w:rPr>
        <w:t>Buffer</w:t>
      </w:r>
      <w:r w:rsidR="00947D37" w:rsidRPr="00182514">
        <w:rPr>
          <w:lang w:val="en-GB"/>
        </w:rPr>
        <w:t xml:space="preserve"> (blog), June 26, 2019, accessed May 25, 2020, https://buffer.com/resources/tentree-earth-day-social-media-campaign.</w:t>
      </w:r>
    </w:p>
    <w:p w14:paraId="052A2760" w14:textId="41E0FF06" w:rsidR="0064317A" w:rsidRPr="00182514" w:rsidRDefault="0064317A" w:rsidP="00EF0955">
      <w:pPr>
        <w:pStyle w:val="ExhibitText"/>
        <w:rPr>
          <w:lang w:val="en-GB"/>
        </w:rPr>
      </w:pPr>
    </w:p>
    <w:p w14:paraId="6FA46963" w14:textId="77777777" w:rsidR="00EF0955" w:rsidRPr="00182514" w:rsidRDefault="00EF0955" w:rsidP="00EF0955">
      <w:pPr>
        <w:pStyle w:val="ExhibitText"/>
        <w:rPr>
          <w:lang w:val="en-GB"/>
        </w:rPr>
      </w:pPr>
    </w:p>
    <w:p w14:paraId="3D35355D" w14:textId="3A19A7AB" w:rsidR="0064317A" w:rsidRPr="00182514" w:rsidRDefault="0064317A" w:rsidP="00EF0955">
      <w:pPr>
        <w:pStyle w:val="ExhibitHeading"/>
        <w:rPr>
          <w:lang w:val="en-GB"/>
        </w:rPr>
      </w:pPr>
      <w:r w:rsidRPr="00182514">
        <w:rPr>
          <w:lang w:val="en-GB"/>
        </w:rPr>
        <w:t>EXHIBIT 4: EARTH WEEK 2019 PHOTOS</w:t>
      </w:r>
    </w:p>
    <w:p w14:paraId="054226B8" w14:textId="77777777" w:rsidR="00EF0955" w:rsidRPr="00182514" w:rsidRDefault="00EF0955" w:rsidP="00EF0955">
      <w:pPr>
        <w:pStyle w:val="ExhibitText"/>
        <w:rPr>
          <w:lang w:val="en-GB"/>
        </w:rPr>
      </w:pPr>
    </w:p>
    <w:p w14:paraId="2850EA7D" w14:textId="5A0B8670" w:rsidR="0064317A" w:rsidRPr="00182514" w:rsidRDefault="0064317A" w:rsidP="00EF0955">
      <w:pPr>
        <w:pStyle w:val="ExhibitText"/>
        <w:rPr>
          <w:sz w:val="18"/>
          <w:lang w:val="en-GB"/>
        </w:rPr>
      </w:pPr>
      <w:r w:rsidRPr="00182514">
        <w:rPr>
          <w:noProof/>
          <w:lang w:val="en-CA" w:eastAsia="en-CA"/>
        </w:rPr>
        <w:drawing>
          <wp:anchor distT="0" distB="0" distL="114300" distR="114300" simplePos="0" relativeHeight="251662336" behindDoc="1" locked="0" layoutInCell="1" allowOverlap="1" wp14:anchorId="747F2486" wp14:editId="02F833F3">
            <wp:simplePos x="0" y="0"/>
            <wp:positionH relativeFrom="margin">
              <wp:align>center</wp:align>
            </wp:positionH>
            <wp:positionV relativeFrom="paragraph">
              <wp:posOffset>6681</wp:posOffset>
            </wp:positionV>
            <wp:extent cx="4985468" cy="2540139"/>
            <wp:effectExtent l="0" t="0" r="5715" b="0"/>
            <wp:wrapTopAndBottom/>
            <wp:docPr id="5" name="Picture 5" descr="Earth Week 2019 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ntree famous post.png"/>
                    <pic:cNvPicPr/>
                  </pic:nvPicPr>
                  <pic:blipFill>
                    <a:blip r:embed="rId16">
                      <a:extLst>
                        <a:ext uri="{28A0092B-C50C-407E-A947-70E740481C1C}">
                          <a14:useLocalDpi xmlns:a14="http://schemas.microsoft.com/office/drawing/2010/main" val="0"/>
                        </a:ext>
                      </a:extLst>
                    </a:blip>
                    <a:stretch>
                      <a:fillRect/>
                    </a:stretch>
                  </pic:blipFill>
                  <pic:spPr>
                    <a:xfrm>
                      <a:off x="0" y="0"/>
                      <a:ext cx="4985468" cy="2540139"/>
                    </a:xfrm>
                    <a:prstGeom prst="rect">
                      <a:avLst/>
                    </a:prstGeom>
                  </pic:spPr>
                </pic:pic>
              </a:graphicData>
            </a:graphic>
            <wp14:sizeRelH relativeFrom="page">
              <wp14:pctWidth>0</wp14:pctWidth>
            </wp14:sizeRelH>
            <wp14:sizeRelV relativeFrom="page">
              <wp14:pctHeight>0</wp14:pctHeight>
            </wp14:sizeRelV>
          </wp:anchor>
        </w:drawing>
      </w:r>
    </w:p>
    <w:p w14:paraId="434082F2" w14:textId="0CDF4E91" w:rsidR="0064317A" w:rsidRPr="00182514" w:rsidRDefault="0064317A" w:rsidP="00EF0955">
      <w:pPr>
        <w:pStyle w:val="Footnote"/>
        <w:rPr>
          <w:lang w:val="en-GB"/>
        </w:rPr>
      </w:pPr>
      <w:r w:rsidRPr="00182514">
        <w:rPr>
          <w:lang w:val="en-GB"/>
        </w:rPr>
        <w:t xml:space="preserve">Source: </w:t>
      </w:r>
      <w:r w:rsidR="00D547D4">
        <w:t>@</w:t>
      </w:r>
      <w:proofErr w:type="spellStart"/>
      <w:r w:rsidR="00D547D4">
        <w:t>tentree</w:t>
      </w:r>
      <w:proofErr w:type="spellEnd"/>
      <w:r w:rsidR="00D547D4">
        <w:t xml:space="preserve"> “The World’s Most Sustainable Post - 5m likes - 500k trees - 20m likes - 1m trees - 50m likes - 100m likes - Join our mission to make the most sustainable post on the planet. Thank you to the millions of people who have lifted their fingers to start a movement to plant more trees. Together, we will be planting 500,000 trees in Indonesia as a result of you liking this post. But we're not stopping here. As the number of likes on this post grows, we will unlock a new level of sustainability and plant even more trees around the world!” Instagram photo, April 22, 2019, accessed May 20,2020 </w:t>
      </w:r>
      <w:r w:rsidR="00D547D4" w:rsidRPr="00042041">
        <w:t>https://www.instagram.com/p/Bwjpxgph9DE/?hl=en</w:t>
      </w:r>
      <w:r w:rsidR="00D547D4">
        <w:t>.</w:t>
      </w:r>
    </w:p>
    <w:p w14:paraId="1CEC46F9" w14:textId="77777777" w:rsidR="0064317A" w:rsidRPr="00182514" w:rsidRDefault="0064317A" w:rsidP="0064317A">
      <w:pPr>
        <w:jc w:val="center"/>
        <w:rPr>
          <w:rFonts w:ascii="Arial" w:hAnsi="Arial" w:cs="Arial"/>
          <w:b/>
          <w:lang w:val="en-GB"/>
        </w:rPr>
      </w:pPr>
    </w:p>
    <w:p w14:paraId="2F6B75C1" w14:textId="77777777" w:rsidR="0064317A" w:rsidRPr="00182514" w:rsidRDefault="0064317A" w:rsidP="0064317A">
      <w:pPr>
        <w:rPr>
          <w:rFonts w:ascii="Arial" w:hAnsi="Arial" w:cs="Arial"/>
          <w:b/>
          <w:lang w:val="en-GB"/>
        </w:rPr>
      </w:pPr>
      <w:r w:rsidRPr="00182514">
        <w:rPr>
          <w:rFonts w:ascii="Arial" w:hAnsi="Arial" w:cs="Arial"/>
          <w:b/>
          <w:lang w:val="en-GB"/>
        </w:rPr>
        <w:br w:type="page"/>
      </w:r>
    </w:p>
    <w:p w14:paraId="489148E6" w14:textId="6043B407" w:rsidR="0064317A" w:rsidRPr="00182514" w:rsidRDefault="0064317A" w:rsidP="00A663F7">
      <w:pPr>
        <w:pStyle w:val="ExhibitHeading"/>
        <w:rPr>
          <w:lang w:val="en-GB"/>
        </w:rPr>
      </w:pPr>
      <w:r w:rsidRPr="00182514">
        <w:rPr>
          <w:lang w:val="en-GB"/>
        </w:rPr>
        <w:lastRenderedPageBreak/>
        <w:t xml:space="preserve">EXHIBIT 5: </w:t>
      </w:r>
      <w:r w:rsidR="00947D37" w:rsidRPr="00182514">
        <w:rPr>
          <w:lang w:val="en-GB"/>
        </w:rPr>
        <w:t>tentree—</w:t>
      </w:r>
      <w:r w:rsidRPr="00182514">
        <w:rPr>
          <w:lang w:val="en-GB"/>
        </w:rPr>
        <w:t>AVERAGE SELLING PRICE BY CATEGORY</w:t>
      </w:r>
    </w:p>
    <w:p w14:paraId="50218C71" w14:textId="77777777" w:rsidR="00EF0955" w:rsidRPr="00182514" w:rsidRDefault="00EF0955" w:rsidP="00F51826">
      <w:pPr>
        <w:pStyle w:val="Footnote"/>
        <w:rPr>
          <w:sz w:val="14"/>
          <w:lang w:val="en-GB"/>
        </w:rPr>
      </w:pP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Caption w:val="Exhibit 5"/>
        <w:tblDescription w:val="tentree- Average selling price by category"/>
      </w:tblPr>
      <w:tblGrid>
        <w:gridCol w:w="2515"/>
        <w:gridCol w:w="2373"/>
      </w:tblGrid>
      <w:tr w:rsidR="0064317A" w:rsidRPr="00182514" w14:paraId="014E63A4" w14:textId="77777777" w:rsidTr="00185A30">
        <w:trPr>
          <w:tblHeader/>
          <w:jc w:val="center"/>
        </w:trPr>
        <w:tc>
          <w:tcPr>
            <w:tcW w:w="2515" w:type="dxa"/>
          </w:tcPr>
          <w:p w14:paraId="08A68CF4" w14:textId="77777777" w:rsidR="0064317A" w:rsidRPr="00182514" w:rsidRDefault="0064317A" w:rsidP="00A663F7">
            <w:pPr>
              <w:pStyle w:val="ExhibitText"/>
              <w:jc w:val="center"/>
              <w:rPr>
                <w:b/>
                <w:sz w:val="18"/>
                <w:lang w:val="en-GB"/>
              </w:rPr>
            </w:pPr>
            <w:r w:rsidRPr="00182514">
              <w:rPr>
                <w:b/>
                <w:sz w:val="18"/>
                <w:lang w:val="en-GB"/>
              </w:rPr>
              <w:t>Category</w:t>
            </w:r>
          </w:p>
        </w:tc>
        <w:tc>
          <w:tcPr>
            <w:tcW w:w="2373" w:type="dxa"/>
          </w:tcPr>
          <w:p w14:paraId="787A279B" w14:textId="77777777" w:rsidR="0064317A" w:rsidRPr="00182514" w:rsidRDefault="0064317A" w:rsidP="00A663F7">
            <w:pPr>
              <w:pStyle w:val="ExhibitText"/>
              <w:jc w:val="center"/>
              <w:rPr>
                <w:b/>
                <w:sz w:val="18"/>
                <w:lang w:val="en-GB"/>
              </w:rPr>
            </w:pPr>
            <w:r w:rsidRPr="00182514">
              <w:rPr>
                <w:b/>
                <w:sz w:val="18"/>
                <w:lang w:val="en-GB"/>
              </w:rPr>
              <w:t>Average Selling Price</w:t>
            </w:r>
          </w:p>
        </w:tc>
      </w:tr>
      <w:tr w:rsidR="0064317A" w:rsidRPr="00182514" w14:paraId="75159955" w14:textId="77777777" w:rsidTr="00185A30">
        <w:trPr>
          <w:tblHeader/>
          <w:jc w:val="center"/>
        </w:trPr>
        <w:tc>
          <w:tcPr>
            <w:tcW w:w="2515" w:type="dxa"/>
          </w:tcPr>
          <w:p w14:paraId="375147A5" w14:textId="77777777" w:rsidR="0064317A" w:rsidRPr="00182514" w:rsidRDefault="0064317A" w:rsidP="00A663F7">
            <w:pPr>
              <w:pStyle w:val="ExhibitText"/>
              <w:rPr>
                <w:sz w:val="18"/>
                <w:lang w:val="en-GB"/>
              </w:rPr>
            </w:pPr>
            <w:r w:rsidRPr="00182514">
              <w:rPr>
                <w:sz w:val="18"/>
                <w:lang w:val="en-GB"/>
              </w:rPr>
              <w:t>T-Shirts</w:t>
            </w:r>
          </w:p>
        </w:tc>
        <w:tc>
          <w:tcPr>
            <w:tcW w:w="2373" w:type="dxa"/>
          </w:tcPr>
          <w:p w14:paraId="44366035" w14:textId="02147AA6" w:rsidR="0064317A" w:rsidRPr="00182514" w:rsidRDefault="0064317A" w:rsidP="00FD0A48">
            <w:pPr>
              <w:pStyle w:val="ExhibitText"/>
              <w:ind w:right="115"/>
              <w:jc w:val="right"/>
              <w:rPr>
                <w:sz w:val="18"/>
                <w:lang w:val="en-GB"/>
              </w:rPr>
            </w:pPr>
            <w:r w:rsidRPr="00182514">
              <w:rPr>
                <w:sz w:val="18"/>
                <w:lang w:val="en-GB"/>
              </w:rPr>
              <w:t>$42.00</w:t>
            </w:r>
          </w:p>
        </w:tc>
      </w:tr>
      <w:tr w:rsidR="0064317A" w:rsidRPr="00182514" w14:paraId="2468F2E3" w14:textId="77777777" w:rsidTr="00185A30">
        <w:trPr>
          <w:tblHeader/>
          <w:jc w:val="center"/>
        </w:trPr>
        <w:tc>
          <w:tcPr>
            <w:tcW w:w="2515" w:type="dxa"/>
          </w:tcPr>
          <w:p w14:paraId="58A8480A" w14:textId="0CC384AF" w:rsidR="0064317A" w:rsidRPr="00182514" w:rsidRDefault="0064317A">
            <w:pPr>
              <w:pStyle w:val="ExhibitText"/>
              <w:rPr>
                <w:sz w:val="18"/>
                <w:lang w:val="en-GB"/>
              </w:rPr>
            </w:pPr>
            <w:r w:rsidRPr="00182514">
              <w:rPr>
                <w:sz w:val="18"/>
                <w:lang w:val="en-GB"/>
              </w:rPr>
              <w:t>Long Sleeves/ Button-</w:t>
            </w:r>
            <w:r w:rsidR="00ED0FBF" w:rsidRPr="00182514">
              <w:rPr>
                <w:sz w:val="18"/>
                <w:lang w:val="en-GB"/>
              </w:rPr>
              <w:t>Ups</w:t>
            </w:r>
          </w:p>
        </w:tc>
        <w:tc>
          <w:tcPr>
            <w:tcW w:w="2373" w:type="dxa"/>
          </w:tcPr>
          <w:p w14:paraId="4AE092B4" w14:textId="4B83E6AF" w:rsidR="0064317A" w:rsidRPr="00182514" w:rsidRDefault="0064317A" w:rsidP="00FD0A48">
            <w:pPr>
              <w:pStyle w:val="ExhibitText"/>
              <w:ind w:right="115"/>
              <w:jc w:val="right"/>
              <w:rPr>
                <w:sz w:val="18"/>
                <w:lang w:val="en-GB"/>
              </w:rPr>
            </w:pPr>
            <w:r w:rsidRPr="00182514">
              <w:rPr>
                <w:sz w:val="18"/>
                <w:lang w:val="en-GB"/>
              </w:rPr>
              <w:t>$60.00</w:t>
            </w:r>
          </w:p>
        </w:tc>
      </w:tr>
      <w:tr w:rsidR="0064317A" w:rsidRPr="00182514" w14:paraId="4DD7305A" w14:textId="77777777" w:rsidTr="00185A30">
        <w:trPr>
          <w:tblHeader/>
          <w:jc w:val="center"/>
        </w:trPr>
        <w:tc>
          <w:tcPr>
            <w:tcW w:w="2515" w:type="dxa"/>
          </w:tcPr>
          <w:p w14:paraId="693AACBA" w14:textId="77777777" w:rsidR="0064317A" w:rsidRPr="00182514" w:rsidRDefault="0064317A" w:rsidP="00A663F7">
            <w:pPr>
              <w:pStyle w:val="ExhibitText"/>
              <w:rPr>
                <w:sz w:val="18"/>
                <w:lang w:val="en-GB"/>
              </w:rPr>
            </w:pPr>
            <w:r w:rsidRPr="00182514">
              <w:rPr>
                <w:sz w:val="18"/>
                <w:lang w:val="en-GB"/>
              </w:rPr>
              <w:t>Sweaters</w:t>
            </w:r>
          </w:p>
        </w:tc>
        <w:tc>
          <w:tcPr>
            <w:tcW w:w="2373" w:type="dxa"/>
          </w:tcPr>
          <w:p w14:paraId="0B01599A" w14:textId="3A17EA6B" w:rsidR="0064317A" w:rsidRPr="00182514" w:rsidRDefault="0064317A" w:rsidP="00FD0A48">
            <w:pPr>
              <w:pStyle w:val="ExhibitText"/>
              <w:ind w:right="115"/>
              <w:jc w:val="right"/>
              <w:rPr>
                <w:sz w:val="18"/>
                <w:lang w:val="en-GB"/>
              </w:rPr>
            </w:pPr>
            <w:r w:rsidRPr="00182514">
              <w:rPr>
                <w:sz w:val="18"/>
                <w:lang w:val="en-GB"/>
              </w:rPr>
              <w:t>$68.00</w:t>
            </w:r>
          </w:p>
        </w:tc>
      </w:tr>
      <w:tr w:rsidR="0064317A" w:rsidRPr="00182514" w14:paraId="53E47FA5" w14:textId="77777777" w:rsidTr="00185A30">
        <w:trPr>
          <w:tblHeader/>
          <w:jc w:val="center"/>
        </w:trPr>
        <w:tc>
          <w:tcPr>
            <w:tcW w:w="2515" w:type="dxa"/>
          </w:tcPr>
          <w:p w14:paraId="5366CA81" w14:textId="77777777" w:rsidR="0064317A" w:rsidRPr="00182514" w:rsidRDefault="0064317A" w:rsidP="00A663F7">
            <w:pPr>
              <w:pStyle w:val="ExhibitText"/>
              <w:rPr>
                <w:sz w:val="18"/>
                <w:lang w:val="en-GB"/>
              </w:rPr>
            </w:pPr>
            <w:r w:rsidRPr="00182514">
              <w:rPr>
                <w:sz w:val="18"/>
                <w:lang w:val="en-GB"/>
              </w:rPr>
              <w:t>Hoodies</w:t>
            </w:r>
          </w:p>
        </w:tc>
        <w:tc>
          <w:tcPr>
            <w:tcW w:w="2373" w:type="dxa"/>
          </w:tcPr>
          <w:p w14:paraId="2973A097" w14:textId="5BB74D9E" w:rsidR="0064317A" w:rsidRPr="00182514" w:rsidRDefault="0064317A" w:rsidP="00FD0A48">
            <w:pPr>
              <w:pStyle w:val="ExhibitText"/>
              <w:ind w:right="115"/>
              <w:jc w:val="right"/>
              <w:rPr>
                <w:sz w:val="18"/>
                <w:lang w:val="en-GB"/>
              </w:rPr>
            </w:pPr>
            <w:r w:rsidRPr="00182514">
              <w:rPr>
                <w:sz w:val="18"/>
                <w:lang w:val="en-GB"/>
              </w:rPr>
              <w:t>$77.00</w:t>
            </w:r>
          </w:p>
        </w:tc>
      </w:tr>
      <w:tr w:rsidR="0064317A" w:rsidRPr="00182514" w14:paraId="449837E1" w14:textId="77777777" w:rsidTr="00185A30">
        <w:trPr>
          <w:tblHeader/>
          <w:jc w:val="center"/>
        </w:trPr>
        <w:tc>
          <w:tcPr>
            <w:tcW w:w="2515" w:type="dxa"/>
          </w:tcPr>
          <w:p w14:paraId="0001BF07" w14:textId="77777777" w:rsidR="0064317A" w:rsidRPr="00182514" w:rsidRDefault="0064317A" w:rsidP="00A663F7">
            <w:pPr>
              <w:pStyle w:val="ExhibitText"/>
              <w:rPr>
                <w:sz w:val="18"/>
                <w:lang w:val="en-GB"/>
              </w:rPr>
            </w:pPr>
            <w:r w:rsidRPr="00182514">
              <w:rPr>
                <w:sz w:val="18"/>
                <w:lang w:val="en-GB"/>
              </w:rPr>
              <w:t>Outerwear</w:t>
            </w:r>
          </w:p>
        </w:tc>
        <w:tc>
          <w:tcPr>
            <w:tcW w:w="2373" w:type="dxa"/>
          </w:tcPr>
          <w:p w14:paraId="5E0A1A1A" w14:textId="0F6C334A" w:rsidR="0064317A" w:rsidRPr="00182514" w:rsidRDefault="0064317A" w:rsidP="00FD0A48">
            <w:pPr>
              <w:pStyle w:val="ExhibitText"/>
              <w:ind w:right="115"/>
              <w:jc w:val="right"/>
              <w:rPr>
                <w:sz w:val="18"/>
                <w:lang w:val="en-GB"/>
              </w:rPr>
            </w:pPr>
            <w:r w:rsidRPr="00182514">
              <w:rPr>
                <w:sz w:val="18"/>
                <w:lang w:val="en-GB"/>
              </w:rPr>
              <w:t>$149.00</w:t>
            </w:r>
          </w:p>
        </w:tc>
      </w:tr>
      <w:tr w:rsidR="0064317A" w:rsidRPr="00182514" w14:paraId="71F051A4" w14:textId="77777777" w:rsidTr="00185A30">
        <w:trPr>
          <w:tblHeader/>
          <w:jc w:val="center"/>
        </w:trPr>
        <w:tc>
          <w:tcPr>
            <w:tcW w:w="2515" w:type="dxa"/>
          </w:tcPr>
          <w:p w14:paraId="1EA491AD" w14:textId="77777777" w:rsidR="0064317A" w:rsidRPr="00182514" w:rsidRDefault="0064317A" w:rsidP="00A663F7">
            <w:pPr>
              <w:pStyle w:val="ExhibitText"/>
              <w:rPr>
                <w:sz w:val="18"/>
                <w:lang w:val="en-GB"/>
              </w:rPr>
            </w:pPr>
            <w:r w:rsidRPr="00182514">
              <w:rPr>
                <w:sz w:val="18"/>
                <w:lang w:val="en-GB"/>
              </w:rPr>
              <w:t>Dresses</w:t>
            </w:r>
          </w:p>
        </w:tc>
        <w:tc>
          <w:tcPr>
            <w:tcW w:w="2373" w:type="dxa"/>
          </w:tcPr>
          <w:p w14:paraId="2A7552A5" w14:textId="35EFC859" w:rsidR="0064317A" w:rsidRPr="00182514" w:rsidRDefault="0064317A" w:rsidP="00FD0A48">
            <w:pPr>
              <w:pStyle w:val="ExhibitText"/>
              <w:ind w:right="115"/>
              <w:jc w:val="right"/>
              <w:rPr>
                <w:sz w:val="18"/>
                <w:lang w:val="en-GB"/>
              </w:rPr>
            </w:pPr>
            <w:r w:rsidRPr="00182514">
              <w:rPr>
                <w:sz w:val="18"/>
                <w:lang w:val="en-GB"/>
              </w:rPr>
              <w:t>$69.00</w:t>
            </w:r>
          </w:p>
        </w:tc>
      </w:tr>
      <w:tr w:rsidR="0064317A" w:rsidRPr="00182514" w14:paraId="6EB08FA8" w14:textId="77777777" w:rsidTr="00185A30">
        <w:trPr>
          <w:tblHeader/>
          <w:jc w:val="center"/>
        </w:trPr>
        <w:tc>
          <w:tcPr>
            <w:tcW w:w="2515" w:type="dxa"/>
          </w:tcPr>
          <w:p w14:paraId="2B78E848" w14:textId="77777777" w:rsidR="0064317A" w:rsidRPr="00182514" w:rsidRDefault="0064317A" w:rsidP="00A663F7">
            <w:pPr>
              <w:pStyle w:val="ExhibitText"/>
              <w:rPr>
                <w:sz w:val="18"/>
                <w:lang w:val="en-GB"/>
              </w:rPr>
            </w:pPr>
            <w:r w:rsidRPr="00182514">
              <w:rPr>
                <w:sz w:val="18"/>
                <w:lang w:val="en-GB"/>
              </w:rPr>
              <w:t>Shorts</w:t>
            </w:r>
          </w:p>
        </w:tc>
        <w:tc>
          <w:tcPr>
            <w:tcW w:w="2373" w:type="dxa"/>
          </w:tcPr>
          <w:p w14:paraId="5873D49E" w14:textId="1EBB9482" w:rsidR="0064317A" w:rsidRPr="00182514" w:rsidRDefault="0064317A" w:rsidP="00FD0A48">
            <w:pPr>
              <w:pStyle w:val="ExhibitText"/>
              <w:ind w:right="115"/>
              <w:jc w:val="right"/>
              <w:rPr>
                <w:sz w:val="18"/>
                <w:lang w:val="en-GB"/>
              </w:rPr>
            </w:pPr>
            <w:r w:rsidRPr="00182514">
              <w:rPr>
                <w:sz w:val="18"/>
                <w:lang w:val="en-GB"/>
              </w:rPr>
              <w:t>$58.00</w:t>
            </w:r>
          </w:p>
        </w:tc>
      </w:tr>
      <w:tr w:rsidR="0064317A" w:rsidRPr="00182514" w14:paraId="4E47F7A0" w14:textId="77777777" w:rsidTr="00185A30">
        <w:trPr>
          <w:tblHeader/>
          <w:jc w:val="center"/>
        </w:trPr>
        <w:tc>
          <w:tcPr>
            <w:tcW w:w="2515" w:type="dxa"/>
          </w:tcPr>
          <w:p w14:paraId="06840D35" w14:textId="77777777" w:rsidR="0064317A" w:rsidRPr="00182514" w:rsidRDefault="0064317A" w:rsidP="00A663F7">
            <w:pPr>
              <w:pStyle w:val="ExhibitText"/>
              <w:rPr>
                <w:sz w:val="18"/>
                <w:lang w:val="en-GB"/>
              </w:rPr>
            </w:pPr>
            <w:r w:rsidRPr="00182514">
              <w:rPr>
                <w:sz w:val="18"/>
                <w:lang w:val="en-GB"/>
              </w:rPr>
              <w:t>Pants</w:t>
            </w:r>
          </w:p>
        </w:tc>
        <w:tc>
          <w:tcPr>
            <w:tcW w:w="2373" w:type="dxa"/>
          </w:tcPr>
          <w:p w14:paraId="12FB5065" w14:textId="342D9EDE" w:rsidR="0064317A" w:rsidRPr="00182514" w:rsidRDefault="0064317A" w:rsidP="00FD0A48">
            <w:pPr>
              <w:pStyle w:val="ExhibitText"/>
              <w:ind w:right="115"/>
              <w:jc w:val="right"/>
              <w:rPr>
                <w:sz w:val="18"/>
                <w:lang w:val="en-GB"/>
              </w:rPr>
            </w:pPr>
            <w:r w:rsidRPr="00182514">
              <w:rPr>
                <w:sz w:val="18"/>
                <w:lang w:val="en-GB"/>
              </w:rPr>
              <w:t>$80.00</w:t>
            </w:r>
          </w:p>
        </w:tc>
      </w:tr>
    </w:tbl>
    <w:p w14:paraId="311EBF9C" w14:textId="77777777" w:rsidR="00A663F7" w:rsidRPr="00182514" w:rsidRDefault="00A663F7" w:rsidP="00F51826">
      <w:pPr>
        <w:pStyle w:val="Footnote"/>
        <w:rPr>
          <w:sz w:val="14"/>
          <w:lang w:val="en-GB"/>
        </w:rPr>
      </w:pPr>
    </w:p>
    <w:p w14:paraId="39F39329" w14:textId="710462DE" w:rsidR="0064317A" w:rsidRPr="00182514" w:rsidRDefault="0064317A" w:rsidP="00A663F7">
      <w:pPr>
        <w:pStyle w:val="Footnote"/>
        <w:rPr>
          <w:lang w:val="en-GB"/>
        </w:rPr>
      </w:pPr>
      <w:r w:rsidRPr="00182514">
        <w:rPr>
          <w:lang w:val="en-GB"/>
        </w:rPr>
        <w:t xml:space="preserve">Source: </w:t>
      </w:r>
      <w:r w:rsidR="00ED0FBF" w:rsidRPr="00182514">
        <w:rPr>
          <w:lang w:val="en-GB"/>
        </w:rPr>
        <w:t>Company documents</w:t>
      </w:r>
      <w:r w:rsidRPr="00182514">
        <w:rPr>
          <w:lang w:val="en-GB"/>
        </w:rPr>
        <w:t>.</w:t>
      </w:r>
    </w:p>
    <w:p w14:paraId="50616429" w14:textId="7E7DA37B" w:rsidR="0064317A" w:rsidRPr="00182514" w:rsidRDefault="0064317A" w:rsidP="00F51826">
      <w:pPr>
        <w:pStyle w:val="Footnote"/>
        <w:rPr>
          <w:sz w:val="14"/>
          <w:lang w:val="en-GB"/>
        </w:rPr>
      </w:pPr>
    </w:p>
    <w:p w14:paraId="34F58ECF" w14:textId="77777777" w:rsidR="00A663F7" w:rsidRPr="00182514" w:rsidRDefault="00A663F7" w:rsidP="00F51826">
      <w:pPr>
        <w:pStyle w:val="Footnote"/>
        <w:rPr>
          <w:sz w:val="14"/>
          <w:lang w:val="en-GB"/>
        </w:rPr>
      </w:pPr>
    </w:p>
    <w:p w14:paraId="434C51AF" w14:textId="73B6B81B" w:rsidR="0064317A" w:rsidRPr="00182514" w:rsidRDefault="0064317A" w:rsidP="00A663F7">
      <w:pPr>
        <w:pStyle w:val="ExhibitHeading"/>
        <w:rPr>
          <w:lang w:val="en-GB"/>
        </w:rPr>
      </w:pPr>
      <w:r w:rsidRPr="00182514">
        <w:rPr>
          <w:lang w:val="en-GB"/>
        </w:rPr>
        <w:t>EXHIBIT 6: COST TO ADVERTISE ON SOCIAL MEDIA</w:t>
      </w:r>
    </w:p>
    <w:p w14:paraId="43C1E8E2" w14:textId="77777777" w:rsidR="00A663F7" w:rsidRPr="00182514" w:rsidRDefault="00A663F7" w:rsidP="00F51826">
      <w:pPr>
        <w:pStyle w:val="Footnote"/>
        <w:rPr>
          <w:sz w:val="14"/>
          <w:lang w:val="en-GB"/>
        </w:rPr>
      </w:pPr>
    </w:p>
    <w:tbl>
      <w:tblPr>
        <w:tblStyle w:val="TableGrid"/>
        <w:tblW w:w="713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Caption w:val="Exhibit 6"/>
        <w:tblDescription w:val="Cost to advertise on social media"/>
      </w:tblPr>
      <w:tblGrid>
        <w:gridCol w:w="2247"/>
        <w:gridCol w:w="2421"/>
        <w:gridCol w:w="2465"/>
      </w:tblGrid>
      <w:tr w:rsidR="0064317A" w:rsidRPr="00182514" w14:paraId="3FA1B704" w14:textId="77777777" w:rsidTr="00185A30">
        <w:trPr>
          <w:trHeight w:val="233"/>
          <w:tblHeader/>
          <w:jc w:val="center"/>
        </w:trPr>
        <w:tc>
          <w:tcPr>
            <w:tcW w:w="2247" w:type="dxa"/>
          </w:tcPr>
          <w:p w14:paraId="61E689C7" w14:textId="77777777" w:rsidR="0064317A" w:rsidRPr="00182514" w:rsidRDefault="0064317A" w:rsidP="00A663F7">
            <w:pPr>
              <w:pStyle w:val="ExhibitText"/>
              <w:jc w:val="center"/>
              <w:rPr>
                <w:b/>
                <w:sz w:val="18"/>
                <w:lang w:val="en-GB"/>
              </w:rPr>
            </w:pPr>
            <w:r w:rsidRPr="00182514">
              <w:rPr>
                <w:b/>
                <w:sz w:val="18"/>
                <w:lang w:val="en-GB"/>
              </w:rPr>
              <w:t>Social Media Platform</w:t>
            </w:r>
          </w:p>
        </w:tc>
        <w:tc>
          <w:tcPr>
            <w:tcW w:w="2421" w:type="dxa"/>
          </w:tcPr>
          <w:p w14:paraId="64408403" w14:textId="77777777" w:rsidR="0064317A" w:rsidRPr="00182514" w:rsidRDefault="0064317A" w:rsidP="00A663F7">
            <w:pPr>
              <w:pStyle w:val="ExhibitText"/>
              <w:jc w:val="center"/>
              <w:rPr>
                <w:b/>
                <w:sz w:val="18"/>
                <w:lang w:val="en-GB"/>
              </w:rPr>
            </w:pPr>
            <w:r w:rsidRPr="00182514">
              <w:rPr>
                <w:b/>
                <w:sz w:val="18"/>
                <w:lang w:val="en-GB"/>
              </w:rPr>
              <w:t>Average Advertising Cost (CPC)</w:t>
            </w:r>
          </w:p>
        </w:tc>
        <w:tc>
          <w:tcPr>
            <w:tcW w:w="2465" w:type="dxa"/>
          </w:tcPr>
          <w:p w14:paraId="1A155670" w14:textId="77777777" w:rsidR="0064317A" w:rsidRPr="00182514" w:rsidRDefault="0064317A" w:rsidP="00A663F7">
            <w:pPr>
              <w:pStyle w:val="ExhibitText"/>
              <w:jc w:val="center"/>
              <w:rPr>
                <w:b/>
                <w:sz w:val="18"/>
                <w:lang w:val="en-GB"/>
              </w:rPr>
            </w:pPr>
            <w:r w:rsidRPr="00182514">
              <w:rPr>
                <w:b/>
                <w:sz w:val="18"/>
                <w:lang w:val="en-GB"/>
              </w:rPr>
              <w:t>Average Advertising Cost (CPM)</w:t>
            </w:r>
          </w:p>
        </w:tc>
      </w:tr>
      <w:tr w:rsidR="0064317A" w:rsidRPr="00182514" w14:paraId="5920DB7D" w14:textId="77777777" w:rsidTr="00185A30">
        <w:trPr>
          <w:trHeight w:val="243"/>
          <w:tblHeader/>
          <w:jc w:val="center"/>
        </w:trPr>
        <w:tc>
          <w:tcPr>
            <w:tcW w:w="2247" w:type="dxa"/>
          </w:tcPr>
          <w:p w14:paraId="39F6F45D" w14:textId="77777777" w:rsidR="0064317A" w:rsidRPr="00182514" w:rsidRDefault="0064317A" w:rsidP="00A663F7">
            <w:pPr>
              <w:pStyle w:val="ExhibitText"/>
              <w:rPr>
                <w:sz w:val="18"/>
                <w:lang w:val="en-GB"/>
              </w:rPr>
            </w:pPr>
            <w:r w:rsidRPr="00182514">
              <w:rPr>
                <w:sz w:val="18"/>
                <w:lang w:val="en-GB"/>
              </w:rPr>
              <w:t>Facebook</w:t>
            </w:r>
          </w:p>
        </w:tc>
        <w:tc>
          <w:tcPr>
            <w:tcW w:w="2421" w:type="dxa"/>
          </w:tcPr>
          <w:p w14:paraId="52095A71" w14:textId="77777777" w:rsidR="0064317A" w:rsidRPr="00182514" w:rsidRDefault="0064317A" w:rsidP="00FD0A48">
            <w:pPr>
              <w:pStyle w:val="ExhibitText"/>
              <w:ind w:right="165"/>
              <w:jc w:val="right"/>
              <w:rPr>
                <w:sz w:val="18"/>
                <w:lang w:val="en-GB"/>
              </w:rPr>
            </w:pPr>
            <w:r w:rsidRPr="00182514">
              <w:rPr>
                <w:sz w:val="18"/>
                <w:lang w:val="en-GB"/>
              </w:rPr>
              <w:t>$0.97/click</w:t>
            </w:r>
          </w:p>
        </w:tc>
        <w:tc>
          <w:tcPr>
            <w:tcW w:w="2465" w:type="dxa"/>
          </w:tcPr>
          <w:p w14:paraId="4BDF85E7" w14:textId="609C96E4" w:rsidR="0064317A" w:rsidRPr="00182514" w:rsidRDefault="0064317A" w:rsidP="00FD0A48">
            <w:pPr>
              <w:pStyle w:val="ExhibitText"/>
              <w:ind w:right="165"/>
              <w:jc w:val="right"/>
              <w:rPr>
                <w:sz w:val="18"/>
                <w:lang w:val="en-GB"/>
              </w:rPr>
            </w:pPr>
            <w:r w:rsidRPr="00182514">
              <w:rPr>
                <w:sz w:val="18"/>
                <w:lang w:val="en-GB"/>
              </w:rPr>
              <w:t>$7.19/1</w:t>
            </w:r>
            <w:r w:rsidR="00ED0FBF" w:rsidRPr="00182514">
              <w:rPr>
                <w:sz w:val="18"/>
                <w:lang w:val="en-GB"/>
              </w:rPr>
              <w:t>,</w:t>
            </w:r>
            <w:r w:rsidRPr="00182514">
              <w:rPr>
                <w:sz w:val="18"/>
                <w:lang w:val="en-GB"/>
              </w:rPr>
              <w:t>000 impressions</w:t>
            </w:r>
          </w:p>
        </w:tc>
      </w:tr>
      <w:tr w:rsidR="0064317A" w:rsidRPr="00182514" w14:paraId="37309555" w14:textId="77777777" w:rsidTr="00185A30">
        <w:trPr>
          <w:trHeight w:val="243"/>
          <w:tblHeader/>
          <w:jc w:val="center"/>
        </w:trPr>
        <w:tc>
          <w:tcPr>
            <w:tcW w:w="2247" w:type="dxa"/>
          </w:tcPr>
          <w:p w14:paraId="5C912BD1" w14:textId="77777777" w:rsidR="0064317A" w:rsidRPr="00182514" w:rsidRDefault="0064317A" w:rsidP="00A663F7">
            <w:pPr>
              <w:pStyle w:val="ExhibitText"/>
              <w:rPr>
                <w:sz w:val="18"/>
                <w:lang w:val="en-GB"/>
              </w:rPr>
            </w:pPr>
            <w:r w:rsidRPr="00182514">
              <w:rPr>
                <w:sz w:val="18"/>
                <w:lang w:val="en-GB"/>
              </w:rPr>
              <w:t>Instagram</w:t>
            </w:r>
          </w:p>
        </w:tc>
        <w:tc>
          <w:tcPr>
            <w:tcW w:w="2421" w:type="dxa"/>
          </w:tcPr>
          <w:p w14:paraId="484ACFDC" w14:textId="77777777" w:rsidR="0064317A" w:rsidRPr="00182514" w:rsidRDefault="0064317A" w:rsidP="00FD0A48">
            <w:pPr>
              <w:pStyle w:val="ExhibitText"/>
              <w:ind w:right="165"/>
              <w:jc w:val="right"/>
              <w:rPr>
                <w:sz w:val="18"/>
                <w:lang w:val="en-GB"/>
              </w:rPr>
            </w:pPr>
            <w:r w:rsidRPr="00182514">
              <w:rPr>
                <w:sz w:val="18"/>
                <w:lang w:val="en-GB"/>
              </w:rPr>
              <w:t>$3.56/click</w:t>
            </w:r>
          </w:p>
        </w:tc>
        <w:tc>
          <w:tcPr>
            <w:tcW w:w="2465" w:type="dxa"/>
          </w:tcPr>
          <w:p w14:paraId="79150A14" w14:textId="7255A030" w:rsidR="0064317A" w:rsidRPr="00182514" w:rsidRDefault="0064317A" w:rsidP="00FD0A48">
            <w:pPr>
              <w:pStyle w:val="ExhibitText"/>
              <w:ind w:right="165"/>
              <w:jc w:val="right"/>
              <w:rPr>
                <w:sz w:val="18"/>
                <w:lang w:val="en-GB"/>
              </w:rPr>
            </w:pPr>
            <w:r w:rsidRPr="00182514">
              <w:rPr>
                <w:sz w:val="18"/>
                <w:lang w:val="en-GB"/>
              </w:rPr>
              <w:t>$7.91/1</w:t>
            </w:r>
            <w:r w:rsidR="00ED0FBF" w:rsidRPr="00182514">
              <w:rPr>
                <w:sz w:val="18"/>
                <w:lang w:val="en-GB"/>
              </w:rPr>
              <w:t>,</w:t>
            </w:r>
            <w:r w:rsidRPr="00182514">
              <w:rPr>
                <w:sz w:val="18"/>
                <w:lang w:val="en-GB"/>
              </w:rPr>
              <w:t>000 impressions</w:t>
            </w:r>
          </w:p>
        </w:tc>
      </w:tr>
      <w:tr w:rsidR="0064317A" w:rsidRPr="00182514" w14:paraId="3C837018" w14:textId="77777777" w:rsidTr="00185A30">
        <w:trPr>
          <w:trHeight w:val="243"/>
          <w:tblHeader/>
          <w:jc w:val="center"/>
        </w:trPr>
        <w:tc>
          <w:tcPr>
            <w:tcW w:w="2247" w:type="dxa"/>
          </w:tcPr>
          <w:p w14:paraId="5DDD9F4A" w14:textId="77777777" w:rsidR="0064317A" w:rsidRPr="00182514" w:rsidRDefault="0064317A" w:rsidP="00A663F7">
            <w:pPr>
              <w:pStyle w:val="ExhibitText"/>
              <w:rPr>
                <w:sz w:val="18"/>
                <w:lang w:val="en-GB"/>
              </w:rPr>
            </w:pPr>
            <w:r w:rsidRPr="00182514">
              <w:rPr>
                <w:sz w:val="18"/>
                <w:lang w:val="en-GB"/>
              </w:rPr>
              <w:t>YouTube</w:t>
            </w:r>
          </w:p>
        </w:tc>
        <w:tc>
          <w:tcPr>
            <w:tcW w:w="2421" w:type="dxa"/>
          </w:tcPr>
          <w:p w14:paraId="1A34C9AE" w14:textId="77777777" w:rsidR="0064317A" w:rsidRPr="00182514" w:rsidRDefault="0064317A" w:rsidP="00FD0A48">
            <w:pPr>
              <w:pStyle w:val="ExhibitText"/>
              <w:ind w:right="165"/>
              <w:jc w:val="right"/>
              <w:rPr>
                <w:sz w:val="18"/>
                <w:lang w:val="en-GB"/>
              </w:rPr>
            </w:pPr>
            <w:r w:rsidRPr="00182514">
              <w:rPr>
                <w:sz w:val="18"/>
                <w:lang w:val="en-GB"/>
              </w:rPr>
              <w:t>$3.21/click</w:t>
            </w:r>
          </w:p>
        </w:tc>
        <w:tc>
          <w:tcPr>
            <w:tcW w:w="2465" w:type="dxa"/>
          </w:tcPr>
          <w:p w14:paraId="7629CBFC" w14:textId="5051BFD4" w:rsidR="0064317A" w:rsidRPr="00182514" w:rsidRDefault="0064317A" w:rsidP="00FD0A48">
            <w:pPr>
              <w:pStyle w:val="ExhibitText"/>
              <w:ind w:right="165"/>
              <w:jc w:val="right"/>
              <w:rPr>
                <w:sz w:val="18"/>
                <w:lang w:val="en-GB"/>
              </w:rPr>
            </w:pPr>
            <w:r w:rsidRPr="00182514">
              <w:rPr>
                <w:sz w:val="18"/>
                <w:lang w:val="en-GB"/>
              </w:rPr>
              <w:t>$9.68/1</w:t>
            </w:r>
            <w:r w:rsidR="00ED0FBF" w:rsidRPr="00182514">
              <w:rPr>
                <w:sz w:val="18"/>
                <w:lang w:val="en-GB"/>
              </w:rPr>
              <w:t>,</w:t>
            </w:r>
            <w:r w:rsidRPr="00182514">
              <w:rPr>
                <w:sz w:val="18"/>
                <w:lang w:val="en-GB"/>
              </w:rPr>
              <w:t>000 impressions</w:t>
            </w:r>
          </w:p>
        </w:tc>
      </w:tr>
      <w:tr w:rsidR="0064317A" w:rsidRPr="00182514" w14:paraId="3D74730D" w14:textId="77777777" w:rsidTr="00185A30">
        <w:trPr>
          <w:trHeight w:val="233"/>
          <w:tblHeader/>
          <w:jc w:val="center"/>
        </w:trPr>
        <w:tc>
          <w:tcPr>
            <w:tcW w:w="2247" w:type="dxa"/>
          </w:tcPr>
          <w:p w14:paraId="197011C7" w14:textId="77777777" w:rsidR="0064317A" w:rsidRPr="00182514" w:rsidRDefault="0064317A" w:rsidP="00A663F7">
            <w:pPr>
              <w:pStyle w:val="ExhibitText"/>
              <w:rPr>
                <w:sz w:val="18"/>
                <w:lang w:val="en-GB"/>
              </w:rPr>
            </w:pPr>
            <w:r w:rsidRPr="00182514">
              <w:rPr>
                <w:sz w:val="18"/>
                <w:lang w:val="en-GB"/>
              </w:rPr>
              <w:t>LinkedIn</w:t>
            </w:r>
          </w:p>
        </w:tc>
        <w:tc>
          <w:tcPr>
            <w:tcW w:w="2421" w:type="dxa"/>
          </w:tcPr>
          <w:p w14:paraId="7B66B696" w14:textId="77777777" w:rsidR="0064317A" w:rsidRPr="00182514" w:rsidRDefault="0064317A" w:rsidP="00FD0A48">
            <w:pPr>
              <w:pStyle w:val="ExhibitText"/>
              <w:ind w:right="165"/>
              <w:jc w:val="right"/>
              <w:rPr>
                <w:sz w:val="18"/>
                <w:lang w:val="en-GB"/>
              </w:rPr>
            </w:pPr>
            <w:r w:rsidRPr="00182514">
              <w:rPr>
                <w:sz w:val="18"/>
                <w:lang w:val="en-GB"/>
              </w:rPr>
              <w:t>$5.26/click</w:t>
            </w:r>
          </w:p>
        </w:tc>
        <w:tc>
          <w:tcPr>
            <w:tcW w:w="2465" w:type="dxa"/>
          </w:tcPr>
          <w:p w14:paraId="2E779AA5" w14:textId="49645D0E" w:rsidR="0064317A" w:rsidRPr="00182514" w:rsidRDefault="0064317A" w:rsidP="00FD0A48">
            <w:pPr>
              <w:pStyle w:val="ExhibitText"/>
              <w:ind w:right="165"/>
              <w:jc w:val="right"/>
              <w:rPr>
                <w:sz w:val="18"/>
                <w:lang w:val="en-GB"/>
              </w:rPr>
            </w:pPr>
            <w:r w:rsidRPr="00182514">
              <w:rPr>
                <w:sz w:val="18"/>
                <w:lang w:val="en-GB"/>
              </w:rPr>
              <w:t>$6.59/1</w:t>
            </w:r>
            <w:r w:rsidR="00ED0FBF" w:rsidRPr="00182514">
              <w:rPr>
                <w:sz w:val="18"/>
                <w:lang w:val="en-GB"/>
              </w:rPr>
              <w:t>,</w:t>
            </w:r>
            <w:r w:rsidRPr="00182514">
              <w:rPr>
                <w:sz w:val="18"/>
                <w:lang w:val="en-GB"/>
              </w:rPr>
              <w:t>000 impressions</w:t>
            </w:r>
          </w:p>
        </w:tc>
      </w:tr>
      <w:tr w:rsidR="0064317A" w:rsidRPr="00182514" w14:paraId="1236ACBC" w14:textId="77777777" w:rsidTr="00185A30">
        <w:trPr>
          <w:trHeight w:val="243"/>
          <w:tblHeader/>
          <w:jc w:val="center"/>
        </w:trPr>
        <w:tc>
          <w:tcPr>
            <w:tcW w:w="2247" w:type="dxa"/>
          </w:tcPr>
          <w:p w14:paraId="376E7BA9" w14:textId="77777777" w:rsidR="0064317A" w:rsidRPr="00182514" w:rsidRDefault="0064317A" w:rsidP="00A663F7">
            <w:pPr>
              <w:pStyle w:val="ExhibitText"/>
              <w:rPr>
                <w:sz w:val="18"/>
                <w:lang w:val="en-GB"/>
              </w:rPr>
            </w:pPr>
            <w:r w:rsidRPr="00182514">
              <w:rPr>
                <w:sz w:val="18"/>
                <w:lang w:val="en-GB"/>
              </w:rPr>
              <w:t>Twitter</w:t>
            </w:r>
          </w:p>
        </w:tc>
        <w:tc>
          <w:tcPr>
            <w:tcW w:w="2421" w:type="dxa"/>
          </w:tcPr>
          <w:p w14:paraId="248AD63E" w14:textId="77777777" w:rsidR="0064317A" w:rsidRPr="00182514" w:rsidRDefault="0064317A" w:rsidP="00FD0A48">
            <w:pPr>
              <w:pStyle w:val="ExhibitText"/>
              <w:ind w:right="165"/>
              <w:jc w:val="right"/>
              <w:rPr>
                <w:sz w:val="18"/>
                <w:lang w:val="en-GB"/>
              </w:rPr>
            </w:pPr>
            <w:r w:rsidRPr="00182514">
              <w:rPr>
                <w:sz w:val="18"/>
                <w:lang w:val="en-GB"/>
              </w:rPr>
              <w:t>$0.38/click</w:t>
            </w:r>
          </w:p>
        </w:tc>
        <w:tc>
          <w:tcPr>
            <w:tcW w:w="2465" w:type="dxa"/>
          </w:tcPr>
          <w:p w14:paraId="7D49C5D0" w14:textId="2A52D0D5" w:rsidR="0064317A" w:rsidRPr="00182514" w:rsidRDefault="0064317A" w:rsidP="00FD0A48">
            <w:pPr>
              <w:pStyle w:val="ExhibitText"/>
              <w:ind w:right="165"/>
              <w:jc w:val="right"/>
              <w:rPr>
                <w:sz w:val="18"/>
                <w:lang w:val="en-GB"/>
              </w:rPr>
            </w:pPr>
            <w:r w:rsidRPr="00182514">
              <w:rPr>
                <w:sz w:val="18"/>
                <w:lang w:val="en-GB"/>
              </w:rPr>
              <w:t>$6.46/1</w:t>
            </w:r>
            <w:r w:rsidR="00ED0FBF" w:rsidRPr="00182514">
              <w:rPr>
                <w:sz w:val="18"/>
                <w:lang w:val="en-GB"/>
              </w:rPr>
              <w:t>,</w:t>
            </w:r>
            <w:r w:rsidRPr="00182514">
              <w:rPr>
                <w:sz w:val="18"/>
                <w:lang w:val="en-GB"/>
              </w:rPr>
              <w:t>000 impressions</w:t>
            </w:r>
          </w:p>
        </w:tc>
      </w:tr>
      <w:tr w:rsidR="0064317A" w:rsidRPr="00182514" w14:paraId="584F8DF3" w14:textId="77777777" w:rsidTr="00185A30">
        <w:trPr>
          <w:trHeight w:val="243"/>
          <w:tblHeader/>
          <w:jc w:val="center"/>
        </w:trPr>
        <w:tc>
          <w:tcPr>
            <w:tcW w:w="2247" w:type="dxa"/>
          </w:tcPr>
          <w:p w14:paraId="568D58A0" w14:textId="77777777" w:rsidR="0064317A" w:rsidRPr="00182514" w:rsidRDefault="0064317A" w:rsidP="00A663F7">
            <w:pPr>
              <w:pStyle w:val="ExhibitText"/>
              <w:rPr>
                <w:sz w:val="18"/>
                <w:lang w:val="en-GB"/>
              </w:rPr>
            </w:pPr>
            <w:proofErr w:type="spellStart"/>
            <w:r w:rsidRPr="00182514">
              <w:rPr>
                <w:sz w:val="18"/>
                <w:lang w:val="en-GB"/>
              </w:rPr>
              <w:t>TikTok</w:t>
            </w:r>
            <w:proofErr w:type="spellEnd"/>
          </w:p>
        </w:tc>
        <w:tc>
          <w:tcPr>
            <w:tcW w:w="2421" w:type="dxa"/>
          </w:tcPr>
          <w:p w14:paraId="078DD209" w14:textId="77777777" w:rsidR="0064317A" w:rsidRPr="00182514" w:rsidRDefault="0064317A" w:rsidP="00FD0A48">
            <w:pPr>
              <w:pStyle w:val="ExhibitText"/>
              <w:ind w:right="165"/>
              <w:jc w:val="right"/>
              <w:rPr>
                <w:sz w:val="18"/>
                <w:lang w:val="en-GB"/>
              </w:rPr>
            </w:pPr>
            <w:r w:rsidRPr="00182514">
              <w:rPr>
                <w:sz w:val="18"/>
                <w:lang w:val="en-GB"/>
              </w:rPr>
              <w:t>N/A</w:t>
            </w:r>
          </w:p>
        </w:tc>
        <w:tc>
          <w:tcPr>
            <w:tcW w:w="2465" w:type="dxa"/>
          </w:tcPr>
          <w:p w14:paraId="66BF69ED" w14:textId="462240B0" w:rsidR="0064317A" w:rsidRPr="00182514" w:rsidRDefault="0064317A" w:rsidP="00FD0A48">
            <w:pPr>
              <w:pStyle w:val="ExhibitText"/>
              <w:ind w:right="165"/>
              <w:jc w:val="right"/>
              <w:rPr>
                <w:sz w:val="18"/>
                <w:lang w:val="en-GB"/>
              </w:rPr>
            </w:pPr>
            <w:r w:rsidRPr="00182514">
              <w:rPr>
                <w:sz w:val="18"/>
                <w:lang w:val="en-GB"/>
              </w:rPr>
              <w:t>$10.00/1</w:t>
            </w:r>
            <w:r w:rsidR="00ED0FBF" w:rsidRPr="00182514">
              <w:rPr>
                <w:sz w:val="18"/>
                <w:lang w:val="en-GB"/>
              </w:rPr>
              <w:t>,</w:t>
            </w:r>
            <w:r w:rsidRPr="00182514">
              <w:rPr>
                <w:sz w:val="18"/>
                <w:lang w:val="en-GB"/>
              </w:rPr>
              <w:t>000 impressions</w:t>
            </w:r>
          </w:p>
        </w:tc>
      </w:tr>
    </w:tbl>
    <w:p w14:paraId="71AE98BC" w14:textId="77777777" w:rsidR="00A663F7" w:rsidRPr="00182514" w:rsidRDefault="00A663F7" w:rsidP="00F51826">
      <w:pPr>
        <w:pStyle w:val="Footnote"/>
        <w:rPr>
          <w:sz w:val="14"/>
          <w:lang w:val="en-GB"/>
        </w:rPr>
      </w:pPr>
    </w:p>
    <w:p w14:paraId="651E77CD" w14:textId="6B39187B" w:rsidR="00ED0FBF" w:rsidRPr="00182514" w:rsidRDefault="00ED0FBF" w:rsidP="00A663F7">
      <w:pPr>
        <w:pStyle w:val="Footnote"/>
        <w:rPr>
          <w:lang w:val="en-GB"/>
        </w:rPr>
      </w:pPr>
      <w:r w:rsidRPr="00182514">
        <w:rPr>
          <w:lang w:val="en-GB"/>
        </w:rPr>
        <w:t>Notes: CPC = cost per click; CPM = cost per thousand</w:t>
      </w:r>
      <w:r w:rsidR="00B4030D">
        <w:rPr>
          <w:lang w:val="en-GB"/>
        </w:rPr>
        <w:t xml:space="preserve"> impressions</w:t>
      </w:r>
      <w:r w:rsidRPr="00182514">
        <w:rPr>
          <w:lang w:val="en-GB"/>
        </w:rPr>
        <w:t xml:space="preserve"> </w:t>
      </w:r>
    </w:p>
    <w:p w14:paraId="7F058FD8" w14:textId="2540B42B" w:rsidR="0064317A" w:rsidRPr="00182514" w:rsidRDefault="0064317A" w:rsidP="00A663F7">
      <w:pPr>
        <w:pStyle w:val="Footnote"/>
        <w:rPr>
          <w:sz w:val="18"/>
          <w:lang w:val="en-GB"/>
        </w:rPr>
      </w:pPr>
      <w:r w:rsidRPr="00182514">
        <w:rPr>
          <w:lang w:val="en-GB"/>
        </w:rPr>
        <w:t xml:space="preserve">Source: </w:t>
      </w:r>
      <w:r w:rsidR="00ED0FBF" w:rsidRPr="00FD0A48">
        <w:rPr>
          <w:lang w:val="en-GB"/>
        </w:rPr>
        <w:t xml:space="preserve">Compiled by </w:t>
      </w:r>
      <w:r w:rsidR="00C852FD">
        <w:rPr>
          <w:lang w:val="en-GB"/>
        </w:rPr>
        <w:t xml:space="preserve">the </w:t>
      </w:r>
      <w:r w:rsidR="00ED0FBF" w:rsidRPr="00FD0A48">
        <w:rPr>
          <w:lang w:val="en-GB"/>
        </w:rPr>
        <w:t xml:space="preserve">case author based on data from </w:t>
      </w:r>
      <w:proofErr w:type="spellStart"/>
      <w:r w:rsidRPr="00182514">
        <w:rPr>
          <w:lang w:val="en-GB"/>
        </w:rPr>
        <w:t>WebFX</w:t>
      </w:r>
      <w:proofErr w:type="spellEnd"/>
      <w:r w:rsidRPr="00182514">
        <w:rPr>
          <w:lang w:val="en-GB"/>
        </w:rPr>
        <w:t xml:space="preserve">, “Social Media Advertising Costs by Platform,” </w:t>
      </w:r>
      <w:proofErr w:type="spellStart"/>
      <w:r w:rsidRPr="00182514">
        <w:rPr>
          <w:lang w:val="en-GB"/>
        </w:rPr>
        <w:t>W</w:t>
      </w:r>
      <w:r w:rsidRPr="00FD0A48">
        <w:rPr>
          <w:lang w:val="en-GB"/>
        </w:rPr>
        <w:t>ebFX</w:t>
      </w:r>
      <w:proofErr w:type="spellEnd"/>
      <w:r w:rsidR="00ED0FBF" w:rsidRPr="00182514">
        <w:rPr>
          <w:lang w:val="en-GB"/>
        </w:rPr>
        <w:t xml:space="preserve">, </w:t>
      </w:r>
      <w:r w:rsidRPr="00182514">
        <w:rPr>
          <w:lang w:val="en-GB"/>
        </w:rPr>
        <w:t xml:space="preserve">accessed June 2, 2020, www.webfx.com/how-much-does-social-media-advertising-cost.html#average-advertising-cpc; Influencer Marketing Hub, “How </w:t>
      </w:r>
      <w:r w:rsidR="00ED0FBF" w:rsidRPr="00182514">
        <w:rPr>
          <w:lang w:val="en-GB"/>
        </w:rPr>
        <w:t xml:space="preserve">Much Do </w:t>
      </w:r>
      <w:proofErr w:type="spellStart"/>
      <w:r w:rsidRPr="00182514">
        <w:rPr>
          <w:lang w:val="en-GB"/>
        </w:rPr>
        <w:t>TikTok</w:t>
      </w:r>
      <w:proofErr w:type="spellEnd"/>
      <w:r w:rsidRPr="00182514">
        <w:rPr>
          <w:lang w:val="en-GB"/>
        </w:rPr>
        <w:t xml:space="preserve"> Ads Cost?</w:t>
      </w:r>
      <w:r w:rsidR="00ED0FBF" w:rsidRPr="00182514">
        <w:rPr>
          <w:lang w:val="en-GB"/>
        </w:rPr>
        <w:t>,</w:t>
      </w:r>
      <w:r w:rsidRPr="00182514">
        <w:rPr>
          <w:lang w:val="en-GB"/>
        </w:rPr>
        <w:t xml:space="preserve">” </w:t>
      </w:r>
      <w:r w:rsidRPr="00FD0A48">
        <w:rPr>
          <w:lang w:val="en-GB"/>
        </w:rPr>
        <w:t>Influencer Marketing Hub</w:t>
      </w:r>
      <w:r w:rsidR="00ED0FBF" w:rsidRPr="00182514">
        <w:rPr>
          <w:lang w:val="en-GB"/>
        </w:rPr>
        <w:t>,</w:t>
      </w:r>
      <w:r w:rsidR="00ED0FBF" w:rsidRPr="00182514">
        <w:rPr>
          <w:i/>
          <w:lang w:val="en-GB"/>
        </w:rPr>
        <w:t xml:space="preserve"> </w:t>
      </w:r>
      <w:r w:rsidRPr="00182514">
        <w:rPr>
          <w:lang w:val="en-GB"/>
        </w:rPr>
        <w:t>accessed June 2, 2020, https://influencermarketinghub.com/how-much-do-tiktok-ads-cost/.</w:t>
      </w:r>
    </w:p>
    <w:p w14:paraId="136C593E" w14:textId="1831A708" w:rsidR="00F51826" w:rsidRPr="00182514" w:rsidRDefault="00F51826" w:rsidP="00F51826">
      <w:pPr>
        <w:pStyle w:val="Footnote"/>
        <w:rPr>
          <w:sz w:val="14"/>
          <w:lang w:val="en-GB"/>
        </w:rPr>
      </w:pPr>
    </w:p>
    <w:p w14:paraId="43E1AD8E" w14:textId="77777777" w:rsidR="00F51826" w:rsidRPr="00182514" w:rsidRDefault="00F51826" w:rsidP="00F51826">
      <w:pPr>
        <w:pStyle w:val="Footnote"/>
        <w:rPr>
          <w:sz w:val="14"/>
          <w:lang w:val="en-GB"/>
        </w:rPr>
      </w:pPr>
    </w:p>
    <w:p w14:paraId="3EA85818" w14:textId="668E6A1B" w:rsidR="0064317A" w:rsidRPr="00182514" w:rsidRDefault="0064317A" w:rsidP="00FD0A48">
      <w:pPr>
        <w:pStyle w:val="ExhibitHeading"/>
        <w:keepNext/>
        <w:keepLines/>
        <w:rPr>
          <w:lang w:val="en-GB"/>
        </w:rPr>
      </w:pPr>
      <w:r w:rsidRPr="00182514">
        <w:rPr>
          <w:lang w:val="en-GB"/>
        </w:rPr>
        <w:lastRenderedPageBreak/>
        <w:t>EXHIBIT 7: UNIQUE USERS ACROSS SOCIAL MEDIA</w:t>
      </w:r>
      <w:r w:rsidR="00ED0FBF" w:rsidRPr="00182514">
        <w:rPr>
          <w:lang w:val="en-GB"/>
        </w:rPr>
        <w:t xml:space="preserve"> platforms</w:t>
      </w:r>
    </w:p>
    <w:p w14:paraId="0EA286A0" w14:textId="77777777" w:rsidR="00A663F7" w:rsidRPr="00182514" w:rsidRDefault="00A663F7" w:rsidP="00FD0A48">
      <w:pPr>
        <w:pStyle w:val="Footnote"/>
        <w:keepNext/>
        <w:keepLines/>
        <w:rPr>
          <w:sz w:val="14"/>
          <w:lang w:val="en-GB"/>
        </w:rPr>
      </w:pPr>
    </w:p>
    <w:tbl>
      <w:tblPr>
        <w:tblStyle w:val="TableGrid"/>
        <w:tblW w:w="921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Caption w:val="Exhibit 7"/>
        <w:tblDescription w:val="Unique users across social media platforms"/>
      </w:tblPr>
      <w:tblGrid>
        <w:gridCol w:w="2667"/>
        <w:gridCol w:w="2364"/>
        <w:gridCol w:w="2084"/>
        <w:gridCol w:w="2095"/>
      </w:tblGrid>
      <w:tr w:rsidR="0064317A" w:rsidRPr="00182514" w14:paraId="214E91A5" w14:textId="77777777" w:rsidTr="00185A30">
        <w:trPr>
          <w:trHeight w:val="285"/>
          <w:tblHeader/>
          <w:jc w:val="center"/>
        </w:trPr>
        <w:tc>
          <w:tcPr>
            <w:tcW w:w="2667" w:type="dxa"/>
          </w:tcPr>
          <w:p w14:paraId="5B486FE0" w14:textId="77777777" w:rsidR="0064317A" w:rsidRPr="00182514" w:rsidRDefault="0064317A" w:rsidP="00FD0A48">
            <w:pPr>
              <w:pStyle w:val="ExhibitText"/>
              <w:keepNext/>
              <w:keepLines/>
              <w:jc w:val="center"/>
              <w:rPr>
                <w:b/>
                <w:sz w:val="18"/>
                <w:lang w:val="en-GB"/>
              </w:rPr>
            </w:pPr>
            <w:r w:rsidRPr="00182514">
              <w:rPr>
                <w:b/>
                <w:sz w:val="18"/>
                <w:lang w:val="en-GB"/>
              </w:rPr>
              <w:t>Social Media Platform</w:t>
            </w:r>
          </w:p>
        </w:tc>
        <w:tc>
          <w:tcPr>
            <w:tcW w:w="2364" w:type="dxa"/>
          </w:tcPr>
          <w:p w14:paraId="04F8D871" w14:textId="77777777" w:rsidR="0064317A" w:rsidRPr="00182514" w:rsidRDefault="0064317A" w:rsidP="00FD0A48">
            <w:pPr>
              <w:pStyle w:val="ExhibitText"/>
              <w:keepNext/>
              <w:keepLines/>
              <w:jc w:val="center"/>
              <w:rPr>
                <w:b/>
                <w:sz w:val="18"/>
                <w:lang w:val="en-GB"/>
              </w:rPr>
            </w:pPr>
            <w:r w:rsidRPr="00182514">
              <w:rPr>
                <w:b/>
                <w:sz w:val="18"/>
                <w:lang w:val="en-GB"/>
              </w:rPr>
              <w:t>Unique Users (CAN)</w:t>
            </w:r>
          </w:p>
        </w:tc>
        <w:tc>
          <w:tcPr>
            <w:tcW w:w="2084" w:type="dxa"/>
          </w:tcPr>
          <w:p w14:paraId="59942863" w14:textId="77777777" w:rsidR="0064317A" w:rsidRPr="00182514" w:rsidRDefault="0064317A" w:rsidP="00FD0A48">
            <w:pPr>
              <w:pStyle w:val="ExhibitText"/>
              <w:keepNext/>
              <w:keepLines/>
              <w:jc w:val="center"/>
              <w:rPr>
                <w:b/>
                <w:sz w:val="18"/>
                <w:lang w:val="en-GB"/>
              </w:rPr>
            </w:pPr>
            <w:r w:rsidRPr="00182514">
              <w:rPr>
                <w:b/>
                <w:sz w:val="18"/>
                <w:lang w:val="en-GB"/>
              </w:rPr>
              <w:t>Unique Users (US)</w:t>
            </w:r>
          </w:p>
        </w:tc>
        <w:tc>
          <w:tcPr>
            <w:tcW w:w="2095" w:type="dxa"/>
          </w:tcPr>
          <w:p w14:paraId="23DE46CB" w14:textId="77777777" w:rsidR="0064317A" w:rsidRPr="00182514" w:rsidRDefault="0064317A" w:rsidP="00FD0A48">
            <w:pPr>
              <w:pStyle w:val="ExhibitText"/>
              <w:keepNext/>
              <w:keepLines/>
              <w:jc w:val="center"/>
              <w:rPr>
                <w:b/>
                <w:sz w:val="18"/>
                <w:lang w:val="en-GB"/>
              </w:rPr>
            </w:pPr>
            <w:r w:rsidRPr="00182514">
              <w:rPr>
                <w:b/>
                <w:sz w:val="18"/>
                <w:lang w:val="en-GB"/>
              </w:rPr>
              <w:t>Unique Users (UK)</w:t>
            </w:r>
          </w:p>
        </w:tc>
      </w:tr>
      <w:tr w:rsidR="0064317A" w:rsidRPr="00182514" w14:paraId="0819FA42" w14:textId="77777777" w:rsidTr="00185A30">
        <w:trPr>
          <w:trHeight w:val="225"/>
          <w:tblHeader/>
          <w:jc w:val="center"/>
        </w:trPr>
        <w:tc>
          <w:tcPr>
            <w:tcW w:w="2667" w:type="dxa"/>
          </w:tcPr>
          <w:p w14:paraId="5E362DBF" w14:textId="77777777" w:rsidR="0064317A" w:rsidRPr="00182514" w:rsidRDefault="0064317A" w:rsidP="00FD0A48">
            <w:pPr>
              <w:pStyle w:val="ExhibitText"/>
              <w:keepNext/>
              <w:keepLines/>
              <w:rPr>
                <w:sz w:val="18"/>
                <w:lang w:val="en-GB"/>
              </w:rPr>
            </w:pPr>
            <w:r w:rsidRPr="00182514">
              <w:rPr>
                <w:sz w:val="18"/>
                <w:lang w:val="en-GB"/>
              </w:rPr>
              <w:t>Facebook</w:t>
            </w:r>
          </w:p>
        </w:tc>
        <w:tc>
          <w:tcPr>
            <w:tcW w:w="2364" w:type="dxa"/>
          </w:tcPr>
          <w:p w14:paraId="5F85EB2D" w14:textId="5C9B869A" w:rsidR="0064317A" w:rsidRPr="00182514" w:rsidRDefault="00ED0FBF" w:rsidP="00FD0A48">
            <w:pPr>
              <w:pStyle w:val="ExhibitText"/>
              <w:keepNext/>
              <w:keepLines/>
              <w:tabs>
                <w:tab w:val="left" w:pos="1337"/>
              </w:tabs>
              <w:jc w:val="right"/>
              <w:rPr>
                <w:sz w:val="18"/>
                <w:lang w:val="en-GB"/>
              </w:rPr>
            </w:pPr>
            <w:r w:rsidRPr="00182514">
              <w:rPr>
                <w:sz w:val="18"/>
                <w:lang w:val="en-GB"/>
              </w:rPr>
              <w:t>23.8</w:t>
            </w:r>
            <w:r w:rsidR="00B337BC" w:rsidRPr="00182514">
              <w:rPr>
                <w:sz w:val="18"/>
                <w:lang w:val="en-GB"/>
              </w:rPr>
              <w:t>0</w:t>
            </w:r>
            <w:r w:rsidRPr="00182514">
              <w:rPr>
                <w:sz w:val="18"/>
                <w:lang w:val="en-GB"/>
              </w:rPr>
              <w:t xml:space="preserve"> million</w:t>
            </w:r>
          </w:p>
        </w:tc>
        <w:tc>
          <w:tcPr>
            <w:tcW w:w="2084" w:type="dxa"/>
          </w:tcPr>
          <w:p w14:paraId="2F9C01AE" w14:textId="342FCC9E" w:rsidR="0064317A" w:rsidRPr="00182514" w:rsidRDefault="00ED0FBF" w:rsidP="00FD0A48">
            <w:pPr>
              <w:pStyle w:val="ExhibitText"/>
              <w:keepNext/>
              <w:keepLines/>
              <w:jc w:val="right"/>
              <w:rPr>
                <w:sz w:val="18"/>
                <w:lang w:val="en-GB"/>
              </w:rPr>
            </w:pPr>
            <w:r w:rsidRPr="00182514">
              <w:rPr>
                <w:sz w:val="18"/>
                <w:lang w:val="en-GB"/>
              </w:rPr>
              <w:t>190.0 million</w:t>
            </w:r>
          </w:p>
        </w:tc>
        <w:tc>
          <w:tcPr>
            <w:tcW w:w="2095" w:type="dxa"/>
          </w:tcPr>
          <w:p w14:paraId="0EF92C02" w14:textId="5B5CE343" w:rsidR="0064317A" w:rsidRPr="00182514" w:rsidRDefault="00ED0FBF" w:rsidP="00FD0A48">
            <w:pPr>
              <w:pStyle w:val="ExhibitText"/>
              <w:keepNext/>
              <w:keepLines/>
              <w:jc w:val="right"/>
              <w:rPr>
                <w:sz w:val="18"/>
                <w:lang w:val="en-GB"/>
              </w:rPr>
            </w:pPr>
            <w:r w:rsidRPr="00182514">
              <w:rPr>
                <w:sz w:val="18"/>
                <w:lang w:val="en-GB"/>
              </w:rPr>
              <w:t>37.0 million</w:t>
            </w:r>
          </w:p>
        </w:tc>
      </w:tr>
      <w:tr w:rsidR="0064317A" w:rsidRPr="00182514" w14:paraId="3795D594" w14:textId="77777777" w:rsidTr="00185A30">
        <w:trPr>
          <w:trHeight w:val="213"/>
          <w:tblHeader/>
          <w:jc w:val="center"/>
        </w:trPr>
        <w:tc>
          <w:tcPr>
            <w:tcW w:w="2667" w:type="dxa"/>
          </w:tcPr>
          <w:p w14:paraId="67A26BEC" w14:textId="77777777" w:rsidR="0064317A" w:rsidRPr="00182514" w:rsidRDefault="0064317A" w:rsidP="00FD0A48">
            <w:pPr>
              <w:pStyle w:val="ExhibitText"/>
              <w:keepNext/>
              <w:keepLines/>
              <w:rPr>
                <w:sz w:val="18"/>
                <w:lang w:val="en-GB"/>
              </w:rPr>
            </w:pPr>
            <w:r w:rsidRPr="00182514">
              <w:rPr>
                <w:sz w:val="18"/>
                <w:lang w:val="en-GB"/>
              </w:rPr>
              <w:t>Instagram</w:t>
            </w:r>
          </w:p>
        </w:tc>
        <w:tc>
          <w:tcPr>
            <w:tcW w:w="2364" w:type="dxa"/>
          </w:tcPr>
          <w:p w14:paraId="5D13348B" w14:textId="3EDA6D2F" w:rsidR="0064317A" w:rsidRPr="00182514" w:rsidRDefault="00ED0FBF" w:rsidP="00FD0A48">
            <w:pPr>
              <w:pStyle w:val="ExhibitText"/>
              <w:keepNext/>
              <w:keepLines/>
              <w:jc w:val="right"/>
              <w:rPr>
                <w:sz w:val="18"/>
                <w:lang w:val="en-GB"/>
              </w:rPr>
            </w:pPr>
            <w:r w:rsidRPr="00182514">
              <w:rPr>
                <w:sz w:val="18"/>
                <w:lang w:val="en-GB"/>
              </w:rPr>
              <w:t>13.0</w:t>
            </w:r>
            <w:r w:rsidR="00B337BC" w:rsidRPr="00182514">
              <w:rPr>
                <w:sz w:val="18"/>
                <w:lang w:val="en-GB"/>
              </w:rPr>
              <w:t>0</w:t>
            </w:r>
            <w:r w:rsidRPr="00182514">
              <w:rPr>
                <w:sz w:val="18"/>
                <w:lang w:val="en-GB"/>
              </w:rPr>
              <w:t xml:space="preserve"> million</w:t>
            </w:r>
          </w:p>
        </w:tc>
        <w:tc>
          <w:tcPr>
            <w:tcW w:w="2084" w:type="dxa"/>
          </w:tcPr>
          <w:p w14:paraId="44D3A358" w14:textId="11EE378F" w:rsidR="0064317A" w:rsidRPr="00182514" w:rsidRDefault="00ED0FBF" w:rsidP="00FD0A48">
            <w:pPr>
              <w:pStyle w:val="ExhibitText"/>
              <w:keepNext/>
              <w:keepLines/>
              <w:jc w:val="right"/>
              <w:rPr>
                <w:sz w:val="18"/>
                <w:lang w:val="en-GB"/>
              </w:rPr>
            </w:pPr>
            <w:r w:rsidRPr="00182514">
              <w:rPr>
                <w:sz w:val="18"/>
                <w:lang w:val="en-GB"/>
              </w:rPr>
              <w:t>120.0 million</w:t>
            </w:r>
          </w:p>
        </w:tc>
        <w:tc>
          <w:tcPr>
            <w:tcW w:w="2095" w:type="dxa"/>
          </w:tcPr>
          <w:p w14:paraId="062E4190" w14:textId="356D1C63" w:rsidR="0064317A" w:rsidRPr="00182514" w:rsidRDefault="00ED0FBF" w:rsidP="00FD0A48">
            <w:pPr>
              <w:pStyle w:val="ExhibitText"/>
              <w:keepNext/>
              <w:keepLines/>
              <w:jc w:val="right"/>
              <w:rPr>
                <w:sz w:val="18"/>
                <w:lang w:val="en-GB"/>
              </w:rPr>
            </w:pPr>
            <w:r w:rsidRPr="00182514">
              <w:rPr>
                <w:sz w:val="18"/>
                <w:lang w:val="en-GB"/>
              </w:rPr>
              <w:t>25.4 million</w:t>
            </w:r>
          </w:p>
        </w:tc>
      </w:tr>
      <w:tr w:rsidR="0064317A" w:rsidRPr="00182514" w14:paraId="495A0E01" w14:textId="77777777" w:rsidTr="00185A30">
        <w:trPr>
          <w:trHeight w:val="213"/>
          <w:tblHeader/>
          <w:jc w:val="center"/>
        </w:trPr>
        <w:tc>
          <w:tcPr>
            <w:tcW w:w="2667" w:type="dxa"/>
          </w:tcPr>
          <w:p w14:paraId="0A2F6550" w14:textId="77777777" w:rsidR="0064317A" w:rsidRPr="00182514" w:rsidRDefault="0064317A" w:rsidP="00FD0A48">
            <w:pPr>
              <w:pStyle w:val="ExhibitText"/>
              <w:keepNext/>
              <w:keepLines/>
              <w:rPr>
                <w:sz w:val="18"/>
                <w:lang w:val="en-GB"/>
              </w:rPr>
            </w:pPr>
            <w:r w:rsidRPr="00182514">
              <w:rPr>
                <w:sz w:val="18"/>
                <w:lang w:val="en-GB"/>
              </w:rPr>
              <w:t>YouTube</w:t>
            </w:r>
          </w:p>
        </w:tc>
        <w:tc>
          <w:tcPr>
            <w:tcW w:w="2364" w:type="dxa"/>
          </w:tcPr>
          <w:p w14:paraId="574E59AB" w14:textId="2C25BD43" w:rsidR="0064317A" w:rsidRPr="00182514" w:rsidRDefault="00ED0FBF" w:rsidP="00FD0A48">
            <w:pPr>
              <w:pStyle w:val="ExhibitText"/>
              <w:keepNext/>
              <w:keepLines/>
              <w:jc w:val="right"/>
              <w:rPr>
                <w:sz w:val="18"/>
                <w:lang w:val="en-GB"/>
              </w:rPr>
            </w:pPr>
            <w:r w:rsidRPr="00182514">
              <w:rPr>
                <w:sz w:val="18"/>
                <w:lang w:val="en-GB"/>
              </w:rPr>
              <w:t>17.6</w:t>
            </w:r>
            <w:r w:rsidR="00B337BC" w:rsidRPr="00182514">
              <w:rPr>
                <w:sz w:val="18"/>
                <w:lang w:val="en-GB"/>
              </w:rPr>
              <w:t>0</w:t>
            </w:r>
            <w:r w:rsidRPr="00182514">
              <w:rPr>
                <w:sz w:val="18"/>
                <w:lang w:val="en-GB"/>
              </w:rPr>
              <w:t xml:space="preserve"> million</w:t>
            </w:r>
          </w:p>
        </w:tc>
        <w:tc>
          <w:tcPr>
            <w:tcW w:w="2084" w:type="dxa"/>
          </w:tcPr>
          <w:p w14:paraId="73D2EA62" w14:textId="32B8998F" w:rsidR="0064317A" w:rsidRPr="00182514" w:rsidRDefault="00ED0FBF" w:rsidP="00FD0A48">
            <w:pPr>
              <w:pStyle w:val="ExhibitText"/>
              <w:keepNext/>
              <w:keepLines/>
              <w:jc w:val="right"/>
              <w:rPr>
                <w:sz w:val="18"/>
                <w:lang w:val="en-GB"/>
              </w:rPr>
            </w:pPr>
            <w:r w:rsidRPr="00182514">
              <w:rPr>
                <w:sz w:val="18"/>
                <w:lang w:val="en-GB"/>
              </w:rPr>
              <w:t>167.4 million</w:t>
            </w:r>
          </w:p>
        </w:tc>
        <w:tc>
          <w:tcPr>
            <w:tcW w:w="2095" w:type="dxa"/>
          </w:tcPr>
          <w:p w14:paraId="7D7695B4" w14:textId="4CFD465C" w:rsidR="0064317A" w:rsidRPr="00182514" w:rsidRDefault="00ED0FBF" w:rsidP="00FD0A48">
            <w:pPr>
              <w:pStyle w:val="ExhibitText"/>
              <w:keepNext/>
              <w:keepLines/>
              <w:jc w:val="right"/>
              <w:rPr>
                <w:sz w:val="18"/>
                <w:lang w:val="en-GB"/>
              </w:rPr>
            </w:pPr>
            <w:r w:rsidRPr="00182514">
              <w:rPr>
                <w:sz w:val="18"/>
                <w:lang w:val="en-GB"/>
              </w:rPr>
              <w:t>53.3 million</w:t>
            </w:r>
          </w:p>
        </w:tc>
      </w:tr>
      <w:tr w:rsidR="0064317A" w:rsidRPr="00182514" w14:paraId="202322D0" w14:textId="77777777" w:rsidTr="00185A30">
        <w:trPr>
          <w:trHeight w:val="225"/>
          <w:tblHeader/>
          <w:jc w:val="center"/>
        </w:trPr>
        <w:tc>
          <w:tcPr>
            <w:tcW w:w="2667" w:type="dxa"/>
          </w:tcPr>
          <w:p w14:paraId="1ED820B2" w14:textId="77777777" w:rsidR="0064317A" w:rsidRPr="00182514" w:rsidRDefault="0064317A" w:rsidP="00FD0A48">
            <w:pPr>
              <w:pStyle w:val="ExhibitText"/>
              <w:keepNext/>
              <w:keepLines/>
              <w:rPr>
                <w:sz w:val="18"/>
                <w:lang w:val="en-GB"/>
              </w:rPr>
            </w:pPr>
            <w:r w:rsidRPr="00182514">
              <w:rPr>
                <w:sz w:val="18"/>
                <w:lang w:val="en-GB"/>
              </w:rPr>
              <w:t>LinkedIn</w:t>
            </w:r>
          </w:p>
        </w:tc>
        <w:tc>
          <w:tcPr>
            <w:tcW w:w="2364" w:type="dxa"/>
          </w:tcPr>
          <w:p w14:paraId="646B0874" w14:textId="10F89982" w:rsidR="0064317A" w:rsidRPr="00182514" w:rsidRDefault="00ED0FBF" w:rsidP="00FD0A48">
            <w:pPr>
              <w:pStyle w:val="ExhibitText"/>
              <w:keepNext/>
              <w:keepLines/>
              <w:jc w:val="right"/>
              <w:rPr>
                <w:sz w:val="18"/>
                <w:lang w:val="en-GB"/>
              </w:rPr>
            </w:pPr>
            <w:r w:rsidRPr="00182514">
              <w:rPr>
                <w:sz w:val="18"/>
                <w:lang w:val="en-GB"/>
              </w:rPr>
              <w:t>17.0</w:t>
            </w:r>
            <w:r w:rsidR="00B337BC" w:rsidRPr="00182514">
              <w:rPr>
                <w:sz w:val="18"/>
                <w:lang w:val="en-GB"/>
              </w:rPr>
              <w:t>0</w:t>
            </w:r>
            <w:r w:rsidRPr="00182514">
              <w:rPr>
                <w:sz w:val="18"/>
                <w:lang w:val="en-GB"/>
              </w:rPr>
              <w:t xml:space="preserve"> million</w:t>
            </w:r>
          </w:p>
        </w:tc>
        <w:tc>
          <w:tcPr>
            <w:tcW w:w="2084" w:type="dxa"/>
          </w:tcPr>
          <w:p w14:paraId="79304864" w14:textId="79B2AAC1" w:rsidR="0064317A" w:rsidRPr="00182514" w:rsidRDefault="00ED0FBF" w:rsidP="00FD0A48">
            <w:pPr>
              <w:pStyle w:val="ExhibitText"/>
              <w:keepNext/>
              <w:keepLines/>
              <w:jc w:val="right"/>
              <w:rPr>
                <w:sz w:val="18"/>
                <w:lang w:val="en-GB"/>
              </w:rPr>
            </w:pPr>
            <w:r w:rsidRPr="00182514">
              <w:rPr>
                <w:sz w:val="18"/>
                <w:lang w:val="en-GB"/>
              </w:rPr>
              <w:t>169.0 million</w:t>
            </w:r>
          </w:p>
        </w:tc>
        <w:tc>
          <w:tcPr>
            <w:tcW w:w="2095" w:type="dxa"/>
          </w:tcPr>
          <w:p w14:paraId="4C562701" w14:textId="7BC67AF2" w:rsidR="0064317A" w:rsidRPr="00182514" w:rsidRDefault="00ED0FBF" w:rsidP="00FD0A48">
            <w:pPr>
              <w:pStyle w:val="ExhibitText"/>
              <w:keepNext/>
              <w:keepLines/>
              <w:jc w:val="right"/>
              <w:rPr>
                <w:sz w:val="18"/>
                <w:lang w:val="en-GB"/>
              </w:rPr>
            </w:pPr>
            <w:r w:rsidRPr="00182514">
              <w:rPr>
                <w:sz w:val="18"/>
                <w:lang w:val="en-GB"/>
              </w:rPr>
              <w:t>28.0 million</w:t>
            </w:r>
          </w:p>
        </w:tc>
      </w:tr>
      <w:tr w:rsidR="0064317A" w:rsidRPr="00182514" w14:paraId="44864884" w14:textId="77777777" w:rsidTr="00185A30">
        <w:trPr>
          <w:trHeight w:val="213"/>
          <w:tblHeader/>
          <w:jc w:val="center"/>
        </w:trPr>
        <w:tc>
          <w:tcPr>
            <w:tcW w:w="2667" w:type="dxa"/>
          </w:tcPr>
          <w:p w14:paraId="7EFB4A0B" w14:textId="77777777" w:rsidR="0064317A" w:rsidRPr="00182514" w:rsidRDefault="0064317A" w:rsidP="00FD0A48">
            <w:pPr>
              <w:pStyle w:val="ExhibitText"/>
              <w:keepNext/>
              <w:keepLines/>
              <w:rPr>
                <w:sz w:val="18"/>
                <w:lang w:val="en-GB"/>
              </w:rPr>
            </w:pPr>
            <w:r w:rsidRPr="00182514">
              <w:rPr>
                <w:sz w:val="18"/>
                <w:lang w:val="en-GB"/>
              </w:rPr>
              <w:t>Twitter</w:t>
            </w:r>
          </w:p>
        </w:tc>
        <w:tc>
          <w:tcPr>
            <w:tcW w:w="2364" w:type="dxa"/>
          </w:tcPr>
          <w:p w14:paraId="095488F4" w14:textId="0A8C1C57" w:rsidR="0064317A" w:rsidRPr="00182514" w:rsidRDefault="00ED0FBF" w:rsidP="00FD0A48">
            <w:pPr>
              <w:pStyle w:val="ExhibitText"/>
              <w:keepNext/>
              <w:keepLines/>
              <w:jc w:val="right"/>
              <w:rPr>
                <w:sz w:val="18"/>
                <w:lang w:val="en-GB"/>
              </w:rPr>
            </w:pPr>
            <w:r w:rsidRPr="00182514">
              <w:rPr>
                <w:sz w:val="18"/>
                <w:lang w:val="en-GB"/>
              </w:rPr>
              <w:t>8.15 million</w:t>
            </w:r>
          </w:p>
        </w:tc>
        <w:tc>
          <w:tcPr>
            <w:tcW w:w="2084" w:type="dxa"/>
          </w:tcPr>
          <w:p w14:paraId="0B169CFC" w14:textId="613CC6C6" w:rsidR="0064317A" w:rsidRPr="00182514" w:rsidRDefault="00ED0FBF" w:rsidP="00FD0A48">
            <w:pPr>
              <w:pStyle w:val="ExhibitText"/>
              <w:keepNext/>
              <w:keepLines/>
              <w:jc w:val="right"/>
              <w:rPr>
                <w:sz w:val="18"/>
                <w:lang w:val="en-GB"/>
              </w:rPr>
            </w:pPr>
            <w:r w:rsidRPr="00182514">
              <w:rPr>
                <w:sz w:val="18"/>
                <w:lang w:val="en-GB"/>
              </w:rPr>
              <w:t>64.2 million</w:t>
            </w:r>
          </w:p>
        </w:tc>
        <w:tc>
          <w:tcPr>
            <w:tcW w:w="2095" w:type="dxa"/>
          </w:tcPr>
          <w:p w14:paraId="7D9126B1" w14:textId="3E36D096" w:rsidR="0064317A" w:rsidRPr="00182514" w:rsidRDefault="00ED0FBF" w:rsidP="00FD0A48">
            <w:pPr>
              <w:pStyle w:val="ExhibitText"/>
              <w:keepNext/>
              <w:keepLines/>
              <w:jc w:val="right"/>
              <w:rPr>
                <w:sz w:val="18"/>
                <w:lang w:val="en-GB"/>
              </w:rPr>
            </w:pPr>
            <w:r w:rsidRPr="00182514">
              <w:rPr>
                <w:sz w:val="18"/>
                <w:lang w:val="en-GB"/>
              </w:rPr>
              <w:t>17.8 million</w:t>
            </w:r>
          </w:p>
        </w:tc>
      </w:tr>
      <w:tr w:rsidR="0064317A" w:rsidRPr="00182514" w14:paraId="04EC4D56" w14:textId="77777777" w:rsidTr="00185A30">
        <w:trPr>
          <w:trHeight w:val="213"/>
          <w:tblHeader/>
          <w:jc w:val="center"/>
        </w:trPr>
        <w:tc>
          <w:tcPr>
            <w:tcW w:w="2667" w:type="dxa"/>
          </w:tcPr>
          <w:p w14:paraId="74EFD485" w14:textId="0E052506" w:rsidR="0064317A" w:rsidRPr="00182514" w:rsidRDefault="0064317A" w:rsidP="00FD0A48">
            <w:pPr>
              <w:pStyle w:val="ExhibitText"/>
              <w:keepNext/>
              <w:keepLines/>
              <w:rPr>
                <w:sz w:val="18"/>
                <w:lang w:val="en-GB"/>
              </w:rPr>
            </w:pPr>
            <w:proofErr w:type="spellStart"/>
            <w:r w:rsidRPr="00182514">
              <w:rPr>
                <w:sz w:val="18"/>
                <w:lang w:val="en-GB"/>
              </w:rPr>
              <w:t>TikTok</w:t>
            </w:r>
            <w:proofErr w:type="spellEnd"/>
          </w:p>
        </w:tc>
        <w:tc>
          <w:tcPr>
            <w:tcW w:w="2364" w:type="dxa"/>
          </w:tcPr>
          <w:p w14:paraId="2FB8F3B8" w14:textId="7718E43B" w:rsidR="0064317A" w:rsidRPr="00182514" w:rsidRDefault="00ED0FBF" w:rsidP="00FD0A48">
            <w:pPr>
              <w:pStyle w:val="ExhibitText"/>
              <w:keepNext/>
              <w:keepLines/>
              <w:jc w:val="right"/>
              <w:rPr>
                <w:sz w:val="18"/>
                <w:lang w:val="en-GB"/>
              </w:rPr>
            </w:pPr>
            <w:r w:rsidRPr="00182514">
              <w:rPr>
                <w:sz w:val="18"/>
                <w:lang w:val="en-GB"/>
              </w:rPr>
              <w:t>3.4</w:t>
            </w:r>
            <w:r w:rsidR="00B337BC" w:rsidRPr="00182514">
              <w:rPr>
                <w:sz w:val="18"/>
                <w:lang w:val="en-GB"/>
              </w:rPr>
              <w:t>0</w:t>
            </w:r>
            <w:r w:rsidRPr="00182514">
              <w:rPr>
                <w:sz w:val="18"/>
                <w:lang w:val="en-GB"/>
              </w:rPr>
              <w:t xml:space="preserve"> million</w:t>
            </w:r>
          </w:p>
        </w:tc>
        <w:tc>
          <w:tcPr>
            <w:tcW w:w="2084" w:type="dxa"/>
          </w:tcPr>
          <w:p w14:paraId="656AA7FE" w14:textId="44FA608F" w:rsidR="0064317A" w:rsidRPr="00182514" w:rsidRDefault="00ED0FBF" w:rsidP="00FD0A48">
            <w:pPr>
              <w:pStyle w:val="ExhibitText"/>
              <w:keepNext/>
              <w:keepLines/>
              <w:jc w:val="right"/>
              <w:rPr>
                <w:sz w:val="18"/>
                <w:lang w:val="en-GB"/>
              </w:rPr>
            </w:pPr>
            <w:r w:rsidRPr="00182514">
              <w:rPr>
                <w:sz w:val="18"/>
                <w:lang w:val="en-GB"/>
              </w:rPr>
              <w:t>41.0 million</w:t>
            </w:r>
          </w:p>
        </w:tc>
        <w:tc>
          <w:tcPr>
            <w:tcW w:w="2095" w:type="dxa"/>
          </w:tcPr>
          <w:p w14:paraId="47BBA66C" w14:textId="30812C54" w:rsidR="0064317A" w:rsidRPr="00182514" w:rsidRDefault="00ED0FBF" w:rsidP="00FD0A48">
            <w:pPr>
              <w:pStyle w:val="ExhibitText"/>
              <w:keepNext/>
              <w:keepLines/>
              <w:jc w:val="right"/>
              <w:rPr>
                <w:sz w:val="18"/>
                <w:lang w:val="en-GB"/>
              </w:rPr>
            </w:pPr>
            <w:r w:rsidRPr="00182514">
              <w:rPr>
                <w:sz w:val="18"/>
                <w:lang w:val="en-GB"/>
              </w:rPr>
              <w:t>3.7 million</w:t>
            </w:r>
          </w:p>
        </w:tc>
      </w:tr>
    </w:tbl>
    <w:p w14:paraId="7D59EFE3" w14:textId="77777777" w:rsidR="00A663F7" w:rsidRPr="00182514" w:rsidRDefault="00A663F7" w:rsidP="00FD0A48">
      <w:pPr>
        <w:pStyle w:val="Footnote"/>
        <w:keepNext/>
        <w:keepLines/>
        <w:rPr>
          <w:sz w:val="14"/>
          <w:lang w:val="en-GB"/>
        </w:rPr>
      </w:pPr>
    </w:p>
    <w:p w14:paraId="785F9662" w14:textId="3E4CAA4A" w:rsidR="0064317A" w:rsidRPr="00182514" w:rsidRDefault="0064317A" w:rsidP="00FD0A48">
      <w:pPr>
        <w:pStyle w:val="Footnote"/>
        <w:keepNext/>
        <w:keepLines/>
        <w:rPr>
          <w:spacing w:val="-4"/>
          <w:lang w:val="en-GB"/>
        </w:rPr>
      </w:pPr>
      <w:r w:rsidRPr="00182514">
        <w:rPr>
          <w:spacing w:val="-4"/>
          <w:lang w:val="en-GB"/>
        </w:rPr>
        <w:t xml:space="preserve">Source: </w:t>
      </w:r>
      <w:r w:rsidR="00B337BC" w:rsidRPr="00182514">
        <w:rPr>
          <w:spacing w:val="-4"/>
          <w:lang w:val="en-GB"/>
        </w:rPr>
        <w:t xml:space="preserve">Compiled by </w:t>
      </w:r>
      <w:r w:rsidR="00C852FD">
        <w:rPr>
          <w:spacing w:val="-4"/>
          <w:lang w:val="en-GB"/>
        </w:rPr>
        <w:t xml:space="preserve">the </w:t>
      </w:r>
      <w:r w:rsidR="00B337BC" w:rsidRPr="00182514">
        <w:rPr>
          <w:spacing w:val="-4"/>
          <w:lang w:val="en-GB"/>
        </w:rPr>
        <w:t xml:space="preserve">case author based on data from </w:t>
      </w:r>
      <w:r w:rsidRPr="00182514">
        <w:rPr>
          <w:spacing w:val="-4"/>
          <w:lang w:val="en-GB"/>
        </w:rPr>
        <w:t>“</w:t>
      </w:r>
      <w:r w:rsidR="008D4A55" w:rsidRPr="00182514">
        <w:rPr>
          <w:spacing w:val="-4"/>
          <w:lang w:val="en-GB"/>
        </w:rPr>
        <w:t xml:space="preserve">Social Media &amp; User-Generated Content: </w:t>
      </w:r>
      <w:r w:rsidRPr="00182514">
        <w:rPr>
          <w:spacing w:val="-4"/>
          <w:lang w:val="en-GB"/>
        </w:rPr>
        <w:t xml:space="preserve">Leading </w:t>
      </w:r>
      <w:r w:rsidR="008D4A55" w:rsidRPr="00182514">
        <w:rPr>
          <w:spacing w:val="-4"/>
          <w:lang w:val="en-GB"/>
        </w:rPr>
        <w:t xml:space="preserve">Countries Based on Number of </w:t>
      </w:r>
      <w:r w:rsidRPr="00182514">
        <w:rPr>
          <w:spacing w:val="-4"/>
          <w:lang w:val="en-GB"/>
        </w:rPr>
        <w:t xml:space="preserve">Twitter </w:t>
      </w:r>
      <w:r w:rsidR="008D4A55" w:rsidRPr="00182514">
        <w:rPr>
          <w:spacing w:val="-4"/>
          <w:lang w:val="en-GB"/>
        </w:rPr>
        <w:t>Users</w:t>
      </w:r>
      <w:r w:rsidRPr="00182514">
        <w:rPr>
          <w:spacing w:val="-4"/>
          <w:lang w:val="en-GB"/>
        </w:rPr>
        <w:t xml:space="preserve">,” </w:t>
      </w:r>
      <w:r w:rsidR="008D4A55" w:rsidRPr="00182514">
        <w:rPr>
          <w:spacing w:val="-4"/>
          <w:lang w:val="en-GB"/>
        </w:rPr>
        <w:t>S</w:t>
      </w:r>
      <w:r w:rsidR="008D4A55" w:rsidRPr="00FD0A48">
        <w:rPr>
          <w:spacing w:val="-4"/>
          <w:lang w:val="en-GB"/>
        </w:rPr>
        <w:t>tatista</w:t>
      </w:r>
      <w:r w:rsidR="008D4A55" w:rsidRPr="00182514">
        <w:rPr>
          <w:spacing w:val="-4"/>
          <w:lang w:val="en-GB"/>
        </w:rPr>
        <w:t xml:space="preserve">, </w:t>
      </w:r>
      <w:r w:rsidRPr="00182514">
        <w:rPr>
          <w:spacing w:val="-4"/>
          <w:lang w:val="en-GB"/>
        </w:rPr>
        <w:t>accessed May 25, 2020, www.statista.com/statistics/242606/number-of-active-twitter-users-in-selected-countries/; “</w:t>
      </w:r>
      <w:r w:rsidR="008D4A55" w:rsidRPr="00182514">
        <w:rPr>
          <w:spacing w:val="-4"/>
          <w:lang w:val="en-GB"/>
        </w:rPr>
        <w:t xml:space="preserve">Social Media &amp; User-Generated Content: </w:t>
      </w:r>
      <w:r w:rsidRPr="00182514">
        <w:rPr>
          <w:spacing w:val="-4"/>
          <w:lang w:val="en-GB"/>
        </w:rPr>
        <w:t xml:space="preserve">Leading </w:t>
      </w:r>
      <w:r w:rsidR="008D4A55" w:rsidRPr="00182514">
        <w:rPr>
          <w:spacing w:val="-4"/>
          <w:lang w:val="en-GB"/>
        </w:rPr>
        <w:t xml:space="preserve">Countries </w:t>
      </w:r>
      <w:r w:rsidRPr="00182514">
        <w:rPr>
          <w:spacing w:val="-4"/>
          <w:lang w:val="en-GB"/>
        </w:rPr>
        <w:t xml:space="preserve">based on Instagram Audience Size,” </w:t>
      </w:r>
      <w:r w:rsidR="008D4A55" w:rsidRPr="00182514">
        <w:rPr>
          <w:spacing w:val="-4"/>
          <w:lang w:val="en-GB"/>
        </w:rPr>
        <w:t>S</w:t>
      </w:r>
      <w:r w:rsidR="008D4A55" w:rsidRPr="00FD0A48">
        <w:rPr>
          <w:spacing w:val="-4"/>
          <w:lang w:val="en-GB"/>
        </w:rPr>
        <w:t>tatista</w:t>
      </w:r>
      <w:r w:rsidR="008D4A55" w:rsidRPr="00182514">
        <w:rPr>
          <w:spacing w:val="-4"/>
          <w:lang w:val="en-GB"/>
        </w:rPr>
        <w:t xml:space="preserve">, </w:t>
      </w:r>
      <w:r w:rsidRPr="00182514">
        <w:rPr>
          <w:spacing w:val="-4"/>
          <w:lang w:val="en-GB"/>
        </w:rPr>
        <w:t>accessed May 25, 2020, www.statista.com/statistics/578364/countries-with-most-instagram-users/; “Social Media Users in United Kingdom</w:t>
      </w:r>
      <w:r w:rsidR="008D4A55" w:rsidRPr="00182514">
        <w:rPr>
          <w:spacing w:val="-4"/>
          <w:lang w:val="en-GB"/>
        </w:rPr>
        <w:t>: May 2020</w:t>
      </w:r>
      <w:r w:rsidRPr="00182514">
        <w:rPr>
          <w:spacing w:val="-4"/>
          <w:lang w:val="en-GB"/>
        </w:rPr>
        <w:t xml:space="preserve">,” </w:t>
      </w:r>
      <w:proofErr w:type="spellStart"/>
      <w:r w:rsidRPr="00FD0A48">
        <w:rPr>
          <w:spacing w:val="-4"/>
          <w:lang w:val="en-GB"/>
        </w:rPr>
        <w:t>NapoleonCat</w:t>
      </w:r>
      <w:proofErr w:type="spellEnd"/>
      <w:r w:rsidR="008D4A55" w:rsidRPr="00182514">
        <w:rPr>
          <w:spacing w:val="-4"/>
          <w:lang w:val="en-GB"/>
        </w:rPr>
        <w:t xml:space="preserve">, </w:t>
      </w:r>
      <w:r w:rsidRPr="00182514">
        <w:rPr>
          <w:spacing w:val="-4"/>
          <w:lang w:val="en-GB"/>
        </w:rPr>
        <w:t xml:space="preserve">accessed May 25, 2020, https://napoleoncat.com/stats/social-media-users-in-united_kingdom/2020/05; </w:t>
      </w:r>
      <w:r w:rsidR="008D4A55" w:rsidRPr="00182514">
        <w:rPr>
          <w:spacing w:val="-4"/>
          <w:lang w:val="en-GB"/>
        </w:rPr>
        <w:t xml:space="preserve">Felix Richter, </w:t>
      </w:r>
      <w:r w:rsidRPr="00182514">
        <w:rPr>
          <w:spacing w:val="-4"/>
          <w:lang w:val="en-GB"/>
        </w:rPr>
        <w:t>“</w:t>
      </w:r>
      <w:r w:rsidR="008D4A55" w:rsidRPr="00182514">
        <w:rPr>
          <w:spacing w:val="-4"/>
          <w:lang w:val="en-GB"/>
        </w:rPr>
        <w:t xml:space="preserve">Where </w:t>
      </w:r>
      <w:proofErr w:type="spellStart"/>
      <w:r w:rsidRPr="00182514">
        <w:rPr>
          <w:spacing w:val="-4"/>
          <w:lang w:val="en-GB"/>
        </w:rPr>
        <w:t>TikTok</w:t>
      </w:r>
      <w:proofErr w:type="spellEnd"/>
      <w:r w:rsidRPr="00182514">
        <w:rPr>
          <w:spacing w:val="-4"/>
          <w:lang w:val="en-GB"/>
        </w:rPr>
        <w:t xml:space="preserve"> </w:t>
      </w:r>
      <w:r w:rsidR="008D4A55" w:rsidRPr="00182514">
        <w:rPr>
          <w:spacing w:val="-4"/>
          <w:lang w:val="en-GB"/>
        </w:rPr>
        <w:t>Has Been Downloaded the Most,”</w:t>
      </w:r>
      <w:r w:rsidRPr="00182514">
        <w:rPr>
          <w:spacing w:val="-4"/>
          <w:lang w:val="en-GB"/>
        </w:rPr>
        <w:t xml:space="preserve"> </w:t>
      </w:r>
      <w:r w:rsidR="008D4A55" w:rsidRPr="00FD0A48">
        <w:rPr>
          <w:spacing w:val="-4"/>
          <w:lang w:val="en-GB"/>
        </w:rPr>
        <w:t>Statista</w:t>
      </w:r>
      <w:r w:rsidR="008D4A55" w:rsidRPr="00182514">
        <w:rPr>
          <w:spacing w:val="-4"/>
          <w:lang w:val="en-GB"/>
        </w:rPr>
        <w:t xml:space="preserve">, June 30, 2020, </w:t>
      </w:r>
      <w:r w:rsidRPr="00182514">
        <w:rPr>
          <w:spacing w:val="-4"/>
          <w:lang w:val="en-GB"/>
        </w:rPr>
        <w:t xml:space="preserve">accessed May 25, 2020, www.statista.com/chart/16939/tiktok-app-downloads/; </w:t>
      </w:r>
      <w:r w:rsidR="003C7D73" w:rsidRPr="00182514">
        <w:rPr>
          <w:spacing w:val="-4"/>
          <w:lang w:val="en-GB"/>
        </w:rPr>
        <w:t xml:space="preserve">David Brown, </w:t>
      </w:r>
      <w:r w:rsidRPr="00182514">
        <w:rPr>
          <w:spacing w:val="-4"/>
          <w:lang w:val="en-GB"/>
        </w:rPr>
        <w:t>“</w:t>
      </w:r>
      <w:proofErr w:type="spellStart"/>
      <w:r w:rsidRPr="00182514">
        <w:rPr>
          <w:spacing w:val="-4"/>
          <w:lang w:val="en-GB"/>
        </w:rPr>
        <w:t>TikTok</w:t>
      </w:r>
      <w:proofErr w:type="spellEnd"/>
      <w:r w:rsidRPr="00182514">
        <w:rPr>
          <w:spacing w:val="-4"/>
          <w:lang w:val="en-GB"/>
        </w:rPr>
        <w:t xml:space="preserve"> </w:t>
      </w:r>
      <w:r w:rsidR="008D4A55" w:rsidRPr="00182514">
        <w:rPr>
          <w:spacing w:val="-4"/>
          <w:lang w:val="en-GB"/>
        </w:rPr>
        <w:t xml:space="preserve">Was </w:t>
      </w:r>
      <w:r w:rsidRPr="00182514">
        <w:rPr>
          <w:spacing w:val="-4"/>
          <w:lang w:val="en-GB"/>
        </w:rPr>
        <w:t xml:space="preserve">a </w:t>
      </w:r>
      <w:r w:rsidR="008D4A55" w:rsidRPr="00182514">
        <w:rPr>
          <w:spacing w:val="-4"/>
          <w:lang w:val="en-GB"/>
        </w:rPr>
        <w:t xml:space="preserve">Big Deal </w:t>
      </w:r>
      <w:r w:rsidRPr="00182514">
        <w:rPr>
          <w:spacing w:val="-4"/>
          <w:lang w:val="en-GB"/>
        </w:rPr>
        <w:t xml:space="preserve">in 2019, </w:t>
      </w:r>
      <w:r w:rsidR="008D4A55" w:rsidRPr="00182514">
        <w:rPr>
          <w:spacing w:val="-4"/>
          <w:lang w:val="en-GB"/>
        </w:rPr>
        <w:t xml:space="preserve">But Just </w:t>
      </w:r>
      <w:r w:rsidRPr="00182514">
        <w:rPr>
          <w:spacing w:val="-4"/>
          <w:lang w:val="en-GB"/>
        </w:rPr>
        <w:t xml:space="preserve">9% of Canadians </w:t>
      </w:r>
      <w:r w:rsidR="008D4A55" w:rsidRPr="00182514">
        <w:rPr>
          <w:spacing w:val="-4"/>
          <w:lang w:val="en-GB"/>
        </w:rPr>
        <w:t xml:space="preserve">Are Using It,” </w:t>
      </w:r>
      <w:r w:rsidR="003C7D73" w:rsidRPr="00182514">
        <w:rPr>
          <w:spacing w:val="-4"/>
          <w:lang w:val="en-GB"/>
        </w:rPr>
        <w:t>T</w:t>
      </w:r>
      <w:r w:rsidR="003C7D73" w:rsidRPr="00FD0A48">
        <w:rPr>
          <w:spacing w:val="-4"/>
          <w:lang w:val="en-GB"/>
        </w:rPr>
        <w:t>he</w:t>
      </w:r>
      <w:r w:rsidR="003C7D73" w:rsidRPr="00182514">
        <w:rPr>
          <w:spacing w:val="-4"/>
          <w:lang w:val="en-GB"/>
        </w:rPr>
        <w:t xml:space="preserve"> M</w:t>
      </w:r>
      <w:r w:rsidR="003C7D73" w:rsidRPr="00FD0A48">
        <w:rPr>
          <w:spacing w:val="-4"/>
          <w:lang w:val="en-GB"/>
        </w:rPr>
        <w:t>essage</w:t>
      </w:r>
      <w:r w:rsidR="003C7D73" w:rsidRPr="00182514">
        <w:rPr>
          <w:spacing w:val="-4"/>
          <w:lang w:val="en-GB"/>
        </w:rPr>
        <w:t xml:space="preserve">, February 13, 2020, </w:t>
      </w:r>
      <w:r w:rsidRPr="00182514">
        <w:rPr>
          <w:spacing w:val="-4"/>
          <w:lang w:val="en-GB"/>
        </w:rPr>
        <w:t xml:space="preserve">accessed May 25, 2020, https://the-message.ca/2020/02/13/tiktok-was-a-big-deal-in-2019-but-just-9-of-canadians-are-using-it/; </w:t>
      </w:r>
      <w:r w:rsidR="003C7D73" w:rsidRPr="00182514">
        <w:rPr>
          <w:spacing w:val="-4"/>
          <w:lang w:val="en-GB"/>
        </w:rPr>
        <w:t xml:space="preserve">Natasha Lomas, </w:t>
      </w:r>
      <w:r w:rsidRPr="00182514">
        <w:rPr>
          <w:spacing w:val="-4"/>
          <w:lang w:val="en-GB"/>
        </w:rPr>
        <w:t xml:space="preserve">“Leaked </w:t>
      </w:r>
      <w:proofErr w:type="spellStart"/>
      <w:r w:rsidR="003C7D73" w:rsidRPr="00182514">
        <w:rPr>
          <w:spacing w:val="-4"/>
          <w:lang w:val="en-GB"/>
        </w:rPr>
        <w:t>TikTok</w:t>
      </w:r>
      <w:proofErr w:type="spellEnd"/>
      <w:r w:rsidR="003C7D73" w:rsidRPr="00182514">
        <w:rPr>
          <w:spacing w:val="-4"/>
          <w:lang w:val="en-GB"/>
        </w:rPr>
        <w:t xml:space="preserve"> Ad Deck Suggests It Has </w:t>
      </w:r>
      <w:r w:rsidRPr="00182514">
        <w:rPr>
          <w:spacing w:val="-4"/>
          <w:lang w:val="en-GB"/>
        </w:rPr>
        <w:t xml:space="preserve">17M+ MAUs in Europe,” </w:t>
      </w:r>
      <w:r w:rsidRPr="00FD0A48">
        <w:rPr>
          <w:spacing w:val="-4"/>
          <w:lang w:val="en-GB"/>
        </w:rPr>
        <w:t>T</w:t>
      </w:r>
      <w:r w:rsidR="003C7D73" w:rsidRPr="00182514">
        <w:rPr>
          <w:spacing w:val="-4"/>
          <w:lang w:val="en-GB"/>
        </w:rPr>
        <w:t>ech</w:t>
      </w:r>
      <w:r w:rsidRPr="00FD0A48">
        <w:rPr>
          <w:spacing w:val="-4"/>
          <w:lang w:val="en-GB"/>
        </w:rPr>
        <w:t>C</w:t>
      </w:r>
      <w:r w:rsidR="003C7D73" w:rsidRPr="00182514">
        <w:rPr>
          <w:spacing w:val="-4"/>
          <w:lang w:val="en-GB"/>
        </w:rPr>
        <w:t xml:space="preserve">runch, January 31, 2019, </w:t>
      </w:r>
      <w:r w:rsidRPr="00182514">
        <w:rPr>
          <w:spacing w:val="-4"/>
          <w:lang w:val="en-GB"/>
        </w:rPr>
        <w:t>accessed May 25, 2020, https://techcrunch.com/2019/01/31/leaked-tiktok-ad-deck-suggests-it-has-17m-maus-in-europe/; “</w:t>
      </w:r>
      <w:r w:rsidR="003C7D73" w:rsidRPr="00182514">
        <w:rPr>
          <w:spacing w:val="-4"/>
          <w:lang w:val="en-GB"/>
        </w:rPr>
        <w:t xml:space="preserve">Social Media &amp; User-Generated Content: </w:t>
      </w:r>
      <w:r w:rsidRPr="00182514">
        <w:rPr>
          <w:spacing w:val="-4"/>
          <w:lang w:val="en-GB"/>
        </w:rPr>
        <w:t xml:space="preserve">Leading </w:t>
      </w:r>
      <w:r w:rsidR="003C7D73" w:rsidRPr="00182514">
        <w:rPr>
          <w:spacing w:val="-4"/>
          <w:lang w:val="en-GB"/>
        </w:rPr>
        <w:t xml:space="preserve">Countries Based </w:t>
      </w:r>
      <w:r w:rsidRPr="00182514">
        <w:rPr>
          <w:spacing w:val="-4"/>
          <w:lang w:val="en-GB"/>
        </w:rPr>
        <w:t xml:space="preserve">on Facebook </w:t>
      </w:r>
      <w:r w:rsidR="003C7D73" w:rsidRPr="00182514">
        <w:rPr>
          <w:spacing w:val="-4"/>
          <w:lang w:val="en-GB"/>
        </w:rPr>
        <w:t>Audience Size</w:t>
      </w:r>
      <w:r w:rsidRPr="00182514">
        <w:rPr>
          <w:spacing w:val="-4"/>
          <w:lang w:val="en-GB"/>
        </w:rPr>
        <w:t xml:space="preserve">,” </w:t>
      </w:r>
      <w:r w:rsidR="003C7D73" w:rsidRPr="00182514">
        <w:rPr>
          <w:spacing w:val="-4"/>
          <w:lang w:val="en-GB"/>
        </w:rPr>
        <w:t>S</w:t>
      </w:r>
      <w:r w:rsidR="003C7D73" w:rsidRPr="00FD0A48">
        <w:rPr>
          <w:spacing w:val="-4"/>
          <w:lang w:val="en-GB"/>
        </w:rPr>
        <w:t>tatista</w:t>
      </w:r>
      <w:r w:rsidR="003C7D73" w:rsidRPr="00182514">
        <w:rPr>
          <w:spacing w:val="-4"/>
          <w:lang w:val="en-GB"/>
        </w:rPr>
        <w:t xml:space="preserve">, </w:t>
      </w:r>
      <w:r w:rsidRPr="00182514">
        <w:rPr>
          <w:spacing w:val="-4"/>
          <w:lang w:val="en-GB"/>
        </w:rPr>
        <w:t xml:space="preserve">accessed May 25, 2020, www.statista.com/statistics/268136/top-15-countries-based-on-number-of-facebook-users/; “Number of Facebook </w:t>
      </w:r>
      <w:r w:rsidR="003C7D73" w:rsidRPr="00182514">
        <w:rPr>
          <w:spacing w:val="-4"/>
          <w:lang w:val="en-GB"/>
        </w:rPr>
        <w:t xml:space="preserve">Users </w:t>
      </w:r>
      <w:r w:rsidRPr="00182514">
        <w:rPr>
          <w:spacing w:val="-4"/>
          <w:lang w:val="en-GB"/>
        </w:rPr>
        <w:t xml:space="preserve">in Canada from 2017 to 2023,” </w:t>
      </w:r>
      <w:r w:rsidR="003C7D73" w:rsidRPr="00182514">
        <w:rPr>
          <w:spacing w:val="-4"/>
          <w:lang w:val="en-GB"/>
        </w:rPr>
        <w:t>S</w:t>
      </w:r>
      <w:r w:rsidR="003C7D73" w:rsidRPr="00FD0A48">
        <w:rPr>
          <w:spacing w:val="-4"/>
          <w:lang w:val="en-GB"/>
        </w:rPr>
        <w:t>tatista</w:t>
      </w:r>
      <w:r w:rsidR="003C7D73" w:rsidRPr="00182514">
        <w:rPr>
          <w:spacing w:val="-4"/>
          <w:lang w:val="en-GB"/>
        </w:rPr>
        <w:t xml:space="preserve">, </w:t>
      </w:r>
      <w:r w:rsidRPr="00182514">
        <w:rPr>
          <w:spacing w:val="-4"/>
          <w:lang w:val="en-GB"/>
        </w:rPr>
        <w:t>accessed May 25, 2020, www.statista.com/statistics/282364/number-of-facebook-users-in-canada/; Algonquin College, “</w:t>
      </w:r>
      <w:r w:rsidR="003C7D73" w:rsidRPr="00182514">
        <w:rPr>
          <w:spacing w:val="-4"/>
          <w:lang w:val="en-GB"/>
        </w:rPr>
        <w:t xml:space="preserve">YouTube </w:t>
      </w:r>
      <w:r w:rsidRPr="00182514">
        <w:rPr>
          <w:spacing w:val="-4"/>
          <w:lang w:val="en-GB"/>
        </w:rPr>
        <w:t>Stats</w:t>
      </w:r>
      <w:r w:rsidR="003C7D73" w:rsidRPr="00182514">
        <w:rPr>
          <w:spacing w:val="-4"/>
          <w:lang w:val="en-GB"/>
        </w:rPr>
        <w:t>,</w:t>
      </w:r>
      <w:r w:rsidRPr="00182514">
        <w:rPr>
          <w:spacing w:val="-4"/>
          <w:lang w:val="en-GB"/>
        </w:rPr>
        <w:t xml:space="preserve">” </w:t>
      </w:r>
      <w:r w:rsidRPr="00FD0A48">
        <w:rPr>
          <w:spacing w:val="-4"/>
          <w:lang w:val="en-GB"/>
        </w:rPr>
        <w:t>Algonquin College</w:t>
      </w:r>
      <w:r w:rsidR="003C7D73" w:rsidRPr="00182514">
        <w:rPr>
          <w:spacing w:val="-4"/>
          <w:lang w:val="en-GB"/>
        </w:rPr>
        <w:t xml:space="preserve">, </w:t>
      </w:r>
      <w:r w:rsidRPr="00182514">
        <w:rPr>
          <w:spacing w:val="-4"/>
          <w:lang w:val="en-GB"/>
        </w:rPr>
        <w:t xml:space="preserve">accessed May 25, 2020, </w:t>
      </w:r>
      <w:r w:rsidR="003C7D73" w:rsidRPr="00182514">
        <w:rPr>
          <w:spacing w:val="-4"/>
          <w:lang w:val="en-GB"/>
        </w:rPr>
        <w:t>www.algonquincollege.com/ac-social-media/youtube-stats/</w:t>
      </w:r>
      <w:r w:rsidRPr="00182514">
        <w:rPr>
          <w:spacing w:val="-4"/>
          <w:lang w:val="en-GB"/>
        </w:rPr>
        <w:t xml:space="preserve">; Geoffrey </w:t>
      </w:r>
      <w:proofErr w:type="spellStart"/>
      <w:r w:rsidRPr="00182514">
        <w:rPr>
          <w:spacing w:val="-4"/>
          <w:lang w:val="en-GB"/>
        </w:rPr>
        <w:t>Migiro</w:t>
      </w:r>
      <w:proofErr w:type="spellEnd"/>
      <w:r w:rsidRPr="00182514">
        <w:rPr>
          <w:spacing w:val="-4"/>
          <w:lang w:val="en-GB"/>
        </w:rPr>
        <w:t>, “Which Countries Watch the most YouTube?</w:t>
      </w:r>
      <w:r w:rsidR="003C7D73" w:rsidRPr="00182514">
        <w:rPr>
          <w:spacing w:val="-4"/>
          <w:lang w:val="en-GB"/>
        </w:rPr>
        <w:t>,</w:t>
      </w:r>
      <w:r w:rsidRPr="00182514">
        <w:rPr>
          <w:spacing w:val="-4"/>
          <w:lang w:val="en-GB"/>
        </w:rPr>
        <w:t xml:space="preserve">” </w:t>
      </w:r>
      <w:r w:rsidR="00691701" w:rsidRPr="00691701">
        <w:rPr>
          <w:spacing w:val="-4"/>
          <w:lang w:val="en-GB"/>
        </w:rPr>
        <w:t>World Atlas</w:t>
      </w:r>
      <w:r w:rsidR="003C7D73" w:rsidRPr="00182514">
        <w:rPr>
          <w:spacing w:val="-4"/>
          <w:lang w:val="en-GB"/>
        </w:rPr>
        <w:t xml:space="preserve">, </w:t>
      </w:r>
      <w:r w:rsidRPr="00182514">
        <w:rPr>
          <w:spacing w:val="-4"/>
          <w:lang w:val="en-GB"/>
        </w:rPr>
        <w:t xml:space="preserve">accessed May 25, 2020, www.worldatlas.com/articles/which-countries-watch-the-most-youtube.html; “YouTube </w:t>
      </w:r>
      <w:r w:rsidR="003C7D73" w:rsidRPr="00182514">
        <w:rPr>
          <w:spacing w:val="-4"/>
          <w:lang w:val="en-GB"/>
        </w:rPr>
        <w:t xml:space="preserve">Users </w:t>
      </w:r>
      <w:r w:rsidRPr="00182514">
        <w:rPr>
          <w:spacing w:val="-4"/>
          <w:lang w:val="en-GB"/>
        </w:rPr>
        <w:t xml:space="preserve">in the United Kingdom (UK) </w:t>
      </w:r>
      <w:r w:rsidR="00604B86" w:rsidRPr="00182514">
        <w:rPr>
          <w:spacing w:val="-4"/>
          <w:lang w:val="en-GB"/>
        </w:rPr>
        <w:t xml:space="preserve">in January </w:t>
      </w:r>
      <w:r w:rsidRPr="00182514">
        <w:rPr>
          <w:spacing w:val="-4"/>
          <w:lang w:val="en-GB"/>
        </w:rPr>
        <w:t xml:space="preserve">2018, by </w:t>
      </w:r>
      <w:r w:rsidR="003C7D73" w:rsidRPr="00182514">
        <w:rPr>
          <w:spacing w:val="-4"/>
          <w:lang w:val="en-GB"/>
        </w:rPr>
        <w:t>Household Income</w:t>
      </w:r>
      <w:r w:rsidRPr="00182514">
        <w:rPr>
          <w:spacing w:val="-4"/>
          <w:lang w:val="en-GB"/>
        </w:rPr>
        <w:t xml:space="preserve">,” </w:t>
      </w:r>
      <w:r w:rsidR="003C7D73" w:rsidRPr="00182514">
        <w:rPr>
          <w:spacing w:val="-4"/>
          <w:lang w:val="en-GB"/>
        </w:rPr>
        <w:t>S</w:t>
      </w:r>
      <w:r w:rsidR="003C7D73" w:rsidRPr="00FD0A48">
        <w:rPr>
          <w:spacing w:val="-4"/>
          <w:lang w:val="en-GB"/>
        </w:rPr>
        <w:t>tatista</w:t>
      </w:r>
      <w:r w:rsidR="003C7D73" w:rsidRPr="00182514">
        <w:rPr>
          <w:spacing w:val="-4"/>
          <w:lang w:val="en-GB"/>
        </w:rPr>
        <w:t>,</w:t>
      </w:r>
      <w:r w:rsidR="003C7D73" w:rsidRPr="00182514">
        <w:rPr>
          <w:i/>
          <w:spacing w:val="-4"/>
          <w:lang w:val="en-GB"/>
        </w:rPr>
        <w:t xml:space="preserve"> </w:t>
      </w:r>
      <w:r w:rsidRPr="00182514">
        <w:rPr>
          <w:spacing w:val="-4"/>
          <w:lang w:val="en-GB"/>
        </w:rPr>
        <w:t xml:space="preserve">accessed May 25, 2020, www.statista.com/statistics/611140/youtube-users-in-the-united-kingdom-uk-by-household-income/#:~:text=YouTube%20is%20the%20most%20active,a%20rate%20of%2078%20percent; “About Us,” </w:t>
      </w:r>
      <w:r w:rsidRPr="00FD0A48">
        <w:rPr>
          <w:spacing w:val="-4"/>
          <w:lang w:val="en-GB"/>
        </w:rPr>
        <w:t>LinkedIn</w:t>
      </w:r>
      <w:r w:rsidR="00604B86" w:rsidRPr="00182514">
        <w:rPr>
          <w:spacing w:val="-4"/>
          <w:lang w:val="en-GB"/>
        </w:rPr>
        <w:t xml:space="preserve">, </w:t>
      </w:r>
      <w:r w:rsidRPr="00182514">
        <w:rPr>
          <w:spacing w:val="-4"/>
          <w:lang w:val="en-GB"/>
        </w:rPr>
        <w:t>accessed May 25, 2020, https://news.linkedin.com/about-us#1.</w:t>
      </w:r>
    </w:p>
    <w:p w14:paraId="3AC09E30" w14:textId="77777777" w:rsidR="00B337BC" w:rsidRPr="00182514" w:rsidRDefault="00B337BC" w:rsidP="00A663F7">
      <w:pPr>
        <w:pStyle w:val="ExhibitHeading"/>
        <w:rPr>
          <w:lang w:val="en-GB"/>
        </w:rPr>
      </w:pPr>
    </w:p>
    <w:p w14:paraId="0A81715B" w14:textId="77777777" w:rsidR="00B337BC" w:rsidRPr="00182514" w:rsidRDefault="00B337BC" w:rsidP="00A663F7">
      <w:pPr>
        <w:pStyle w:val="ExhibitHeading"/>
        <w:rPr>
          <w:lang w:val="en-GB"/>
        </w:rPr>
      </w:pPr>
    </w:p>
    <w:p w14:paraId="0EBA0CB1" w14:textId="5EB1342A" w:rsidR="0064317A" w:rsidRPr="00182514" w:rsidRDefault="0064317A" w:rsidP="00A663F7">
      <w:pPr>
        <w:pStyle w:val="ExhibitHeading"/>
        <w:rPr>
          <w:lang w:val="en-GB"/>
        </w:rPr>
      </w:pPr>
      <w:r w:rsidRPr="00182514">
        <w:rPr>
          <w:lang w:val="en-GB"/>
        </w:rPr>
        <w:t>EXHIBIT 8: COST TO PARTNER WITH AN INFLUENCER</w:t>
      </w:r>
    </w:p>
    <w:p w14:paraId="4F2B111D" w14:textId="77777777" w:rsidR="00A663F7" w:rsidRPr="00182514" w:rsidRDefault="00A663F7" w:rsidP="00A663F7">
      <w:pPr>
        <w:pStyle w:val="ExhibitText"/>
        <w:rPr>
          <w:lang w:val="en-GB"/>
        </w:rPr>
      </w:pPr>
    </w:p>
    <w:tbl>
      <w:tblPr>
        <w:tblStyle w:val="TableGrid"/>
        <w:tblW w:w="575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Caption w:val="Exhibit 8"/>
        <w:tblDescription w:val="Cost to partner with an influencer"/>
      </w:tblPr>
      <w:tblGrid>
        <w:gridCol w:w="2335"/>
        <w:gridCol w:w="3420"/>
      </w:tblGrid>
      <w:tr w:rsidR="0064317A" w:rsidRPr="00182514" w14:paraId="1148B53A" w14:textId="77777777" w:rsidTr="00185A30">
        <w:trPr>
          <w:tblHeader/>
          <w:jc w:val="center"/>
        </w:trPr>
        <w:tc>
          <w:tcPr>
            <w:tcW w:w="2335" w:type="dxa"/>
          </w:tcPr>
          <w:p w14:paraId="12858C1D" w14:textId="77777777" w:rsidR="0064317A" w:rsidRPr="00182514" w:rsidRDefault="0064317A" w:rsidP="00A663F7">
            <w:pPr>
              <w:pStyle w:val="ExhibitText"/>
              <w:jc w:val="center"/>
              <w:rPr>
                <w:b/>
                <w:lang w:val="en-GB"/>
              </w:rPr>
            </w:pPr>
            <w:r w:rsidRPr="00182514">
              <w:rPr>
                <w:b/>
                <w:lang w:val="en-GB"/>
              </w:rPr>
              <w:t>Social Media Platform</w:t>
            </w:r>
          </w:p>
        </w:tc>
        <w:tc>
          <w:tcPr>
            <w:tcW w:w="3420" w:type="dxa"/>
          </w:tcPr>
          <w:p w14:paraId="285CF5A6" w14:textId="77777777" w:rsidR="0064317A" w:rsidRPr="00182514" w:rsidRDefault="0064317A" w:rsidP="00A663F7">
            <w:pPr>
              <w:pStyle w:val="ExhibitText"/>
              <w:jc w:val="center"/>
              <w:rPr>
                <w:b/>
                <w:lang w:val="en-GB"/>
              </w:rPr>
            </w:pPr>
            <w:r w:rsidRPr="00182514">
              <w:rPr>
                <w:b/>
                <w:lang w:val="en-GB"/>
              </w:rPr>
              <w:t>Average Cost</w:t>
            </w:r>
          </w:p>
        </w:tc>
      </w:tr>
      <w:tr w:rsidR="0064317A" w:rsidRPr="00182514" w14:paraId="75C00B4D" w14:textId="77777777" w:rsidTr="00185A30">
        <w:trPr>
          <w:tblHeader/>
          <w:jc w:val="center"/>
        </w:trPr>
        <w:tc>
          <w:tcPr>
            <w:tcW w:w="2335" w:type="dxa"/>
          </w:tcPr>
          <w:p w14:paraId="2D5D3655" w14:textId="77777777" w:rsidR="0064317A" w:rsidRPr="00182514" w:rsidRDefault="0064317A" w:rsidP="00A663F7">
            <w:pPr>
              <w:pStyle w:val="ExhibitText"/>
              <w:rPr>
                <w:lang w:val="en-GB"/>
              </w:rPr>
            </w:pPr>
            <w:r w:rsidRPr="00182514">
              <w:rPr>
                <w:lang w:val="en-GB"/>
              </w:rPr>
              <w:t>Facebook</w:t>
            </w:r>
          </w:p>
        </w:tc>
        <w:tc>
          <w:tcPr>
            <w:tcW w:w="3420" w:type="dxa"/>
          </w:tcPr>
          <w:p w14:paraId="6BFA208F" w14:textId="06DFA530" w:rsidR="0064317A" w:rsidRPr="00182514" w:rsidRDefault="0064317A" w:rsidP="00FD0A48">
            <w:pPr>
              <w:pStyle w:val="ExhibitText"/>
              <w:jc w:val="right"/>
              <w:rPr>
                <w:lang w:val="en-GB"/>
              </w:rPr>
            </w:pPr>
            <w:r w:rsidRPr="00182514">
              <w:rPr>
                <w:lang w:val="en-GB"/>
              </w:rPr>
              <w:t>$25/1</w:t>
            </w:r>
            <w:r w:rsidR="00604B86" w:rsidRPr="00182514">
              <w:rPr>
                <w:lang w:val="en-GB"/>
              </w:rPr>
              <w:t>,</w:t>
            </w:r>
            <w:r w:rsidRPr="00182514">
              <w:rPr>
                <w:lang w:val="en-GB"/>
              </w:rPr>
              <w:t>000 Followers</w:t>
            </w:r>
          </w:p>
        </w:tc>
      </w:tr>
      <w:tr w:rsidR="0064317A" w:rsidRPr="00182514" w14:paraId="1D165C6C" w14:textId="77777777" w:rsidTr="00185A30">
        <w:trPr>
          <w:tblHeader/>
          <w:jc w:val="center"/>
        </w:trPr>
        <w:tc>
          <w:tcPr>
            <w:tcW w:w="2335" w:type="dxa"/>
          </w:tcPr>
          <w:p w14:paraId="637E84D4" w14:textId="77777777" w:rsidR="0064317A" w:rsidRPr="00182514" w:rsidRDefault="0064317A" w:rsidP="00A663F7">
            <w:pPr>
              <w:pStyle w:val="ExhibitText"/>
              <w:rPr>
                <w:lang w:val="en-GB"/>
              </w:rPr>
            </w:pPr>
            <w:r w:rsidRPr="00182514">
              <w:rPr>
                <w:lang w:val="en-GB"/>
              </w:rPr>
              <w:t>Instagram</w:t>
            </w:r>
          </w:p>
        </w:tc>
        <w:tc>
          <w:tcPr>
            <w:tcW w:w="3420" w:type="dxa"/>
          </w:tcPr>
          <w:p w14:paraId="07BA9C99" w14:textId="0AF2AA8C" w:rsidR="0064317A" w:rsidRPr="00182514" w:rsidRDefault="0064317A" w:rsidP="00FD0A48">
            <w:pPr>
              <w:pStyle w:val="ExhibitText"/>
              <w:jc w:val="right"/>
              <w:rPr>
                <w:lang w:val="en-GB"/>
              </w:rPr>
            </w:pPr>
            <w:r w:rsidRPr="00182514">
              <w:rPr>
                <w:lang w:val="en-GB"/>
              </w:rPr>
              <w:t>$10/1</w:t>
            </w:r>
            <w:r w:rsidR="00604B86" w:rsidRPr="00182514">
              <w:rPr>
                <w:lang w:val="en-GB"/>
              </w:rPr>
              <w:t>,</w:t>
            </w:r>
            <w:r w:rsidRPr="00182514">
              <w:rPr>
                <w:lang w:val="en-GB"/>
              </w:rPr>
              <w:t>000 Followers</w:t>
            </w:r>
          </w:p>
        </w:tc>
      </w:tr>
      <w:tr w:rsidR="0064317A" w:rsidRPr="00182514" w14:paraId="2F49AE9D" w14:textId="77777777" w:rsidTr="00185A30">
        <w:trPr>
          <w:tblHeader/>
          <w:jc w:val="center"/>
        </w:trPr>
        <w:tc>
          <w:tcPr>
            <w:tcW w:w="2335" w:type="dxa"/>
          </w:tcPr>
          <w:p w14:paraId="7DE44F9B" w14:textId="77777777" w:rsidR="0064317A" w:rsidRPr="00182514" w:rsidRDefault="0064317A" w:rsidP="00A663F7">
            <w:pPr>
              <w:pStyle w:val="ExhibitText"/>
              <w:rPr>
                <w:lang w:val="en-GB"/>
              </w:rPr>
            </w:pPr>
            <w:r w:rsidRPr="00182514">
              <w:rPr>
                <w:lang w:val="en-GB"/>
              </w:rPr>
              <w:t>YouTube</w:t>
            </w:r>
          </w:p>
        </w:tc>
        <w:tc>
          <w:tcPr>
            <w:tcW w:w="3420" w:type="dxa"/>
          </w:tcPr>
          <w:p w14:paraId="3ACEEC3D" w14:textId="1A858611" w:rsidR="0064317A" w:rsidRPr="00182514" w:rsidRDefault="0064317A" w:rsidP="00FD0A48">
            <w:pPr>
              <w:pStyle w:val="ExhibitText"/>
              <w:jc w:val="right"/>
              <w:rPr>
                <w:lang w:val="en-GB"/>
              </w:rPr>
            </w:pPr>
            <w:r w:rsidRPr="00182514">
              <w:rPr>
                <w:lang w:val="en-GB"/>
              </w:rPr>
              <w:t>$20/1</w:t>
            </w:r>
            <w:r w:rsidR="00604B86" w:rsidRPr="00182514">
              <w:rPr>
                <w:lang w:val="en-GB"/>
              </w:rPr>
              <w:t>,</w:t>
            </w:r>
            <w:r w:rsidRPr="00182514">
              <w:rPr>
                <w:lang w:val="en-GB"/>
              </w:rPr>
              <w:t>000 Subscribers</w:t>
            </w:r>
          </w:p>
        </w:tc>
      </w:tr>
      <w:tr w:rsidR="0064317A" w:rsidRPr="00182514" w14:paraId="349E3EC8" w14:textId="77777777" w:rsidTr="00185A30">
        <w:trPr>
          <w:tblHeader/>
          <w:jc w:val="center"/>
        </w:trPr>
        <w:tc>
          <w:tcPr>
            <w:tcW w:w="2335" w:type="dxa"/>
          </w:tcPr>
          <w:p w14:paraId="38BC7755" w14:textId="77777777" w:rsidR="0064317A" w:rsidRPr="00182514" w:rsidRDefault="0064317A" w:rsidP="00A663F7">
            <w:pPr>
              <w:pStyle w:val="ExhibitText"/>
              <w:rPr>
                <w:lang w:val="en-GB"/>
              </w:rPr>
            </w:pPr>
            <w:r w:rsidRPr="00182514">
              <w:rPr>
                <w:lang w:val="en-GB"/>
              </w:rPr>
              <w:t>LinkedIn</w:t>
            </w:r>
          </w:p>
        </w:tc>
        <w:tc>
          <w:tcPr>
            <w:tcW w:w="3420" w:type="dxa"/>
          </w:tcPr>
          <w:p w14:paraId="313AB77F" w14:textId="77777777" w:rsidR="0064317A" w:rsidRPr="00182514" w:rsidRDefault="0064317A" w:rsidP="00FD0A48">
            <w:pPr>
              <w:pStyle w:val="ExhibitText"/>
              <w:jc w:val="right"/>
              <w:rPr>
                <w:lang w:val="en-GB"/>
              </w:rPr>
            </w:pPr>
            <w:r w:rsidRPr="00182514">
              <w:rPr>
                <w:lang w:val="en-GB"/>
              </w:rPr>
              <w:t>N/A</w:t>
            </w:r>
          </w:p>
        </w:tc>
      </w:tr>
      <w:tr w:rsidR="0064317A" w:rsidRPr="00182514" w14:paraId="3ED41AC5" w14:textId="77777777" w:rsidTr="00185A30">
        <w:trPr>
          <w:tblHeader/>
          <w:jc w:val="center"/>
        </w:trPr>
        <w:tc>
          <w:tcPr>
            <w:tcW w:w="2335" w:type="dxa"/>
          </w:tcPr>
          <w:p w14:paraId="35DB489D" w14:textId="77777777" w:rsidR="0064317A" w:rsidRPr="00182514" w:rsidRDefault="0064317A" w:rsidP="00A663F7">
            <w:pPr>
              <w:pStyle w:val="ExhibitText"/>
              <w:rPr>
                <w:lang w:val="en-GB"/>
              </w:rPr>
            </w:pPr>
            <w:r w:rsidRPr="00182514">
              <w:rPr>
                <w:lang w:val="en-GB"/>
              </w:rPr>
              <w:t>Twitter</w:t>
            </w:r>
          </w:p>
        </w:tc>
        <w:tc>
          <w:tcPr>
            <w:tcW w:w="3420" w:type="dxa"/>
          </w:tcPr>
          <w:p w14:paraId="387D6D3A" w14:textId="0F74FF6A" w:rsidR="0064317A" w:rsidRPr="00182514" w:rsidRDefault="0064317A" w:rsidP="00FD0A48">
            <w:pPr>
              <w:pStyle w:val="ExhibitText"/>
              <w:jc w:val="right"/>
              <w:rPr>
                <w:lang w:val="en-GB"/>
              </w:rPr>
            </w:pPr>
            <w:r w:rsidRPr="00182514">
              <w:rPr>
                <w:lang w:val="en-GB"/>
              </w:rPr>
              <w:t>$2/1</w:t>
            </w:r>
            <w:r w:rsidR="00604B86" w:rsidRPr="00182514">
              <w:rPr>
                <w:lang w:val="en-GB"/>
              </w:rPr>
              <w:t>,</w:t>
            </w:r>
            <w:r w:rsidRPr="00182514">
              <w:rPr>
                <w:lang w:val="en-GB"/>
              </w:rPr>
              <w:t>000 Followers</w:t>
            </w:r>
          </w:p>
        </w:tc>
      </w:tr>
      <w:tr w:rsidR="0064317A" w:rsidRPr="00182514" w14:paraId="3F0CBE6A" w14:textId="77777777" w:rsidTr="00185A30">
        <w:trPr>
          <w:tblHeader/>
          <w:jc w:val="center"/>
        </w:trPr>
        <w:tc>
          <w:tcPr>
            <w:tcW w:w="2335" w:type="dxa"/>
          </w:tcPr>
          <w:p w14:paraId="6A13C318" w14:textId="77777777" w:rsidR="0064317A" w:rsidRPr="00182514" w:rsidRDefault="0064317A" w:rsidP="00A663F7">
            <w:pPr>
              <w:pStyle w:val="ExhibitText"/>
              <w:rPr>
                <w:lang w:val="en-GB"/>
              </w:rPr>
            </w:pPr>
            <w:proofErr w:type="spellStart"/>
            <w:r w:rsidRPr="00182514">
              <w:rPr>
                <w:lang w:val="en-GB"/>
              </w:rPr>
              <w:t>TikTok</w:t>
            </w:r>
            <w:proofErr w:type="spellEnd"/>
          </w:p>
        </w:tc>
        <w:tc>
          <w:tcPr>
            <w:tcW w:w="3420" w:type="dxa"/>
          </w:tcPr>
          <w:p w14:paraId="13304D28" w14:textId="167732B1" w:rsidR="0064317A" w:rsidRPr="00182514" w:rsidRDefault="0064317A" w:rsidP="00FD0A48">
            <w:pPr>
              <w:pStyle w:val="ExhibitText"/>
              <w:jc w:val="right"/>
              <w:rPr>
                <w:lang w:val="en-GB"/>
              </w:rPr>
            </w:pPr>
            <w:r w:rsidRPr="00182514">
              <w:rPr>
                <w:lang w:val="en-GB"/>
              </w:rPr>
              <w:t>$10/1</w:t>
            </w:r>
            <w:r w:rsidR="00604B86" w:rsidRPr="00182514">
              <w:rPr>
                <w:lang w:val="en-GB"/>
              </w:rPr>
              <w:t>,</w:t>
            </w:r>
            <w:r w:rsidRPr="00182514">
              <w:rPr>
                <w:lang w:val="en-GB"/>
              </w:rPr>
              <w:t>000 Followers</w:t>
            </w:r>
          </w:p>
        </w:tc>
      </w:tr>
    </w:tbl>
    <w:p w14:paraId="3065968F" w14:textId="77777777" w:rsidR="00A663F7" w:rsidRPr="00182514" w:rsidRDefault="00A663F7" w:rsidP="00A663F7">
      <w:pPr>
        <w:pStyle w:val="ExhibitText"/>
        <w:rPr>
          <w:sz w:val="17"/>
          <w:szCs w:val="17"/>
          <w:lang w:val="en-GB"/>
        </w:rPr>
      </w:pPr>
    </w:p>
    <w:p w14:paraId="66F1BBE7" w14:textId="2F8015F3" w:rsidR="0064317A" w:rsidRPr="00182514" w:rsidRDefault="0064317A" w:rsidP="00A663F7">
      <w:pPr>
        <w:pStyle w:val="Footnote"/>
        <w:rPr>
          <w:lang w:val="en-GB"/>
        </w:rPr>
      </w:pPr>
      <w:r w:rsidRPr="00182514">
        <w:rPr>
          <w:lang w:val="en-GB"/>
        </w:rPr>
        <w:t xml:space="preserve">Source: </w:t>
      </w:r>
      <w:r w:rsidR="00604B86" w:rsidRPr="00182514">
        <w:rPr>
          <w:lang w:val="en-GB"/>
        </w:rPr>
        <w:t xml:space="preserve">Compiled by </w:t>
      </w:r>
      <w:r w:rsidR="00C852FD">
        <w:rPr>
          <w:lang w:val="en-GB"/>
        </w:rPr>
        <w:t xml:space="preserve">the </w:t>
      </w:r>
      <w:r w:rsidR="00604B86" w:rsidRPr="00182514">
        <w:rPr>
          <w:lang w:val="en-GB"/>
        </w:rPr>
        <w:t xml:space="preserve">case author based on data from </w:t>
      </w:r>
      <w:proofErr w:type="spellStart"/>
      <w:r w:rsidRPr="00182514">
        <w:rPr>
          <w:lang w:val="en-GB"/>
        </w:rPr>
        <w:t>WebFX</w:t>
      </w:r>
      <w:proofErr w:type="spellEnd"/>
      <w:r w:rsidRPr="00182514">
        <w:rPr>
          <w:lang w:val="en-GB"/>
        </w:rPr>
        <w:t>, “Influencer Marketing Pricing: How Much Does It Cost?</w:t>
      </w:r>
      <w:r w:rsidR="00604B86" w:rsidRPr="00182514">
        <w:rPr>
          <w:lang w:val="en-GB"/>
        </w:rPr>
        <w:t>,</w:t>
      </w:r>
      <w:r w:rsidRPr="00182514">
        <w:rPr>
          <w:lang w:val="en-GB"/>
        </w:rPr>
        <w:t xml:space="preserve">” </w:t>
      </w:r>
      <w:proofErr w:type="spellStart"/>
      <w:r w:rsidRPr="00FD0A48">
        <w:rPr>
          <w:lang w:val="en-GB"/>
        </w:rPr>
        <w:t>WebFX</w:t>
      </w:r>
      <w:proofErr w:type="spellEnd"/>
      <w:r w:rsidR="00604B86" w:rsidRPr="00182514">
        <w:rPr>
          <w:lang w:val="en-GB"/>
        </w:rPr>
        <w:t xml:space="preserve">, </w:t>
      </w:r>
      <w:r w:rsidRPr="00182514">
        <w:rPr>
          <w:lang w:val="en-GB"/>
        </w:rPr>
        <w:t xml:space="preserve">accessed May 27, 2020, www.webfx.com/influencer-marketing-pricing.html; </w:t>
      </w:r>
      <w:r w:rsidR="00604B86" w:rsidRPr="00182514">
        <w:rPr>
          <w:lang w:val="en-GB"/>
        </w:rPr>
        <w:t xml:space="preserve">Amanda </w:t>
      </w:r>
      <w:proofErr w:type="spellStart"/>
      <w:r w:rsidR="00604B86" w:rsidRPr="00182514">
        <w:rPr>
          <w:lang w:val="en-GB"/>
        </w:rPr>
        <w:t>Perelli</w:t>
      </w:r>
      <w:proofErr w:type="spellEnd"/>
      <w:r w:rsidR="00604B86" w:rsidRPr="00182514">
        <w:rPr>
          <w:lang w:val="en-GB"/>
        </w:rPr>
        <w:t xml:space="preserve">, </w:t>
      </w:r>
      <w:r w:rsidRPr="00182514">
        <w:rPr>
          <w:lang w:val="en-GB"/>
        </w:rPr>
        <w:t xml:space="preserve">“How </w:t>
      </w:r>
      <w:r w:rsidR="00604B86" w:rsidRPr="00182514">
        <w:rPr>
          <w:lang w:val="en-GB"/>
        </w:rPr>
        <w:t xml:space="preserve">Much </w:t>
      </w:r>
      <w:proofErr w:type="spellStart"/>
      <w:r w:rsidRPr="00182514">
        <w:rPr>
          <w:lang w:val="en-GB"/>
        </w:rPr>
        <w:t>TikTok</w:t>
      </w:r>
      <w:proofErr w:type="spellEnd"/>
      <w:r w:rsidRPr="00182514">
        <w:rPr>
          <w:lang w:val="en-GB"/>
        </w:rPr>
        <w:t xml:space="preserve"> </w:t>
      </w:r>
      <w:r w:rsidR="00604B86" w:rsidRPr="00182514">
        <w:rPr>
          <w:lang w:val="en-GB"/>
        </w:rPr>
        <w:t>Stars S</w:t>
      </w:r>
      <w:r w:rsidRPr="00182514">
        <w:rPr>
          <w:lang w:val="en-GB"/>
        </w:rPr>
        <w:t xml:space="preserve">hould </w:t>
      </w:r>
      <w:r w:rsidR="00604B86" w:rsidRPr="00182514">
        <w:rPr>
          <w:lang w:val="en-GB"/>
        </w:rPr>
        <w:t xml:space="preserve">Earn </w:t>
      </w:r>
      <w:r w:rsidRPr="00182514">
        <w:rPr>
          <w:lang w:val="en-GB"/>
        </w:rPr>
        <w:t xml:space="preserve">from a </w:t>
      </w:r>
      <w:r w:rsidR="00604B86" w:rsidRPr="00182514">
        <w:rPr>
          <w:lang w:val="en-GB"/>
        </w:rPr>
        <w:t>Brand Deal</w:t>
      </w:r>
      <w:r w:rsidRPr="00182514">
        <w:rPr>
          <w:lang w:val="en-GB"/>
        </w:rPr>
        <w:t xml:space="preserve">, </w:t>
      </w:r>
      <w:r w:rsidR="00604B86" w:rsidRPr="00182514">
        <w:rPr>
          <w:lang w:val="en-GB"/>
        </w:rPr>
        <w:t>A</w:t>
      </w:r>
      <w:r w:rsidRPr="00182514">
        <w:rPr>
          <w:lang w:val="en-GB"/>
        </w:rPr>
        <w:t xml:space="preserve">ccording to a </w:t>
      </w:r>
      <w:r w:rsidR="00604B86" w:rsidRPr="00182514">
        <w:rPr>
          <w:lang w:val="en-GB"/>
        </w:rPr>
        <w:t>Talent Manager Who Says They Often ‘Can Get A Lot More Money’ Than They Think</w:t>
      </w:r>
      <w:r w:rsidRPr="00182514">
        <w:rPr>
          <w:lang w:val="en-GB"/>
        </w:rPr>
        <w:t xml:space="preserve">,” </w:t>
      </w:r>
      <w:r w:rsidRPr="00FD0A48">
        <w:rPr>
          <w:lang w:val="en-GB"/>
        </w:rPr>
        <w:t>Business Insider</w:t>
      </w:r>
      <w:r w:rsidR="00604B86" w:rsidRPr="00182514">
        <w:rPr>
          <w:lang w:val="en-GB"/>
        </w:rPr>
        <w:t xml:space="preserve">, March 9, 2020, </w:t>
      </w:r>
      <w:r w:rsidRPr="00182514">
        <w:rPr>
          <w:lang w:val="en-GB"/>
        </w:rPr>
        <w:t>accessed May 27, 2020, www.businessinsider.com/how-much-money-tiktok-influencer-1-million-followers-can-make-2020-3.</w:t>
      </w:r>
    </w:p>
    <w:p w14:paraId="62C26D20" w14:textId="62AF4A26" w:rsidR="0064317A" w:rsidRPr="00182514" w:rsidRDefault="0064317A" w:rsidP="00A663F7">
      <w:pPr>
        <w:pStyle w:val="ExhibitText"/>
        <w:rPr>
          <w:sz w:val="18"/>
          <w:lang w:val="en-GB"/>
        </w:rPr>
      </w:pPr>
    </w:p>
    <w:p w14:paraId="79BC77FB" w14:textId="77777777" w:rsidR="00A663F7" w:rsidRPr="00182514" w:rsidRDefault="00A663F7" w:rsidP="00A663F7">
      <w:pPr>
        <w:pStyle w:val="ExhibitText"/>
        <w:rPr>
          <w:sz w:val="18"/>
          <w:lang w:val="en-GB"/>
        </w:rPr>
      </w:pPr>
    </w:p>
    <w:p w14:paraId="57E14728" w14:textId="589879F3" w:rsidR="0064317A" w:rsidRPr="00182514" w:rsidRDefault="0064317A" w:rsidP="00FD0A48">
      <w:pPr>
        <w:pStyle w:val="ExhibitHeading"/>
        <w:keepNext/>
        <w:keepLines/>
        <w:rPr>
          <w:lang w:val="en-GB"/>
        </w:rPr>
      </w:pPr>
      <w:r w:rsidRPr="00182514">
        <w:rPr>
          <w:lang w:val="en-GB"/>
        </w:rPr>
        <w:lastRenderedPageBreak/>
        <w:t xml:space="preserve">EXHIBIT 9: </w:t>
      </w:r>
      <w:r w:rsidR="00604B86" w:rsidRPr="00182514">
        <w:rPr>
          <w:lang w:val="en-GB"/>
        </w:rPr>
        <w:t xml:space="preserve">Tentree </w:t>
      </w:r>
      <w:r w:rsidRPr="00182514">
        <w:rPr>
          <w:lang w:val="en-GB"/>
        </w:rPr>
        <w:t>CLIMATE+ ACTIVITY BREAKDOWN</w:t>
      </w:r>
    </w:p>
    <w:p w14:paraId="1FDEA372" w14:textId="77777777" w:rsidR="00A663F7" w:rsidRPr="00182514" w:rsidRDefault="00A663F7" w:rsidP="00FD0A48">
      <w:pPr>
        <w:pStyle w:val="ExhibitText"/>
        <w:keepNext/>
        <w:keepLines/>
        <w:rPr>
          <w:lang w:val="en-GB"/>
        </w:rPr>
      </w:pP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Caption w:val="Exhibit 9"/>
        <w:tblDescription w:val="tentree Climate+ activity breakdown"/>
      </w:tblPr>
      <w:tblGrid>
        <w:gridCol w:w="3116"/>
        <w:gridCol w:w="3117"/>
      </w:tblGrid>
      <w:tr w:rsidR="0064317A" w:rsidRPr="00182514" w14:paraId="1509C386" w14:textId="77777777" w:rsidTr="00185A30">
        <w:trPr>
          <w:tblHeader/>
          <w:jc w:val="center"/>
        </w:trPr>
        <w:tc>
          <w:tcPr>
            <w:tcW w:w="3116" w:type="dxa"/>
          </w:tcPr>
          <w:p w14:paraId="78739DE6" w14:textId="77777777" w:rsidR="0064317A" w:rsidRPr="00182514" w:rsidRDefault="0064317A" w:rsidP="00FD0A48">
            <w:pPr>
              <w:pStyle w:val="ExhibitText"/>
              <w:keepNext/>
              <w:keepLines/>
              <w:jc w:val="center"/>
              <w:rPr>
                <w:b/>
                <w:lang w:val="en-GB"/>
              </w:rPr>
            </w:pPr>
            <w:r w:rsidRPr="00182514">
              <w:rPr>
                <w:b/>
                <w:lang w:val="en-GB"/>
              </w:rPr>
              <w:t>Activity</w:t>
            </w:r>
          </w:p>
        </w:tc>
        <w:tc>
          <w:tcPr>
            <w:tcW w:w="3117" w:type="dxa"/>
          </w:tcPr>
          <w:p w14:paraId="067D6EA1" w14:textId="77777777" w:rsidR="0064317A" w:rsidRPr="00182514" w:rsidRDefault="0064317A" w:rsidP="00FD0A48">
            <w:pPr>
              <w:pStyle w:val="ExhibitText"/>
              <w:keepNext/>
              <w:keepLines/>
              <w:jc w:val="center"/>
              <w:rPr>
                <w:b/>
                <w:lang w:val="en-GB"/>
              </w:rPr>
            </w:pPr>
            <w:r w:rsidRPr="00182514">
              <w:rPr>
                <w:b/>
                <w:lang w:val="en-GB"/>
              </w:rPr>
              <w:t>Number of Trees to Offset</w:t>
            </w:r>
          </w:p>
        </w:tc>
      </w:tr>
      <w:tr w:rsidR="0064317A" w:rsidRPr="00182514" w14:paraId="541933FC" w14:textId="77777777" w:rsidTr="00185A30">
        <w:trPr>
          <w:tblHeader/>
          <w:jc w:val="center"/>
        </w:trPr>
        <w:tc>
          <w:tcPr>
            <w:tcW w:w="3116" w:type="dxa"/>
          </w:tcPr>
          <w:p w14:paraId="329EA587" w14:textId="45BA80D2" w:rsidR="0064317A" w:rsidRPr="00182514" w:rsidRDefault="00712140" w:rsidP="00FD0A48">
            <w:pPr>
              <w:pStyle w:val="ExhibitText"/>
              <w:keepNext/>
              <w:keepLines/>
              <w:rPr>
                <w:lang w:val="en-GB"/>
              </w:rPr>
            </w:pPr>
            <w:r w:rsidRPr="00182514">
              <w:rPr>
                <w:lang w:val="en-GB"/>
              </w:rPr>
              <w:t>A Lifetime of Smartphone Use</w:t>
            </w:r>
          </w:p>
        </w:tc>
        <w:tc>
          <w:tcPr>
            <w:tcW w:w="3117" w:type="dxa"/>
          </w:tcPr>
          <w:p w14:paraId="0B40E837" w14:textId="77777777" w:rsidR="0064317A" w:rsidRPr="00182514" w:rsidRDefault="0064317A" w:rsidP="00FD0A48">
            <w:pPr>
              <w:pStyle w:val="ExhibitText"/>
              <w:keepNext/>
              <w:keepLines/>
              <w:ind w:right="200"/>
              <w:jc w:val="right"/>
              <w:rPr>
                <w:lang w:val="en-GB"/>
              </w:rPr>
            </w:pPr>
            <w:r w:rsidRPr="00182514">
              <w:rPr>
                <w:lang w:val="en-GB"/>
              </w:rPr>
              <w:t>9</w:t>
            </w:r>
          </w:p>
        </w:tc>
      </w:tr>
      <w:tr w:rsidR="0064317A" w:rsidRPr="00182514" w14:paraId="163AE416" w14:textId="77777777" w:rsidTr="00185A30">
        <w:trPr>
          <w:tblHeader/>
          <w:jc w:val="center"/>
        </w:trPr>
        <w:tc>
          <w:tcPr>
            <w:tcW w:w="3116" w:type="dxa"/>
          </w:tcPr>
          <w:p w14:paraId="65EC389D" w14:textId="37796D47" w:rsidR="0064317A" w:rsidRPr="00182514" w:rsidRDefault="00712140" w:rsidP="00FD0A48">
            <w:pPr>
              <w:pStyle w:val="ExhibitText"/>
              <w:keepNext/>
              <w:keepLines/>
              <w:rPr>
                <w:lang w:val="en-GB"/>
              </w:rPr>
            </w:pPr>
            <w:r w:rsidRPr="00182514">
              <w:rPr>
                <w:lang w:val="en-GB"/>
              </w:rPr>
              <w:t>Binge Watching Television</w:t>
            </w:r>
          </w:p>
        </w:tc>
        <w:tc>
          <w:tcPr>
            <w:tcW w:w="3117" w:type="dxa"/>
          </w:tcPr>
          <w:p w14:paraId="3244D8B8" w14:textId="77777777" w:rsidR="0064317A" w:rsidRPr="00182514" w:rsidRDefault="0064317A" w:rsidP="00FD0A48">
            <w:pPr>
              <w:pStyle w:val="ExhibitText"/>
              <w:keepNext/>
              <w:keepLines/>
              <w:ind w:right="200"/>
              <w:jc w:val="right"/>
              <w:rPr>
                <w:lang w:val="en-GB"/>
              </w:rPr>
            </w:pPr>
            <w:r w:rsidRPr="00182514">
              <w:rPr>
                <w:lang w:val="en-GB"/>
              </w:rPr>
              <w:t>12</w:t>
            </w:r>
          </w:p>
        </w:tc>
      </w:tr>
      <w:tr w:rsidR="0064317A" w:rsidRPr="00182514" w14:paraId="5DD6E978" w14:textId="77777777" w:rsidTr="00185A30">
        <w:trPr>
          <w:tblHeader/>
          <w:jc w:val="center"/>
        </w:trPr>
        <w:tc>
          <w:tcPr>
            <w:tcW w:w="3116" w:type="dxa"/>
          </w:tcPr>
          <w:p w14:paraId="6C4CE047" w14:textId="4CB7D89B" w:rsidR="0064317A" w:rsidRPr="00182514" w:rsidRDefault="00712140" w:rsidP="00FD0A48">
            <w:pPr>
              <w:pStyle w:val="ExhibitText"/>
              <w:keepNext/>
              <w:keepLines/>
              <w:rPr>
                <w:lang w:val="en-GB"/>
              </w:rPr>
            </w:pPr>
            <w:r w:rsidRPr="00182514">
              <w:rPr>
                <w:lang w:val="en-GB"/>
              </w:rPr>
              <w:t>Driving to Work for A Year</w:t>
            </w:r>
          </w:p>
        </w:tc>
        <w:tc>
          <w:tcPr>
            <w:tcW w:w="3117" w:type="dxa"/>
          </w:tcPr>
          <w:p w14:paraId="5C44FE26" w14:textId="77777777" w:rsidR="0064317A" w:rsidRPr="00182514" w:rsidRDefault="0064317A" w:rsidP="00FD0A48">
            <w:pPr>
              <w:pStyle w:val="ExhibitText"/>
              <w:keepNext/>
              <w:keepLines/>
              <w:ind w:right="200"/>
              <w:jc w:val="right"/>
              <w:rPr>
                <w:lang w:val="en-GB"/>
              </w:rPr>
            </w:pPr>
            <w:r w:rsidRPr="00182514">
              <w:rPr>
                <w:lang w:val="en-GB"/>
              </w:rPr>
              <w:t>25</w:t>
            </w:r>
          </w:p>
        </w:tc>
      </w:tr>
      <w:tr w:rsidR="0064317A" w:rsidRPr="00182514" w14:paraId="1EF2DC4E" w14:textId="77777777" w:rsidTr="00185A30">
        <w:trPr>
          <w:tblHeader/>
          <w:jc w:val="center"/>
        </w:trPr>
        <w:tc>
          <w:tcPr>
            <w:tcW w:w="3116" w:type="dxa"/>
          </w:tcPr>
          <w:p w14:paraId="18C78F7E" w14:textId="262F6E1C" w:rsidR="0064317A" w:rsidRPr="00182514" w:rsidRDefault="00712140" w:rsidP="00FD0A48">
            <w:pPr>
              <w:pStyle w:val="ExhibitText"/>
              <w:keepNext/>
              <w:keepLines/>
              <w:rPr>
                <w:lang w:val="en-GB"/>
              </w:rPr>
            </w:pPr>
            <w:r w:rsidRPr="00182514">
              <w:rPr>
                <w:lang w:val="en-GB"/>
              </w:rPr>
              <w:t>Food Delivery</w:t>
            </w:r>
          </w:p>
        </w:tc>
        <w:tc>
          <w:tcPr>
            <w:tcW w:w="3117" w:type="dxa"/>
          </w:tcPr>
          <w:p w14:paraId="3AD881A8" w14:textId="77777777" w:rsidR="0064317A" w:rsidRPr="00182514" w:rsidRDefault="0064317A" w:rsidP="00FD0A48">
            <w:pPr>
              <w:pStyle w:val="ExhibitText"/>
              <w:keepNext/>
              <w:keepLines/>
              <w:ind w:right="200"/>
              <w:jc w:val="right"/>
              <w:rPr>
                <w:lang w:val="en-GB"/>
              </w:rPr>
            </w:pPr>
            <w:r w:rsidRPr="00182514">
              <w:rPr>
                <w:lang w:val="en-GB"/>
              </w:rPr>
              <w:t>11</w:t>
            </w:r>
          </w:p>
        </w:tc>
      </w:tr>
      <w:tr w:rsidR="0064317A" w:rsidRPr="00182514" w14:paraId="2AA3427A" w14:textId="77777777" w:rsidTr="00185A30">
        <w:trPr>
          <w:tblHeader/>
          <w:jc w:val="center"/>
        </w:trPr>
        <w:tc>
          <w:tcPr>
            <w:tcW w:w="3116" w:type="dxa"/>
          </w:tcPr>
          <w:p w14:paraId="65FA60BE" w14:textId="09771EE5" w:rsidR="0064317A" w:rsidRPr="00182514" w:rsidRDefault="00712140" w:rsidP="00FD0A48">
            <w:pPr>
              <w:pStyle w:val="ExhibitText"/>
              <w:keepNext/>
              <w:keepLines/>
              <w:rPr>
                <w:lang w:val="en-GB"/>
              </w:rPr>
            </w:pPr>
            <w:r w:rsidRPr="00182514">
              <w:rPr>
                <w:lang w:val="en-GB"/>
              </w:rPr>
              <w:t>International Flight</w:t>
            </w:r>
          </w:p>
        </w:tc>
        <w:tc>
          <w:tcPr>
            <w:tcW w:w="3117" w:type="dxa"/>
          </w:tcPr>
          <w:p w14:paraId="515E5302" w14:textId="77777777" w:rsidR="0064317A" w:rsidRPr="00182514" w:rsidRDefault="0064317A" w:rsidP="00FD0A48">
            <w:pPr>
              <w:pStyle w:val="ExhibitText"/>
              <w:keepNext/>
              <w:keepLines/>
              <w:ind w:right="200"/>
              <w:jc w:val="right"/>
              <w:rPr>
                <w:lang w:val="en-GB"/>
              </w:rPr>
            </w:pPr>
            <w:r w:rsidRPr="00182514">
              <w:rPr>
                <w:lang w:val="en-GB"/>
              </w:rPr>
              <w:t>15</w:t>
            </w:r>
          </w:p>
        </w:tc>
      </w:tr>
      <w:tr w:rsidR="0064317A" w:rsidRPr="00182514" w14:paraId="125BA96D" w14:textId="77777777" w:rsidTr="00185A30">
        <w:trPr>
          <w:tblHeader/>
          <w:jc w:val="center"/>
        </w:trPr>
        <w:tc>
          <w:tcPr>
            <w:tcW w:w="3116" w:type="dxa"/>
          </w:tcPr>
          <w:p w14:paraId="543A187D" w14:textId="380C4D75" w:rsidR="0064317A" w:rsidRPr="00182514" w:rsidRDefault="00712140" w:rsidP="00FD0A48">
            <w:pPr>
              <w:pStyle w:val="ExhibitText"/>
              <w:keepNext/>
              <w:keepLines/>
              <w:rPr>
                <w:lang w:val="en-GB"/>
              </w:rPr>
            </w:pPr>
            <w:r w:rsidRPr="00182514">
              <w:rPr>
                <w:lang w:val="en-GB"/>
              </w:rPr>
              <w:t>Long Shower</w:t>
            </w:r>
          </w:p>
        </w:tc>
        <w:tc>
          <w:tcPr>
            <w:tcW w:w="3117" w:type="dxa"/>
          </w:tcPr>
          <w:p w14:paraId="53CA48E7" w14:textId="77777777" w:rsidR="0064317A" w:rsidRPr="00182514" w:rsidRDefault="0064317A" w:rsidP="00FD0A48">
            <w:pPr>
              <w:pStyle w:val="ExhibitText"/>
              <w:keepNext/>
              <w:keepLines/>
              <w:ind w:right="200"/>
              <w:jc w:val="right"/>
              <w:rPr>
                <w:lang w:val="en-GB"/>
              </w:rPr>
            </w:pPr>
            <w:r w:rsidRPr="00182514">
              <w:rPr>
                <w:lang w:val="en-GB"/>
              </w:rPr>
              <w:t>27</w:t>
            </w:r>
          </w:p>
        </w:tc>
      </w:tr>
      <w:tr w:rsidR="0064317A" w:rsidRPr="00182514" w14:paraId="3521548C" w14:textId="77777777" w:rsidTr="00185A30">
        <w:trPr>
          <w:tblHeader/>
          <w:jc w:val="center"/>
        </w:trPr>
        <w:tc>
          <w:tcPr>
            <w:tcW w:w="3116" w:type="dxa"/>
          </w:tcPr>
          <w:p w14:paraId="617F7677" w14:textId="7F9BC2DF" w:rsidR="0064317A" w:rsidRPr="00182514" w:rsidRDefault="00712140" w:rsidP="00FD0A48">
            <w:pPr>
              <w:pStyle w:val="ExhibitText"/>
              <w:keepNext/>
              <w:keepLines/>
              <w:rPr>
                <w:lang w:val="en-GB"/>
              </w:rPr>
            </w:pPr>
            <w:r w:rsidRPr="00182514">
              <w:rPr>
                <w:lang w:val="en-GB"/>
              </w:rPr>
              <w:t>Road Trip</w:t>
            </w:r>
          </w:p>
        </w:tc>
        <w:tc>
          <w:tcPr>
            <w:tcW w:w="3117" w:type="dxa"/>
          </w:tcPr>
          <w:p w14:paraId="71F09216" w14:textId="77777777" w:rsidR="0064317A" w:rsidRPr="00182514" w:rsidRDefault="0064317A" w:rsidP="00FD0A48">
            <w:pPr>
              <w:pStyle w:val="ExhibitText"/>
              <w:keepNext/>
              <w:keepLines/>
              <w:ind w:right="200"/>
              <w:jc w:val="right"/>
              <w:rPr>
                <w:lang w:val="en-GB"/>
              </w:rPr>
            </w:pPr>
            <w:r w:rsidRPr="00182514">
              <w:rPr>
                <w:lang w:val="en-GB"/>
              </w:rPr>
              <w:t>10</w:t>
            </w:r>
          </w:p>
        </w:tc>
      </w:tr>
      <w:tr w:rsidR="0064317A" w:rsidRPr="00182514" w14:paraId="74188001" w14:textId="77777777" w:rsidTr="00185A30">
        <w:trPr>
          <w:tblHeader/>
          <w:jc w:val="center"/>
        </w:trPr>
        <w:tc>
          <w:tcPr>
            <w:tcW w:w="3116" w:type="dxa"/>
          </w:tcPr>
          <w:p w14:paraId="5AB550C1" w14:textId="4D1F97BA" w:rsidR="0064317A" w:rsidRPr="00182514" w:rsidRDefault="00712140" w:rsidP="00FD0A48">
            <w:pPr>
              <w:pStyle w:val="ExhibitText"/>
              <w:keepNext/>
              <w:keepLines/>
              <w:rPr>
                <w:lang w:val="en-GB"/>
              </w:rPr>
            </w:pPr>
            <w:r w:rsidRPr="00182514">
              <w:rPr>
                <w:lang w:val="en-GB"/>
              </w:rPr>
              <w:t>Shipping A Package</w:t>
            </w:r>
          </w:p>
        </w:tc>
        <w:tc>
          <w:tcPr>
            <w:tcW w:w="3117" w:type="dxa"/>
          </w:tcPr>
          <w:p w14:paraId="78E7EA68" w14:textId="77777777" w:rsidR="0064317A" w:rsidRPr="00182514" w:rsidRDefault="0064317A" w:rsidP="00FD0A48">
            <w:pPr>
              <w:pStyle w:val="ExhibitText"/>
              <w:keepNext/>
              <w:keepLines/>
              <w:ind w:right="200"/>
              <w:jc w:val="right"/>
              <w:rPr>
                <w:lang w:val="en-GB"/>
              </w:rPr>
            </w:pPr>
            <w:r w:rsidRPr="00182514">
              <w:rPr>
                <w:lang w:val="en-GB"/>
              </w:rPr>
              <w:t>10</w:t>
            </w:r>
          </w:p>
        </w:tc>
      </w:tr>
      <w:tr w:rsidR="0064317A" w:rsidRPr="00182514" w14:paraId="34FE1C79" w14:textId="77777777" w:rsidTr="00185A30">
        <w:trPr>
          <w:tblHeader/>
          <w:jc w:val="center"/>
        </w:trPr>
        <w:tc>
          <w:tcPr>
            <w:tcW w:w="3116" w:type="dxa"/>
          </w:tcPr>
          <w:p w14:paraId="6AF399AD" w14:textId="7C2F65B6" w:rsidR="0064317A" w:rsidRPr="00182514" w:rsidRDefault="00712140" w:rsidP="00FD0A48">
            <w:pPr>
              <w:pStyle w:val="ExhibitText"/>
              <w:keepNext/>
              <w:keepLines/>
              <w:rPr>
                <w:lang w:val="en-GB"/>
              </w:rPr>
            </w:pPr>
            <w:r w:rsidRPr="00182514">
              <w:rPr>
                <w:lang w:val="en-GB"/>
              </w:rPr>
              <w:t>Surfing the Net</w:t>
            </w:r>
          </w:p>
        </w:tc>
        <w:tc>
          <w:tcPr>
            <w:tcW w:w="3117" w:type="dxa"/>
          </w:tcPr>
          <w:p w14:paraId="1E5B70AB" w14:textId="77777777" w:rsidR="0064317A" w:rsidRPr="00182514" w:rsidRDefault="0064317A" w:rsidP="00FD0A48">
            <w:pPr>
              <w:pStyle w:val="ExhibitText"/>
              <w:keepNext/>
              <w:keepLines/>
              <w:ind w:right="200"/>
              <w:jc w:val="right"/>
              <w:rPr>
                <w:lang w:val="en-GB"/>
              </w:rPr>
            </w:pPr>
            <w:r w:rsidRPr="00182514">
              <w:rPr>
                <w:lang w:val="en-GB"/>
              </w:rPr>
              <w:t>28</w:t>
            </w:r>
          </w:p>
        </w:tc>
      </w:tr>
    </w:tbl>
    <w:p w14:paraId="42B5B96A" w14:textId="77777777" w:rsidR="00A663F7" w:rsidRPr="00182514" w:rsidRDefault="00A663F7" w:rsidP="00FD0A48">
      <w:pPr>
        <w:pStyle w:val="ExhibitText"/>
        <w:keepNext/>
        <w:keepLines/>
        <w:rPr>
          <w:lang w:val="en-GB"/>
        </w:rPr>
      </w:pPr>
    </w:p>
    <w:p w14:paraId="6B1A1DA8" w14:textId="0EA43544" w:rsidR="007766C8" w:rsidRPr="00182514" w:rsidRDefault="0064317A">
      <w:pPr>
        <w:pStyle w:val="Footnote"/>
        <w:keepNext/>
        <w:keepLines/>
        <w:rPr>
          <w:lang w:val="en-GB"/>
        </w:rPr>
      </w:pPr>
      <w:r w:rsidRPr="00182514">
        <w:rPr>
          <w:lang w:val="en-GB"/>
        </w:rPr>
        <w:t>Source: Company files</w:t>
      </w:r>
      <w:r w:rsidR="00604B86" w:rsidRPr="00182514">
        <w:rPr>
          <w:lang w:val="en-GB"/>
        </w:rPr>
        <w:t>.</w:t>
      </w:r>
    </w:p>
    <w:p w14:paraId="7D4D0420" w14:textId="4EC2285E" w:rsidR="0064317A" w:rsidRPr="00182514" w:rsidRDefault="0064317A" w:rsidP="006823DA">
      <w:pPr>
        <w:spacing w:after="200" w:line="276" w:lineRule="auto"/>
        <w:rPr>
          <w:lang w:val="en-GB"/>
        </w:rPr>
      </w:pPr>
    </w:p>
    <w:sectPr w:rsidR="0064317A" w:rsidRPr="00182514" w:rsidSect="00037187">
      <w:headerReference w:type="default" r:id="rId17"/>
      <w:endnotePr>
        <w:numFmt w:val="decimal"/>
      </w:endnotePr>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CF7B6" w14:textId="77777777" w:rsidR="003559A4" w:rsidRDefault="003559A4" w:rsidP="00D75295">
      <w:r>
        <w:separator/>
      </w:r>
    </w:p>
  </w:endnote>
  <w:endnote w:type="continuationSeparator" w:id="0">
    <w:p w14:paraId="255F8B4B" w14:textId="77777777" w:rsidR="003559A4" w:rsidRDefault="003559A4"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07B70" w14:textId="77777777" w:rsidR="003559A4" w:rsidRDefault="003559A4" w:rsidP="00D75295">
      <w:r>
        <w:separator/>
      </w:r>
    </w:p>
  </w:footnote>
  <w:footnote w:type="continuationSeparator" w:id="0">
    <w:p w14:paraId="0CE344C9" w14:textId="77777777" w:rsidR="003559A4" w:rsidRDefault="003559A4" w:rsidP="00D75295">
      <w:r>
        <w:continuationSeparator/>
      </w:r>
    </w:p>
  </w:footnote>
  <w:footnote w:id="1">
    <w:p w14:paraId="4140E436" w14:textId="77777777" w:rsidR="00FA26DB" w:rsidRPr="007766C8" w:rsidRDefault="00FA26DB" w:rsidP="00FA26DB">
      <w:pPr>
        <w:pStyle w:val="Footnote"/>
      </w:pPr>
      <w:r w:rsidRPr="00CA34D3">
        <w:rPr>
          <w:rStyle w:val="FootnoteReference"/>
        </w:rPr>
        <w:footnoteRef/>
      </w:r>
      <w:r w:rsidRPr="00CA34D3">
        <w:t xml:space="preserve"> </w:t>
      </w:r>
      <w:r w:rsidRPr="007766C8">
        <w:t>Excluding corporate accounts and warehouse sales.</w:t>
      </w:r>
      <w:r>
        <w:t xml:space="preserve"> </w:t>
      </w:r>
      <w:r w:rsidRPr="007766C8">
        <w:t>All currency amounts are in Canadian dollars.</w:t>
      </w:r>
    </w:p>
  </w:footnote>
  <w:footnote w:id="2">
    <w:p w14:paraId="76DD7986" w14:textId="5D949EDB" w:rsidR="00CF2498" w:rsidRPr="00CA34D3" w:rsidRDefault="00CF2498" w:rsidP="00EF0955">
      <w:pPr>
        <w:pStyle w:val="Footnote"/>
      </w:pPr>
      <w:r w:rsidRPr="00CA34D3">
        <w:rPr>
          <w:rStyle w:val="FootnoteReference"/>
        </w:rPr>
        <w:footnoteRef/>
      </w:r>
      <w:r w:rsidRPr="00CA34D3">
        <w:t xml:space="preserve"> </w:t>
      </w:r>
      <w:r w:rsidR="00455FF3">
        <w:t>“</w:t>
      </w:r>
      <w:r>
        <w:t xml:space="preserve">About Vancouver: </w:t>
      </w:r>
      <w:r w:rsidRPr="00BB7B31">
        <w:t>Geography</w:t>
      </w:r>
      <w:r>
        <w:t>,”</w:t>
      </w:r>
      <w:r>
        <w:rPr>
          <w:i/>
        </w:rPr>
        <w:t xml:space="preserve"> </w:t>
      </w:r>
      <w:r w:rsidRPr="00FD0A48">
        <w:t>City of Vancouver</w:t>
      </w:r>
      <w:r>
        <w:t>,</w:t>
      </w:r>
      <w:r>
        <w:rPr>
          <w:i/>
        </w:rPr>
        <w:t xml:space="preserve"> </w:t>
      </w:r>
      <w:r>
        <w:t xml:space="preserve">accessed May 15, 2020, </w:t>
      </w:r>
      <w:r w:rsidRPr="00CA34D3">
        <w:t>https://vancouver.ca/news-calendar/geo.aspx</w:t>
      </w:r>
      <w:r>
        <w:t>.</w:t>
      </w:r>
    </w:p>
  </w:footnote>
  <w:footnote w:id="3">
    <w:p w14:paraId="298C1041" w14:textId="34C54DB0" w:rsidR="00CF2498" w:rsidRPr="00CA34D3" w:rsidRDefault="00CF2498" w:rsidP="00EF0955">
      <w:pPr>
        <w:pStyle w:val="Footnote"/>
      </w:pPr>
      <w:r w:rsidRPr="00CA34D3">
        <w:rPr>
          <w:rStyle w:val="FootnoteReference"/>
        </w:rPr>
        <w:footnoteRef/>
      </w:r>
      <w:r w:rsidRPr="00CA34D3">
        <w:t xml:space="preserve"> </w:t>
      </w:r>
      <w:proofErr w:type="spellStart"/>
      <w:r w:rsidRPr="00BB7B31">
        <w:t>Oishimaya</w:t>
      </w:r>
      <w:proofErr w:type="spellEnd"/>
      <w:r w:rsidRPr="00BB7B31">
        <w:t xml:space="preserve"> Sen Nag</w:t>
      </w:r>
      <w:r>
        <w:t>, “</w:t>
      </w:r>
      <w:r w:rsidRPr="00BB7B31">
        <w:t>The 10 Biggest Cities in British Columbia</w:t>
      </w:r>
      <w:r>
        <w:t>,</w:t>
      </w:r>
      <w:r w:rsidRPr="00AF3F38">
        <w:t xml:space="preserve">” </w:t>
      </w:r>
      <w:r w:rsidRPr="00FD0A48">
        <w:t>World Atlas</w:t>
      </w:r>
      <w:r w:rsidRPr="00AF3F38">
        <w:t xml:space="preserve">, </w:t>
      </w:r>
      <w:r w:rsidRPr="00FD0A48">
        <w:t>January 30</w:t>
      </w:r>
      <w:r>
        <w:t>,</w:t>
      </w:r>
      <w:r w:rsidRPr="00FD0A48">
        <w:t xml:space="preserve"> 2019</w:t>
      </w:r>
      <w:r>
        <w:t>,</w:t>
      </w:r>
      <w:r w:rsidRPr="00FD0A48">
        <w:t xml:space="preserve"> </w:t>
      </w:r>
      <w:r>
        <w:t xml:space="preserve">accessed May 15, 2020, </w:t>
      </w:r>
      <w:r w:rsidRPr="00CA34D3">
        <w:t>www.worldatlas.com/articles/the-10-biggest-cities-in-british-columbia.html</w:t>
      </w:r>
      <w:r>
        <w:t>.</w:t>
      </w:r>
    </w:p>
  </w:footnote>
  <w:footnote w:id="4">
    <w:p w14:paraId="0FED4E47" w14:textId="2D571312" w:rsidR="00CF2498" w:rsidRPr="00CA34D3" w:rsidRDefault="00CF2498" w:rsidP="00EF0955">
      <w:pPr>
        <w:pStyle w:val="Footnote"/>
      </w:pPr>
      <w:r w:rsidRPr="00CA34D3">
        <w:rPr>
          <w:rStyle w:val="FootnoteReference"/>
        </w:rPr>
        <w:footnoteRef/>
      </w:r>
      <w:r>
        <w:t xml:space="preserve"> </w:t>
      </w:r>
      <w:r w:rsidRPr="00A25EAD">
        <w:rPr>
          <w:spacing w:val="-4"/>
        </w:rPr>
        <w:t>“About Vancouver,” World Forum Foundation accessed, May 10, 2020, https://worldforumfoundation.org/2021-about-vancouver/.</w:t>
      </w:r>
      <w:r>
        <w:t xml:space="preserve"> </w:t>
      </w:r>
    </w:p>
  </w:footnote>
  <w:footnote w:id="5">
    <w:p w14:paraId="3F135207" w14:textId="0DE13D9C" w:rsidR="00CF2498" w:rsidRPr="00CA34D3" w:rsidRDefault="00CF2498" w:rsidP="00EF0955">
      <w:pPr>
        <w:pStyle w:val="Footnote"/>
      </w:pPr>
      <w:r w:rsidRPr="00CA34D3">
        <w:rPr>
          <w:rStyle w:val="FootnoteReference"/>
        </w:rPr>
        <w:footnoteRef/>
      </w:r>
      <w:r w:rsidRPr="00CA34D3">
        <w:t xml:space="preserve"> </w:t>
      </w:r>
      <w:r>
        <w:t>“</w:t>
      </w:r>
      <w:r w:rsidRPr="00A25EAD">
        <w:t>Living in Vancouver, British Columbia,” Living in Canada, accessed May 10, 2020, www.livingin-canada.com/living-in-vancouver.html.</w:t>
      </w:r>
    </w:p>
  </w:footnote>
  <w:footnote w:id="6">
    <w:p w14:paraId="633E9E66" w14:textId="554AF3CE" w:rsidR="00CF2498" w:rsidRPr="00CA34D3" w:rsidRDefault="00CF2498" w:rsidP="00EF0955">
      <w:pPr>
        <w:pStyle w:val="Footnote"/>
      </w:pPr>
      <w:r w:rsidRPr="00CA34D3">
        <w:rPr>
          <w:rStyle w:val="FootnoteReference"/>
        </w:rPr>
        <w:footnoteRef/>
      </w:r>
      <w:r w:rsidRPr="00CA34D3">
        <w:t xml:space="preserve"> </w:t>
      </w:r>
      <w:r>
        <w:t xml:space="preserve">“The Story of </w:t>
      </w:r>
      <w:proofErr w:type="spellStart"/>
      <w:r>
        <w:t>tentree</w:t>
      </w:r>
      <w:proofErr w:type="spellEnd"/>
      <w:r>
        <w:t xml:space="preserve">,” </w:t>
      </w:r>
      <w:r w:rsidRPr="00A31FC3">
        <w:rPr>
          <w:i/>
        </w:rPr>
        <w:t xml:space="preserve">The </w:t>
      </w:r>
      <w:proofErr w:type="spellStart"/>
      <w:r w:rsidRPr="00A31FC3">
        <w:rPr>
          <w:i/>
        </w:rPr>
        <w:t>Environmentor</w:t>
      </w:r>
      <w:proofErr w:type="spellEnd"/>
      <w:r>
        <w:t xml:space="preserve"> (blog), </w:t>
      </w:r>
      <w:proofErr w:type="spellStart"/>
      <w:r w:rsidRPr="00FD0A48">
        <w:t>tentree</w:t>
      </w:r>
      <w:proofErr w:type="spellEnd"/>
      <w:r>
        <w:t xml:space="preserve">, accessed May 11, 2020, </w:t>
      </w:r>
      <w:r w:rsidRPr="00CA34D3">
        <w:t>www.tentree.com/blogs/posts/the-story-of-tentree</w:t>
      </w:r>
      <w:r>
        <w:t>.</w:t>
      </w:r>
    </w:p>
  </w:footnote>
  <w:footnote w:id="7">
    <w:p w14:paraId="2B601E10" w14:textId="12E2F2A6" w:rsidR="00CF2498" w:rsidRPr="00CA34D3" w:rsidRDefault="00CF2498" w:rsidP="00EF0955">
      <w:pPr>
        <w:pStyle w:val="Footnote"/>
      </w:pPr>
      <w:r w:rsidRPr="00CA34D3">
        <w:rPr>
          <w:rStyle w:val="FootnoteReference"/>
        </w:rPr>
        <w:footnoteRef/>
      </w:r>
      <w:r w:rsidRPr="00CA34D3">
        <w:t xml:space="preserve"> </w:t>
      </w:r>
      <w:r w:rsidRPr="00AF3F38">
        <w:t xml:space="preserve">“The Story of </w:t>
      </w:r>
      <w:proofErr w:type="spellStart"/>
      <w:r w:rsidRPr="00AF3F38">
        <w:t>tentree</w:t>
      </w:r>
      <w:proofErr w:type="spellEnd"/>
      <w:r w:rsidRPr="00AF3F38">
        <w:t>,”</w:t>
      </w:r>
      <w:r>
        <w:t xml:space="preserve"> op. cit.</w:t>
      </w:r>
    </w:p>
  </w:footnote>
  <w:footnote w:id="8">
    <w:p w14:paraId="15F2B405" w14:textId="0993803C" w:rsidR="00CF2498" w:rsidRPr="00CA34D3" w:rsidRDefault="00CF2498" w:rsidP="00EF0955">
      <w:pPr>
        <w:pStyle w:val="Footnote"/>
      </w:pPr>
      <w:r w:rsidRPr="00DC709E">
        <w:rPr>
          <w:rStyle w:val="FootnoteReference"/>
        </w:rPr>
        <w:footnoteRef/>
      </w:r>
      <w:r w:rsidRPr="00DC709E">
        <w:t xml:space="preserve"> </w:t>
      </w:r>
      <w:r w:rsidRPr="00182514">
        <w:rPr>
          <w:lang w:val="en-GB"/>
        </w:rPr>
        <w:t>B Corps were businesses that met “the highest standards of verified social and environmental support, public transparency, and legal accountability to balance profit and purpose.”</w:t>
      </w:r>
      <w:r>
        <w:t xml:space="preserve">; </w:t>
      </w:r>
      <w:proofErr w:type="spellStart"/>
      <w:r w:rsidRPr="00DC709E">
        <w:t>Fairware</w:t>
      </w:r>
      <w:proofErr w:type="spellEnd"/>
      <w:r w:rsidRPr="00DC709E">
        <w:t>, “Certified B Corpor</w:t>
      </w:r>
      <w:r>
        <w:t>ations | Leading B Corps Share t</w:t>
      </w:r>
      <w:r w:rsidRPr="00DC709E">
        <w:t>he Benefits,” July 25, 2019, accessed February 2, 2021, https://fairware.com/certified-b-corporations-leading-b-corps-share-the-benefits/.</w:t>
      </w:r>
    </w:p>
  </w:footnote>
  <w:footnote w:id="9">
    <w:p w14:paraId="1AF0E814" w14:textId="7B4CB334" w:rsidR="00CF2498" w:rsidRPr="00CA34D3" w:rsidRDefault="00CF2498" w:rsidP="00EF0955">
      <w:pPr>
        <w:pStyle w:val="Footnote"/>
      </w:pPr>
      <w:r w:rsidRPr="00CA34D3">
        <w:rPr>
          <w:rStyle w:val="FootnoteReference"/>
        </w:rPr>
        <w:footnoteRef/>
      </w:r>
      <w:r w:rsidRPr="00CA34D3">
        <w:t xml:space="preserve"> </w:t>
      </w:r>
      <w:r w:rsidRPr="005F10AD">
        <w:t xml:space="preserve">“The Story of </w:t>
      </w:r>
      <w:proofErr w:type="spellStart"/>
      <w:r w:rsidRPr="005F10AD">
        <w:t>tentree</w:t>
      </w:r>
      <w:proofErr w:type="spellEnd"/>
      <w:r w:rsidRPr="005F10AD">
        <w:t xml:space="preserve">,” </w:t>
      </w:r>
      <w:r>
        <w:t>op. cit.</w:t>
      </w:r>
    </w:p>
  </w:footnote>
  <w:footnote w:id="10">
    <w:p w14:paraId="27040CF3" w14:textId="2B21E150" w:rsidR="00CF2498" w:rsidRPr="00EE535E" w:rsidRDefault="00CF2498" w:rsidP="00EF0955">
      <w:pPr>
        <w:pStyle w:val="Footnote"/>
      </w:pPr>
      <w:r w:rsidRPr="00CA34D3">
        <w:rPr>
          <w:rStyle w:val="FootnoteReference"/>
        </w:rPr>
        <w:footnoteRef/>
      </w:r>
      <w:r w:rsidRPr="00CA34D3">
        <w:t xml:space="preserve"> </w:t>
      </w:r>
      <w:r>
        <w:t xml:space="preserve">“Earth Hour, Earth Day,” </w:t>
      </w:r>
      <w:r w:rsidRPr="00FD0A48">
        <w:t>Niagara Falls Canada</w:t>
      </w:r>
      <w:r>
        <w:t xml:space="preserve">, accessed May 25, 2020, </w:t>
      </w:r>
      <w:r w:rsidRPr="00CA34D3">
        <w:t>https://niagarafalls.ca/living/environment/earth-events.aspx</w:t>
      </w:r>
      <w:r>
        <w:t>.</w:t>
      </w:r>
    </w:p>
  </w:footnote>
  <w:footnote w:id="11">
    <w:p w14:paraId="61719D44" w14:textId="1815E2DE" w:rsidR="00CF2498" w:rsidRPr="00CA34D3" w:rsidRDefault="00CF2498" w:rsidP="00EF0955">
      <w:pPr>
        <w:pStyle w:val="Footnote"/>
      </w:pPr>
      <w:r w:rsidRPr="00CA34D3">
        <w:rPr>
          <w:rStyle w:val="FootnoteReference"/>
        </w:rPr>
        <w:footnoteRef/>
      </w:r>
      <w:r w:rsidRPr="00CA34D3">
        <w:t xml:space="preserve"> </w:t>
      </w:r>
      <w:r>
        <w:t>“</w:t>
      </w:r>
      <w:proofErr w:type="spellStart"/>
      <w:r>
        <w:t>Adm_now</w:t>
      </w:r>
      <w:proofErr w:type="spellEnd"/>
      <w:r>
        <w:t xml:space="preserve">,” “Earth Week Events,” </w:t>
      </w:r>
      <w:r w:rsidRPr="00FD0A48">
        <w:t>NOW</w:t>
      </w:r>
      <w:r>
        <w:t>,</w:t>
      </w:r>
      <w:r w:rsidRPr="00C51874">
        <w:t xml:space="preserve"> </w:t>
      </w:r>
      <w:r>
        <w:t xml:space="preserve">April 14, 2011, </w:t>
      </w:r>
      <w:r w:rsidRPr="00C51874">
        <w:t>accessed</w:t>
      </w:r>
      <w:r>
        <w:t xml:space="preserve"> June 1, 2020, </w:t>
      </w:r>
      <w:r w:rsidRPr="00CA34D3">
        <w:t>https://nowtoronto.com/news/earth-week-events/</w:t>
      </w:r>
      <w:r>
        <w:t>.</w:t>
      </w:r>
    </w:p>
  </w:footnote>
  <w:footnote w:id="12">
    <w:p w14:paraId="5EAB357C" w14:textId="51D8A278" w:rsidR="00CF2498" w:rsidRPr="00CA34D3" w:rsidRDefault="00CF2498" w:rsidP="00EF0955">
      <w:pPr>
        <w:pStyle w:val="Footnote"/>
      </w:pPr>
      <w:r w:rsidRPr="00CA34D3">
        <w:rPr>
          <w:rStyle w:val="FootnoteReference"/>
        </w:rPr>
        <w:footnoteRef/>
      </w:r>
      <w:r w:rsidRPr="00CA34D3">
        <w:t xml:space="preserve"> </w:t>
      </w:r>
      <w:r w:rsidRPr="005F10AD">
        <w:t xml:space="preserve">“The Story of </w:t>
      </w:r>
      <w:proofErr w:type="spellStart"/>
      <w:r w:rsidRPr="005F10AD">
        <w:t>tentree</w:t>
      </w:r>
      <w:proofErr w:type="spellEnd"/>
      <w:r w:rsidRPr="005F10AD">
        <w:t xml:space="preserve">,” </w:t>
      </w:r>
      <w:r>
        <w:t>op. cit</w:t>
      </w:r>
      <w:r w:rsidR="00C81792">
        <w:t>.</w:t>
      </w:r>
    </w:p>
  </w:footnote>
  <w:footnote w:id="13">
    <w:p w14:paraId="692FB295" w14:textId="1BAC9D9A" w:rsidR="00CF2498" w:rsidRPr="00CA34D3" w:rsidRDefault="00CF2498" w:rsidP="00EF0955">
      <w:pPr>
        <w:pStyle w:val="Footnote"/>
      </w:pPr>
      <w:r w:rsidRPr="00CA34D3">
        <w:rPr>
          <w:rStyle w:val="FootnoteReference"/>
        </w:rPr>
        <w:footnoteRef/>
      </w:r>
      <w:r w:rsidRPr="00CA34D3">
        <w:t xml:space="preserve"> </w:t>
      </w:r>
      <w:r>
        <w:t>Ash Read, “</w:t>
      </w:r>
      <w:r w:rsidRPr="00D05699">
        <w:t xml:space="preserve">How </w:t>
      </w:r>
      <w:proofErr w:type="spellStart"/>
      <w:r w:rsidRPr="00D05699">
        <w:t>tentree</w:t>
      </w:r>
      <w:proofErr w:type="spellEnd"/>
      <w:r w:rsidRPr="00D05699">
        <w:t xml:space="preserve"> Took Over Instagram: Behind a Record-Breaking Social Media Campaign</w:t>
      </w:r>
      <w:r>
        <w:t xml:space="preserve">,” </w:t>
      </w:r>
      <w:r w:rsidRPr="00A31FC3">
        <w:rPr>
          <w:i/>
        </w:rPr>
        <w:t>Buffer</w:t>
      </w:r>
      <w:r w:rsidRPr="002C7939">
        <w:t xml:space="preserve"> </w:t>
      </w:r>
      <w:r w:rsidRPr="00C51874">
        <w:t xml:space="preserve">(blog), </w:t>
      </w:r>
      <w:r>
        <w:t xml:space="preserve">June 26, 2019, </w:t>
      </w:r>
      <w:r w:rsidRPr="00C51874">
        <w:t>accessed</w:t>
      </w:r>
      <w:r>
        <w:t xml:space="preserve"> May 25, 2020, </w:t>
      </w:r>
      <w:r w:rsidRPr="00CA34D3">
        <w:t>https://buffer.com/resources/tentree-earth-day-social-media-campaign</w:t>
      </w:r>
      <w:r>
        <w:t>.</w:t>
      </w:r>
    </w:p>
  </w:footnote>
  <w:footnote w:id="14">
    <w:p w14:paraId="65E2E47B" w14:textId="7EDDC6CF" w:rsidR="00CF2498" w:rsidRPr="00CA34D3" w:rsidRDefault="00CF2498" w:rsidP="00EF0955">
      <w:pPr>
        <w:pStyle w:val="Footnote"/>
      </w:pPr>
      <w:r w:rsidRPr="00CA34D3">
        <w:rPr>
          <w:rStyle w:val="FootnoteReference"/>
        </w:rPr>
        <w:footnoteRef/>
      </w:r>
      <w:r w:rsidRPr="00CA34D3">
        <w:t xml:space="preserve"> 20 of </w:t>
      </w:r>
      <w:r w:rsidR="00C81792">
        <w:t>these employees</w:t>
      </w:r>
      <w:r w:rsidRPr="00CA34D3">
        <w:t xml:space="preserve"> were dedicated to Marketing</w:t>
      </w:r>
      <w:r>
        <w:t>.</w:t>
      </w:r>
    </w:p>
  </w:footnote>
  <w:footnote w:id="15">
    <w:p w14:paraId="4C64212B" w14:textId="19822F56" w:rsidR="00CF2498" w:rsidRPr="00CA34D3" w:rsidRDefault="00CF2498" w:rsidP="00EF0955">
      <w:pPr>
        <w:pStyle w:val="Footnote"/>
      </w:pPr>
      <w:r w:rsidRPr="00CA34D3">
        <w:rPr>
          <w:rStyle w:val="FootnoteReference"/>
        </w:rPr>
        <w:footnoteRef/>
      </w:r>
      <w:r w:rsidRPr="00CA34D3">
        <w:t xml:space="preserve"> </w:t>
      </w:r>
      <w:r>
        <w:t>Read, op. cit</w:t>
      </w:r>
      <w:r w:rsidR="00C81792">
        <w:t>.</w:t>
      </w:r>
    </w:p>
  </w:footnote>
  <w:footnote w:id="16">
    <w:p w14:paraId="5485854E" w14:textId="40A6692F" w:rsidR="00CF2498" w:rsidRPr="001D59CD" w:rsidRDefault="00CF2498" w:rsidP="00EF0955">
      <w:pPr>
        <w:pStyle w:val="Footnote"/>
      </w:pPr>
      <w:r w:rsidRPr="00CA34D3">
        <w:rPr>
          <w:rStyle w:val="FootnoteReference"/>
        </w:rPr>
        <w:footnoteRef/>
      </w:r>
      <w:r w:rsidRPr="00CA34D3">
        <w:t xml:space="preserve"> </w:t>
      </w:r>
      <w:r>
        <w:t>Ibid.</w:t>
      </w:r>
    </w:p>
  </w:footnote>
  <w:footnote w:id="17">
    <w:p w14:paraId="2157E6CB" w14:textId="77777777" w:rsidR="00CF2498" w:rsidRPr="00CA34D3" w:rsidRDefault="00CF2498" w:rsidP="00EF0955">
      <w:pPr>
        <w:pStyle w:val="Footnote"/>
      </w:pPr>
      <w:r w:rsidRPr="00CA34D3">
        <w:rPr>
          <w:rStyle w:val="FootnoteReference"/>
        </w:rPr>
        <w:footnoteRef/>
      </w:r>
      <w:r w:rsidRPr="00CA34D3">
        <w:t xml:space="preserve"> </w:t>
      </w:r>
      <w:r>
        <w:t>Ibid.</w:t>
      </w:r>
    </w:p>
  </w:footnote>
  <w:footnote w:id="18">
    <w:p w14:paraId="443DAAF9" w14:textId="77777777" w:rsidR="00CF2498" w:rsidRPr="00CA34D3" w:rsidRDefault="00CF2498" w:rsidP="00EF0955">
      <w:pPr>
        <w:pStyle w:val="Footnote"/>
      </w:pPr>
      <w:r w:rsidRPr="00CA34D3">
        <w:rPr>
          <w:rStyle w:val="FootnoteReference"/>
        </w:rPr>
        <w:footnoteRef/>
      </w:r>
      <w:r w:rsidRPr="00CA34D3">
        <w:t xml:space="preserve"> </w:t>
      </w:r>
      <w:r>
        <w:t>Ibid.</w:t>
      </w:r>
    </w:p>
  </w:footnote>
  <w:footnote w:id="19">
    <w:p w14:paraId="56780186" w14:textId="46301C78" w:rsidR="00CF2498" w:rsidRPr="00CA34D3" w:rsidRDefault="00CF2498" w:rsidP="00042041">
      <w:pPr>
        <w:pStyle w:val="Footnote"/>
      </w:pPr>
      <w:r w:rsidRPr="00CA34D3">
        <w:rPr>
          <w:rStyle w:val="FootnoteReference"/>
        </w:rPr>
        <w:footnoteRef/>
      </w:r>
      <w:r>
        <w:t xml:space="preserve"> @</w:t>
      </w:r>
      <w:proofErr w:type="spellStart"/>
      <w:r>
        <w:t>tentree</w:t>
      </w:r>
      <w:proofErr w:type="spellEnd"/>
      <w:r>
        <w:t xml:space="preserve"> “The World’s Most Sustainable Post - 5m likes - 500k trees - 20m likes - 1m trees - 50m likes - 100m likes - Join our mission to make the most sustainable post on the planet. Thank you to the millions of people who have lifted their fingers to start a movement to plant more trees. Together, we will be planting 500,000 trees in Indonesia as a result of you liking this post. But we're not stopping here. As the number of likes on this post grows, we will unlock a new level of sustainability and plant even more trees around the world!” Instagram photo, April 22, 2019, accessed May 20,2020 </w:t>
      </w:r>
      <w:r w:rsidRPr="00042041">
        <w:t>https://www.instagram.com/p/Bwjpxgph9DE/?hl=en</w:t>
      </w:r>
      <w:r>
        <w:t>.</w:t>
      </w:r>
    </w:p>
  </w:footnote>
  <w:footnote w:id="20">
    <w:p w14:paraId="69BFBFA1" w14:textId="4C47F9CB" w:rsidR="00CF2498" w:rsidRPr="00CA34D3" w:rsidRDefault="00CF2498" w:rsidP="00EF0955">
      <w:pPr>
        <w:pStyle w:val="Footnote"/>
      </w:pPr>
      <w:r w:rsidRPr="00CA34D3">
        <w:rPr>
          <w:rStyle w:val="FootnoteReference"/>
        </w:rPr>
        <w:footnoteRef/>
      </w:r>
      <w:r w:rsidRPr="00CA34D3">
        <w:t xml:space="preserve"> </w:t>
      </w:r>
      <w:r>
        <w:t>Jia Wertz, “</w:t>
      </w:r>
      <w:r w:rsidRPr="00D15CA9">
        <w:t>5 Trends That Will Redefine Retail in 2019</w:t>
      </w:r>
      <w:r>
        <w:t xml:space="preserve">,” </w:t>
      </w:r>
      <w:r>
        <w:rPr>
          <w:i/>
        </w:rPr>
        <w:t>Forbes</w:t>
      </w:r>
      <w:r>
        <w:t xml:space="preserve">, November 28, 2018, accessed May 28, 2020, </w:t>
      </w:r>
      <w:r w:rsidRPr="00CA34D3">
        <w:t>www.forbes.com/sites/jiawertz/2018/11/28/5-trends-that-will-redefine-retail-in-2019/#e40489665260</w:t>
      </w:r>
      <w:r>
        <w:t>.</w:t>
      </w:r>
    </w:p>
  </w:footnote>
  <w:footnote w:id="21">
    <w:p w14:paraId="7C276C29" w14:textId="32AAB299" w:rsidR="00CF2498" w:rsidRPr="00CA34D3" w:rsidRDefault="00CF2498" w:rsidP="00EF0955">
      <w:pPr>
        <w:pStyle w:val="Footnote"/>
      </w:pPr>
      <w:r w:rsidRPr="00CA34D3">
        <w:rPr>
          <w:rStyle w:val="FootnoteReference"/>
        </w:rPr>
        <w:footnoteRef/>
      </w:r>
      <w:r w:rsidRPr="00CA34D3">
        <w:t xml:space="preserve"> </w:t>
      </w:r>
      <w:r w:rsidRPr="00D15CA9">
        <w:t>Carly Botelho</w:t>
      </w:r>
      <w:r>
        <w:t>, “</w:t>
      </w:r>
      <w:r w:rsidRPr="00D15CA9">
        <w:t>The Pros and Cons of Online Retailers vs. Brick-and-Mortar Stores</w:t>
      </w:r>
      <w:r w:rsidRPr="00DA474E">
        <w:t xml:space="preserve">,” </w:t>
      </w:r>
      <w:r w:rsidRPr="00FD0A48">
        <w:t>Business 2 Community</w:t>
      </w:r>
      <w:r>
        <w:t>, April 22, 2014, accessed June 1, 2020, www.</w:t>
      </w:r>
      <w:r w:rsidRPr="00CA34D3">
        <w:t>business2community.com/strategy/pros-cons-online-retailers-vs-brick-mortar-stores-0848992</w:t>
      </w:r>
      <w:r>
        <w:t>.</w:t>
      </w:r>
      <w:r w:rsidRPr="00CA34D3">
        <w:t xml:space="preserve">  </w:t>
      </w:r>
    </w:p>
  </w:footnote>
  <w:footnote w:id="22">
    <w:p w14:paraId="0F6D5796" w14:textId="74E106AB" w:rsidR="00CF2498" w:rsidRPr="00CA34D3" w:rsidRDefault="00CF2498" w:rsidP="00EF0955">
      <w:pPr>
        <w:pStyle w:val="Footnote"/>
      </w:pPr>
      <w:r w:rsidRPr="00CA34D3">
        <w:rPr>
          <w:rStyle w:val="FootnoteReference"/>
        </w:rPr>
        <w:footnoteRef/>
      </w:r>
      <w:r w:rsidRPr="00CA34D3">
        <w:t xml:space="preserve"> </w:t>
      </w:r>
      <w:r w:rsidRPr="00DA474E">
        <w:t>Business Development Bank of Canada</w:t>
      </w:r>
      <w:r>
        <w:t>, “</w:t>
      </w:r>
      <w:r w:rsidRPr="004A4ABE">
        <w:t xml:space="preserve">4 </w:t>
      </w:r>
      <w:r>
        <w:t>R</w:t>
      </w:r>
      <w:r w:rsidRPr="004A4ABE">
        <w:t>easons Why You Need to Get Onboard with E-Commerce</w:t>
      </w:r>
      <w:r>
        <w:t xml:space="preserve">,” accessed May 24, 2020, </w:t>
      </w:r>
      <w:r w:rsidRPr="00CA34D3">
        <w:t>www.bdc.ca/en/articles-tools/marketing-sales-export/sales/pages/e-commerce-benefits-small-businesses.aspx</w:t>
      </w:r>
      <w:r>
        <w:t>.</w:t>
      </w:r>
    </w:p>
  </w:footnote>
  <w:footnote w:id="23">
    <w:p w14:paraId="70C5BE2D" w14:textId="6063090A" w:rsidR="00CF2498" w:rsidRPr="00CA34D3" w:rsidRDefault="00CF2498" w:rsidP="00EF0955">
      <w:pPr>
        <w:pStyle w:val="Footnote"/>
      </w:pPr>
      <w:r w:rsidRPr="00CA34D3">
        <w:rPr>
          <w:rStyle w:val="FootnoteReference"/>
        </w:rPr>
        <w:footnoteRef/>
      </w:r>
      <w:r w:rsidRPr="00CA34D3">
        <w:t xml:space="preserve"> </w:t>
      </w:r>
      <w:r>
        <w:t>Wertz, op. cit</w:t>
      </w:r>
      <w:r w:rsidR="002C7939">
        <w:t>.</w:t>
      </w:r>
    </w:p>
  </w:footnote>
  <w:footnote w:id="24">
    <w:p w14:paraId="6D1DB663" w14:textId="294692C9" w:rsidR="00CF2498" w:rsidRPr="00CA34D3" w:rsidRDefault="00CF2498" w:rsidP="00EF0955">
      <w:pPr>
        <w:pStyle w:val="Footnote"/>
      </w:pPr>
      <w:r w:rsidRPr="00CA34D3">
        <w:rPr>
          <w:rStyle w:val="FootnoteReference"/>
        </w:rPr>
        <w:footnoteRef/>
      </w:r>
      <w:r w:rsidRPr="00CA34D3">
        <w:t xml:space="preserve"> </w:t>
      </w:r>
      <w:r>
        <w:t xml:space="preserve">Chris Joseph, “Definition of a Brick and Mortar Retailer,” </w:t>
      </w:r>
      <w:r w:rsidRPr="00FD0A48">
        <w:t>Chron,</w:t>
      </w:r>
      <w:r>
        <w:t xml:space="preserve"> accessed May 22, 2020, </w:t>
      </w:r>
      <w:r w:rsidRPr="00CA34D3">
        <w:t>https://smallbusiness.chron.com/definition-brick-mortar-retailer-13628.html</w:t>
      </w:r>
      <w:r>
        <w:t>.</w:t>
      </w:r>
    </w:p>
  </w:footnote>
  <w:footnote w:id="25">
    <w:p w14:paraId="27EADF7D" w14:textId="7FE1CCF8" w:rsidR="00CF2498" w:rsidRPr="00CA34D3" w:rsidRDefault="00CF2498" w:rsidP="00EF0955">
      <w:pPr>
        <w:pStyle w:val="Footnote"/>
      </w:pPr>
      <w:r w:rsidRPr="00CA34D3">
        <w:rPr>
          <w:rStyle w:val="FootnoteReference"/>
        </w:rPr>
        <w:footnoteRef/>
      </w:r>
      <w:r w:rsidRPr="00CA34D3">
        <w:t xml:space="preserve"> </w:t>
      </w:r>
      <w:r w:rsidRPr="00D15CA9">
        <w:t>Botelho</w:t>
      </w:r>
      <w:r>
        <w:t>, op. cit.; Susan Ward, “</w:t>
      </w:r>
      <w:r w:rsidRPr="000F5A6E">
        <w:t>Brick and Mortar Stores vs Online Retail Sites</w:t>
      </w:r>
      <w:r>
        <w:t xml:space="preserve">,” </w:t>
      </w:r>
      <w:r w:rsidRPr="000F4CDA">
        <w:t>The Balance Small Business</w:t>
      </w:r>
      <w:r>
        <w:t xml:space="preserve">, June 25, 2019, accessed May 25, 2020, </w:t>
      </w:r>
      <w:r w:rsidRPr="00CA34D3">
        <w:t>www.thebalancesmb.com/compare-brick-and-mortar-stores-vs-online-retail-sites-4571050</w:t>
      </w:r>
      <w:r>
        <w:t>.</w:t>
      </w:r>
    </w:p>
  </w:footnote>
  <w:footnote w:id="26">
    <w:p w14:paraId="42BFB7AF" w14:textId="3FCD1580" w:rsidR="00CF2498" w:rsidRPr="00CA34D3" w:rsidRDefault="00CF2498" w:rsidP="00EF0955">
      <w:pPr>
        <w:pStyle w:val="Footnote"/>
      </w:pPr>
      <w:r w:rsidRPr="00CA34D3">
        <w:rPr>
          <w:rStyle w:val="FootnoteReference"/>
        </w:rPr>
        <w:footnoteRef/>
      </w:r>
      <w:r w:rsidRPr="00CA34D3">
        <w:t xml:space="preserve"> </w:t>
      </w:r>
      <w:r>
        <w:t xml:space="preserve">“Canadian Retail Sales Growth Lowest in a Decade: Expert,” </w:t>
      </w:r>
      <w:r w:rsidRPr="00FD0A48">
        <w:t>Retail Insider</w:t>
      </w:r>
      <w:r>
        <w:t>, February 27, 2020, accessed May 30, 2020, www.</w:t>
      </w:r>
      <w:r w:rsidRPr="00CA34D3">
        <w:t>retail-insider.com/retail-insider/2020/2/canadian-retail-sales-growth-lowest-in-a-decade-expert</w:t>
      </w:r>
      <w:r>
        <w:t>.</w:t>
      </w:r>
    </w:p>
  </w:footnote>
  <w:footnote w:id="27">
    <w:p w14:paraId="3ABAECC4" w14:textId="3D522A93" w:rsidR="00CF2498" w:rsidRPr="00FD0A48" w:rsidRDefault="00CF2498" w:rsidP="00FD0A48">
      <w:pPr>
        <w:pStyle w:val="Footnote"/>
        <w:rPr>
          <w:lang w:val="en-CA"/>
        </w:rPr>
      </w:pPr>
      <w:r>
        <w:rPr>
          <w:rStyle w:val="FootnoteReference"/>
        </w:rPr>
        <w:footnoteRef/>
      </w:r>
      <w:r>
        <w:t xml:space="preserve"> Ben </w:t>
      </w:r>
      <w:proofErr w:type="spellStart"/>
      <w:r>
        <w:t>Shabat</w:t>
      </w:r>
      <w:proofErr w:type="spellEnd"/>
      <w:r>
        <w:t>, “Brick and Mortar Stores vs Online Retail,” B</w:t>
      </w:r>
      <w:r w:rsidRPr="00FD0A48">
        <w:t>ecome</w:t>
      </w:r>
      <w:r>
        <w:t>,</w:t>
      </w:r>
      <w:r w:rsidRPr="00182514">
        <w:t xml:space="preserve"> </w:t>
      </w:r>
      <w:r>
        <w:t>September 2, 2019, accessed June 3, 2020, www.become.co/blog/brick-and-mortar-vs-ecommerce-retail/.</w:t>
      </w:r>
    </w:p>
  </w:footnote>
  <w:footnote w:id="28">
    <w:p w14:paraId="17695CC6" w14:textId="66A8FB5E" w:rsidR="00CF2498" w:rsidRPr="00FD0A48" w:rsidRDefault="00CF2498" w:rsidP="00FD0A48">
      <w:pPr>
        <w:pStyle w:val="Footnote"/>
        <w:rPr>
          <w:lang w:val="en-CA"/>
        </w:rPr>
      </w:pPr>
      <w:r>
        <w:rPr>
          <w:rStyle w:val="FootnoteReference"/>
        </w:rPr>
        <w:footnoteRef/>
      </w:r>
      <w:r>
        <w:t xml:space="preserve"> “Our Story,” </w:t>
      </w:r>
      <w:r w:rsidRPr="00FD0A48">
        <w:t>united by blue</w:t>
      </w:r>
      <w:r>
        <w:t>, accessed June 5, 2020, https://unitedbyblue.com/pages/our-story.</w:t>
      </w:r>
    </w:p>
  </w:footnote>
  <w:footnote w:id="29">
    <w:p w14:paraId="357F7A0D" w14:textId="666737C1" w:rsidR="00CF2498" w:rsidRPr="00CA34D3" w:rsidRDefault="00CF2498" w:rsidP="00EF0955">
      <w:pPr>
        <w:pStyle w:val="Footnote"/>
      </w:pPr>
      <w:r w:rsidRPr="00CA34D3">
        <w:rPr>
          <w:rStyle w:val="FootnoteReference"/>
        </w:rPr>
        <w:footnoteRef/>
      </w:r>
      <w:r w:rsidRPr="00CA34D3">
        <w:t xml:space="preserve"> </w:t>
      </w:r>
      <w:r>
        <w:t xml:space="preserve">“United by Blue Clothing,” </w:t>
      </w:r>
      <w:r w:rsidRPr="00FD0A48">
        <w:t>MEC</w:t>
      </w:r>
      <w:r>
        <w:t xml:space="preserve">, accessed June 5, 2020, </w:t>
      </w:r>
      <w:r w:rsidRPr="00CA34D3">
        <w:t>www.mec.ca/en/brand/united-by-blue/products/clothing/c/981</w:t>
      </w:r>
      <w:r>
        <w:t>.</w:t>
      </w:r>
    </w:p>
  </w:footnote>
  <w:footnote w:id="30">
    <w:p w14:paraId="767A0E00" w14:textId="070439B7" w:rsidR="00CF2498" w:rsidRPr="00CA34D3" w:rsidRDefault="00CF2498" w:rsidP="00EF0955">
      <w:pPr>
        <w:pStyle w:val="Footnote"/>
      </w:pPr>
      <w:r w:rsidRPr="00CA34D3">
        <w:rPr>
          <w:rStyle w:val="FootnoteReference"/>
        </w:rPr>
        <w:footnoteRef/>
      </w:r>
      <w:r w:rsidRPr="00CA34D3">
        <w:t xml:space="preserve"> </w:t>
      </w:r>
      <w:r>
        <w:t xml:space="preserve">“Our Story,” </w:t>
      </w:r>
      <w:r w:rsidRPr="00FD0A48">
        <w:t>Roots</w:t>
      </w:r>
      <w:r>
        <w:t xml:space="preserve">, accessed May 28, 2020, </w:t>
      </w:r>
      <w:r w:rsidRPr="00CA34D3">
        <w:t>www.roots.com/ca/en/about-us.html?fdid=test&amp;psortb1=category-pos_AboutUs</w:t>
      </w:r>
      <w:r>
        <w:t>.</w:t>
      </w:r>
    </w:p>
  </w:footnote>
  <w:footnote w:id="31">
    <w:p w14:paraId="43780891" w14:textId="1334FEA8" w:rsidR="00CF2498" w:rsidRPr="00CA34D3" w:rsidRDefault="00CF2498" w:rsidP="00EF0955">
      <w:pPr>
        <w:pStyle w:val="Footnote"/>
      </w:pPr>
      <w:r w:rsidRPr="00CA34D3">
        <w:rPr>
          <w:rStyle w:val="FootnoteReference"/>
        </w:rPr>
        <w:footnoteRef/>
      </w:r>
      <w:r w:rsidRPr="00CA34D3">
        <w:t xml:space="preserve"> </w:t>
      </w:r>
      <w:r>
        <w:t>Roots Canada, “</w:t>
      </w:r>
      <w:r w:rsidRPr="001038F4">
        <w:t>Roots Reports Fiscal 2018 Fourth Quarter and Year-End Results</w:t>
      </w:r>
      <w:r>
        <w:t xml:space="preserve">,” news release, </w:t>
      </w:r>
      <w:r w:rsidRPr="00FD0A48">
        <w:t>Roots</w:t>
      </w:r>
      <w:r>
        <w:t xml:space="preserve">, April 3, 2019, accessed May 28, 2020, </w:t>
      </w:r>
      <w:r w:rsidRPr="00CA34D3">
        <w:t>https://investors.roots.com/news-and-events/press-releases/press-release-details/2019/Roots-Reports-Fiscal-2018-Fourth-Quarter-and-Year-End-Results/</w:t>
      </w:r>
      <w:r>
        <w:t>.</w:t>
      </w:r>
    </w:p>
  </w:footnote>
  <w:footnote w:id="32">
    <w:p w14:paraId="6EED722C" w14:textId="1F81CD81" w:rsidR="00CF2498" w:rsidRPr="00CA34D3" w:rsidRDefault="00CF2498" w:rsidP="00EF0955">
      <w:pPr>
        <w:pStyle w:val="Footnote"/>
      </w:pPr>
      <w:r w:rsidRPr="00CA34D3">
        <w:rPr>
          <w:rStyle w:val="FootnoteReference"/>
        </w:rPr>
        <w:footnoteRef/>
      </w:r>
      <w:r w:rsidRPr="00CA34D3">
        <w:t xml:space="preserve"> </w:t>
      </w:r>
      <w:r>
        <w:t xml:space="preserve">“Welcome to </w:t>
      </w:r>
      <w:proofErr w:type="spellStart"/>
      <w:proofErr w:type="gramStart"/>
      <w:r>
        <w:t>Quiksilver</w:t>
      </w:r>
      <w:proofErr w:type="spellEnd"/>
      <w:r>
        <w:t>!,</w:t>
      </w:r>
      <w:proofErr w:type="gramEnd"/>
      <w:r>
        <w:t xml:space="preserve">” </w:t>
      </w:r>
      <w:proofErr w:type="spellStart"/>
      <w:r w:rsidRPr="00FD0A48">
        <w:t>Quiksilver</w:t>
      </w:r>
      <w:proofErr w:type="spellEnd"/>
      <w:r>
        <w:t xml:space="preserve">, accessed June 8, 2020, </w:t>
      </w:r>
      <w:r w:rsidRPr="00CA34D3">
        <w:t>www.quiksilver.com.au/about-us</w:t>
      </w:r>
      <w:r>
        <w:t>.</w:t>
      </w:r>
    </w:p>
  </w:footnote>
  <w:footnote w:id="33">
    <w:p w14:paraId="2641F779" w14:textId="3A20AC65" w:rsidR="00CF2498" w:rsidRPr="00CA34D3" w:rsidRDefault="00CF2498" w:rsidP="00EF0955">
      <w:pPr>
        <w:pStyle w:val="Footnote"/>
      </w:pPr>
      <w:r w:rsidRPr="00CA34D3">
        <w:rPr>
          <w:rStyle w:val="FootnoteReference"/>
        </w:rPr>
        <w:footnoteRef/>
      </w:r>
      <w:r w:rsidRPr="00CA34D3">
        <w:t xml:space="preserve"> </w:t>
      </w:r>
      <w:r>
        <w:t xml:space="preserve">“Sweatshirts &amp; Hoodies,” </w:t>
      </w:r>
      <w:proofErr w:type="spellStart"/>
      <w:r w:rsidRPr="00FD0A48">
        <w:t>Quiksilver</w:t>
      </w:r>
      <w:proofErr w:type="spellEnd"/>
      <w:r>
        <w:t xml:space="preserve">, accessed June 8, 2020, </w:t>
      </w:r>
      <w:r w:rsidRPr="00CA34D3">
        <w:t>www.quiksilver.com/en-ca/mens-sweatshirts-hoodies/</w:t>
      </w:r>
      <w:r>
        <w:t>.</w:t>
      </w:r>
    </w:p>
  </w:footnote>
  <w:footnote w:id="34">
    <w:p w14:paraId="4BBFAF9A" w14:textId="0C46D661" w:rsidR="00CF2498" w:rsidRPr="00CA34D3" w:rsidRDefault="00CF2498" w:rsidP="00EF0955">
      <w:pPr>
        <w:pStyle w:val="Footnote"/>
      </w:pPr>
      <w:r w:rsidRPr="00CA34D3">
        <w:rPr>
          <w:rStyle w:val="FootnoteReference"/>
        </w:rPr>
        <w:footnoteRef/>
      </w:r>
      <w:r w:rsidRPr="00CA34D3">
        <w:t xml:space="preserve"> </w:t>
      </w:r>
      <w:r w:rsidR="00A25EAD" w:rsidRPr="00A25EAD">
        <w:t>United States Securities and Exchange Commission, “</w:t>
      </w:r>
      <w:proofErr w:type="spellStart"/>
      <w:r w:rsidR="00A25EAD" w:rsidRPr="00A25EAD">
        <w:t>Quiksilver</w:t>
      </w:r>
      <w:proofErr w:type="spellEnd"/>
      <w:r w:rsidR="00A25EAD" w:rsidRPr="00A25EAD">
        <w:t xml:space="preserve">, Inc.” </w:t>
      </w:r>
      <w:r w:rsidR="00A25EAD" w:rsidRPr="00A25EAD">
        <w:rPr>
          <w:i/>
        </w:rPr>
        <w:t>United States Securities and Exchange Commission</w:t>
      </w:r>
      <w:r w:rsidR="00A25EAD">
        <w:t>,</w:t>
      </w:r>
      <w:r w:rsidR="00A25EAD" w:rsidRPr="00A25EAD">
        <w:t xml:space="preserve"> accessed April 14, 2021, https://www.sec.gov/Archives/edgar/data/805305/000162828016010383/zqk_20151031x10-k.htm.</w:t>
      </w:r>
    </w:p>
  </w:footnote>
  <w:footnote w:id="35">
    <w:p w14:paraId="13C08E33" w14:textId="70B23F95" w:rsidR="00CF2498" w:rsidRPr="003A1C13" w:rsidRDefault="00CF2498" w:rsidP="00EF0955">
      <w:pPr>
        <w:pStyle w:val="Footnote"/>
      </w:pPr>
      <w:r w:rsidRPr="00CA34D3">
        <w:rPr>
          <w:rStyle w:val="FootnoteReference"/>
        </w:rPr>
        <w:footnoteRef/>
      </w:r>
      <w:r w:rsidRPr="00CA34D3">
        <w:t xml:space="preserve"> </w:t>
      </w:r>
      <w:r w:rsidRPr="003A1C13">
        <w:t>Colleen Egan</w:t>
      </w:r>
      <w:r>
        <w:t xml:space="preserve">, “5 Retail Trends You Should </w:t>
      </w:r>
      <w:r w:rsidRPr="003A1C13">
        <w:t>Know About in 2019</w:t>
      </w:r>
      <w:r>
        <w:t xml:space="preserve">,” </w:t>
      </w:r>
      <w:r w:rsidRPr="00FD0A48">
        <w:t>Square</w:t>
      </w:r>
      <w:r>
        <w:t xml:space="preserve">, December 28, 2018, accessed May 18, 2020, </w:t>
      </w:r>
      <w:r w:rsidRPr="00CA34D3">
        <w:t>https://squareup.com/ca/en/townsquare/retail-trends-2019</w:t>
      </w:r>
      <w:r>
        <w:t>.</w:t>
      </w:r>
    </w:p>
  </w:footnote>
  <w:footnote w:id="36">
    <w:p w14:paraId="5D1BF98A" w14:textId="5107500B" w:rsidR="00CF2498" w:rsidRPr="00CA34D3" w:rsidRDefault="00CF2498" w:rsidP="00EF0955">
      <w:pPr>
        <w:pStyle w:val="Footnote"/>
      </w:pPr>
      <w:r w:rsidRPr="00CA34D3">
        <w:rPr>
          <w:rStyle w:val="FootnoteReference"/>
        </w:rPr>
        <w:footnoteRef/>
      </w:r>
      <w:r w:rsidRPr="00CA34D3">
        <w:t xml:space="preserve"> </w:t>
      </w:r>
      <w:r w:rsidRPr="00974922">
        <w:t xml:space="preserve">Brands featured in large stores with multiple clothing lines sometimes created pop-up </w:t>
      </w:r>
      <w:r w:rsidRPr="00BC256F">
        <w:t>‘“</w:t>
      </w:r>
      <w:r w:rsidRPr="00454E99">
        <w:t>kiosks</w:t>
      </w:r>
      <w:r w:rsidRPr="00B70709">
        <w:t>,”’ where consumers could try on clothing while also interacting with brand representative</w:t>
      </w:r>
      <w:r w:rsidRPr="00974922">
        <w:t>s who answered consumer their questions.</w:t>
      </w:r>
    </w:p>
  </w:footnote>
  <w:footnote w:id="37">
    <w:p w14:paraId="15411A1F" w14:textId="3CAC77CA" w:rsidR="00CF2498" w:rsidRPr="00CF2498" w:rsidRDefault="00CF2498" w:rsidP="00EF0955">
      <w:pPr>
        <w:pStyle w:val="Footnote"/>
        <w:rPr>
          <w:lang w:val="en-CA"/>
        </w:rPr>
      </w:pPr>
      <w:r w:rsidRPr="00CA34D3">
        <w:rPr>
          <w:rStyle w:val="FootnoteReference"/>
        </w:rPr>
        <w:footnoteRef/>
      </w:r>
      <w:r w:rsidRPr="00CF2498">
        <w:rPr>
          <w:lang w:val="en-CA"/>
        </w:rPr>
        <w:t xml:space="preserve"> “Canadian Retail Sales Growth Lowest in a </w:t>
      </w:r>
      <w:r w:rsidRPr="00FD0A48">
        <w:rPr>
          <w:lang w:val="en-GB"/>
        </w:rPr>
        <w:t>Decade</w:t>
      </w:r>
      <w:r>
        <w:rPr>
          <w:lang w:val="en-GB"/>
        </w:rPr>
        <w:t>,”</w:t>
      </w:r>
      <w:r w:rsidRPr="00CF2498">
        <w:rPr>
          <w:lang w:val="en-CA"/>
        </w:rPr>
        <w:t xml:space="preserve"> op. cit</w:t>
      </w:r>
      <w:r w:rsidR="00AD5178">
        <w:rPr>
          <w:lang w:val="en-CA"/>
        </w:rPr>
        <w:t>.</w:t>
      </w:r>
    </w:p>
  </w:footnote>
  <w:footnote w:id="38">
    <w:p w14:paraId="7D93DBD1" w14:textId="0E55D8B3" w:rsidR="00CF2498" w:rsidRPr="00CF2498" w:rsidRDefault="00CF2498" w:rsidP="00EF0955">
      <w:pPr>
        <w:pStyle w:val="Footnote"/>
        <w:rPr>
          <w:lang w:val="en-CA"/>
        </w:rPr>
      </w:pPr>
      <w:r w:rsidRPr="00CA34D3">
        <w:rPr>
          <w:rStyle w:val="FootnoteReference"/>
        </w:rPr>
        <w:footnoteRef/>
      </w:r>
      <w:r w:rsidRPr="00CF2498">
        <w:rPr>
          <w:lang w:val="en-CA"/>
        </w:rPr>
        <w:t xml:space="preserve"> </w:t>
      </w:r>
      <w:proofErr w:type="spellStart"/>
      <w:r w:rsidRPr="00CF2498">
        <w:rPr>
          <w:lang w:val="en-CA"/>
        </w:rPr>
        <w:t>Shabat</w:t>
      </w:r>
      <w:proofErr w:type="spellEnd"/>
      <w:r w:rsidRPr="00CF2498">
        <w:rPr>
          <w:lang w:val="en-CA"/>
        </w:rPr>
        <w:t>, op. cit</w:t>
      </w:r>
      <w:r w:rsidR="00AD5178">
        <w:rPr>
          <w:lang w:val="en-CA"/>
        </w:rPr>
        <w:t>.</w:t>
      </w:r>
    </w:p>
  </w:footnote>
  <w:footnote w:id="39">
    <w:p w14:paraId="2C64E8D9" w14:textId="77777777" w:rsidR="00CF2498" w:rsidRPr="00CA34D3" w:rsidRDefault="00CF2498" w:rsidP="00EF0955">
      <w:pPr>
        <w:pStyle w:val="Footnote"/>
      </w:pPr>
      <w:r w:rsidRPr="00CA34D3">
        <w:rPr>
          <w:rStyle w:val="FootnoteReference"/>
        </w:rPr>
        <w:footnoteRef/>
      </w:r>
      <w:r w:rsidRPr="00CA34D3">
        <w:t xml:space="preserve"> </w:t>
      </w:r>
      <w:r>
        <w:t>Ibid.</w:t>
      </w:r>
    </w:p>
  </w:footnote>
  <w:footnote w:id="40">
    <w:p w14:paraId="3645937E" w14:textId="535B2B07" w:rsidR="00CF2498" w:rsidRPr="00F46C18" w:rsidRDefault="00CF2498" w:rsidP="00EF0955">
      <w:pPr>
        <w:pStyle w:val="Footnote"/>
      </w:pPr>
      <w:r w:rsidRPr="00CA34D3">
        <w:rPr>
          <w:rStyle w:val="FootnoteReference"/>
        </w:rPr>
        <w:footnoteRef/>
      </w:r>
      <w:r w:rsidRPr="00CA34D3">
        <w:t xml:space="preserve"> </w:t>
      </w:r>
      <w:r w:rsidRPr="00271323">
        <w:t>PricewaterhouseCoopers LLP,</w:t>
      </w:r>
      <w:r>
        <w:t xml:space="preserve"> </w:t>
      </w:r>
      <w:r w:rsidRPr="00FD0A48">
        <w:rPr>
          <w:i/>
        </w:rPr>
        <w:t xml:space="preserve">Return on Experience </w:t>
      </w:r>
      <w:r>
        <w:rPr>
          <w:i/>
        </w:rPr>
        <w:t>I</w:t>
      </w:r>
      <w:r w:rsidRPr="00FD0A48">
        <w:rPr>
          <w:i/>
        </w:rPr>
        <w:t>s a Metric Businesses Can’t Ignore: 2019 Consumer Insights Survey</w:t>
      </w:r>
      <w:r>
        <w:t xml:space="preserve">, </w:t>
      </w:r>
      <w:r w:rsidRPr="00FD0A48">
        <w:t>PWC</w:t>
      </w:r>
      <w:r>
        <w:t xml:space="preserve">, 2019, accessed May 29, 2020, </w:t>
      </w:r>
      <w:r w:rsidRPr="00CA34D3">
        <w:t>www.retailcouncil.org/wp-content/uploads/2019/06/pwc-canada-2019-canadian-consumer-insights-p567530.pdf</w:t>
      </w:r>
      <w:r>
        <w:t>.</w:t>
      </w:r>
    </w:p>
  </w:footnote>
  <w:footnote w:id="41">
    <w:p w14:paraId="26380744" w14:textId="2E0E3300" w:rsidR="00CF2498" w:rsidRPr="00CA34D3" w:rsidRDefault="00CF2498" w:rsidP="00EF0955">
      <w:pPr>
        <w:pStyle w:val="Footnote"/>
      </w:pPr>
      <w:r w:rsidRPr="00CA34D3">
        <w:rPr>
          <w:rStyle w:val="FootnoteReference"/>
        </w:rPr>
        <w:footnoteRef/>
      </w:r>
      <w:r w:rsidRPr="00CA34D3">
        <w:t xml:space="preserve"> </w:t>
      </w:r>
      <w:r w:rsidRPr="00913133">
        <w:t>An AOV represented the average total value of goods the end-consumer purchased, on average, in a single transaction.</w:t>
      </w:r>
    </w:p>
  </w:footnote>
  <w:footnote w:id="42">
    <w:p w14:paraId="4E7B81E9" w14:textId="272E40F0" w:rsidR="00CF2498" w:rsidRPr="00CA34D3" w:rsidRDefault="00CF2498" w:rsidP="00EF0955">
      <w:pPr>
        <w:pStyle w:val="Footnote"/>
      </w:pPr>
      <w:r w:rsidRPr="00CA34D3">
        <w:rPr>
          <w:rStyle w:val="FootnoteReference"/>
        </w:rPr>
        <w:footnoteRef/>
      </w:r>
      <w:r w:rsidRPr="00CA34D3">
        <w:t xml:space="preserve"> </w:t>
      </w:r>
      <w:r>
        <w:t>“</w:t>
      </w:r>
      <w:r w:rsidRPr="00731703">
        <w:t xml:space="preserve">American &amp; Canadian Consumers: Not </w:t>
      </w:r>
      <w:r>
        <w:t>a</w:t>
      </w:r>
      <w:r w:rsidRPr="00731703">
        <w:t xml:space="preserve">s Similar </w:t>
      </w:r>
      <w:r>
        <w:t>a</w:t>
      </w:r>
      <w:r w:rsidRPr="00731703">
        <w:t>s You Think</w:t>
      </w:r>
      <w:r>
        <w:t xml:space="preserve">,” </w:t>
      </w:r>
      <w:r w:rsidRPr="00A31FC3">
        <w:rPr>
          <w:i/>
        </w:rPr>
        <w:t xml:space="preserve">Buxton </w:t>
      </w:r>
      <w:r w:rsidRPr="006823DA">
        <w:t>(blog)</w:t>
      </w:r>
      <w:r w:rsidRPr="00FD0A48">
        <w:t>,</w:t>
      </w:r>
      <w:r>
        <w:t xml:space="preserve"> accessed June 5, 2020, </w:t>
      </w:r>
      <w:r w:rsidRPr="00CA34D3">
        <w:t>www.buxtonco.com/blog/american-canadian-consumers-not-as-similar-as-you-think</w:t>
      </w:r>
      <w:r>
        <w:t>.</w:t>
      </w:r>
    </w:p>
  </w:footnote>
  <w:footnote w:id="43">
    <w:p w14:paraId="7333A90C" w14:textId="6E224387" w:rsidR="00CF2498" w:rsidRPr="00CA34D3" w:rsidRDefault="00CF2498" w:rsidP="00EF0955">
      <w:pPr>
        <w:pStyle w:val="Footnote"/>
      </w:pPr>
      <w:r w:rsidRPr="00CA34D3">
        <w:rPr>
          <w:rStyle w:val="FootnoteReference"/>
        </w:rPr>
        <w:footnoteRef/>
      </w:r>
      <w:r w:rsidRPr="00CA34D3">
        <w:t xml:space="preserve"> </w:t>
      </w:r>
      <w:r>
        <w:t xml:space="preserve">Jacob </w:t>
      </w:r>
      <w:proofErr w:type="spellStart"/>
      <w:r>
        <w:t>Poushter</w:t>
      </w:r>
      <w:proofErr w:type="spellEnd"/>
      <w:r>
        <w:t>, “</w:t>
      </w:r>
      <w:r w:rsidRPr="0025164A">
        <w:t xml:space="preserve">Americans, Canadians </w:t>
      </w:r>
      <w:r>
        <w:t>D</w:t>
      </w:r>
      <w:r w:rsidRPr="0025164A">
        <w:t xml:space="preserve">iffer in </w:t>
      </w:r>
      <w:r>
        <w:t>C</w:t>
      </w:r>
      <w:r w:rsidRPr="0025164A">
        <w:t xml:space="preserve">oncern about </w:t>
      </w:r>
      <w:r>
        <w:t>C</w:t>
      </w:r>
      <w:r w:rsidRPr="0025164A">
        <w:t xml:space="preserve">limate </w:t>
      </w:r>
      <w:r>
        <w:t>C</w:t>
      </w:r>
      <w:r w:rsidRPr="0025164A">
        <w:t>hange</w:t>
      </w:r>
      <w:r>
        <w:t xml:space="preserve">,” </w:t>
      </w:r>
      <w:r w:rsidRPr="00FD0A48">
        <w:t>Pew Research Center</w:t>
      </w:r>
      <w:r>
        <w:t xml:space="preserve">, March 9, 2016, accessed June 5, 2020, </w:t>
      </w:r>
      <w:r w:rsidRPr="00CA34D3">
        <w:t>www.pewresearch.org/fact-tank/2016/03/09/americans-canadians-differ-in-concern-about-climate-change/</w:t>
      </w:r>
      <w:r>
        <w:t>.</w:t>
      </w:r>
    </w:p>
  </w:footnote>
  <w:footnote w:id="44">
    <w:p w14:paraId="1FE936A9" w14:textId="53B4153D" w:rsidR="00CF2498" w:rsidRPr="00CA34D3" w:rsidRDefault="00CF2498" w:rsidP="00EF0955">
      <w:pPr>
        <w:pStyle w:val="Footnote"/>
      </w:pPr>
      <w:r w:rsidRPr="00CA34D3">
        <w:rPr>
          <w:rStyle w:val="FootnoteReference"/>
        </w:rPr>
        <w:footnoteRef/>
      </w:r>
      <w:r w:rsidRPr="00CA34D3">
        <w:t xml:space="preserve"> </w:t>
      </w:r>
      <w:r w:rsidRPr="00271323">
        <w:t>“American &amp; Canadian Consumers</w:t>
      </w:r>
      <w:r>
        <w:t>,” op. cit.</w:t>
      </w:r>
    </w:p>
  </w:footnote>
  <w:footnote w:id="45">
    <w:p w14:paraId="50E2AA44" w14:textId="0D4B2877" w:rsidR="00CF2498" w:rsidRPr="00CA34D3" w:rsidRDefault="00CF2498" w:rsidP="00EF0955">
      <w:pPr>
        <w:pStyle w:val="Footnote"/>
      </w:pPr>
      <w:r w:rsidRPr="00CA34D3">
        <w:rPr>
          <w:rStyle w:val="FootnoteReference"/>
        </w:rPr>
        <w:footnoteRef/>
      </w:r>
      <w:r w:rsidRPr="00CA34D3">
        <w:t xml:space="preserve"> </w:t>
      </w:r>
      <w:r>
        <w:t>Christopher Lombardo, “Canadian vs American Shoppers,” S</w:t>
      </w:r>
      <w:r w:rsidRPr="00FD0A48">
        <w:t>trategy</w:t>
      </w:r>
      <w:r>
        <w:t xml:space="preserve">, June 26, 2019, accessed June 5, 2020, </w:t>
      </w:r>
      <w:r w:rsidRPr="00CA34D3">
        <w:t>https://strategyonline.ca/2019/06/26/canadian-vs-american-shoppers/</w:t>
      </w:r>
      <w:r>
        <w:t>.</w:t>
      </w:r>
    </w:p>
  </w:footnote>
  <w:footnote w:id="46">
    <w:p w14:paraId="22AAC760" w14:textId="35089A08" w:rsidR="00CF2498" w:rsidRPr="00CA34D3" w:rsidRDefault="00CF2498" w:rsidP="00EF0955">
      <w:pPr>
        <w:pStyle w:val="Footnote"/>
        <w:rPr>
          <w:b/>
        </w:rPr>
      </w:pPr>
      <w:r w:rsidRPr="00CA34D3">
        <w:rPr>
          <w:rStyle w:val="FootnoteReference"/>
        </w:rPr>
        <w:footnoteRef/>
      </w:r>
      <w:r w:rsidRPr="00CA34D3">
        <w:t xml:space="preserve"> </w:t>
      </w:r>
      <w:r w:rsidRPr="00271323">
        <w:t xml:space="preserve">Kamal </w:t>
      </w:r>
      <w:proofErr w:type="spellStart"/>
      <w:r w:rsidRPr="00271323">
        <w:t>Karmakar</w:t>
      </w:r>
      <w:proofErr w:type="spellEnd"/>
      <w:r>
        <w:t>, “</w:t>
      </w:r>
      <w:r w:rsidRPr="00621587">
        <w:t>Why North Americans and Europeans Differ in Their Shopping Preferences</w:t>
      </w:r>
      <w:r>
        <w:t xml:space="preserve">,” </w:t>
      </w:r>
      <w:proofErr w:type="spellStart"/>
      <w:r w:rsidRPr="00FD0A48">
        <w:t>iVendRetail</w:t>
      </w:r>
      <w:proofErr w:type="spellEnd"/>
      <w:r>
        <w:t xml:space="preserve">, accessed June 7, 2020, </w:t>
      </w:r>
      <w:r w:rsidRPr="00CA34D3">
        <w:t>https://ivend.com/why-north-americans-and-europeans-differ-in-their-shopping-preferences/</w:t>
      </w:r>
      <w:r>
        <w:t>.</w:t>
      </w:r>
    </w:p>
  </w:footnote>
  <w:footnote w:id="47">
    <w:p w14:paraId="0CAF6B18" w14:textId="6625F216" w:rsidR="00CF2498" w:rsidRPr="00CA34D3" w:rsidRDefault="00CF2498" w:rsidP="00EF0955">
      <w:pPr>
        <w:pStyle w:val="Footnote"/>
      </w:pPr>
      <w:r w:rsidRPr="00CA34D3">
        <w:rPr>
          <w:rStyle w:val="FootnoteReference"/>
        </w:rPr>
        <w:footnoteRef/>
      </w:r>
      <w:r w:rsidRPr="00CA34D3">
        <w:t xml:space="preserve"> </w:t>
      </w:r>
      <w:r>
        <w:t>Moira Fagan and Christine Huang, “</w:t>
      </w:r>
      <w:r w:rsidRPr="009447DF">
        <w:t>A Look at How People around the World View Climate Change</w:t>
      </w:r>
      <w:r>
        <w:t xml:space="preserve">,” </w:t>
      </w:r>
      <w:r w:rsidRPr="00FD0A48">
        <w:t>Pew Research Center</w:t>
      </w:r>
      <w:r>
        <w:t xml:space="preserve">, April 18, 2019, accessed June 5, 2020, </w:t>
      </w:r>
      <w:r w:rsidRPr="00CA34D3">
        <w:t>www.pewresearch.org/fact-tank/2019/04/18/a-look-at-how-people-around-the-world-view-climate-change/</w:t>
      </w:r>
      <w:r>
        <w:t>.</w:t>
      </w:r>
    </w:p>
  </w:footnote>
  <w:footnote w:id="48">
    <w:p w14:paraId="40AC3A8E" w14:textId="75067061" w:rsidR="00CF2498" w:rsidRPr="00CA34D3" w:rsidRDefault="00CF2498" w:rsidP="00EF0955">
      <w:pPr>
        <w:pStyle w:val="Footnote"/>
        <w:rPr>
          <w:b/>
        </w:rPr>
      </w:pPr>
      <w:r w:rsidRPr="00CA34D3">
        <w:rPr>
          <w:rStyle w:val="FootnoteReference"/>
        </w:rPr>
        <w:footnoteRef/>
      </w:r>
      <w:r>
        <w:t xml:space="preserve"> </w:t>
      </w:r>
      <w:r w:rsidRPr="00A25EAD">
        <w:rPr>
          <w:spacing w:val="-4"/>
        </w:rPr>
        <w:t>Office for National Statistics, “Overview of the UK Population: August 2019,” Office for National Statistics, accessed June 5, 2020, www.ons.gov.uk/peoplepopulationandcommunity/populationandmigration/populationestimates/articles/overviewoftheukpopulation/august2019.</w:t>
      </w:r>
    </w:p>
  </w:footnote>
  <w:footnote w:id="49">
    <w:p w14:paraId="2A4F3453" w14:textId="16D486CD" w:rsidR="00CF2498" w:rsidRPr="00CA34D3" w:rsidRDefault="00CF2498" w:rsidP="00EF0955">
      <w:pPr>
        <w:pStyle w:val="Footnote"/>
      </w:pPr>
      <w:r w:rsidRPr="00CA34D3">
        <w:rPr>
          <w:rStyle w:val="FootnoteReference"/>
        </w:rPr>
        <w:footnoteRef/>
      </w:r>
      <w:r w:rsidRPr="00CA34D3">
        <w:t xml:space="preserve"> </w:t>
      </w:r>
      <w:r>
        <w:t xml:space="preserve">Mindy </w:t>
      </w:r>
      <w:proofErr w:type="spellStart"/>
      <w:r>
        <w:t>Lilyquist</w:t>
      </w:r>
      <w:proofErr w:type="spellEnd"/>
      <w:r>
        <w:t>, “</w:t>
      </w:r>
      <w:r w:rsidRPr="00037DE3">
        <w:t xml:space="preserve">What is Direct </w:t>
      </w:r>
      <w:proofErr w:type="gramStart"/>
      <w:r w:rsidRPr="00037DE3">
        <w:t>Selling?</w:t>
      </w:r>
      <w:r>
        <w:t>,</w:t>
      </w:r>
      <w:proofErr w:type="gramEnd"/>
      <w:r>
        <w:t xml:space="preserve">” </w:t>
      </w:r>
      <w:r w:rsidRPr="001F0FC5">
        <w:t>The Balance Small Business</w:t>
      </w:r>
      <w:r>
        <w:t xml:space="preserve">, July 20, 2020, accessed May 29, 2020, </w:t>
      </w:r>
      <w:r w:rsidRPr="00CA34D3">
        <w:t>www.thebalancesmb.com/what-is-direct-selling-1794391</w:t>
      </w:r>
      <w:r>
        <w:t>.</w:t>
      </w:r>
    </w:p>
  </w:footnote>
  <w:footnote w:id="50">
    <w:p w14:paraId="319B5D25" w14:textId="72443093" w:rsidR="00CF2498" w:rsidRPr="00CA34D3" w:rsidRDefault="00CF2498" w:rsidP="00EF0955">
      <w:pPr>
        <w:pStyle w:val="Footnote"/>
      </w:pPr>
      <w:r w:rsidRPr="00CA34D3">
        <w:rPr>
          <w:rStyle w:val="FootnoteReference"/>
        </w:rPr>
        <w:footnoteRef/>
      </w:r>
      <w:r w:rsidRPr="00CA34D3">
        <w:t xml:space="preserve"> </w:t>
      </w:r>
      <w:r>
        <w:t>Ibid.</w:t>
      </w:r>
    </w:p>
  </w:footnote>
  <w:footnote w:id="51">
    <w:p w14:paraId="3051272A" w14:textId="4A4C6AF8" w:rsidR="00CF2498" w:rsidRPr="00CA34D3" w:rsidRDefault="00CF2498" w:rsidP="00EF0955">
      <w:pPr>
        <w:pStyle w:val="Footnote"/>
      </w:pPr>
      <w:r w:rsidRPr="00B70709">
        <w:rPr>
          <w:rStyle w:val="FootnoteReference"/>
        </w:rPr>
        <w:footnoteRef/>
      </w:r>
      <w:r w:rsidRPr="00B70709">
        <w:t xml:space="preserve"> </w:t>
      </w:r>
      <w:r w:rsidRPr="00970E39">
        <w:t xml:space="preserve">Average shipping costs per order </w:t>
      </w:r>
      <w:r w:rsidRPr="00B70709">
        <w:t>were $10</w:t>
      </w:r>
      <w:r w:rsidR="00C43B8C">
        <w:sym w:font="Symbol" w:char="F02D"/>
      </w:r>
      <w:r w:rsidRPr="00FD0A48">
        <w:t>$</w:t>
      </w:r>
      <w:r w:rsidRPr="00B70709">
        <w:t>15</w:t>
      </w:r>
      <w:r w:rsidRPr="00FD0A48">
        <w:t xml:space="preserve"> in Canada</w:t>
      </w:r>
      <w:r w:rsidRPr="00B70709">
        <w:t>, $5</w:t>
      </w:r>
      <w:r w:rsidRPr="00FD0A48">
        <w:t>–$</w:t>
      </w:r>
      <w:r w:rsidRPr="00B70709">
        <w:t>6 in the Unites States, and $15</w:t>
      </w:r>
      <w:r w:rsidRPr="00FD0A48">
        <w:t>–$</w:t>
      </w:r>
      <w:r w:rsidRPr="00B70709">
        <w:t>20 for international</w:t>
      </w:r>
      <w:r w:rsidRPr="00FD0A48">
        <w:t xml:space="preserve"> orders</w:t>
      </w:r>
      <w:r w:rsidRPr="00B70709">
        <w:t>.</w:t>
      </w:r>
    </w:p>
  </w:footnote>
  <w:footnote w:id="52">
    <w:p w14:paraId="34583E1D" w14:textId="71173294" w:rsidR="00CF2498" w:rsidRPr="00CA34D3" w:rsidRDefault="00CF2498" w:rsidP="00EF0955">
      <w:pPr>
        <w:pStyle w:val="Footnote"/>
      </w:pPr>
      <w:r w:rsidRPr="00CA34D3">
        <w:rPr>
          <w:rStyle w:val="FootnoteReference"/>
        </w:rPr>
        <w:footnoteRef/>
      </w:r>
      <w:r w:rsidRPr="00CA34D3">
        <w:t xml:space="preserve"> </w:t>
      </w:r>
      <w:r>
        <w:t>“</w:t>
      </w:r>
      <w:r w:rsidRPr="00CC6D0A">
        <w:t>Set Up Your Virtual Mirror</w:t>
      </w:r>
      <w:r>
        <w:t xml:space="preserve">,” </w:t>
      </w:r>
      <w:proofErr w:type="spellStart"/>
      <w:r w:rsidRPr="00FD0A48">
        <w:t>Virtooal</w:t>
      </w:r>
      <w:proofErr w:type="spellEnd"/>
      <w:r>
        <w:t xml:space="preserve">, accessed June 3, 2020, </w:t>
      </w:r>
      <w:r w:rsidRPr="00BA6BCA">
        <w:t>https://try.virtooal.com/en/pricing</w:t>
      </w:r>
      <w:r>
        <w:t>.</w:t>
      </w:r>
    </w:p>
  </w:footnote>
  <w:footnote w:id="53">
    <w:p w14:paraId="3853BFCB" w14:textId="1CCCB403" w:rsidR="00CF2498" w:rsidRPr="00CA34D3" w:rsidRDefault="00CF2498" w:rsidP="00EF0955">
      <w:pPr>
        <w:pStyle w:val="Footnote"/>
      </w:pPr>
      <w:r w:rsidRPr="00CA34D3">
        <w:rPr>
          <w:rStyle w:val="FootnoteReference"/>
        </w:rPr>
        <w:footnoteRef/>
      </w:r>
      <w:r w:rsidRPr="00CA34D3">
        <w:t xml:space="preserve"> </w:t>
      </w:r>
      <w:r>
        <w:t>Alert Tech Staff, “</w:t>
      </w:r>
      <w:r w:rsidRPr="00495EF4">
        <w:t>5 Most Important Retail Industry Benchmarks for Fitting Rooms</w:t>
      </w:r>
      <w:r>
        <w:t xml:space="preserve">,” </w:t>
      </w:r>
      <w:r w:rsidRPr="00FD0A48">
        <w:t>Alert Tech</w:t>
      </w:r>
      <w:r>
        <w:t xml:space="preserve">, March 9, 2016, accessed May 26, 2020, </w:t>
      </w:r>
      <w:r w:rsidRPr="00CC6D0A">
        <w:t>https://alerttech.net/retail-industry-benchmarks-for-fitting-rooms/</w:t>
      </w:r>
      <w:r w:rsidRPr="00CA34D3">
        <w:t>.</w:t>
      </w:r>
    </w:p>
  </w:footnote>
  <w:footnote w:id="54">
    <w:p w14:paraId="7FF19FBD" w14:textId="385EAA76" w:rsidR="00CF2498" w:rsidRPr="00CA34D3" w:rsidRDefault="00CF2498" w:rsidP="00EF0955">
      <w:pPr>
        <w:pStyle w:val="Footnote"/>
      </w:pPr>
      <w:r w:rsidRPr="00CA34D3">
        <w:rPr>
          <w:rStyle w:val="FootnoteReference"/>
        </w:rPr>
        <w:footnoteRef/>
      </w:r>
      <w:r w:rsidRPr="00CA34D3">
        <w:t xml:space="preserve"> </w:t>
      </w:r>
      <w:r>
        <w:t>“</w:t>
      </w:r>
      <w:r w:rsidRPr="00495EF4">
        <w:t xml:space="preserve">What is Channel Sales and how is it Different than Direct </w:t>
      </w:r>
      <w:proofErr w:type="gramStart"/>
      <w:r w:rsidRPr="00495EF4">
        <w:t>Sales?</w:t>
      </w:r>
      <w:r>
        <w:t>,</w:t>
      </w:r>
      <w:proofErr w:type="gramEnd"/>
      <w:r>
        <w:t xml:space="preserve">” </w:t>
      </w:r>
      <w:r w:rsidRPr="00FD0A48">
        <w:rPr>
          <w:i/>
        </w:rPr>
        <w:t>Lighter Capital</w:t>
      </w:r>
      <w:r>
        <w:t xml:space="preserve"> (blog), accessed May 25, 2020, </w:t>
      </w:r>
      <w:r w:rsidRPr="00CA34D3">
        <w:t>www.lightercapital.com/blog/what-is-channel-sales/</w:t>
      </w:r>
      <w:r>
        <w:t>.</w:t>
      </w:r>
    </w:p>
  </w:footnote>
  <w:footnote w:id="55">
    <w:p w14:paraId="738A236C" w14:textId="50BB8BF2" w:rsidR="00CF2498" w:rsidRPr="00CA34D3" w:rsidRDefault="00CF2498" w:rsidP="00EF0955">
      <w:pPr>
        <w:pStyle w:val="Footnote"/>
      </w:pPr>
      <w:r w:rsidRPr="00CA34D3">
        <w:rPr>
          <w:rStyle w:val="FootnoteReference"/>
        </w:rPr>
        <w:footnoteRef/>
      </w:r>
      <w:r w:rsidRPr="00CA34D3">
        <w:t xml:space="preserve"> </w:t>
      </w:r>
      <w:r>
        <w:t>Martin Kirov, “</w:t>
      </w:r>
      <w:r w:rsidRPr="00495EF4">
        <w:t>Channel Sales</w:t>
      </w:r>
      <w:r>
        <w:t xml:space="preserve"> </w:t>
      </w:r>
      <w:r w:rsidRPr="00495EF4">
        <w:t xml:space="preserve">vs Direct Sales: </w:t>
      </w:r>
      <w:r>
        <w:t xml:space="preserve">The Sales Rep’s Guide with </w:t>
      </w:r>
      <w:r w:rsidRPr="00495EF4">
        <w:t>Pros</w:t>
      </w:r>
      <w:r>
        <w:t xml:space="preserve"> and</w:t>
      </w:r>
      <w:r w:rsidRPr="00495EF4">
        <w:t xml:space="preserve"> Cons</w:t>
      </w:r>
      <w:r>
        <w:t xml:space="preserve">,” </w:t>
      </w:r>
      <w:r w:rsidRPr="00FD0A48">
        <w:rPr>
          <w:i/>
        </w:rPr>
        <w:t>Sales Hacker</w:t>
      </w:r>
      <w:r>
        <w:rPr>
          <w:i/>
        </w:rPr>
        <w:t xml:space="preserve"> </w:t>
      </w:r>
      <w:r w:rsidRPr="00FD0A48">
        <w:t>(blog),</w:t>
      </w:r>
      <w:r w:rsidRPr="00CC6D0A">
        <w:t xml:space="preserve"> </w:t>
      </w:r>
      <w:r>
        <w:t xml:space="preserve">accessed June 2, 2020, </w:t>
      </w:r>
      <w:r w:rsidRPr="00CA34D3">
        <w:t>www.saleshacker.com/channel-sales-direct-sales-strategy/</w:t>
      </w:r>
      <w:r>
        <w:t>.</w:t>
      </w:r>
    </w:p>
  </w:footnote>
  <w:footnote w:id="56">
    <w:p w14:paraId="157DD98D" w14:textId="7250212C" w:rsidR="00CF2498" w:rsidRPr="00CA34D3" w:rsidRDefault="00CF2498" w:rsidP="00EF0955">
      <w:pPr>
        <w:pStyle w:val="Footnote"/>
      </w:pPr>
      <w:r w:rsidRPr="00CA34D3">
        <w:rPr>
          <w:rStyle w:val="FootnoteReference"/>
        </w:rPr>
        <w:footnoteRef/>
      </w:r>
      <w:r w:rsidRPr="00CA34D3">
        <w:t xml:space="preserve"> </w:t>
      </w:r>
      <w:r>
        <w:t xml:space="preserve">“About Us,” </w:t>
      </w:r>
      <w:proofErr w:type="spellStart"/>
      <w:r w:rsidRPr="00FD0A48">
        <w:t>DoneGood</w:t>
      </w:r>
      <w:proofErr w:type="spellEnd"/>
      <w:r>
        <w:t xml:space="preserve">, accessed May 23, 2020, </w:t>
      </w:r>
      <w:r w:rsidRPr="00CA34D3">
        <w:t>https://donegood.co/pages/about-us</w:t>
      </w:r>
      <w:r>
        <w:t>.</w:t>
      </w:r>
    </w:p>
  </w:footnote>
  <w:footnote w:id="57">
    <w:p w14:paraId="180FBEAE" w14:textId="29483D8B" w:rsidR="00CF2498" w:rsidRPr="00CA34D3" w:rsidRDefault="00CF2498" w:rsidP="00EF0955">
      <w:pPr>
        <w:pStyle w:val="Footnote"/>
      </w:pPr>
      <w:r w:rsidRPr="00CA34D3">
        <w:rPr>
          <w:rStyle w:val="FootnoteReference"/>
        </w:rPr>
        <w:footnoteRef/>
      </w:r>
      <w:r w:rsidRPr="00CA34D3">
        <w:t xml:space="preserve"> </w:t>
      </w:r>
      <w:r>
        <w:t xml:space="preserve">ARC, “Who We Are: What We Do,” </w:t>
      </w:r>
      <w:r w:rsidRPr="00CC6D0A">
        <w:t>ARC Apparel</w:t>
      </w:r>
      <w:r>
        <w:t>, accessed May 23, 2020, www.</w:t>
      </w:r>
      <w:r w:rsidRPr="00CA34D3">
        <w:t>arcapparel.ca/service/about/</w:t>
      </w:r>
      <w:r>
        <w:t>.</w:t>
      </w:r>
    </w:p>
  </w:footnote>
  <w:footnote w:id="58">
    <w:p w14:paraId="2F12E57D" w14:textId="536DB7B7" w:rsidR="00CF2498" w:rsidRPr="00CA34D3" w:rsidRDefault="00CF2498" w:rsidP="00EF0955">
      <w:pPr>
        <w:pStyle w:val="Footnote"/>
      </w:pPr>
      <w:r w:rsidRPr="00CA34D3">
        <w:rPr>
          <w:rStyle w:val="FootnoteReference"/>
        </w:rPr>
        <w:footnoteRef/>
      </w:r>
      <w:r w:rsidRPr="00CA34D3">
        <w:t xml:space="preserve"> </w:t>
      </w:r>
      <w:r>
        <w:t>Jillian Hufford, “</w:t>
      </w:r>
      <w:r w:rsidRPr="00ED5FE8">
        <w:t>Amazon Statistics: Need to Know Numbers about Amazon</w:t>
      </w:r>
      <w:r>
        <w:t xml:space="preserve"> [Infographic],” </w:t>
      </w:r>
      <w:r w:rsidRPr="00FD0A48">
        <w:rPr>
          <w:i/>
        </w:rPr>
        <w:t>N C</w:t>
      </w:r>
      <w:r w:rsidRPr="00CC6D0A">
        <w:rPr>
          <w:i/>
        </w:rPr>
        <w:t>hannel</w:t>
      </w:r>
      <w:r>
        <w:t xml:space="preserve"> (blog), February 12, 2020, accessed June 6, 2020, www.</w:t>
      </w:r>
      <w:r w:rsidRPr="00CA34D3">
        <w:t>nchannel.com/blog/amazon-statistics/</w:t>
      </w:r>
      <w:r>
        <w:t>.</w:t>
      </w:r>
    </w:p>
  </w:footnote>
  <w:footnote w:id="59">
    <w:p w14:paraId="02FAC2CE" w14:textId="7E248F89" w:rsidR="00CF2498" w:rsidRPr="00CA34D3" w:rsidRDefault="00CF2498" w:rsidP="00EF0955">
      <w:pPr>
        <w:pStyle w:val="Footnote"/>
      </w:pPr>
      <w:r w:rsidRPr="00CA34D3">
        <w:rPr>
          <w:rStyle w:val="FootnoteReference"/>
        </w:rPr>
        <w:footnoteRef/>
      </w:r>
      <w:r w:rsidRPr="00CA34D3">
        <w:t xml:space="preserve"> </w:t>
      </w:r>
      <w:r>
        <w:t xml:space="preserve">Amazon.com Inc., “Pricing: Let’s Talk Numbers,” </w:t>
      </w:r>
      <w:r w:rsidRPr="00FD0A48">
        <w:t>Amazon</w:t>
      </w:r>
      <w:r>
        <w:t xml:space="preserve">, accessed June 2, 2020, </w:t>
      </w:r>
      <w:r w:rsidRPr="00EF43F6">
        <w:t>https://sell.amazon.com/pricing.html?ref_=sdus_soa_pricing_2_n</w:t>
      </w:r>
      <w:r>
        <w:t>.</w:t>
      </w:r>
    </w:p>
  </w:footnote>
  <w:footnote w:id="60">
    <w:p w14:paraId="69101CDE" w14:textId="03F4480F" w:rsidR="00CF2498" w:rsidRPr="00CA34D3" w:rsidRDefault="00CF2498" w:rsidP="00EF0955">
      <w:pPr>
        <w:pStyle w:val="Footnote"/>
      </w:pPr>
      <w:r w:rsidRPr="00CA34D3">
        <w:rPr>
          <w:rStyle w:val="FootnoteReference"/>
        </w:rPr>
        <w:footnoteRef/>
      </w:r>
      <w:r w:rsidRPr="00CA34D3">
        <w:t xml:space="preserve"> </w:t>
      </w:r>
      <w:r>
        <w:t>Read, op. cit.</w:t>
      </w:r>
    </w:p>
  </w:footnote>
  <w:footnote w:id="61">
    <w:p w14:paraId="308FF0FB" w14:textId="0DB2AB3A" w:rsidR="00FA26DB" w:rsidRDefault="00FA26DB" w:rsidP="00FA26DB">
      <w:pPr>
        <w:pStyle w:val="Footnote"/>
      </w:pPr>
      <w:r>
        <w:rPr>
          <w:rStyle w:val="FootnoteReference"/>
        </w:rPr>
        <w:footnoteRef/>
      </w:r>
      <w:r>
        <w:t xml:space="preserve"> </w:t>
      </w:r>
      <w:r w:rsidRPr="00FA26DB">
        <w:t>Site conversion rate refers to the number of users who will visit the company's website but does not guarantee a purchase</w:t>
      </w:r>
      <w:r>
        <w:t>.</w:t>
      </w:r>
    </w:p>
  </w:footnote>
  <w:footnote w:id="62">
    <w:p w14:paraId="2A306E28" w14:textId="7E46FEDB" w:rsidR="00CF2498" w:rsidRPr="000E30CF" w:rsidRDefault="00CF2498" w:rsidP="00EF0955">
      <w:pPr>
        <w:pStyle w:val="Footnote"/>
      </w:pPr>
      <w:r w:rsidRPr="00CA34D3">
        <w:rPr>
          <w:rStyle w:val="FootnoteReference"/>
        </w:rPr>
        <w:footnoteRef/>
      </w:r>
      <w:r w:rsidRPr="00CA34D3">
        <w:t xml:space="preserve"> </w:t>
      </w:r>
      <w:r>
        <w:t xml:space="preserve">Steven Chen and Megan </w:t>
      </w:r>
      <w:proofErr w:type="spellStart"/>
      <w:r>
        <w:t>Knisely</w:t>
      </w:r>
      <w:proofErr w:type="spellEnd"/>
      <w:r>
        <w:t xml:space="preserve">, </w:t>
      </w:r>
      <w:r w:rsidRPr="00FD0A48">
        <w:rPr>
          <w:i/>
        </w:rPr>
        <w:t>2016 Influencer Marketing Benchmarks</w:t>
      </w:r>
      <w:r>
        <w:t>, G</w:t>
      </w:r>
      <w:r w:rsidRPr="00FD0A48">
        <w:t>rapevine</w:t>
      </w:r>
      <w:r>
        <w:t xml:space="preserve"> Village, 2016, accessed June 5, 2020, </w:t>
      </w:r>
      <w:r w:rsidRPr="00CA34D3">
        <w:t>https://cdn2.hubspot.net/hubfs/418657/Brand-Collateral/Reports/Influencer_Marketing_2016_Benchmarks.pdf</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7E4BE85A" w:rsidR="00CF2498" w:rsidRPr="00C92CC4" w:rsidRDefault="00CF249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01117">
      <w:rPr>
        <w:rFonts w:ascii="Arial" w:hAnsi="Arial"/>
        <w:b/>
        <w:noProof/>
      </w:rPr>
      <w:t>10</w:t>
    </w:r>
    <w:r>
      <w:rPr>
        <w:rFonts w:ascii="Arial" w:hAnsi="Arial"/>
        <w:b/>
      </w:rPr>
      <w:fldChar w:fldCharType="end"/>
    </w:r>
    <w:r>
      <w:rPr>
        <w:rFonts w:ascii="Arial" w:hAnsi="Arial"/>
        <w:b/>
      </w:rPr>
      <w:tab/>
    </w:r>
    <w:r w:rsidR="00852A08">
      <w:rPr>
        <w:rFonts w:ascii="Arial" w:hAnsi="Arial"/>
        <w:b/>
      </w:rPr>
      <w:t>9B21A010</w:t>
    </w:r>
  </w:p>
  <w:p w14:paraId="2B53C0A0" w14:textId="77777777" w:rsidR="00CF2498" w:rsidRDefault="00CF2498" w:rsidP="00D13667">
    <w:pPr>
      <w:pStyle w:val="Header"/>
      <w:tabs>
        <w:tab w:val="clear" w:pos="4680"/>
      </w:tabs>
      <w:rPr>
        <w:sz w:val="18"/>
        <w:szCs w:val="18"/>
      </w:rPr>
    </w:pPr>
  </w:p>
  <w:p w14:paraId="47119730" w14:textId="77777777" w:rsidR="00CF2498" w:rsidRPr="00C92CC4" w:rsidRDefault="00CF2498"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4D7FE" w14:textId="5AE38191" w:rsidR="00CF2498" w:rsidRPr="00C92CC4" w:rsidRDefault="00CF2498" w:rsidP="00BA1E42">
    <w:pPr>
      <w:pBdr>
        <w:bottom w:val="single" w:sz="18" w:space="1" w:color="auto"/>
      </w:pBdr>
      <w:tabs>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01117">
      <w:rPr>
        <w:rFonts w:ascii="Arial" w:hAnsi="Arial"/>
        <w:b/>
        <w:noProof/>
      </w:rPr>
      <w:t>11</w:t>
    </w:r>
    <w:r>
      <w:rPr>
        <w:rFonts w:ascii="Arial" w:hAnsi="Arial"/>
        <w:b/>
      </w:rPr>
      <w:fldChar w:fldCharType="end"/>
    </w:r>
    <w:r>
      <w:rPr>
        <w:rFonts w:ascii="Arial" w:hAnsi="Arial"/>
        <w:b/>
      </w:rPr>
      <w:tab/>
    </w:r>
    <w:r w:rsidR="00A25EAD">
      <w:rPr>
        <w:rFonts w:ascii="Arial" w:hAnsi="Arial"/>
        <w:b/>
      </w:rPr>
      <w:t>9B21A010</w:t>
    </w:r>
  </w:p>
  <w:p w14:paraId="301ED9F4" w14:textId="77777777" w:rsidR="00CF2498" w:rsidRDefault="00CF2498" w:rsidP="00BA1E42">
    <w:pPr>
      <w:pStyle w:val="Header"/>
      <w:tabs>
        <w:tab w:val="clear" w:pos="4680"/>
      </w:tabs>
      <w:rPr>
        <w:sz w:val="18"/>
        <w:szCs w:val="18"/>
      </w:rPr>
    </w:pPr>
  </w:p>
  <w:p w14:paraId="2A9C45B3" w14:textId="77777777" w:rsidR="00CF2498" w:rsidRPr="00C92CC4" w:rsidRDefault="00CF2498" w:rsidP="00BA1E42">
    <w:pPr>
      <w:pStyle w:val="Header"/>
      <w:tabs>
        <w:tab w:val="clear" w:pos="468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C5FFD" w14:textId="187DB354" w:rsidR="00CF2498" w:rsidRPr="00C92CC4" w:rsidRDefault="00CF2498" w:rsidP="0003718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01117">
      <w:rPr>
        <w:rFonts w:ascii="Arial" w:hAnsi="Arial"/>
        <w:b/>
        <w:noProof/>
      </w:rPr>
      <w:t>16</w:t>
    </w:r>
    <w:r>
      <w:rPr>
        <w:rFonts w:ascii="Arial" w:hAnsi="Arial"/>
        <w:b/>
      </w:rPr>
      <w:fldChar w:fldCharType="end"/>
    </w:r>
    <w:r>
      <w:rPr>
        <w:rFonts w:ascii="Arial" w:hAnsi="Arial"/>
        <w:b/>
      </w:rPr>
      <w:tab/>
    </w:r>
    <w:r w:rsidR="00A25EAD">
      <w:rPr>
        <w:rFonts w:ascii="Arial" w:hAnsi="Arial"/>
        <w:b/>
      </w:rPr>
      <w:t>9B21A010</w:t>
    </w:r>
  </w:p>
  <w:p w14:paraId="231B4E2B" w14:textId="77777777" w:rsidR="00CF2498" w:rsidRDefault="00CF2498" w:rsidP="00037187">
    <w:pPr>
      <w:pStyle w:val="Header"/>
      <w:tabs>
        <w:tab w:val="clear" w:pos="4680"/>
      </w:tabs>
      <w:rPr>
        <w:sz w:val="18"/>
        <w:szCs w:val="18"/>
      </w:rPr>
    </w:pPr>
  </w:p>
  <w:p w14:paraId="699298C4" w14:textId="77777777" w:rsidR="00CF2498" w:rsidRPr="00C92CC4" w:rsidRDefault="00CF2498" w:rsidP="0003718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833156"/>
    <w:multiLevelType w:val="hybridMultilevel"/>
    <w:tmpl w:val="C2FCF2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EF37AD"/>
    <w:multiLevelType w:val="hybridMultilevel"/>
    <w:tmpl w:val="CCA2DBE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3"/>
  </w:num>
  <w:num w:numId="4">
    <w:abstractNumId w:val="11"/>
  </w:num>
  <w:num w:numId="5">
    <w:abstractNumId w:val="4"/>
  </w:num>
  <w:num w:numId="6">
    <w:abstractNumId w:val="8"/>
  </w:num>
  <w:num w:numId="7">
    <w:abstractNumId w:val="0"/>
  </w:num>
  <w:num w:numId="8">
    <w:abstractNumId w:val="13"/>
  </w:num>
  <w:num w:numId="9">
    <w:abstractNumId w:val="9"/>
  </w:num>
  <w:num w:numId="10">
    <w:abstractNumId w:val="2"/>
  </w:num>
  <w:num w:numId="11">
    <w:abstractNumId w:val="6"/>
  </w:num>
  <w:num w:numId="12">
    <w:abstractNumId w:val="7"/>
  </w:num>
  <w:num w:numId="13">
    <w:abstractNumId w:val="10"/>
  </w:num>
  <w:num w:numId="1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638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2D20"/>
    <w:rsid w:val="00024ED4"/>
    <w:rsid w:val="00025DC7"/>
    <w:rsid w:val="00035F09"/>
    <w:rsid w:val="00037187"/>
    <w:rsid w:val="00042041"/>
    <w:rsid w:val="00044ECC"/>
    <w:rsid w:val="00050DD6"/>
    <w:rsid w:val="000531D3"/>
    <w:rsid w:val="0005646B"/>
    <w:rsid w:val="000615D1"/>
    <w:rsid w:val="0008102D"/>
    <w:rsid w:val="000811E4"/>
    <w:rsid w:val="00086B26"/>
    <w:rsid w:val="00094C0E"/>
    <w:rsid w:val="000A146D"/>
    <w:rsid w:val="000A579F"/>
    <w:rsid w:val="000A7717"/>
    <w:rsid w:val="000B35CF"/>
    <w:rsid w:val="000D2A2F"/>
    <w:rsid w:val="000D55C3"/>
    <w:rsid w:val="000D7091"/>
    <w:rsid w:val="000F0C22"/>
    <w:rsid w:val="000F4CDA"/>
    <w:rsid w:val="000F6B09"/>
    <w:rsid w:val="000F6FDC"/>
    <w:rsid w:val="000F774E"/>
    <w:rsid w:val="00104567"/>
    <w:rsid w:val="00104916"/>
    <w:rsid w:val="00104AA7"/>
    <w:rsid w:val="0012732D"/>
    <w:rsid w:val="00135FC1"/>
    <w:rsid w:val="00143F25"/>
    <w:rsid w:val="00146027"/>
    <w:rsid w:val="00152682"/>
    <w:rsid w:val="00154FC9"/>
    <w:rsid w:val="00155E7E"/>
    <w:rsid w:val="0017740B"/>
    <w:rsid w:val="0018146D"/>
    <w:rsid w:val="00182514"/>
    <w:rsid w:val="00185A30"/>
    <w:rsid w:val="001901C0"/>
    <w:rsid w:val="0019241A"/>
    <w:rsid w:val="00192A18"/>
    <w:rsid w:val="001A22D1"/>
    <w:rsid w:val="001A752D"/>
    <w:rsid w:val="001A757E"/>
    <w:rsid w:val="001B5032"/>
    <w:rsid w:val="001B6859"/>
    <w:rsid w:val="001C7777"/>
    <w:rsid w:val="001D344B"/>
    <w:rsid w:val="001E364F"/>
    <w:rsid w:val="001F0FC5"/>
    <w:rsid w:val="001F4222"/>
    <w:rsid w:val="001F5496"/>
    <w:rsid w:val="00203AA1"/>
    <w:rsid w:val="00213E98"/>
    <w:rsid w:val="00230150"/>
    <w:rsid w:val="0023081A"/>
    <w:rsid w:val="00233111"/>
    <w:rsid w:val="00265FA8"/>
    <w:rsid w:val="00271323"/>
    <w:rsid w:val="00294662"/>
    <w:rsid w:val="002B40FF"/>
    <w:rsid w:val="002C11BA"/>
    <w:rsid w:val="002C4E29"/>
    <w:rsid w:val="002C7939"/>
    <w:rsid w:val="002E3C42"/>
    <w:rsid w:val="002F460C"/>
    <w:rsid w:val="002F48D6"/>
    <w:rsid w:val="00301117"/>
    <w:rsid w:val="003023B6"/>
    <w:rsid w:val="00315A1A"/>
    <w:rsid w:val="00317391"/>
    <w:rsid w:val="00324F4F"/>
    <w:rsid w:val="00326216"/>
    <w:rsid w:val="00336580"/>
    <w:rsid w:val="00354899"/>
    <w:rsid w:val="00354962"/>
    <w:rsid w:val="003559A4"/>
    <w:rsid w:val="00355FD6"/>
    <w:rsid w:val="00364A5C"/>
    <w:rsid w:val="00373FB1"/>
    <w:rsid w:val="00396C76"/>
    <w:rsid w:val="003A0D7C"/>
    <w:rsid w:val="003A5366"/>
    <w:rsid w:val="003B30D8"/>
    <w:rsid w:val="003B7EF2"/>
    <w:rsid w:val="003C03D0"/>
    <w:rsid w:val="003C3FA4"/>
    <w:rsid w:val="003C7D73"/>
    <w:rsid w:val="003D0BA1"/>
    <w:rsid w:val="003D26D9"/>
    <w:rsid w:val="003D28C1"/>
    <w:rsid w:val="003F2B0C"/>
    <w:rsid w:val="00402B1A"/>
    <w:rsid w:val="004105B2"/>
    <w:rsid w:val="0041145A"/>
    <w:rsid w:val="00412900"/>
    <w:rsid w:val="0042040B"/>
    <w:rsid w:val="004221E4"/>
    <w:rsid w:val="004273F8"/>
    <w:rsid w:val="004355A3"/>
    <w:rsid w:val="00446546"/>
    <w:rsid w:val="00452769"/>
    <w:rsid w:val="004544CD"/>
    <w:rsid w:val="00454E99"/>
    <w:rsid w:val="00454FA7"/>
    <w:rsid w:val="00455FF3"/>
    <w:rsid w:val="00460993"/>
    <w:rsid w:val="00463047"/>
    <w:rsid w:val="00465348"/>
    <w:rsid w:val="00473443"/>
    <w:rsid w:val="00484143"/>
    <w:rsid w:val="00494593"/>
    <w:rsid w:val="004979A5"/>
    <w:rsid w:val="004A25E0"/>
    <w:rsid w:val="004A3B4B"/>
    <w:rsid w:val="004B1CCB"/>
    <w:rsid w:val="004B632F"/>
    <w:rsid w:val="004D349C"/>
    <w:rsid w:val="004D3FB1"/>
    <w:rsid w:val="004D4D16"/>
    <w:rsid w:val="004D6F21"/>
    <w:rsid w:val="004D73A5"/>
    <w:rsid w:val="005160F1"/>
    <w:rsid w:val="00524F2F"/>
    <w:rsid w:val="00527E5C"/>
    <w:rsid w:val="00532CF5"/>
    <w:rsid w:val="005528CB"/>
    <w:rsid w:val="005565AA"/>
    <w:rsid w:val="00556A64"/>
    <w:rsid w:val="005639CF"/>
    <w:rsid w:val="00563E1B"/>
    <w:rsid w:val="00566771"/>
    <w:rsid w:val="00581E2E"/>
    <w:rsid w:val="00584F15"/>
    <w:rsid w:val="0059514B"/>
    <w:rsid w:val="005A1B0F"/>
    <w:rsid w:val="005B4B90"/>
    <w:rsid w:val="005B4CE6"/>
    <w:rsid w:val="005B5EFE"/>
    <w:rsid w:val="005D57EA"/>
    <w:rsid w:val="005F10AD"/>
    <w:rsid w:val="005F1A96"/>
    <w:rsid w:val="00604B86"/>
    <w:rsid w:val="0060718E"/>
    <w:rsid w:val="006163F7"/>
    <w:rsid w:val="00627C63"/>
    <w:rsid w:val="0063350B"/>
    <w:rsid w:val="00634E43"/>
    <w:rsid w:val="0064317A"/>
    <w:rsid w:val="00652606"/>
    <w:rsid w:val="006527BA"/>
    <w:rsid w:val="0066295A"/>
    <w:rsid w:val="006823DA"/>
    <w:rsid w:val="00691701"/>
    <w:rsid w:val="006946EE"/>
    <w:rsid w:val="006A30CE"/>
    <w:rsid w:val="006A58A9"/>
    <w:rsid w:val="006A606D"/>
    <w:rsid w:val="006B136A"/>
    <w:rsid w:val="006C0371"/>
    <w:rsid w:val="006C08B6"/>
    <w:rsid w:val="006C0B1A"/>
    <w:rsid w:val="006C6065"/>
    <w:rsid w:val="006C7F9F"/>
    <w:rsid w:val="006E2F6D"/>
    <w:rsid w:val="006E58F6"/>
    <w:rsid w:val="006E77E1"/>
    <w:rsid w:val="006F131D"/>
    <w:rsid w:val="00711642"/>
    <w:rsid w:val="00712140"/>
    <w:rsid w:val="007308E7"/>
    <w:rsid w:val="007507C6"/>
    <w:rsid w:val="00751E0B"/>
    <w:rsid w:val="00752BCD"/>
    <w:rsid w:val="00763CF4"/>
    <w:rsid w:val="00766DA1"/>
    <w:rsid w:val="007766C8"/>
    <w:rsid w:val="00780D94"/>
    <w:rsid w:val="007866A6"/>
    <w:rsid w:val="007A130D"/>
    <w:rsid w:val="007A63AC"/>
    <w:rsid w:val="007D1A2D"/>
    <w:rsid w:val="007D32E6"/>
    <w:rsid w:val="007D4102"/>
    <w:rsid w:val="007E54A7"/>
    <w:rsid w:val="007E7171"/>
    <w:rsid w:val="007F43B7"/>
    <w:rsid w:val="007F6760"/>
    <w:rsid w:val="0080474E"/>
    <w:rsid w:val="00811DF5"/>
    <w:rsid w:val="00814452"/>
    <w:rsid w:val="00821FFC"/>
    <w:rsid w:val="008271CA"/>
    <w:rsid w:val="00841E77"/>
    <w:rsid w:val="008467D5"/>
    <w:rsid w:val="00852A08"/>
    <w:rsid w:val="0085355A"/>
    <w:rsid w:val="00865AF2"/>
    <w:rsid w:val="00893B76"/>
    <w:rsid w:val="008967DF"/>
    <w:rsid w:val="008A2541"/>
    <w:rsid w:val="008A41BF"/>
    <w:rsid w:val="008A4DC4"/>
    <w:rsid w:val="008B11BC"/>
    <w:rsid w:val="008B438C"/>
    <w:rsid w:val="008B59C4"/>
    <w:rsid w:val="008D06CA"/>
    <w:rsid w:val="008D272C"/>
    <w:rsid w:val="008D3A46"/>
    <w:rsid w:val="008D4A55"/>
    <w:rsid w:val="008F2385"/>
    <w:rsid w:val="00903407"/>
    <w:rsid w:val="009067A4"/>
    <w:rsid w:val="00913133"/>
    <w:rsid w:val="00930885"/>
    <w:rsid w:val="00933D68"/>
    <w:rsid w:val="009340DB"/>
    <w:rsid w:val="009357DE"/>
    <w:rsid w:val="0094618C"/>
    <w:rsid w:val="00947D37"/>
    <w:rsid w:val="0095684B"/>
    <w:rsid w:val="00962500"/>
    <w:rsid w:val="00970E39"/>
    <w:rsid w:val="00972498"/>
    <w:rsid w:val="0097481F"/>
    <w:rsid w:val="00974922"/>
    <w:rsid w:val="00974CC6"/>
    <w:rsid w:val="00976AD4"/>
    <w:rsid w:val="00995547"/>
    <w:rsid w:val="009A312F"/>
    <w:rsid w:val="009A5348"/>
    <w:rsid w:val="009A669D"/>
    <w:rsid w:val="009B0AB7"/>
    <w:rsid w:val="009C76D5"/>
    <w:rsid w:val="009E1122"/>
    <w:rsid w:val="009F0AD2"/>
    <w:rsid w:val="009F15AD"/>
    <w:rsid w:val="009F7AA4"/>
    <w:rsid w:val="00A10AD7"/>
    <w:rsid w:val="00A25EAD"/>
    <w:rsid w:val="00A31FC3"/>
    <w:rsid w:val="00A323B0"/>
    <w:rsid w:val="00A559DB"/>
    <w:rsid w:val="00A569EA"/>
    <w:rsid w:val="00A60D6E"/>
    <w:rsid w:val="00A663F7"/>
    <w:rsid w:val="00A676A0"/>
    <w:rsid w:val="00AB7AE7"/>
    <w:rsid w:val="00AC2662"/>
    <w:rsid w:val="00AC6A3B"/>
    <w:rsid w:val="00AD5178"/>
    <w:rsid w:val="00AF35FC"/>
    <w:rsid w:val="00AF3F38"/>
    <w:rsid w:val="00AF5556"/>
    <w:rsid w:val="00B03639"/>
    <w:rsid w:val="00B05409"/>
    <w:rsid w:val="00B0652A"/>
    <w:rsid w:val="00B337BC"/>
    <w:rsid w:val="00B4030D"/>
    <w:rsid w:val="00B40937"/>
    <w:rsid w:val="00B423EF"/>
    <w:rsid w:val="00B453DE"/>
    <w:rsid w:val="00B53198"/>
    <w:rsid w:val="00B5536C"/>
    <w:rsid w:val="00B62497"/>
    <w:rsid w:val="00B706E1"/>
    <w:rsid w:val="00B70709"/>
    <w:rsid w:val="00B72597"/>
    <w:rsid w:val="00B87DC0"/>
    <w:rsid w:val="00B901F9"/>
    <w:rsid w:val="00BA1E42"/>
    <w:rsid w:val="00BA4797"/>
    <w:rsid w:val="00BB4414"/>
    <w:rsid w:val="00BB6E59"/>
    <w:rsid w:val="00BC256F"/>
    <w:rsid w:val="00BC4D98"/>
    <w:rsid w:val="00BC6147"/>
    <w:rsid w:val="00BD6EFB"/>
    <w:rsid w:val="00BD74CC"/>
    <w:rsid w:val="00BE3DF5"/>
    <w:rsid w:val="00BF5EAB"/>
    <w:rsid w:val="00BF7534"/>
    <w:rsid w:val="00C02410"/>
    <w:rsid w:val="00C1584D"/>
    <w:rsid w:val="00C15BE2"/>
    <w:rsid w:val="00C3447F"/>
    <w:rsid w:val="00C43B8C"/>
    <w:rsid w:val="00C44714"/>
    <w:rsid w:val="00C47B59"/>
    <w:rsid w:val="00C51874"/>
    <w:rsid w:val="00C60454"/>
    <w:rsid w:val="00C67102"/>
    <w:rsid w:val="00C714C4"/>
    <w:rsid w:val="00C74414"/>
    <w:rsid w:val="00C757D1"/>
    <w:rsid w:val="00C81491"/>
    <w:rsid w:val="00C81676"/>
    <w:rsid w:val="00C81792"/>
    <w:rsid w:val="00C852FD"/>
    <w:rsid w:val="00C85C5D"/>
    <w:rsid w:val="00C91479"/>
    <w:rsid w:val="00C92CC4"/>
    <w:rsid w:val="00CA0AFB"/>
    <w:rsid w:val="00CA2CE1"/>
    <w:rsid w:val="00CA3976"/>
    <w:rsid w:val="00CA50E3"/>
    <w:rsid w:val="00CA63E9"/>
    <w:rsid w:val="00CA757B"/>
    <w:rsid w:val="00CC1787"/>
    <w:rsid w:val="00CC182C"/>
    <w:rsid w:val="00CC6D0A"/>
    <w:rsid w:val="00CD0824"/>
    <w:rsid w:val="00CD156A"/>
    <w:rsid w:val="00CD2908"/>
    <w:rsid w:val="00CF2498"/>
    <w:rsid w:val="00CF33DA"/>
    <w:rsid w:val="00CF4BB3"/>
    <w:rsid w:val="00D03A82"/>
    <w:rsid w:val="00D13667"/>
    <w:rsid w:val="00D15344"/>
    <w:rsid w:val="00D23F57"/>
    <w:rsid w:val="00D31BEC"/>
    <w:rsid w:val="00D41EBA"/>
    <w:rsid w:val="00D4207A"/>
    <w:rsid w:val="00D42749"/>
    <w:rsid w:val="00D4743B"/>
    <w:rsid w:val="00D5070E"/>
    <w:rsid w:val="00D54027"/>
    <w:rsid w:val="00D547D4"/>
    <w:rsid w:val="00D5740A"/>
    <w:rsid w:val="00D63150"/>
    <w:rsid w:val="00D636BA"/>
    <w:rsid w:val="00D64A32"/>
    <w:rsid w:val="00D64EFC"/>
    <w:rsid w:val="00D75295"/>
    <w:rsid w:val="00D76CE9"/>
    <w:rsid w:val="00D97F12"/>
    <w:rsid w:val="00DA2877"/>
    <w:rsid w:val="00DA474E"/>
    <w:rsid w:val="00DA6095"/>
    <w:rsid w:val="00DB13A2"/>
    <w:rsid w:val="00DB42E7"/>
    <w:rsid w:val="00DC09D8"/>
    <w:rsid w:val="00DC709E"/>
    <w:rsid w:val="00DE01A6"/>
    <w:rsid w:val="00DE7A98"/>
    <w:rsid w:val="00DF32C2"/>
    <w:rsid w:val="00DF7883"/>
    <w:rsid w:val="00E026AC"/>
    <w:rsid w:val="00E05AD7"/>
    <w:rsid w:val="00E23927"/>
    <w:rsid w:val="00E253AD"/>
    <w:rsid w:val="00E27393"/>
    <w:rsid w:val="00E471A7"/>
    <w:rsid w:val="00E635CF"/>
    <w:rsid w:val="00E719C5"/>
    <w:rsid w:val="00EB1E3B"/>
    <w:rsid w:val="00EB4B01"/>
    <w:rsid w:val="00EC6E0A"/>
    <w:rsid w:val="00ED0FBF"/>
    <w:rsid w:val="00ED4E18"/>
    <w:rsid w:val="00ED7922"/>
    <w:rsid w:val="00EE02C4"/>
    <w:rsid w:val="00EE1F37"/>
    <w:rsid w:val="00EE437B"/>
    <w:rsid w:val="00EF0955"/>
    <w:rsid w:val="00EF565D"/>
    <w:rsid w:val="00F0159C"/>
    <w:rsid w:val="00F05DFC"/>
    <w:rsid w:val="00F105B7"/>
    <w:rsid w:val="00F13220"/>
    <w:rsid w:val="00F17A21"/>
    <w:rsid w:val="00F36FC2"/>
    <w:rsid w:val="00F37B27"/>
    <w:rsid w:val="00F46556"/>
    <w:rsid w:val="00F50E91"/>
    <w:rsid w:val="00F51826"/>
    <w:rsid w:val="00F56799"/>
    <w:rsid w:val="00F57D29"/>
    <w:rsid w:val="00F60786"/>
    <w:rsid w:val="00F845EA"/>
    <w:rsid w:val="00F90CE8"/>
    <w:rsid w:val="00F9121E"/>
    <w:rsid w:val="00F91BC7"/>
    <w:rsid w:val="00F96201"/>
    <w:rsid w:val="00F965E7"/>
    <w:rsid w:val="00FA1BBC"/>
    <w:rsid w:val="00FA26DB"/>
    <w:rsid w:val="00FC0D75"/>
    <w:rsid w:val="00FD0A48"/>
    <w:rsid w:val="00FD0B18"/>
    <w:rsid w:val="00FD2FAD"/>
    <w:rsid w:val="00FD458D"/>
    <w:rsid w:val="00FE714F"/>
    <w:rsid w:val="00FF7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D41E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85227657">
      <w:bodyDiv w:val="1"/>
      <w:marLeft w:val="0"/>
      <w:marRight w:val="0"/>
      <w:marTop w:val="0"/>
      <w:marBottom w:val="0"/>
      <w:divBdr>
        <w:top w:val="none" w:sz="0" w:space="0" w:color="auto"/>
        <w:left w:val="none" w:sz="0" w:space="0" w:color="auto"/>
        <w:bottom w:val="none" w:sz="0" w:space="0" w:color="auto"/>
        <w:right w:val="none" w:sz="0" w:space="0" w:color="auto"/>
      </w:divBdr>
    </w:div>
    <w:div w:id="1999267204">
      <w:bodyDiv w:val="1"/>
      <w:marLeft w:val="0"/>
      <w:marRight w:val="0"/>
      <w:marTop w:val="0"/>
      <w:marBottom w:val="0"/>
      <w:divBdr>
        <w:top w:val="none" w:sz="0" w:space="0" w:color="auto"/>
        <w:left w:val="none" w:sz="0" w:space="0" w:color="auto"/>
        <w:bottom w:val="none" w:sz="0" w:space="0" w:color="auto"/>
        <w:right w:val="none" w:sz="0" w:space="0" w:color="auto"/>
      </w:divBdr>
    </w:div>
    <w:div w:id="2058242748">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iveycase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7410218662632862E-2"/>
          <c:y val="4.5109698585195819E-2"/>
          <c:w val="0.92224480123722674"/>
          <c:h val="0.77670860652363094"/>
        </c:manualLayout>
      </c:layout>
      <c:barChart>
        <c:barDir val="col"/>
        <c:grouping val="clustered"/>
        <c:varyColors val="0"/>
        <c:ser>
          <c:idx val="0"/>
          <c:order val="0"/>
          <c:tx>
            <c:strRef>
              <c:f>Sheet1!$B$1</c:f>
              <c:strCache>
                <c:ptCount val="1"/>
                <c:pt idx="0">
                  <c:v>Vancouver, City [Census subdivision], British Columbia</c:v>
                </c:pt>
              </c:strCache>
            </c:strRef>
          </c:tx>
          <c:spPr>
            <a:solidFill>
              <a:schemeClr val="accent6"/>
            </a:solidFill>
            <a:ln>
              <a:noFill/>
            </a:ln>
            <a:effectLst/>
          </c:spPr>
          <c:invertIfNegative val="0"/>
          <c:cat>
            <c:strRef>
              <c:f>Sheet1!$A$2:$A$22</c:f>
              <c:strCache>
                <c:ptCount val="21"/>
                <c:pt idx="0">
                  <c:v>1-4 
years</c:v>
                </c:pt>
                <c:pt idx="1">
                  <c:v>5-9 
years</c:v>
                </c:pt>
                <c:pt idx="2">
                  <c:v>10-14
years</c:v>
                </c:pt>
                <c:pt idx="3">
                  <c:v>15-19 
years</c:v>
                </c:pt>
                <c:pt idx="4">
                  <c:v>20-24 
years</c:v>
                </c:pt>
                <c:pt idx="5">
                  <c:v>25-29 
years</c:v>
                </c:pt>
                <c:pt idx="6">
                  <c:v>30-34 
years</c:v>
                </c:pt>
                <c:pt idx="7">
                  <c:v>35-39 
years</c:v>
                </c:pt>
                <c:pt idx="8">
                  <c:v>40-44 
years</c:v>
                </c:pt>
                <c:pt idx="9">
                  <c:v>45-49 
years</c:v>
                </c:pt>
                <c:pt idx="10">
                  <c:v>50-54 
years</c:v>
                </c:pt>
                <c:pt idx="11">
                  <c:v>55-59 
years</c:v>
                </c:pt>
                <c:pt idx="12">
                  <c:v>60-64 
years</c:v>
                </c:pt>
                <c:pt idx="13">
                  <c:v>65-69 
years</c:v>
                </c:pt>
                <c:pt idx="14">
                  <c:v>70-74 
years</c:v>
                </c:pt>
                <c:pt idx="15">
                  <c:v>75-79 
years</c:v>
                </c:pt>
                <c:pt idx="16">
                  <c:v>80-84 
years</c:v>
                </c:pt>
                <c:pt idx="17">
                  <c:v>85-89 
years</c:v>
                </c:pt>
                <c:pt idx="18">
                  <c:v>90-94 
years</c:v>
                </c:pt>
                <c:pt idx="19">
                  <c:v>95-99 
years</c:v>
                </c:pt>
                <c:pt idx="20">
                  <c:v>100+ years</c:v>
                </c:pt>
              </c:strCache>
            </c:strRef>
          </c:cat>
          <c:val>
            <c:numRef>
              <c:f>Sheet1!$B$2:$B$22</c:f>
              <c:numCache>
                <c:formatCode>0.00%</c:formatCode>
                <c:ptCount val="21"/>
                <c:pt idx="0">
                  <c:v>3.9E-2</c:v>
                </c:pt>
                <c:pt idx="1">
                  <c:v>3.5999999999999997E-2</c:v>
                </c:pt>
                <c:pt idx="2">
                  <c:v>3.5999999999999997E-2</c:v>
                </c:pt>
                <c:pt idx="3">
                  <c:v>4.4999999999999998E-2</c:v>
                </c:pt>
                <c:pt idx="4">
                  <c:v>7.0000000000000007E-2</c:v>
                </c:pt>
                <c:pt idx="5">
                  <c:v>0.10100000000000001</c:v>
                </c:pt>
                <c:pt idx="6">
                  <c:v>9.8000000000000004E-2</c:v>
                </c:pt>
                <c:pt idx="7">
                  <c:v>7.6999999999999999E-2</c:v>
                </c:pt>
                <c:pt idx="8">
                  <c:v>7.0000000000000007E-2</c:v>
                </c:pt>
                <c:pt idx="9">
                  <c:v>7.3999999999999996E-2</c:v>
                </c:pt>
                <c:pt idx="10">
                  <c:v>7.3999999999999996E-2</c:v>
                </c:pt>
                <c:pt idx="11">
                  <c:v>6.7000000000000004E-2</c:v>
                </c:pt>
                <c:pt idx="12">
                  <c:v>5.8999999999999997E-2</c:v>
                </c:pt>
                <c:pt idx="13">
                  <c:v>5.1999999999999998E-2</c:v>
                </c:pt>
                <c:pt idx="14">
                  <c:v>3.3000000000000002E-2</c:v>
                </c:pt>
                <c:pt idx="15">
                  <c:v>2.5999999999999999E-2</c:v>
                </c:pt>
                <c:pt idx="16">
                  <c:v>2.1000000000000001E-2</c:v>
                </c:pt>
                <c:pt idx="17">
                  <c:v>1.4E-2</c:v>
                </c:pt>
                <c:pt idx="18">
                  <c:v>7.0000000000000001E-3</c:v>
                </c:pt>
                <c:pt idx="19">
                  <c:v>2E-3</c:v>
                </c:pt>
                <c:pt idx="20">
                  <c:v>0</c:v>
                </c:pt>
              </c:numCache>
            </c:numRef>
          </c:val>
          <c:extLst>
            <c:ext xmlns:c16="http://schemas.microsoft.com/office/drawing/2014/chart" uri="{C3380CC4-5D6E-409C-BE32-E72D297353CC}">
              <c16:uniqueId val="{00000000-43AE-4C23-8B8A-7F0E98D3D717}"/>
            </c:ext>
          </c:extLst>
        </c:ser>
        <c:ser>
          <c:idx val="1"/>
          <c:order val="1"/>
          <c:tx>
            <c:strRef>
              <c:f>Sheet1!$C$1</c:f>
              <c:strCache>
                <c:ptCount val="1"/>
                <c:pt idx="0">
                  <c:v>Canada [Country]</c:v>
                </c:pt>
              </c:strCache>
            </c:strRef>
          </c:tx>
          <c:spPr>
            <a:solidFill>
              <a:schemeClr val="accent5"/>
            </a:solidFill>
            <a:ln>
              <a:noFill/>
            </a:ln>
            <a:effectLst/>
          </c:spPr>
          <c:invertIfNegative val="0"/>
          <c:cat>
            <c:strRef>
              <c:f>Sheet1!$A$2:$A$22</c:f>
              <c:strCache>
                <c:ptCount val="21"/>
                <c:pt idx="0">
                  <c:v>1-4 
years</c:v>
                </c:pt>
                <c:pt idx="1">
                  <c:v>5-9 
years</c:v>
                </c:pt>
                <c:pt idx="2">
                  <c:v>10-14
years</c:v>
                </c:pt>
                <c:pt idx="3">
                  <c:v>15-19 
years</c:v>
                </c:pt>
                <c:pt idx="4">
                  <c:v>20-24 
years</c:v>
                </c:pt>
                <c:pt idx="5">
                  <c:v>25-29 
years</c:v>
                </c:pt>
                <c:pt idx="6">
                  <c:v>30-34 
years</c:v>
                </c:pt>
                <c:pt idx="7">
                  <c:v>35-39 
years</c:v>
                </c:pt>
                <c:pt idx="8">
                  <c:v>40-44 
years</c:v>
                </c:pt>
                <c:pt idx="9">
                  <c:v>45-49 
years</c:v>
                </c:pt>
                <c:pt idx="10">
                  <c:v>50-54 
years</c:v>
                </c:pt>
                <c:pt idx="11">
                  <c:v>55-59 
years</c:v>
                </c:pt>
                <c:pt idx="12">
                  <c:v>60-64 
years</c:v>
                </c:pt>
                <c:pt idx="13">
                  <c:v>65-69 
years</c:v>
                </c:pt>
                <c:pt idx="14">
                  <c:v>70-74 
years</c:v>
                </c:pt>
                <c:pt idx="15">
                  <c:v>75-79 
years</c:v>
                </c:pt>
                <c:pt idx="16">
                  <c:v>80-84 
years</c:v>
                </c:pt>
                <c:pt idx="17">
                  <c:v>85-89 
years</c:v>
                </c:pt>
                <c:pt idx="18">
                  <c:v>90-94 
years</c:v>
                </c:pt>
                <c:pt idx="19">
                  <c:v>95-99 
years</c:v>
                </c:pt>
                <c:pt idx="20">
                  <c:v>100+ years</c:v>
                </c:pt>
              </c:strCache>
            </c:strRef>
          </c:cat>
          <c:val>
            <c:numRef>
              <c:f>Sheet1!$C$2:$C$22</c:f>
              <c:numCache>
                <c:formatCode>0.00%</c:formatCode>
                <c:ptCount val="21"/>
                <c:pt idx="0">
                  <c:v>5.3999999999999999E-2</c:v>
                </c:pt>
                <c:pt idx="1">
                  <c:v>5.7000000000000002E-2</c:v>
                </c:pt>
                <c:pt idx="2">
                  <c:v>5.5E-2</c:v>
                </c:pt>
                <c:pt idx="3">
                  <c:v>5.8000000000000003E-2</c:v>
                </c:pt>
                <c:pt idx="4">
                  <c:v>6.4000000000000001E-2</c:v>
                </c:pt>
                <c:pt idx="5">
                  <c:v>6.5000000000000002E-2</c:v>
                </c:pt>
                <c:pt idx="6">
                  <c:v>6.6000000000000003E-2</c:v>
                </c:pt>
                <c:pt idx="7">
                  <c:v>6.5000000000000002E-2</c:v>
                </c:pt>
                <c:pt idx="8">
                  <c:v>6.4000000000000001E-2</c:v>
                </c:pt>
                <c:pt idx="9">
                  <c:v>6.7000000000000004E-2</c:v>
                </c:pt>
                <c:pt idx="10">
                  <c:v>7.5999999999999998E-2</c:v>
                </c:pt>
                <c:pt idx="11">
                  <c:v>7.4999999999999997E-2</c:v>
                </c:pt>
                <c:pt idx="12">
                  <c:v>6.5000000000000002E-2</c:v>
                </c:pt>
                <c:pt idx="13">
                  <c:v>5.6000000000000001E-2</c:v>
                </c:pt>
                <c:pt idx="14">
                  <c:v>0.04</c:v>
                </c:pt>
                <c:pt idx="15">
                  <c:v>2.9000000000000001E-2</c:v>
                </c:pt>
                <c:pt idx="16">
                  <c:v>2.1000000000000001E-2</c:v>
                </c:pt>
                <c:pt idx="17">
                  <c:v>1.4E-2</c:v>
                </c:pt>
                <c:pt idx="18">
                  <c:v>6.0000000000000001E-3</c:v>
                </c:pt>
                <c:pt idx="19">
                  <c:v>2E-3</c:v>
                </c:pt>
                <c:pt idx="20">
                  <c:v>0</c:v>
                </c:pt>
              </c:numCache>
            </c:numRef>
          </c:val>
          <c:extLst>
            <c:ext xmlns:c16="http://schemas.microsoft.com/office/drawing/2014/chart" uri="{C3380CC4-5D6E-409C-BE32-E72D297353CC}">
              <c16:uniqueId val="{00000001-43AE-4C23-8B8A-7F0E98D3D717}"/>
            </c:ext>
          </c:extLst>
        </c:ser>
        <c:dLbls>
          <c:showLegendKey val="0"/>
          <c:showVal val="0"/>
          <c:showCatName val="0"/>
          <c:showSerName val="0"/>
          <c:showPercent val="0"/>
          <c:showBubbleSize val="0"/>
        </c:dLbls>
        <c:gapWidth val="150"/>
        <c:axId val="537894848"/>
        <c:axId val="537895632"/>
      </c:barChart>
      <c:catAx>
        <c:axId val="53789484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ln>
                  <a:noFill/>
                </a:ln>
                <a:solidFill>
                  <a:schemeClr val="tx1"/>
                </a:solidFill>
                <a:latin typeface="+mn-lt"/>
                <a:ea typeface="+mn-ea"/>
                <a:cs typeface="+mn-cs"/>
              </a:defRPr>
            </a:pPr>
            <a:endParaRPr lang="en-US"/>
          </a:p>
        </c:txPr>
        <c:crossAx val="537895632"/>
        <c:crosses val="autoZero"/>
        <c:auto val="1"/>
        <c:lblAlgn val="ctr"/>
        <c:lblOffset val="100"/>
        <c:noMultiLvlLbl val="0"/>
      </c:catAx>
      <c:valAx>
        <c:axId val="537895632"/>
        <c:scaling>
          <c:orientation val="minMax"/>
          <c:max val="0.11000000000000001"/>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37894848"/>
        <c:crosses val="autoZero"/>
        <c:crossBetween val="between"/>
        <c:majorUnit val="1.0000000000000002E-2"/>
      </c:valAx>
      <c:spPr>
        <a:noFill/>
        <a:ln>
          <a:noFill/>
        </a:ln>
        <a:effectLst/>
      </c:spPr>
    </c:plotArea>
    <c:legend>
      <c:legendPos val="r"/>
      <c:layout>
        <c:manualLayout>
          <c:xMode val="edge"/>
          <c:yMode val="edge"/>
          <c:x val="0.23539765026731743"/>
          <c:y val="0.92241747220621817"/>
          <c:w val="0.54967763929192059"/>
          <c:h val="7.57305336832895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FD3441-D1D6-433F-8A26-E680490404F5}">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13474-F1AB-41ED-81F6-9E77904EC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5691</Words>
  <Characters>32439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9B21A010</vt:lpstr>
    </vt:vector>
  </TitlesOfParts>
  <Company>Ivey Business School</Company>
  <LinksUpToDate>false</LinksUpToDate>
  <CharactersWithSpaces>38054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9B21A010</dc:title>
  <dc:subject/>
  <dc:creator>smuir</dc:creator>
  <cp:keywords/>
  <cp:lastModifiedBy>Product Coordinator</cp:lastModifiedBy>
  <cp:revision>3</cp:revision>
  <cp:lastPrinted>2015-03-04T19:34:00Z</cp:lastPrinted>
  <dcterms:created xsi:type="dcterms:W3CDTF">2022-02-22T18:38:00Z</dcterms:created>
  <dcterms:modified xsi:type="dcterms:W3CDTF">2022-02-22T18:39:00Z</dcterms:modified>
</cp:coreProperties>
</file>