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08FB3" w14:textId="3BC6CC7E" w:rsidR="00AC51E2" w:rsidRPr="00675702" w:rsidRDefault="00563F25" w:rsidP="00C02410">
      <w:pPr>
        <w:pBdr>
          <w:bottom w:val="single" w:sz="18" w:space="1" w:color="auto"/>
        </w:pBdr>
        <w:tabs>
          <w:tab w:val="left" w:pos="-1440"/>
          <w:tab w:val="left" w:pos="-720"/>
          <w:tab w:val="left" w:pos="1"/>
        </w:tabs>
        <w:jc w:val="both"/>
        <w:rPr>
          <w:rFonts w:ascii="Arial" w:hAnsi="Arial"/>
          <w:b/>
          <w:sz w:val="24"/>
          <w:lang w:eastAsia="en-CA"/>
        </w:rPr>
      </w:pPr>
      <w:r w:rsidRPr="00563F25">
        <w:rPr>
          <w:rFonts w:ascii="Arial" w:hAnsi="Arial"/>
          <w:b/>
          <w:noProof/>
          <w:sz w:val="24"/>
          <w:lang w:eastAsia="en-CA"/>
        </w:rPr>
        <w:drawing>
          <wp:inline distT="0" distB="0" distL="0" distR="0" wp14:anchorId="3F14E07E" wp14:editId="1EF518D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087963E" w:rsidR="00C02410" w:rsidRPr="00675702" w:rsidRDefault="00563F25" w:rsidP="00C02410">
      <w:pPr>
        <w:pStyle w:val="ProductNumber"/>
      </w:pPr>
      <w:r>
        <w:t>9B21A016</w:t>
      </w:r>
    </w:p>
    <w:p w14:paraId="4E057522" w14:textId="7A113CB1" w:rsidR="00D75295" w:rsidRPr="00675702" w:rsidRDefault="00D75295" w:rsidP="00D75295">
      <w:pPr>
        <w:jc w:val="right"/>
        <w:rPr>
          <w:rFonts w:ascii="Arial" w:hAnsi="Arial"/>
          <w:b/>
        </w:rPr>
      </w:pPr>
    </w:p>
    <w:p w14:paraId="02524312" w14:textId="77777777" w:rsidR="001901C0" w:rsidRPr="00675702" w:rsidRDefault="001901C0" w:rsidP="00D75295">
      <w:pPr>
        <w:jc w:val="right"/>
        <w:rPr>
          <w:rFonts w:ascii="Arial" w:hAnsi="Arial"/>
          <w:b/>
        </w:rPr>
      </w:pPr>
    </w:p>
    <w:p w14:paraId="2F03D26A" w14:textId="5006CA77" w:rsidR="00013360" w:rsidRPr="00675702" w:rsidRDefault="00AC51E2" w:rsidP="00013360">
      <w:pPr>
        <w:pStyle w:val="CaseTitle"/>
        <w:spacing w:after="0" w:line="240" w:lineRule="auto"/>
        <w:rPr>
          <w:sz w:val="20"/>
          <w:szCs w:val="20"/>
        </w:rPr>
      </w:pPr>
      <w:r w:rsidRPr="00675702">
        <w:t>CAPS AND CROWNS DENTAL CLINIC: EXPLORING BUSINESS OPPORTUNITIES</w:t>
      </w:r>
    </w:p>
    <w:p w14:paraId="40ABF6FD" w14:textId="77777777" w:rsidR="00CA3976" w:rsidRPr="00675702" w:rsidRDefault="00CA3976" w:rsidP="00013360">
      <w:pPr>
        <w:pStyle w:val="CaseTitle"/>
        <w:spacing w:after="0" w:line="240" w:lineRule="auto"/>
        <w:rPr>
          <w:sz w:val="20"/>
          <w:szCs w:val="20"/>
        </w:rPr>
      </w:pPr>
    </w:p>
    <w:p w14:paraId="202F1085" w14:textId="77777777" w:rsidR="00013360" w:rsidRPr="00675702" w:rsidRDefault="00013360" w:rsidP="00013360">
      <w:pPr>
        <w:pStyle w:val="CaseTitle"/>
        <w:spacing w:after="0" w:line="240" w:lineRule="auto"/>
        <w:rPr>
          <w:sz w:val="20"/>
          <w:szCs w:val="20"/>
        </w:rPr>
      </w:pPr>
    </w:p>
    <w:p w14:paraId="58B0C73F" w14:textId="5A8C4DE0" w:rsidR="00086B26" w:rsidRPr="00675702" w:rsidRDefault="004F2EF6" w:rsidP="00086B26">
      <w:pPr>
        <w:pStyle w:val="StyleCopyrightStatementAfter0ptBottomSinglesolidline1"/>
      </w:pPr>
      <w:r w:rsidRPr="00675702">
        <w:t xml:space="preserve">Vinod Madhavan, Durga Prasad, Dr. </w:t>
      </w:r>
      <w:proofErr w:type="spellStart"/>
      <w:r w:rsidRPr="00675702">
        <w:t>Souparna</w:t>
      </w:r>
      <w:proofErr w:type="spellEnd"/>
      <w:r w:rsidRPr="00675702">
        <w:t xml:space="preserve"> M</w:t>
      </w:r>
      <w:r w:rsidR="0068260B" w:rsidRPr="00675702">
        <w:t>.</w:t>
      </w:r>
      <w:r w:rsidRPr="00675702">
        <w:t>, and Dr. Haifa B</w:t>
      </w:r>
      <w:r w:rsidR="0068260B" w:rsidRPr="00675702">
        <w:t>.</w:t>
      </w:r>
      <w:r w:rsidRPr="00675702">
        <w:t xml:space="preserve"> </w:t>
      </w:r>
      <w:r w:rsidR="00086B26" w:rsidRPr="00675702">
        <w:t xml:space="preserve">wrote this </w:t>
      </w:r>
      <w:r w:rsidR="003F5613" w:rsidRPr="00675702">
        <w:t>exercise</w:t>
      </w:r>
      <w:r w:rsidR="00086B26" w:rsidRPr="00675702">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9BF8FD2" w:rsidR="00086B26" w:rsidRPr="00675702" w:rsidRDefault="00086B26" w:rsidP="00086B26">
      <w:pPr>
        <w:pStyle w:val="StyleCopyrightStatementAfter0ptBottomSinglesolidline1"/>
      </w:pPr>
    </w:p>
    <w:p w14:paraId="16B4B9D4" w14:textId="77777777" w:rsidR="00563F25" w:rsidRDefault="00563F25" w:rsidP="00563F2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A9777B2" w14:textId="77777777" w:rsidR="00563F25" w:rsidRDefault="00563F25" w:rsidP="00563F25">
      <w:pPr>
        <w:pStyle w:val="StyleStyleCopyrightStatementAfter0ptBottomSinglesolid"/>
        <w:rPr>
          <w:rFonts w:cs="Arial"/>
          <w:iCs w:val="0"/>
          <w:color w:val="auto"/>
          <w:szCs w:val="16"/>
        </w:rPr>
      </w:pPr>
    </w:p>
    <w:p w14:paraId="3922E14F" w14:textId="7FD7CE50" w:rsidR="00751E0B" w:rsidRPr="00563F25" w:rsidRDefault="00563F25"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Ivey Business School Foundation</w:t>
      </w:r>
      <w:r w:rsidR="00A323B0" w:rsidRPr="00675702">
        <w:rPr>
          <w:rFonts w:cs="Arial"/>
          <w:iCs w:val="0"/>
          <w:color w:val="auto"/>
          <w:szCs w:val="16"/>
        </w:rPr>
        <w:tab/>
        <w:t>Version: 20</w:t>
      </w:r>
      <w:r w:rsidR="00AC51E2" w:rsidRPr="00675702">
        <w:rPr>
          <w:rFonts w:cs="Arial"/>
          <w:iCs w:val="0"/>
          <w:color w:val="auto"/>
          <w:szCs w:val="16"/>
        </w:rPr>
        <w:t>21</w:t>
      </w:r>
      <w:r w:rsidR="00A323B0" w:rsidRPr="00675702">
        <w:rPr>
          <w:rFonts w:cs="Arial"/>
          <w:iCs w:val="0"/>
          <w:color w:val="auto"/>
          <w:szCs w:val="16"/>
        </w:rPr>
        <w:t>-</w:t>
      </w:r>
      <w:r w:rsidR="00AC51E2" w:rsidRPr="00675702">
        <w:rPr>
          <w:rFonts w:cs="Arial"/>
          <w:iCs w:val="0"/>
          <w:color w:val="auto"/>
          <w:szCs w:val="16"/>
        </w:rPr>
        <w:t>0</w:t>
      </w:r>
      <w:r w:rsidR="00400C74">
        <w:rPr>
          <w:rFonts w:cs="Arial"/>
          <w:iCs w:val="0"/>
          <w:color w:val="auto"/>
          <w:szCs w:val="16"/>
        </w:rPr>
        <w:t>5</w:t>
      </w:r>
      <w:r w:rsidR="00A323B0" w:rsidRPr="00675702">
        <w:rPr>
          <w:rFonts w:cs="Arial"/>
          <w:iCs w:val="0"/>
          <w:color w:val="auto"/>
          <w:szCs w:val="16"/>
        </w:rPr>
        <w:t>-</w:t>
      </w:r>
      <w:r>
        <w:rPr>
          <w:rFonts w:cs="Arial"/>
          <w:iCs w:val="0"/>
          <w:color w:val="auto"/>
          <w:szCs w:val="16"/>
        </w:rPr>
        <w:t>20</w:t>
      </w:r>
    </w:p>
    <w:p w14:paraId="0A2A54E4" w14:textId="21F0FBCB" w:rsidR="00751E0B" w:rsidRPr="00675702" w:rsidRDefault="00751E0B" w:rsidP="00751E0B">
      <w:pPr>
        <w:pStyle w:val="StyleCopyrightStatementAfter0ptBottomSinglesolidline1"/>
        <w:rPr>
          <w:rFonts w:ascii="Times New Roman" w:hAnsi="Times New Roman"/>
          <w:i w:val="0"/>
          <w:sz w:val="22"/>
          <w:szCs w:val="22"/>
        </w:rPr>
      </w:pPr>
    </w:p>
    <w:p w14:paraId="34F84E99" w14:textId="77777777" w:rsidR="00AC51E2" w:rsidRPr="00675702" w:rsidRDefault="00AC51E2" w:rsidP="00751E0B">
      <w:pPr>
        <w:pStyle w:val="StyleCopyrightStatementAfter0ptBottomSinglesolidline1"/>
        <w:rPr>
          <w:rFonts w:ascii="Times New Roman" w:hAnsi="Times New Roman"/>
          <w:i w:val="0"/>
          <w:sz w:val="22"/>
          <w:szCs w:val="22"/>
        </w:rPr>
      </w:pPr>
    </w:p>
    <w:p w14:paraId="4614EE6C" w14:textId="6CA8206D" w:rsidR="00AC51E2" w:rsidRPr="00675702" w:rsidRDefault="001C6359" w:rsidP="00AC51E2">
      <w:pPr>
        <w:pStyle w:val="BodyTextMain"/>
      </w:pPr>
      <w:r w:rsidRPr="00675702">
        <w:t xml:space="preserve">In </w:t>
      </w:r>
      <w:r w:rsidR="002469C5" w:rsidRPr="00675702">
        <w:t>May</w:t>
      </w:r>
      <w:r w:rsidRPr="00675702">
        <w:t xml:space="preserve"> 20</w:t>
      </w:r>
      <w:r w:rsidR="00323374" w:rsidRPr="00675702">
        <w:t>19</w:t>
      </w:r>
      <w:r w:rsidRPr="00675702">
        <w:t xml:space="preserve">, </w:t>
      </w:r>
      <w:proofErr w:type="spellStart"/>
      <w:r w:rsidR="00AC51E2" w:rsidRPr="00675702">
        <w:t>Beefathimathul</w:t>
      </w:r>
      <w:proofErr w:type="spellEnd"/>
      <w:r w:rsidR="00AC51E2" w:rsidRPr="00675702">
        <w:t xml:space="preserve"> Haifa completed her post</w:t>
      </w:r>
      <w:r w:rsidR="005C45C2" w:rsidRPr="00675702">
        <w:t>graduate</w:t>
      </w:r>
      <w:r w:rsidR="00AC51E2" w:rsidRPr="00675702">
        <w:t xml:space="preserve"> work at the A. B. Shetty Memorial Institute of Dental Sciences</w:t>
      </w:r>
      <w:r w:rsidR="00F35159" w:rsidRPr="00675702">
        <w:t xml:space="preserve"> in</w:t>
      </w:r>
      <w:r w:rsidR="00AC51E2" w:rsidRPr="00675702">
        <w:t xml:space="preserve"> Mangalore, India. She was highly enthusiastic by nature and always open to new ideas to improve her dental practice. Bei</w:t>
      </w:r>
      <w:r w:rsidR="00F35159" w:rsidRPr="00675702">
        <w:t>ng</w:t>
      </w:r>
      <w:r w:rsidR="00AC51E2" w:rsidRPr="00675702">
        <w:t xml:space="preserve"> also highly ambitious</w:t>
      </w:r>
      <w:r w:rsidR="00F35159" w:rsidRPr="00675702">
        <w:t>, she</w:t>
      </w:r>
      <w:r w:rsidR="00AC51E2" w:rsidRPr="00675702">
        <w:t xml:space="preserve"> wanted to open a chain of dental clinics </w:t>
      </w:r>
      <w:r w:rsidR="009E4CC5" w:rsidRPr="00675702">
        <w:t>in</w:t>
      </w:r>
      <w:r w:rsidR="00AC51E2" w:rsidRPr="00675702">
        <w:t xml:space="preserve"> the city of Bangalore</w:t>
      </w:r>
      <w:r w:rsidR="00F35159" w:rsidRPr="00675702">
        <w:t>,</w:t>
      </w:r>
      <w:r w:rsidR="00AC51E2" w:rsidRPr="00675702">
        <w:t xml:space="preserve"> in the Indian state of Karnataka.</w:t>
      </w:r>
    </w:p>
    <w:p w14:paraId="2C0B78A2" w14:textId="77777777" w:rsidR="00AC51E2" w:rsidRPr="00675702" w:rsidRDefault="00AC51E2" w:rsidP="00AC51E2">
      <w:pPr>
        <w:pStyle w:val="BodyTextMain"/>
      </w:pPr>
    </w:p>
    <w:p w14:paraId="4F1F98B2" w14:textId="0945C91B" w:rsidR="00AC51E2" w:rsidRPr="00675702" w:rsidRDefault="00AC51E2" w:rsidP="00AC51E2">
      <w:pPr>
        <w:pStyle w:val="BodyTextMain"/>
      </w:pPr>
      <w:r w:rsidRPr="00675702">
        <w:t xml:space="preserve">Haifa had excellent professional skills and practical experience. As part of her education, she had </w:t>
      </w:r>
      <w:r w:rsidR="009E4CC5" w:rsidRPr="00675702">
        <w:t>completed</w:t>
      </w:r>
      <w:r w:rsidRPr="00675702">
        <w:t xml:space="preserve"> vari</w:t>
      </w:r>
      <w:r w:rsidR="009E4CC5" w:rsidRPr="00675702">
        <w:t>ous</w:t>
      </w:r>
      <w:r w:rsidRPr="00675702">
        <w:t xml:space="preserve"> courses to gain a 360-degree perspective of her craft. Most of the courses </w:t>
      </w:r>
      <w:r w:rsidR="00F35159" w:rsidRPr="00675702">
        <w:t xml:space="preserve">were </w:t>
      </w:r>
      <w:r w:rsidR="009E4CC5" w:rsidRPr="00675702">
        <w:t>focused</w:t>
      </w:r>
      <w:r w:rsidRPr="00675702">
        <w:t xml:space="preserve"> on practical applications of dentistry including </w:t>
      </w:r>
      <w:r w:rsidR="00F35159" w:rsidRPr="00675702">
        <w:t xml:space="preserve">performing surgery, </w:t>
      </w:r>
      <w:r w:rsidRPr="00675702">
        <w:t>creatin</w:t>
      </w:r>
      <w:r w:rsidR="00F35159" w:rsidRPr="00675702">
        <w:t>g</w:t>
      </w:r>
      <w:r w:rsidRPr="00675702">
        <w:t xml:space="preserve"> mo</w:t>
      </w:r>
      <w:r w:rsidR="00F35159" w:rsidRPr="00675702">
        <w:t>u</w:t>
      </w:r>
      <w:r w:rsidRPr="00675702">
        <w:t>lds</w:t>
      </w:r>
      <w:r w:rsidR="00F35159" w:rsidRPr="00675702">
        <w:t>,</w:t>
      </w:r>
      <w:r w:rsidRPr="00675702">
        <w:t xml:space="preserve"> </w:t>
      </w:r>
      <w:r w:rsidR="00F35159" w:rsidRPr="00675702">
        <w:t xml:space="preserve">and </w:t>
      </w:r>
      <w:r w:rsidR="009E4CC5" w:rsidRPr="00675702">
        <w:t>other</w:t>
      </w:r>
      <w:r w:rsidR="00F35159" w:rsidRPr="00675702">
        <w:t xml:space="preserve"> </w:t>
      </w:r>
      <w:r w:rsidRPr="00675702">
        <w:t xml:space="preserve">procedures such as teeth cleaning, freezing, </w:t>
      </w:r>
      <w:r w:rsidR="00F35159" w:rsidRPr="00675702">
        <w:t xml:space="preserve">and </w:t>
      </w:r>
      <w:r w:rsidRPr="00675702">
        <w:t>filling cavities.</w:t>
      </w:r>
    </w:p>
    <w:p w14:paraId="0A31C733" w14:textId="77777777" w:rsidR="00AC51E2" w:rsidRPr="00675702" w:rsidRDefault="00AC51E2" w:rsidP="00AC51E2">
      <w:pPr>
        <w:pStyle w:val="BodyTextMain"/>
      </w:pPr>
    </w:p>
    <w:p w14:paraId="32B39D89" w14:textId="69662936" w:rsidR="00AC51E2" w:rsidRPr="00675702" w:rsidRDefault="00F35159" w:rsidP="00AC51E2">
      <w:pPr>
        <w:pStyle w:val="BodyTextMain"/>
      </w:pPr>
      <w:r w:rsidRPr="00675702">
        <w:t>Her</w:t>
      </w:r>
      <w:r w:rsidR="00AC51E2" w:rsidRPr="00675702">
        <w:t xml:space="preserve"> affable person</w:t>
      </w:r>
      <w:r w:rsidRPr="00675702">
        <w:t>ality helped Haifa</w:t>
      </w:r>
      <w:r w:rsidR="00AC51E2" w:rsidRPr="00675702">
        <w:t xml:space="preserve"> connect well with her patients and empathize with their needs. As an intern, she </w:t>
      </w:r>
      <w:r w:rsidR="00881658" w:rsidRPr="00675702">
        <w:t xml:space="preserve">would </w:t>
      </w:r>
      <w:r w:rsidRPr="00675702">
        <w:t>talk casually with</w:t>
      </w:r>
      <w:r w:rsidR="00AC51E2" w:rsidRPr="00675702">
        <w:t xml:space="preserve"> her patients </w:t>
      </w:r>
      <w:r w:rsidRPr="00675702">
        <w:t>to help them feel</w:t>
      </w:r>
      <w:r w:rsidR="00AC51E2" w:rsidRPr="00675702">
        <w:t xml:space="preserve"> </w:t>
      </w:r>
      <w:r w:rsidR="00CA44F7" w:rsidRPr="00675702">
        <w:t>more comfortable and calmer</w:t>
      </w:r>
      <w:r w:rsidR="00AC51E2" w:rsidRPr="00675702">
        <w:t xml:space="preserve"> throughout the</w:t>
      </w:r>
      <w:r w:rsidR="00881658" w:rsidRPr="00675702">
        <w:t>ir</w:t>
      </w:r>
      <w:r w:rsidR="00AC51E2" w:rsidRPr="00675702">
        <w:t xml:space="preserve"> dental visit</w:t>
      </w:r>
      <w:r w:rsidRPr="00675702">
        <w:t>, which</w:t>
      </w:r>
      <w:r w:rsidR="00AC51E2" w:rsidRPr="00675702">
        <w:t xml:space="preserve"> could be a stressful experience.</w:t>
      </w:r>
    </w:p>
    <w:p w14:paraId="2FAF587A" w14:textId="77777777" w:rsidR="00AC51E2" w:rsidRPr="00675702" w:rsidRDefault="00AC51E2" w:rsidP="00AC51E2">
      <w:pPr>
        <w:pStyle w:val="BodyTextMain"/>
      </w:pPr>
    </w:p>
    <w:p w14:paraId="21BBFA69" w14:textId="0F47DE1A" w:rsidR="00EA26F6" w:rsidRPr="00675702" w:rsidRDefault="00AC51E2" w:rsidP="00EA26F6">
      <w:pPr>
        <w:pStyle w:val="BodyTextMain"/>
      </w:pPr>
      <w:r w:rsidRPr="00675702">
        <w:t xml:space="preserve">Haifa had </w:t>
      </w:r>
      <w:r w:rsidR="00F35159" w:rsidRPr="00675702">
        <w:t>gathered plenty of experience with</w:t>
      </w:r>
      <w:r w:rsidRPr="00675702">
        <w:t xml:space="preserve"> dental operations and </w:t>
      </w:r>
      <w:r w:rsidR="00881658" w:rsidRPr="00675702">
        <w:t xml:space="preserve">in </w:t>
      </w:r>
      <w:r w:rsidRPr="00675702">
        <w:t xml:space="preserve">dealing with patients </w:t>
      </w:r>
      <w:r w:rsidR="00F35159" w:rsidRPr="00675702">
        <w:t>as part of</w:t>
      </w:r>
      <w:r w:rsidRPr="00675702">
        <w:t xml:space="preserve"> her training, </w:t>
      </w:r>
      <w:r w:rsidR="00EA26F6" w:rsidRPr="00675702">
        <w:t xml:space="preserve">but </w:t>
      </w:r>
      <w:r w:rsidRPr="00675702">
        <w:t xml:space="preserve">she had </w:t>
      </w:r>
      <w:r w:rsidR="00EA26F6" w:rsidRPr="00675702">
        <w:t>little knowledge of how to run a</w:t>
      </w:r>
      <w:r w:rsidRPr="00675702">
        <w:t xml:space="preserve"> large business operation. As part of her dental degree, </w:t>
      </w:r>
      <w:r w:rsidR="00EA26F6" w:rsidRPr="00675702">
        <w:t xml:space="preserve">Haifa </w:t>
      </w:r>
      <w:r w:rsidRPr="00675702">
        <w:t xml:space="preserve">had </w:t>
      </w:r>
      <w:r w:rsidR="00EA26F6" w:rsidRPr="00675702">
        <w:t>studied</w:t>
      </w:r>
      <w:r w:rsidRPr="00675702">
        <w:t xml:space="preserve"> ethics in medical practice</w:t>
      </w:r>
      <w:r w:rsidR="00EA26F6" w:rsidRPr="00675702">
        <w:t>. However</w:t>
      </w:r>
      <w:r w:rsidRPr="00675702">
        <w:t xml:space="preserve">, she </w:t>
      </w:r>
      <w:r w:rsidR="00881658" w:rsidRPr="00675702">
        <w:t xml:space="preserve">had </w:t>
      </w:r>
      <w:r w:rsidR="00EA26F6" w:rsidRPr="00675702">
        <w:t>never taken courses on</w:t>
      </w:r>
      <w:r w:rsidRPr="00675702">
        <w:t xml:space="preserve"> the financial and marketing aspects of </w:t>
      </w:r>
      <w:r w:rsidR="00EA26F6" w:rsidRPr="00675702">
        <w:t>running a</w:t>
      </w:r>
      <w:r w:rsidRPr="00675702">
        <w:t xml:space="preserve"> business. </w:t>
      </w:r>
      <w:r w:rsidR="00EA26F6" w:rsidRPr="00675702">
        <w:t xml:space="preserve">Therefore, </w:t>
      </w:r>
      <w:r w:rsidR="002469C5" w:rsidRPr="00675702">
        <w:t xml:space="preserve">after completing her </w:t>
      </w:r>
      <w:r w:rsidR="00CA44F7" w:rsidRPr="00675702">
        <w:t>postgraduate</w:t>
      </w:r>
      <w:r w:rsidR="002469C5" w:rsidRPr="00675702">
        <w:t xml:space="preserve"> work, </w:t>
      </w:r>
      <w:r w:rsidR="00EA26F6" w:rsidRPr="00675702">
        <w:t>she</w:t>
      </w:r>
      <w:r w:rsidRPr="00675702">
        <w:t xml:space="preserve"> approached her friend Mathew Joseph, who was a business consultant and a qualified chartered accountant</w:t>
      </w:r>
      <w:r w:rsidR="00EA26F6" w:rsidRPr="00675702">
        <w:t xml:space="preserve"> in India, which was roughly </w:t>
      </w:r>
      <w:r w:rsidRPr="00675702">
        <w:t xml:space="preserve">equivalent to </w:t>
      </w:r>
      <w:r w:rsidR="00EA26F6" w:rsidRPr="00675702">
        <w:t>the US designation of</w:t>
      </w:r>
      <w:r w:rsidRPr="00675702">
        <w:t xml:space="preserve"> </w:t>
      </w:r>
      <w:r w:rsidR="00EA26F6" w:rsidRPr="00675702">
        <w:t>c</w:t>
      </w:r>
      <w:r w:rsidRPr="00675702">
        <w:t xml:space="preserve">hartered </w:t>
      </w:r>
      <w:r w:rsidR="00EA26F6" w:rsidRPr="00675702">
        <w:t>f</w:t>
      </w:r>
      <w:r w:rsidRPr="00675702">
        <w:t xml:space="preserve">inancial </w:t>
      </w:r>
      <w:r w:rsidR="00EA26F6" w:rsidRPr="00675702">
        <w:t>a</w:t>
      </w:r>
      <w:r w:rsidRPr="00675702">
        <w:t>nalyst.</w:t>
      </w:r>
    </w:p>
    <w:p w14:paraId="77FF5837" w14:textId="77777777" w:rsidR="00EA26F6" w:rsidRPr="00675702" w:rsidRDefault="00EA26F6" w:rsidP="00EA26F6">
      <w:pPr>
        <w:pStyle w:val="BodyTextMain"/>
      </w:pPr>
    </w:p>
    <w:p w14:paraId="60545FA7" w14:textId="53204AFC" w:rsidR="00AC51E2" w:rsidRPr="00675702" w:rsidRDefault="00AC51E2">
      <w:pPr>
        <w:pStyle w:val="BodyTextMain"/>
      </w:pPr>
      <w:r w:rsidRPr="00675702">
        <w:t xml:space="preserve">Joseph </w:t>
      </w:r>
      <w:r w:rsidR="00EA26F6" w:rsidRPr="00675702">
        <w:t xml:space="preserve">routinely </w:t>
      </w:r>
      <w:r w:rsidRPr="00675702">
        <w:t xml:space="preserve">worked with </w:t>
      </w:r>
      <w:r w:rsidR="00EA26F6" w:rsidRPr="00675702">
        <w:t>n</w:t>
      </w:r>
      <w:r w:rsidRPr="00675702">
        <w:t>e</w:t>
      </w:r>
      <w:r w:rsidR="00EA26F6" w:rsidRPr="00675702">
        <w:t>w</w:t>
      </w:r>
      <w:r w:rsidRPr="00675702">
        <w:t xml:space="preserve"> entrepreneurs </w:t>
      </w:r>
      <w:r w:rsidR="00EA26F6" w:rsidRPr="00675702">
        <w:t>to</w:t>
      </w:r>
      <w:r w:rsidRPr="00675702">
        <w:t xml:space="preserve"> help them set up </w:t>
      </w:r>
      <w:r w:rsidR="00EA26F6" w:rsidRPr="00675702">
        <w:t>a</w:t>
      </w:r>
      <w:r w:rsidRPr="00675702">
        <w:t xml:space="preserve"> </w:t>
      </w:r>
      <w:r w:rsidR="00EA26F6" w:rsidRPr="00675702">
        <w:t xml:space="preserve">business </w:t>
      </w:r>
      <w:r w:rsidRPr="00675702">
        <w:t>venture.</w:t>
      </w:r>
      <w:r w:rsidR="00EA26F6" w:rsidRPr="00675702">
        <w:t xml:space="preserve"> Haifa</w:t>
      </w:r>
      <w:r w:rsidRPr="00675702">
        <w:t xml:space="preserve"> </w:t>
      </w:r>
      <w:r w:rsidR="00EA26F6" w:rsidRPr="00675702">
        <w:t xml:space="preserve">met with Joseph to </w:t>
      </w:r>
      <w:r w:rsidRPr="00675702">
        <w:t xml:space="preserve">discuss her business </w:t>
      </w:r>
      <w:r w:rsidR="00EA26F6" w:rsidRPr="00675702">
        <w:t>plan to</w:t>
      </w:r>
      <w:r w:rsidRPr="00675702">
        <w:t xml:space="preserve"> set up a chain of dental clinics in Bangalore. </w:t>
      </w:r>
      <w:r w:rsidR="00EA26F6" w:rsidRPr="00675702">
        <w:t xml:space="preserve">After some initial </w:t>
      </w:r>
      <w:r w:rsidRPr="00675702">
        <w:t>brainstorm</w:t>
      </w:r>
      <w:r w:rsidR="00EA26F6" w:rsidRPr="00675702">
        <w:t>ing, Haifa chose the</w:t>
      </w:r>
      <w:r w:rsidRPr="00675702">
        <w:t xml:space="preserve"> name Caps and Crowns Dental Clinic</w:t>
      </w:r>
      <w:r w:rsidR="00EA26F6" w:rsidRPr="00675702">
        <w:t xml:space="preserve"> for her new business</w:t>
      </w:r>
      <w:r w:rsidRPr="00675702">
        <w:t>.</w:t>
      </w:r>
    </w:p>
    <w:p w14:paraId="1FE664A2" w14:textId="77777777" w:rsidR="00AC51E2" w:rsidRPr="00563F25" w:rsidRDefault="00AC51E2" w:rsidP="00AC51E2">
      <w:pPr>
        <w:pStyle w:val="BodyTextMain"/>
        <w:rPr>
          <w:sz w:val="14"/>
          <w:szCs w:val="14"/>
        </w:rPr>
      </w:pPr>
    </w:p>
    <w:p w14:paraId="64AF61F5" w14:textId="18E98096" w:rsidR="00AC51E2" w:rsidRPr="00400C74" w:rsidRDefault="00AC51E2" w:rsidP="00AC51E2">
      <w:pPr>
        <w:pStyle w:val="BodyTextMain"/>
        <w:rPr>
          <w:spacing w:val="2"/>
        </w:rPr>
      </w:pPr>
      <w:r w:rsidRPr="00400C74">
        <w:rPr>
          <w:spacing w:val="2"/>
        </w:rPr>
        <w:t xml:space="preserve">A week later, Joseph introduced Haifa to the </w:t>
      </w:r>
      <w:r w:rsidR="00EA26F6" w:rsidRPr="00400C74">
        <w:rPr>
          <w:spacing w:val="2"/>
        </w:rPr>
        <w:t>m</w:t>
      </w:r>
      <w:r w:rsidRPr="00400C74">
        <w:rPr>
          <w:spacing w:val="2"/>
        </w:rPr>
        <w:t xml:space="preserve">anager of </w:t>
      </w:r>
      <w:r w:rsidR="00EA26F6" w:rsidRPr="00400C74">
        <w:rPr>
          <w:spacing w:val="2"/>
        </w:rPr>
        <w:t xml:space="preserve">the Indian government-owned </w:t>
      </w:r>
      <w:r w:rsidR="00881658" w:rsidRPr="00400C74">
        <w:rPr>
          <w:spacing w:val="2"/>
        </w:rPr>
        <w:t>financial institution</w:t>
      </w:r>
      <w:r w:rsidR="00EA26F6" w:rsidRPr="00400C74">
        <w:rPr>
          <w:spacing w:val="2"/>
        </w:rPr>
        <w:t xml:space="preserve"> </w:t>
      </w:r>
      <w:r w:rsidRPr="00400C74">
        <w:rPr>
          <w:spacing w:val="2"/>
        </w:rPr>
        <w:t xml:space="preserve">Syndicate Bank. </w:t>
      </w:r>
      <w:r w:rsidR="00EA26F6" w:rsidRPr="00400C74">
        <w:rPr>
          <w:spacing w:val="2"/>
        </w:rPr>
        <w:t>Haifa</w:t>
      </w:r>
      <w:r w:rsidRPr="00400C74">
        <w:rPr>
          <w:spacing w:val="2"/>
        </w:rPr>
        <w:t xml:space="preserve"> pr</w:t>
      </w:r>
      <w:r w:rsidR="00EA26F6" w:rsidRPr="00400C74">
        <w:rPr>
          <w:spacing w:val="2"/>
        </w:rPr>
        <w:t>ovided the bank manager with a detailed plan of</w:t>
      </w:r>
      <w:r w:rsidRPr="00400C74">
        <w:rPr>
          <w:spacing w:val="2"/>
        </w:rPr>
        <w:t xml:space="preserve"> her business</w:t>
      </w:r>
      <w:r w:rsidR="00EA26F6" w:rsidRPr="00400C74">
        <w:rPr>
          <w:spacing w:val="2"/>
        </w:rPr>
        <w:t>,</w:t>
      </w:r>
      <w:r w:rsidRPr="00400C74">
        <w:rPr>
          <w:spacing w:val="2"/>
        </w:rPr>
        <w:t xml:space="preserve"> but </w:t>
      </w:r>
      <w:r w:rsidR="00EA26F6" w:rsidRPr="00400C74">
        <w:rPr>
          <w:spacing w:val="2"/>
        </w:rPr>
        <w:t xml:space="preserve">she </w:t>
      </w:r>
      <w:r w:rsidRPr="00400C74">
        <w:rPr>
          <w:spacing w:val="2"/>
        </w:rPr>
        <w:t xml:space="preserve">was unable to articulate her marketing and financial plans. </w:t>
      </w:r>
      <w:r w:rsidR="00E314FB" w:rsidRPr="00400C74">
        <w:rPr>
          <w:spacing w:val="2"/>
        </w:rPr>
        <w:t>T</w:t>
      </w:r>
      <w:r w:rsidRPr="00400C74">
        <w:rPr>
          <w:spacing w:val="2"/>
        </w:rPr>
        <w:t xml:space="preserve">he </w:t>
      </w:r>
      <w:r w:rsidR="00E314FB" w:rsidRPr="00400C74">
        <w:rPr>
          <w:spacing w:val="2"/>
        </w:rPr>
        <w:t xml:space="preserve">bank </w:t>
      </w:r>
      <w:r w:rsidRPr="00400C74">
        <w:rPr>
          <w:spacing w:val="2"/>
        </w:rPr>
        <w:t xml:space="preserve">manager found </w:t>
      </w:r>
      <w:r w:rsidR="00E314FB" w:rsidRPr="00400C74">
        <w:rPr>
          <w:spacing w:val="2"/>
        </w:rPr>
        <w:t>Haifa’s business</w:t>
      </w:r>
      <w:r w:rsidRPr="00400C74">
        <w:rPr>
          <w:spacing w:val="2"/>
        </w:rPr>
        <w:t xml:space="preserve"> idea </w:t>
      </w:r>
      <w:r w:rsidR="00E314FB" w:rsidRPr="00400C74">
        <w:rPr>
          <w:spacing w:val="2"/>
        </w:rPr>
        <w:t>interesting enough to consider</w:t>
      </w:r>
      <w:r w:rsidRPr="00400C74">
        <w:rPr>
          <w:spacing w:val="2"/>
        </w:rPr>
        <w:t xml:space="preserve"> investing in </w:t>
      </w:r>
      <w:r w:rsidR="00E314FB" w:rsidRPr="00400C74">
        <w:rPr>
          <w:spacing w:val="2"/>
        </w:rPr>
        <w:t>the project. However, he</w:t>
      </w:r>
      <w:r w:rsidRPr="00400C74">
        <w:rPr>
          <w:spacing w:val="2"/>
        </w:rPr>
        <w:t xml:space="preserve"> asked her to prepare a </w:t>
      </w:r>
      <w:r w:rsidR="00881658" w:rsidRPr="00400C74">
        <w:rPr>
          <w:spacing w:val="2"/>
        </w:rPr>
        <w:t>financial</w:t>
      </w:r>
      <w:r w:rsidRPr="00400C74">
        <w:rPr>
          <w:spacing w:val="2"/>
        </w:rPr>
        <w:t xml:space="preserve"> plan projecting the clinics’ revenues and expenses for the initial two years of operations, a</w:t>
      </w:r>
      <w:r w:rsidR="00E314FB" w:rsidRPr="00400C74">
        <w:rPr>
          <w:spacing w:val="2"/>
        </w:rPr>
        <w:t>s well as a</w:t>
      </w:r>
      <w:r w:rsidRPr="00400C74">
        <w:rPr>
          <w:spacing w:val="2"/>
        </w:rPr>
        <w:t xml:space="preserve"> projected balance sheet</w:t>
      </w:r>
      <w:r w:rsidR="00E314FB" w:rsidRPr="00400C74">
        <w:rPr>
          <w:spacing w:val="2"/>
        </w:rPr>
        <w:t xml:space="preserve"> for the new venture</w:t>
      </w:r>
      <w:r w:rsidRPr="00400C74">
        <w:rPr>
          <w:spacing w:val="2"/>
        </w:rPr>
        <w:t>.</w:t>
      </w:r>
    </w:p>
    <w:p w14:paraId="2221785E" w14:textId="50F6C891" w:rsidR="00AC51E2" w:rsidRPr="00675702" w:rsidRDefault="00AC51E2" w:rsidP="00AC51E2">
      <w:pPr>
        <w:pStyle w:val="Casehead1"/>
      </w:pPr>
      <w:r w:rsidRPr="00675702">
        <w:lastRenderedPageBreak/>
        <w:t>DENTAL MARKET POTENTIAL</w:t>
      </w:r>
    </w:p>
    <w:p w14:paraId="791377F3" w14:textId="77777777" w:rsidR="00AC51E2" w:rsidRPr="00675702" w:rsidRDefault="00AC51E2" w:rsidP="00AC51E2">
      <w:pPr>
        <w:pStyle w:val="BodyTextMain"/>
      </w:pPr>
    </w:p>
    <w:p w14:paraId="7AEDA241" w14:textId="267946DB" w:rsidR="00AC51E2" w:rsidRPr="00400C74" w:rsidRDefault="00370DC8" w:rsidP="00AC51E2">
      <w:pPr>
        <w:pStyle w:val="BodyTextMain"/>
        <w:rPr>
          <w:spacing w:val="-4"/>
        </w:rPr>
      </w:pPr>
      <w:r w:rsidRPr="00400C74">
        <w:rPr>
          <w:spacing w:val="-4"/>
        </w:rPr>
        <w:t>By</w:t>
      </w:r>
      <w:r w:rsidR="00AC51E2" w:rsidRPr="00400C74">
        <w:rPr>
          <w:spacing w:val="-4"/>
        </w:rPr>
        <w:t xml:space="preserve"> 2020, India had emerged as a major medical tourism destination due to the availability of high-quality health</w:t>
      </w:r>
      <w:r w:rsidR="003E1B28" w:rsidRPr="00400C74">
        <w:rPr>
          <w:spacing w:val="-4"/>
        </w:rPr>
        <w:t xml:space="preserve"> </w:t>
      </w:r>
      <w:r w:rsidR="00AC51E2" w:rsidRPr="00400C74">
        <w:rPr>
          <w:spacing w:val="-4"/>
        </w:rPr>
        <w:t xml:space="preserve">care services at cost-effective rates. </w:t>
      </w:r>
      <w:r w:rsidR="00881658" w:rsidRPr="00400C74">
        <w:rPr>
          <w:spacing w:val="-4"/>
        </w:rPr>
        <w:t>Like</w:t>
      </w:r>
      <w:r w:rsidR="00AC51E2" w:rsidRPr="00400C74">
        <w:rPr>
          <w:spacing w:val="-4"/>
        </w:rPr>
        <w:t xml:space="preserve"> other </w:t>
      </w:r>
      <w:r w:rsidR="00881658" w:rsidRPr="00400C74">
        <w:rPr>
          <w:spacing w:val="-4"/>
        </w:rPr>
        <w:t xml:space="preserve">health </w:t>
      </w:r>
      <w:r w:rsidR="00365152" w:rsidRPr="00400C74">
        <w:rPr>
          <w:spacing w:val="-4"/>
        </w:rPr>
        <w:t xml:space="preserve">care </w:t>
      </w:r>
      <w:r w:rsidR="00881658" w:rsidRPr="00400C74">
        <w:rPr>
          <w:spacing w:val="-4"/>
        </w:rPr>
        <w:t>segments</w:t>
      </w:r>
      <w:r w:rsidR="00AC51E2" w:rsidRPr="00400C74">
        <w:rPr>
          <w:spacing w:val="-4"/>
        </w:rPr>
        <w:t xml:space="preserve">, dentistry was </w:t>
      </w:r>
      <w:r w:rsidR="00881658" w:rsidRPr="00400C74">
        <w:rPr>
          <w:spacing w:val="-4"/>
        </w:rPr>
        <w:t>experiencing high</w:t>
      </w:r>
      <w:r w:rsidR="00AC51E2" w:rsidRPr="00400C74">
        <w:rPr>
          <w:spacing w:val="-4"/>
        </w:rPr>
        <w:t xml:space="preserve"> worldwide interest </w:t>
      </w:r>
      <w:r w:rsidR="003E1B28" w:rsidRPr="00400C74">
        <w:rPr>
          <w:spacing w:val="-4"/>
        </w:rPr>
        <w:t>from consumers</w:t>
      </w:r>
      <w:r w:rsidR="00AC51E2" w:rsidRPr="00400C74">
        <w:rPr>
          <w:spacing w:val="-4"/>
        </w:rPr>
        <w:t xml:space="preserve"> seeking dental services. </w:t>
      </w:r>
      <w:r w:rsidR="00881658" w:rsidRPr="00400C74">
        <w:rPr>
          <w:spacing w:val="-4"/>
        </w:rPr>
        <w:t>As well,</w:t>
      </w:r>
      <w:r w:rsidR="003E1B28" w:rsidRPr="00400C74">
        <w:rPr>
          <w:spacing w:val="-4"/>
        </w:rPr>
        <w:t xml:space="preserve"> increasing</w:t>
      </w:r>
      <w:r w:rsidR="00AC51E2" w:rsidRPr="00400C74">
        <w:rPr>
          <w:spacing w:val="-4"/>
        </w:rPr>
        <w:t xml:space="preserve"> awareness about </w:t>
      </w:r>
      <w:r w:rsidR="003E1B28" w:rsidRPr="00400C74">
        <w:rPr>
          <w:spacing w:val="-4"/>
        </w:rPr>
        <w:t xml:space="preserve">the importance of </w:t>
      </w:r>
      <w:r w:rsidR="00AC51E2" w:rsidRPr="00400C74">
        <w:rPr>
          <w:spacing w:val="-4"/>
        </w:rPr>
        <w:t>oral health</w:t>
      </w:r>
      <w:r w:rsidR="003E1B28" w:rsidRPr="00400C74">
        <w:rPr>
          <w:spacing w:val="-4"/>
        </w:rPr>
        <w:t xml:space="preserve"> in India</w:t>
      </w:r>
      <w:r w:rsidR="00881658" w:rsidRPr="00400C74">
        <w:rPr>
          <w:spacing w:val="-4"/>
        </w:rPr>
        <w:t xml:space="preserve"> </w:t>
      </w:r>
      <w:r w:rsidR="00DD62AE" w:rsidRPr="00400C74">
        <w:rPr>
          <w:spacing w:val="-4"/>
        </w:rPr>
        <w:t>meant that the</w:t>
      </w:r>
      <w:r w:rsidR="00AC51E2" w:rsidRPr="00400C74">
        <w:rPr>
          <w:spacing w:val="-4"/>
        </w:rPr>
        <w:t xml:space="preserve"> dent</w:t>
      </w:r>
      <w:r w:rsidR="00DD62AE" w:rsidRPr="00400C74">
        <w:rPr>
          <w:spacing w:val="-4"/>
        </w:rPr>
        <w:t xml:space="preserve">al health care </w:t>
      </w:r>
      <w:r w:rsidR="00AC51E2" w:rsidRPr="00400C74">
        <w:rPr>
          <w:spacing w:val="-4"/>
        </w:rPr>
        <w:t>i</w:t>
      </w:r>
      <w:r w:rsidR="00DD62AE" w:rsidRPr="00400C74">
        <w:rPr>
          <w:spacing w:val="-4"/>
        </w:rPr>
        <w:t>ndu</w:t>
      </w:r>
      <w:r w:rsidR="00AC51E2" w:rsidRPr="00400C74">
        <w:rPr>
          <w:spacing w:val="-4"/>
        </w:rPr>
        <w:t>stry</w:t>
      </w:r>
      <w:r w:rsidR="00DD62AE" w:rsidRPr="00400C74">
        <w:rPr>
          <w:spacing w:val="-4"/>
        </w:rPr>
        <w:t xml:space="preserve"> </w:t>
      </w:r>
      <w:r w:rsidR="00AC51E2" w:rsidRPr="00400C74">
        <w:rPr>
          <w:spacing w:val="-4"/>
        </w:rPr>
        <w:t xml:space="preserve">was also witnessing a rise in </w:t>
      </w:r>
      <w:r w:rsidR="003E1B28" w:rsidRPr="00400C74">
        <w:rPr>
          <w:spacing w:val="-4"/>
        </w:rPr>
        <w:t xml:space="preserve">domestic </w:t>
      </w:r>
      <w:r w:rsidR="00AC51E2" w:rsidRPr="00400C74">
        <w:rPr>
          <w:spacing w:val="-4"/>
        </w:rPr>
        <w:t xml:space="preserve">demand, </w:t>
      </w:r>
      <w:r w:rsidR="003E1B28" w:rsidRPr="00400C74">
        <w:rPr>
          <w:spacing w:val="-4"/>
        </w:rPr>
        <w:t>although</w:t>
      </w:r>
      <w:r w:rsidR="00AC51E2" w:rsidRPr="00400C74">
        <w:rPr>
          <w:spacing w:val="-4"/>
        </w:rPr>
        <w:t xml:space="preserve"> visits</w:t>
      </w:r>
      <w:r w:rsidR="003E1B28" w:rsidRPr="00400C74">
        <w:rPr>
          <w:spacing w:val="-4"/>
        </w:rPr>
        <w:t xml:space="preserve"> to the dentist were not exactly</w:t>
      </w:r>
      <w:r w:rsidR="00AC51E2" w:rsidRPr="00400C74">
        <w:rPr>
          <w:spacing w:val="-4"/>
        </w:rPr>
        <w:t xml:space="preserve"> part of </w:t>
      </w:r>
      <w:r w:rsidR="003E1B28" w:rsidRPr="00400C74">
        <w:rPr>
          <w:spacing w:val="-4"/>
        </w:rPr>
        <w:t>a person’s</w:t>
      </w:r>
      <w:r w:rsidR="00AC51E2" w:rsidRPr="00400C74">
        <w:rPr>
          <w:spacing w:val="-4"/>
        </w:rPr>
        <w:t xml:space="preserve"> regular </w:t>
      </w:r>
      <w:r w:rsidR="003E1B28" w:rsidRPr="00400C74">
        <w:rPr>
          <w:spacing w:val="-4"/>
        </w:rPr>
        <w:t xml:space="preserve">health care </w:t>
      </w:r>
      <w:r w:rsidR="00DD62AE" w:rsidRPr="00400C74">
        <w:rPr>
          <w:spacing w:val="-4"/>
        </w:rPr>
        <w:t>behaviour</w:t>
      </w:r>
      <w:r w:rsidR="003E1B28" w:rsidRPr="00400C74">
        <w:rPr>
          <w:spacing w:val="-4"/>
        </w:rPr>
        <w:t xml:space="preserve"> in India</w:t>
      </w:r>
      <w:r w:rsidR="00AC51E2" w:rsidRPr="00400C74">
        <w:rPr>
          <w:spacing w:val="-4"/>
        </w:rPr>
        <w:t>.</w:t>
      </w:r>
      <w:r w:rsidR="00DD62AE" w:rsidRPr="00400C74">
        <w:rPr>
          <w:rStyle w:val="FootnoteReference"/>
          <w:spacing w:val="-4"/>
        </w:rPr>
        <w:footnoteReference w:id="1"/>
      </w:r>
    </w:p>
    <w:p w14:paraId="097696EC" w14:textId="77777777" w:rsidR="00AC51E2" w:rsidRPr="00675702" w:rsidRDefault="00AC51E2" w:rsidP="00AC51E2">
      <w:pPr>
        <w:pStyle w:val="BodyTextMain"/>
      </w:pPr>
    </w:p>
    <w:p w14:paraId="27C86DBD" w14:textId="0BCF5DC2" w:rsidR="003E1B28" w:rsidRPr="00675702" w:rsidRDefault="00AC51E2" w:rsidP="00AC51E2">
      <w:pPr>
        <w:pStyle w:val="BodyTextMain"/>
      </w:pPr>
      <w:r w:rsidRPr="00675702">
        <w:t xml:space="preserve">According to the Indian Dental Association, </w:t>
      </w:r>
      <w:r w:rsidR="003E1B28" w:rsidRPr="00675702">
        <w:t>India’s dental care industry was growing:</w:t>
      </w:r>
    </w:p>
    <w:p w14:paraId="1CAA5A3A" w14:textId="77777777" w:rsidR="003E1B28" w:rsidRPr="00675702" w:rsidRDefault="003E1B28" w:rsidP="00AC51E2">
      <w:pPr>
        <w:pStyle w:val="BodyTextMain"/>
      </w:pPr>
    </w:p>
    <w:p w14:paraId="2588803A" w14:textId="019F7CF9" w:rsidR="00AC51E2" w:rsidRPr="00675702" w:rsidRDefault="003E1B28" w:rsidP="00B51F91">
      <w:pPr>
        <w:pStyle w:val="BodyTextMain"/>
        <w:ind w:left="720"/>
      </w:pPr>
      <w:r w:rsidRPr="00675702">
        <w:t>For a population of over 1.2 billion</w:t>
      </w:r>
      <w:r w:rsidR="00FE7321" w:rsidRPr="00675702">
        <w:t xml:space="preserve">, </w:t>
      </w:r>
      <w:r w:rsidR="00AC51E2" w:rsidRPr="00675702">
        <w:t>there are currently 180</w:t>
      </w:r>
      <w:r w:rsidRPr="00675702">
        <w:t>,</w:t>
      </w:r>
      <w:r w:rsidR="00AC51E2" w:rsidRPr="00675702">
        <w:t>000 dentists, which include 35</w:t>
      </w:r>
      <w:r w:rsidRPr="00675702">
        <w:t>,</w:t>
      </w:r>
      <w:r w:rsidR="00AC51E2" w:rsidRPr="00675702">
        <w:t xml:space="preserve">000 specialists </w:t>
      </w:r>
      <w:r w:rsidR="005C45C2" w:rsidRPr="00675702">
        <w:t xml:space="preserve">practising </w:t>
      </w:r>
      <w:r w:rsidR="00AC51E2" w:rsidRPr="00675702">
        <w:t xml:space="preserve">in different disciplines in the country. The dentist </w:t>
      </w:r>
      <w:r w:rsidRPr="00675702">
        <w:t>[</w:t>
      </w:r>
      <w:r w:rsidR="00AC51E2" w:rsidRPr="00675702">
        <w:t>to</w:t>
      </w:r>
      <w:r w:rsidRPr="00675702">
        <w:t>]</w:t>
      </w:r>
      <w:r w:rsidR="00AC51E2" w:rsidRPr="00675702">
        <w:t xml:space="preserve"> population ratio is reported to be 1:9</w:t>
      </w:r>
      <w:r w:rsidRPr="00675702">
        <w:t>,</w:t>
      </w:r>
      <w:r w:rsidR="00AC51E2" w:rsidRPr="00675702">
        <w:t>000 in metros/urban and semi</w:t>
      </w:r>
      <w:r w:rsidR="005C45C2" w:rsidRPr="00675702">
        <w:t xml:space="preserve"> </w:t>
      </w:r>
      <w:r w:rsidR="00AC51E2" w:rsidRPr="00675702">
        <w:t xml:space="preserve">urban areas and 1:200,000 dentists in </w:t>
      </w:r>
      <w:r w:rsidR="005C45C2" w:rsidRPr="00675702">
        <w:t xml:space="preserve">the </w:t>
      </w:r>
      <w:r w:rsidR="00AC51E2" w:rsidRPr="00675702">
        <w:t xml:space="preserve">rural </w:t>
      </w:r>
      <w:r w:rsidR="005C45C2" w:rsidRPr="00675702">
        <w:t>area</w:t>
      </w:r>
      <w:r w:rsidR="00AC51E2" w:rsidRPr="00675702">
        <w:t>. There are more than 35</w:t>
      </w:r>
      <w:r w:rsidRPr="00675702">
        <w:t>,</w:t>
      </w:r>
      <w:r w:rsidR="00AC51E2" w:rsidRPr="00675702">
        <w:t>000 dental specialists in different disciplines</w:t>
      </w:r>
      <w:r w:rsidR="005C45C2" w:rsidRPr="00675702">
        <w:t xml:space="preserve">. . . . </w:t>
      </w:r>
      <w:r w:rsidR="00AC51E2" w:rsidRPr="00675702">
        <w:t>Every year more than 24</w:t>
      </w:r>
      <w:r w:rsidRPr="00675702">
        <w:t>,</w:t>
      </w:r>
      <w:r w:rsidR="00AC51E2" w:rsidRPr="00675702">
        <w:t>500 dental graduates are added to the list.</w:t>
      </w:r>
      <w:r w:rsidR="00AC51E2" w:rsidRPr="00675702">
        <w:rPr>
          <w:rStyle w:val="FootnoteReference"/>
        </w:rPr>
        <w:footnoteReference w:id="2"/>
      </w:r>
      <w:r w:rsidR="00AC51E2" w:rsidRPr="00675702">
        <w:t xml:space="preserve"> </w:t>
      </w:r>
    </w:p>
    <w:p w14:paraId="00ABF629" w14:textId="77777777" w:rsidR="00AC51E2" w:rsidRPr="00675702" w:rsidRDefault="00AC51E2" w:rsidP="00AC51E2">
      <w:pPr>
        <w:pStyle w:val="BodyTextMain"/>
      </w:pPr>
    </w:p>
    <w:p w14:paraId="600F2223" w14:textId="57C1237B" w:rsidR="00AC51E2" w:rsidRPr="00675702" w:rsidRDefault="00AC51E2" w:rsidP="00AC51E2">
      <w:pPr>
        <w:pStyle w:val="BodyTextMain"/>
      </w:pPr>
      <w:r w:rsidRPr="00675702">
        <w:t>The dentistry market in the country was divided into two categories: stand</w:t>
      </w:r>
      <w:r w:rsidR="00AC0BFD" w:rsidRPr="00675702">
        <w:t>-</w:t>
      </w:r>
      <w:r w:rsidRPr="00675702">
        <w:t>alone clinics</w:t>
      </w:r>
      <w:r w:rsidR="00AC0BFD" w:rsidRPr="00675702">
        <w:t>,</w:t>
      </w:r>
      <w:r w:rsidRPr="00675702">
        <w:t xml:space="preserve"> </w:t>
      </w:r>
      <w:r w:rsidR="00AC0BFD" w:rsidRPr="00675702">
        <w:t>which</w:t>
      </w:r>
      <w:r w:rsidRPr="00675702">
        <w:t xml:space="preserve"> were primarily proprietary firms</w:t>
      </w:r>
      <w:r w:rsidR="00365152" w:rsidRPr="00675702">
        <w:t>,</w:t>
      </w:r>
      <w:r w:rsidRPr="00675702">
        <w:t xml:space="preserve"> and corporate</w:t>
      </w:r>
      <w:r w:rsidR="00AC0BFD" w:rsidRPr="00675702">
        <w:t xml:space="preserve"> clinic chains, which were funded by </w:t>
      </w:r>
      <w:r w:rsidRPr="00675702">
        <w:t>hospital</w:t>
      </w:r>
      <w:r w:rsidR="00160F82" w:rsidRPr="00675702">
        <w:t>s</w:t>
      </w:r>
      <w:r w:rsidRPr="00675702">
        <w:t xml:space="preserve">. </w:t>
      </w:r>
      <w:r w:rsidR="00160F82" w:rsidRPr="00675702">
        <w:t>S</w:t>
      </w:r>
      <w:r w:rsidRPr="00675702">
        <w:t>tand</w:t>
      </w:r>
      <w:r w:rsidR="00FE7321" w:rsidRPr="00675702">
        <w:t>-</w:t>
      </w:r>
      <w:r w:rsidRPr="00675702">
        <w:t>alone clinics operated purely on</w:t>
      </w:r>
      <w:r w:rsidR="00AC0BFD" w:rsidRPr="00675702">
        <w:t xml:space="preserve"> the basis of</w:t>
      </w:r>
      <w:r w:rsidRPr="00675702">
        <w:t xml:space="preserve"> walk-ins or referrals. Most dentists who </w:t>
      </w:r>
      <w:r w:rsidR="00160F82" w:rsidRPr="00675702">
        <w:t>operated</w:t>
      </w:r>
      <w:r w:rsidRPr="00675702">
        <w:t xml:space="preserve"> their own stand</w:t>
      </w:r>
      <w:r w:rsidR="00FE7321" w:rsidRPr="00675702">
        <w:t>-</w:t>
      </w:r>
      <w:r w:rsidRPr="00675702">
        <w:t xml:space="preserve">alone clinics also took on additional work to augment their income, </w:t>
      </w:r>
      <w:r w:rsidR="00AC0BFD" w:rsidRPr="00675702">
        <w:t>such as</w:t>
      </w:r>
      <w:r w:rsidRPr="00675702">
        <w:t xml:space="preserve"> teaching in local dental colleges. </w:t>
      </w:r>
      <w:r w:rsidR="00AC0BFD" w:rsidRPr="00675702">
        <w:t>P</w:t>
      </w:r>
      <w:r w:rsidRPr="00675702">
        <w:t xml:space="preserve">eriodic dental </w:t>
      </w:r>
      <w:r w:rsidR="00365152" w:rsidRPr="00675702">
        <w:t>checkups</w:t>
      </w:r>
      <w:r w:rsidRPr="00675702">
        <w:t xml:space="preserve"> </w:t>
      </w:r>
      <w:r w:rsidR="00AC0BFD" w:rsidRPr="00675702">
        <w:t xml:space="preserve">were </w:t>
      </w:r>
      <w:r w:rsidR="00160F82" w:rsidRPr="00675702">
        <w:t>not a cultural habit</w:t>
      </w:r>
      <w:r w:rsidRPr="00675702">
        <w:t xml:space="preserve"> in India</w:t>
      </w:r>
      <w:r w:rsidR="00FC51A8" w:rsidRPr="00675702">
        <w:t>. Therefore</w:t>
      </w:r>
      <w:r w:rsidRPr="00675702">
        <w:t xml:space="preserve">, </w:t>
      </w:r>
      <w:r w:rsidR="00AC0BFD" w:rsidRPr="00675702">
        <w:t>business</w:t>
      </w:r>
      <w:r w:rsidRPr="00675702">
        <w:t xml:space="preserve"> uncertainty </w:t>
      </w:r>
      <w:r w:rsidR="00FC51A8" w:rsidRPr="00675702">
        <w:t>tended to</w:t>
      </w:r>
      <w:r w:rsidRPr="00675702">
        <w:t xml:space="preserve"> le</w:t>
      </w:r>
      <w:r w:rsidR="00FC51A8" w:rsidRPr="00675702">
        <w:t>a</w:t>
      </w:r>
      <w:r w:rsidRPr="00675702">
        <w:t xml:space="preserve">d to a high degree of </w:t>
      </w:r>
      <w:r w:rsidR="00AC0BFD" w:rsidRPr="00675702">
        <w:t>company turnover</w:t>
      </w:r>
      <w:r w:rsidRPr="00675702">
        <w:t xml:space="preserve">. </w:t>
      </w:r>
      <w:r w:rsidR="00AC0BFD" w:rsidRPr="00675702">
        <w:t xml:space="preserve">Inconsistent amounts of foot traffic also made it difficult </w:t>
      </w:r>
      <w:r w:rsidR="00160F82" w:rsidRPr="00675702">
        <w:t>for a business to predict or</w:t>
      </w:r>
      <w:r w:rsidR="00AC0BFD" w:rsidRPr="00675702">
        <w:t xml:space="preserve"> achieve a regular stream of business</w:t>
      </w:r>
      <w:r w:rsidRPr="00675702">
        <w:t>.</w:t>
      </w:r>
    </w:p>
    <w:p w14:paraId="3F9D8F1A" w14:textId="77777777" w:rsidR="00AC51E2" w:rsidRPr="00675702" w:rsidRDefault="00AC51E2" w:rsidP="00AC51E2">
      <w:pPr>
        <w:pStyle w:val="BodyTextMain"/>
      </w:pPr>
    </w:p>
    <w:p w14:paraId="1A87BD74" w14:textId="1E7FF971" w:rsidR="00AC51E2" w:rsidRPr="00675702" w:rsidRDefault="006931C5" w:rsidP="00AC51E2">
      <w:pPr>
        <w:pStyle w:val="BodyTextMain"/>
      </w:pPr>
      <w:r w:rsidRPr="00675702">
        <w:t xml:space="preserve">In </w:t>
      </w:r>
      <w:r w:rsidR="007A7CE0" w:rsidRPr="00675702">
        <w:t xml:space="preserve">financial year (FY) </w:t>
      </w:r>
      <w:r w:rsidRPr="00675702">
        <w:t>2019–20,</w:t>
      </w:r>
      <w:r w:rsidR="00AC51E2" w:rsidRPr="00675702">
        <w:t xml:space="preserve"> </w:t>
      </w:r>
      <w:r w:rsidR="00160F82" w:rsidRPr="00675702">
        <w:t>India’s</w:t>
      </w:r>
      <w:r w:rsidR="00AC51E2" w:rsidRPr="00675702">
        <w:t xml:space="preserve"> oral care segments </w:t>
      </w:r>
      <w:r w:rsidR="00160F82" w:rsidRPr="00675702">
        <w:t>registered revenues of</w:t>
      </w:r>
      <w:r w:rsidR="00AC51E2" w:rsidRPr="00675702">
        <w:t xml:space="preserve"> US$1,787.3 million.</w:t>
      </w:r>
      <w:r w:rsidR="00160F82" w:rsidRPr="00675702">
        <w:rPr>
          <w:rStyle w:val="FootnoteReference"/>
        </w:rPr>
        <w:footnoteReference w:id="3"/>
      </w:r>
      <w:r w:rsidR="00AC51E2" w:rsidRPr="00675702">
        <w:t xml:space="preserve"> </w:t>
      </w:r>
      <w:r w:rsidR="00160F82" w:rsidRPr="00675702">
        <w:rPr>
          <w:bCs/>
        </w:rPr>
        <w:t>From 2020 to 2023, t</w:t>
      </w:r>
      <w:r w:rsidR="00AC51E2" w:rsidRPr="00675702">
        <w:rPr>
          <w:bCs/>
        </w:rPr>
        <w:t xml:space="preserve">he market was expected to </w:t>
      </w:r>
      <w:r w:rsidR="00160F82" w:rsidRPr="00675702">
        <w:rPr>
          <w:bCs/>
        </w:rPr>
        <w:t>grow at</w:t>
      </w:r>
      <w:r w:rsidR="00AC51E2" w:rsidRPr="00675702">
        <w:rPr>
          <w:bCs/>
        </w:rPr>
        <w:t xml:space="preserve"> a</w:t>
      </w:r>
      <w:r w:rsidR="00160F82" w:rsidRPr="00675702">
        <w:rPr>
          <w:bCs/>
        </w:rPr>
        <w:t xml:space="preserve"> </w:t>
      </w:r>
      <w:r w:rsidR="001B1E96" w:rsidRPr="00675702">
        <w:t>compound</w:t>
      </w:r>
      <w:r w:rsidR="001B1E96" w:rsidRPr="00675702">
        <w:rPr>
          <w:bCs/>
        </w:rPr>
        <w:t xml:space="preserve"> </w:t>
      </w:r>
      <w:r w:rsidR="00AC51E2" w:rsidRPr="00675702">
        <w:rPr>
          <w:bCs/>
        </w:rPr>
        <w:t xml:space="preserve">annual growth </w:t>
      </w:r>
      <w:r w:rsidR="00160F82" w:rsidRPr="00675702">
        <w:rPr>
          <w:bCs/>
        </w:rPr>
        <w:t xml:space="preserve">rate (CAGR) </w:t>
      </w:r>
      <w:r w:rsidR="00AC51E2" w:rsidRPr="00675702">
        <w:rPr>
          <w:bCs/>
        </w:rPr>
        <w:t>of 6.8 per</w:t>
      </w:r>
      <w:r w:rsidR="00160F82" w:rsidRPr="00675702">
        <w:rPr>
          <w:bCs/>
        </w:rPr>
        <w:t xml:space="preserve"> </w:t>
      </w:r>
      <w:r w:rsidR="00AC51E2" w:rsidRPr="00675702">
        <w:rPr>
          <w:bCs/>
        </w:rPr>
        <w:t>cent</w:t>
      </w:r>
      <w:r w:rsidR="00AC51E2" w:rsidRPr="00675702">
        <w:t xml:space="preserve">. In </w:t>
      </w:r>
      <w:r w:rsidR="000E5A2B" w:rsidRPr="00675702">
        <w:t xml:space="preserve">FY </w:t>
      </w:r>
      <w:r w:rsidR="00160F82" w:rsidRPr="00675702">
        <w:t xml:space="preserve">2019–20, per-person revenues earned in India, based on </w:t>
      </w:r>
      <w:r w:rsidR="00AC51E2" w:rsidRPr="00675702">
        <w:t>the total population</w:t>
      </w:r>
      <w:r w:rsidR="00160F82" w:rsidRPr="00675702">
        <w:t xml:space="preserve"> figure</w:t>
      </w:r>
      <w:r w:rsidR="00AC51E2" w:rsidRPr="00675702">
        <w:t xml:space="preserve">, </w:t>
      </w:r>
      <w:r w:rsidR="00160F82" w:rsidRPr="00675702">
        <w:t xml:space="preserve">were </w:t>
      </w:r>
      <w:r w:rsidR="00AC51E2" w:rsidRPr="00675702">
        <w:t xml:space="preserve">$1.30. </w:t>
      </w:r>
      <w:r w:rsidR="00160F82" w:rsidRPr="00675702">
        <w:t>In comparison, per</w:t>
      </w:r>
      <w:r w:rsidR="00F95FAC" w:rsidRPr="00675702">
        <w:t>-</w:t>
      </w:r>
      <w:r w:rsidR="00160F82" w:rsidRPr="00675702">
        <w:t xml:space="preserve">person revenues </w:t>
      </w:r>
      <w:r w:rsidR="00F95FAC" w:rsidRPr="00675702">
        <w:t xml:space="preserve">in the United States were </w:t>
      </w:r>
      <w:r w:rsidR="00160F82" w:rsidRPr="00675702">
        <w:t>$27.64</w:t>
      </w:r>
      <w:r w:rsidR="00F95FAC" w:rsidRPr="00675702">
        <w:t>. T</w:t>
      </w:r>
      <w:r w:rsidR="00160F82" w:rsidRPr="00675702">
        <w:t xml:space="preserve">he </w:t>
      </w:r>
      <w:r w:rsidR="00AC51E2" w:rsidRPr="00675702">
        <w:t xml:space="preserve">United States </w:t>
      </w:r>
      <w:r w:rsidR="00F95FAC" w:rsidRPr="00675702">
        <w:t xml:space="preserve">also </w:t>
      </w:r>
      <w:r w:rsidR="00160F82" w:rsidRPr="00675702">
        <w:t xml:space="preserve">recorded the world’s largest </w:t>
      </w:r>
      <w:r w:rsidR="00AC51E2" w:rsidRPr="00675702">
        <w:t xml:space="preserve">oral care </w:t>
      </w:r>
      <w:r w:rsidR="00160F82" w:rsidRPr="00675702">
        <w:t>revenues at</w:t>
      </w:r>
      <w:r w:rsidR="00AC51E2" w:rsidRPr="00675702">
        <w:t xml:space="preserve"> $9,148.3</w:t>
      </w:r>
      <w:r w:rsidR="00160F82" w:rsidRPr="00675702">
        <w:t xml:space="preserve"> </w:t>
      </w:r>
      <w:r w:rsidR="00AC51E2" w:rsidRPr="00675702">
        <w:t>million</w:t>
      </w:r>
      <w:r w:rsidR="00F95FAC" w:rsidRPr="00675702">
        <w:t xml:space="preserve"> for </w:t>
      </w:r>
      <w:r w:rsidR="000E5A2B" w:rsidRPr="00675702">
        <w:t xml:space="preserve">FY </w:t>
      </w:r>
      <w:r w:rsidR="00F95FAC" w:rsidRPr="00675702">
        <w:t>2019–20</w:t>
      </w:r>
      <w:r w:rsidR="00160F82" w:rsidRPr="00675702">
        <w:t xml:space="preserve"> and</w:t>
      </w:r>
      <w:r w:rsidR="00AC51E2" w:rsidRPr="00675702">
        <w:t xml:space="preserve"> was expected to grow annually by </w:t>
      </w:r>
      <w:r w:rsidR="00160F82" w:rsidRPr="00675702">
        <w:t xml:space="preserve">a CAGR of </w:t>
      </w:r>
      <w:r w:rsidR="00AC51E2" w:rsidRPr="00675702">
        <w:t>2.6 per</w:t>
      </w:r>
      <w:r w:rsidR="00160F82" w:rsidRPr="00675702">
        <w:t xml:space="preserve"> </w:t>
      </w:r>
      <w:r w:rsidR="00AC51E2" w:rsidRPr="00675702">
        <w:t xml:space="preserve">cent </w:t>
      </w:r>
      <w:r w:rsidR="00160F82" w:rsidRPr="00675702">
        <w:t>between</w:t>
      </w:r>
      <w:r w:rsidR="00AC51E2" w:rsidRPr="00675702">
        <w:t xml:space="preserve"> 2020</w:t>
      </w:r>
      <w:r w:rsidR="00160F82" w:rsidRPr="00675702">
        <w:t xml:space="preserve"> and </w:t>
      </w:r>
      <w:r w:rsidR="00AC51E2" w:rsidRPr="00675702">
        <w:t>2023</w:t>
      </w:r>
      <w:r w:rsidR="00160F82" w:rsidRPr="00675702">
        <w:t>.</w:t>
      </w:r>
      <w:r w:rsidR="00AC51E2" w:rsidRPr="00675702">
        <w:rPr>
          <w:rStyle w:val="FootnoteReference"/>
        </w:rPr>
        <w:footnoteReference w:id="4"/>
      </w:r>
    </w:p>
    <w:p w14:paraId="647BB8EB" w14:textId="77777777" w:rsidR="00AC51E2" w:rsidRPr="00675702" w:rsidRDefault="00AC51E2" w:rsidP="00AC51E2">
      <w:pPr>
        <w:pStyle w:val="BodyTextMain"/>
      </w:pPr>
    </w:p>
    <w:p w14:paraId="79720EE5" w14:textId="10E9D494" w:rsidR="00AC51E2" w:rsidRPr="002464CB" w:rsidRDefault="00AC51E2" w:rsidP="00AC51E2">
      <w:pPr>
        <w:pStyle w:val="BodyTextMain"/>
        <w:rPr>
          <w:spacing w:val="-4"/>
        </w:rPr>
      </w:pPr>
      <w:r w:rsidRPr="002464CB">
        <w:rPr>
          <w:spacing w:val="-4"/>
        </w:rPr>
        <w:t>In India, most dental practice was private in nature, with dentists setting up their own clinics. However, with increased interest in oral health and worldwide interest in Indian health</w:t>
      </w:r>
      <w:r w:rsidR="0098587A" w:rsidRPr="002464CB">
        <w:rPr>
          <w:spacing w:val="-4"/>
        </w:rPr>
        <w:t xml:space="preserve"> </w:t>
      </w:r>
      <w:r w:rsidRPr="002464CB">
        <w:rPr>
          <w:spacing w:val="-4"/>
        </w:rPr>
        <w:t>care services, s</w:t>
      </w:r>
      <w:r w:rsidR="00F95FAC" w:rsidRPr="002464CB">
        <w:rPr>
          <w:spacing w:val="-4"/>
        </w:rPr>
        <w:t>ome dental services chains were gaining considerable market share</w:t>
      </w:r>
      <w:r w:rsidR="0098587A" w:rsidRPr="002464CB">
        <w:rPr>
          <w:spacing w:val="-4"/>
        </w:rPr>
        <w:t>. Domestic businesses were</w:t>
      </w:r>
      <w:r w:rsidR="00F95FAC" w:rsidRPr="002464CB">
        <w:rPr>
          <w:spacing w:val="-4"/>
        </w:rPr>
        <w:t xml:space="preserve"> set up mainly by</w:t>
      </w:r>
      <w:r w:rsidRPr="002464CB">
        <w:rPr>
          <w:spacing w:val="-4"/>
        </w:rPr>
        <w:t xml:space="preserve"> major health</w:t>
      </w:r>
      <w:r w:rsidR="00F95FAC" w:rsidRPr="002464CB">
        <w:rPr>
          <w:spacing w:val="-4"/>
        </w:rPr>
        <w:t xml:space="preserve"> </w:t>
      </w:r>
      <w:r w:rsidRPr="002464CB">
        <w:rPr>
          <w:spacing w:val="-4"/>
        </w:rPr>
        <w:t xml:space="preserve">care </w:t>
      </w:r>
      <w:r w:rsidR="00F95FAC" w:rsidRPr="002464CB">
        <w:rPr>
          <w:spacing w:val="-4"/>
        </w:rPr>
        <w:t>companies</w:t>
      </w:r>
      <w:r w:rsidRPr="002464CB">
        <w:rPr>
          <w:spacing w:val="-4"/>
        </w:rPr>
        <w:t xml:space="preserve"> such as Apollo Hospitals</w:t>
      </w:r>
      <w:r w:rsidR="00DF0C43" w:rsidRPr="002464CB">
        <w:rPr>
          <w:spacing w:val="-4"/>
        </w:rPr>
        <w:t xml:space="preserve"> Enterprise Limited</w:t>
      </w:r>
      <w:r w:rsidRPr="002464CB">
        <w:rPr>
          <w:spacing w:val="-4"/>
        </w:rPr>
        <w:t>, Clove</w:t>
      </w:r>
      <w:r w:rsidR="00DF0C43" w:rsidRPr="002464CB">
        <w:rPr>
          <w:spacing w:val="-4"/>
        </w:rPr>
        <w:t xml:space="preserve"> Technologies Ltd.</w:t>
      </w:r>
      <w:r w:rsidRPr="002464CB">
        <w:rPr>
          <w:spacing w:val="-4"/>
        </w:rPr>
        <w:t xml:space="preserve">, and Narayana </w:t>
      </w:r>
      <w:proofErr w:type="spellStart"/>
      <w:r w:rsidRPr="002464CB">
        <w:rPr>
          <w:spacing w:val="-4"/>
        </w:rPr>
        <w:t>Hrudayalaya</w:t>
      </w:r>
      <w:proofErr w:type="spellEnd"/>
      <w:r w:rsidRPr="002464CB">
        <w:rPr>
          <w:spacing w:val="-4"/>
        </w:rPr>
        <w:t>. Every year, approximately 12</w:t>
      </w:r>
      <w:r w:rsidR="00F95FAC" w:rsidRPr="002464CB">
        <w:rPr>
          <w:spacing w:val="-4"/>
        </w:rPr>
        <w:t>,000–</w:t>
      </w:r>
      <w:r w:rsidRPr="002464CB">
        <w:rPr>
          <w:spacing w:val="-4"/>
        </w:rPr>
        <w:t xml:space="preserve">15,000 new practices </w:t>
      </w:r>
      <w:r w:rsidR="00F95FAC" w:rsidRPr="002464CB">
        <w:rPr>
          <w:spacing w:val="-4"/>
        </w:rPr>
        <w:t>were opened</w:t>
      </w:r>
      <w:r w:rsidRPr="002464CB">
        <w:rPr>
          <w:spacing w:val="-4"/>
        </w:rPr>
        <w:t xml:space="preserve"> in India, most</w:t>
      </w:r>
      <w:r w:rsidR="00F95FAC" w:rsidRPr="002464CB">
        <w:rPr>
          <w:spacing w:val="-4"/>
        </w:rPr>
        <w:t>ly</w:t>
      </w:r>
      <w:r w:rsidRPr="002464CB">
        <w:rPr>
          <w:spacing w:val="-4"/>
        </w:rPr>
        <w:t xml:space="preserve"> in major cities. </w:t>
      </w:r>
      <w:r w:rsidR="0098587A" w:rsidRPr="002464CB">
        <w:rPr>
          <w:spacing w:val="-4"/>
        </w:rPr>
        <w:t xml:space="preserve">However, </w:t>
      </w:r>
      <w:r w:rsidRPr="002464CB">
        <w:rPr>
          <w:spacing w:val="-4"/>
        </w:rPr>
        <w:t>India</w:t>
      </w:r>
      <w:r w:rsidR="00F95FAC" w:rsidRPr="002464CB">
        <w:rPr>
          <w:spacing w:val="-4"/>
        </w:rPr>
        <w:t xml:space="preserve"> was </w:t>
      </w:r>
      <w:r w:rsidR="0098587A" w:rsidRPr="002464CB">
        <w:rPr>
          <w:spacing w:val="-4"/>
        </w:rPr>
        <w:t xml:space="preserve">also </w:t>
      </w:r>
      <w:r w:rsidR="00F95FAC" w:rsidRPr="002464CB">
        <w:rPr>
          <w:spacing w:val="-4"/>
        </w:rPr>
        <w:t>increasingly being seen as a</w:t>
      </w:r>
      <w:r w:rsidRPr="002464CB">
        <w:rPr>
          <w:spacing w:val="-4"/>
        </w:rPr>
        <w:t xml:space="preserve"> rapidly growing dental market</w:t>
      </w:r>
      <w:r w:rsidR="0098587A" w:rsidRPr="002464CB">
        <w:rPr>
          <w:spacing w:val="-4"/>
        </w:rPr>
        <w:t xml:space="preserve"> by international companies</w:t>
      </w:r>
      <w:r w:rsidRPr="002464CB">
        <w:rPr>
          <w:spacing w:val="-4"/>
        </w:rPr>
        <w:t xml:space="preserve"> </w:t>
      </w:r>
      <w:r w:rsidR="0098587A" w:rsidRPr="002464CB">
        <w:rPr>
          <w:spacing w:val="-4"/>
        </w:rPr>
        <w:t>and</w:t>
      </w:r>
      <w:r w:rsidR="00F95FAC" w:rsidRPr="002464CB">
        <w:rPr>
          <w:spacing w:val="-4"/>
        </w:rPr>
        <w:t xml:space="preserve"> was </w:t>
      </w:r>
      <w:r w:rsidR="0098587A" w:rsidRPr="002464CB">
        <w:rPr>
          <w:spacing w:val="-4"/>
        </w:rPr>
        <w:t>therefore attracting</w:t>
      </w:r>
      <w:r w:rsidR="00F95FAC" w:rsidRPr="002464CB">
        <w:rPr>
          <w:spacing w:val="-4"/>
        </w:rPr>
        <w:t xml:space="preserve"> the interest of various</w:t>
      </w:r>
      <w:r w:rsidRPr="002464CB">
        <w:rPr>
          <w:spacing w:val="-4"/>
        </w:rPr>
        <w:t xml:space="preserve"> multinational</w:t>
      </w:r>
      <w:r w:rsidR="00F95FAC" w:rsidRPr="002464CB">
        <w:rPr>
          <w:spacing w:val="-4"/>
        </w:rPr>
        <w:t xml:space="preserve"> giant</w:t>
      </w:r>
      <w:r w:rsidRPr="002464CB">
        <w:rPr>
          <w:spacing w:val="-4"/>
        </w:rPr>
        <w:t xml:space="preserve">s </w:t>
      </w:r>
      <w:r w:rsidR="00F95FAC" w:rsidRPr="002464CB">
        <w:rPr>
          <w:spacing w:val="-4"/>
        </w:rPr>
        <w:t>including</w:t>
      </w:r>
      <w:r w:rsidRPr="002464CB">
        <w:rPr>
          <w:spacing w:val="-4"/>
        </w:rPr>
        <w:t xml:space="preserve"> </w:t>
      </w:r>
      <w:proofErr w:type="spellStart"/>
      <w:r w:rsidRPr="002464CB">
        <w:rPr>
          <w:spacing w:val="-4"/>
        </w:rPr>
        <w:t>K</w:t>
      </w:r>
      <w:r w:rsidR="00DF0C43" w:rsidRPr="002464CB">
        <w:rPr>
          <w:spacing w:val="-4"/>
        </w:rPr>
        <w:t>aVo</w:t>
      </w:r>
      <w:proofErr w:type="spellEnd"/>
      <w:r w:rsidR="00DF0C43" w:rsidRPr="002464CB">
        <w:rPr>
          <w:spacing w:val="-4"/>
        </w:rPr>
        <w:t xml:space="preserve"> Dental GmbH</w:t>
      </w:r>
      <w:r w:rsidRPr="002464CB">
        <w:rPr>
          <w:spacing w:val="-4"/>
        </w:rPr>
        <w:t>, GC</w:t>
      </w:r>
      <w:r w:rsidR="00DF0C43" w:rsidRPr="002464CB">
        <w:rPr>
          <w:spacing w:val="-4"/>
        </w:rPr>
        <w:t xml:space="preserve"> Dental Products Corp.</w:t>
      </w:r>
      <w:r w:rsidRPr="002464CB">
        <w:rPr>
          <w:spacing w:val="-4"/>
        </w:rPr>
        <w:t xml:space="preserve">, </w:t>
      </w:r>
      <w:proofErr w:type="spellStart"/>
      <w:r w:rsidRPr="002464CB">
        <w:rPr>
          <w:spacing w:val="-4"/>
        </w:rPr>
        <w:t>Ivoclar</w:t>
      </w:r>
      <w:proofErr w:type="spellEnd"/>
      <w:r w:rsidR="00280EC6" w:rsidRPr="002464CB">
        <w:rPr>
          <w:spacing w:val="-4"/>
        </w:rPr>
        <w:t xml:space="preserve"> </w:t>
      </w:r>
      <w:proofErr w:type="spellStart"/>
      <w:r w:rsidRPr="002464CB">
        <w:rPr>
          <w:spacing w:val="-4"/>
        </w:rPr>
        <w:t>Vivadent</w:t>
      </w:r>
      <w:proofErr w:type="spellEnd"/>
      <w:r w:rsidR="00DF0C43" w:rsidRPr="002464CB">
        <w:rPr>
          <w:spacing w:val="-4"/>
        </w:rPr>
        <w:t xml:space="preserve"> Inc.</w:t>
      </w:r>
      <w:r w:rsidRPr="002464CB">
        <w:rPr>
          <w:spacing w:val="-4"/>
        </w:rPr>
        <w:t>, Dentsply</w:t>
      </w:r>
      <w:r w:rsidR="00DF0C43" w:rsidRPr="002464CB">
        <w:rPr>
          <w:spacing w:val="-4"/>
        </w:rPr>
        <w:t xml:space="preserve"> Sirona</w:t>
      </w:r>
      <w:r w:rsidRPr="002464CB">
        <w:rPr>
          <w:spacing w:val="-4"/>
        </w:rPr>
        <w:t xml:space="preserve">, Nobel </w:t>
      </w:r>
      <w:proofErr w:type="spellStart"/>
      <w:r w:rsidRPr="002464CB">
        <w:rPr>
          <w:spacing w:val="-4"/>
        </w:rPr>
        <w:t>Biocare</w:t>
      </w:r>
      <w:proofErr w:type="spellEnd"/>
      <w:r w:rsidR="00DF0C43" w:rsidRPr="002464CB">
        <w:rPr>
          <w:spacing w:val="-4"/>
        </w:rPr>
        <w:t xml:space="preserve"> Services AG</w:t>
      </w:r>
      <w:r w:rsidRPr="002464CB">
        <w:rPr>
          <w:spacing w:val="-4"/>
        </w:rPr>
        <w:t xml:space="preserve">, </w:t>
      </w:r>
      <w:proofErr w:type="spellStart"/>
      <w:r w:rsidRPr="002464CB">
        <w:rPr>
          <w:spacing w:val="-4"/>
        </w:rPr>
        <w:t>Mectron</w:t>
      </w:r>
      <w:proofErr w:type="spellEnd"/>
      <w:r w:rsidR="00DF0C43" w:rsidRPr="002464CB">
        <w:rPr>
          <w:spacing w:val="-4"/>
        </w:rPr>
        <w:t xml:space="preserve"> </w:t>
      </w:r>
      <w:proofErr w:type="spellStart"/>
      <w:r w:rsidR="00DF0C43" w:rsidRPr="002464CB">
        <w:rPr>
          <w:spacing w:val="-4"/>
        </w:rPr>
        <w:t>SpA</w:t>
      </w:r>
      <w:proofErr w:type="spellEnd"/>
      <w:r w:rsidRPr="002464CB">
        <w:rPr>
          <w:spacing w:val="-4"/>
        </w:rPr>
        <w:t>, Act</w:t>
      </w:r>
      <w:r w:rsidR="00806ECE" w:rsidRPr="002464CB">
        <w:rPr>
          <w:spacing w:val="-4"/>
        </w:rPr>
        <w:t>e</w:t>
      </w:r>
      <w:r w:rsidRPr="002464CB">
        <w:rPr>
          <w:spacing w:val="-4"/>
        </w:rPr>
        <w:t>on</w:t>
      </w:r>
      <w:r w:rsidR="00806ECE" w:rsidRPr="002464CB">
        <w:rPr>
          <w:spacing w:val="-4"/>
        </w:rPr>
        <w:t xml:space="preserve"> Group</w:t>
      </w:r>
      <w:r w:rsidRPr="002464CB">
        <w:rPr>
          <w:spacing w:val="-4"/>
        </w:rPr>
        <w:t xml:space="preserve">, </w:t>
      </w:r>
      <w:proofErr w:type="spellStart"/>
      <w:r w:rsidRPr="002464CB">
        <w:rPr>
          <w:spacing w:val="-4"/>
        </w:rPr>
        <w:t>Coltene</w:t>
      </w:r>
      <w:proofErr w:type="spellEnd"/>
      <w:r w:rsidR="00806ECE" w:rsidRPr="002464CB">
        <w:rPr>
          <w:spacing w:val="-4"/>
        </w:rPr>
        <w:t xml:space="preserve"> Holding</w:t>
      </w:r>
      <w:r w:rsidR="00280EC6" w:rsidRPr="002464CB">
        <w:rPr>
          <w:spacing w:val="-4"/>
        </w:rPr>
        <w:t xml:space="preserve"> AG</w:t>
      </w:r>
      <w:r w:rsidRPr="002464CB">
        <w:rPr>
          <w:spacing w:val="-4"/>
        </w:rPr>
        <w:t>, Coco</w:t>
      </w:r>
      <w:r w:rsidR="00806ECE" w:rsidRPr="002464CB">
        <w:rPr>
          <w:spacing w:val="-4"/>
        </w:rPr>
        <w:t xml:space="preserve"> Dental Limited</w:t>
      </w:r>
      <w:r w:rsidRPr="002464CB">
        <w:rPr>
          <w:spacing w:val="-4"/>
        </w:rPr>
        <w:t>, SS White</w:t>
      </w:r>
      <w:r w:rsidR="00806ECE" w:rsidRPr="002464CB">
        <w:rPr>
          <w:spacing w:val="-4"/>
        </w:rPr>
        <w:t xml:space="preserve"> Dental</w:t>
      </w:r>
      <w:r w:rsidRPr="002464CB">
        <w:rPr>
          <w:spacing w:val="-4"/>
        </w:rPr>
        <w:t xml:space="preserve">, and </w:t>
      </w:r>
      <w:proofErr w:type="spellStart"/>
      <w:r w:rsidRPr="002464CB">
        <w:rPr>
          <w:spacing w:val="-4"/>
        </w:rPr>
        <w:t>Septodont</w:t>
      </w:r>
      <w:proofErr w:type="spellEnd"/>
      <w:r w:rsidR="00806ECE" w:rsidRPr="002464CB">
        <w:rPr>
          <w:spacing w:val="-4"/>
        </w:rPr>
        <w:t xml:space="preserve"> Limited</w:t>
      </w:r>
      <w:r w:rsidR="00F95FAC" w:rsidRPr="002464CB">
        <w:rPr>
          <w:spacing w:val="-4"/>
        </w:rPr>
        <w:t>.</w:t>
      </w:r>
      <w:r w:rsidRPr="002464CB">
        <w:rPr>
          <w:rStyle w:val="FootnoteReference"/>
          <w:spacing w:val="-4"/>
        </w:rPr>
        <w:footnoteReference w:id="5"/>
      </w:r>
    </w:p>
    <w:p w14:paraId="1D4A8F4E" w14:textId="32E73788" w:rsidR="00B51F91" w:rsidRDefault="00B51F91" w:rsidP="00AC51E2">
      <w:pPr>
        <w:pStyle w:val="BodyTextMain"/>
      </w:pPr>
    </w:p>
    <w:p w14:paraId="6B4A3126" w14:textId="77777777" w:rsidR="00563F25" w:rsidRPr="00675702" w:rsidRDefault="00563F25" w:rsidP="00AC51E2">
      <w:pPr>
        <w:pStyle w:val="BodyTextMain"/>
      </w:pPr>
    </w:p>
    <w:p w14:paraId="6E0F6F84" w14:textId="39C7873F" w:rsidR="00AC51E2" w:rsidRPr="00675702" w:rsidRDefault="00CD429C" w:rsidP="00563F25">
      <w:pPr>
        <w:pStyle w:val="Casehead1"/>
        <w:keepNext/>
      </w:pPr>
      <w:r w:rsidRPr="00675702">
        <w:lastRenderedPageBreak/>
        <w:t>Factors Driving Industry Growth</w:t>
      </w:r>
    </w:p>
    <w:p w14:paraId="73C18DEC" w14:textId="77777777" w:rsidR="00AC51E2" w:rsidRPr="00675702" w:rsidRDefault="00AC51E2" w:rsidP="00563F25">
      <w:pPr>
        <w:pStyle w:val="BodyTextMain"/>
        <w:keepNext/>
      </w:pPr>
    </w:p>
    <w:p w14:paraId="70026124" w14:textId="369C5786" w:rsidR="00AC51E2" w:rsidRPr="00675702" w:rsidRDefault="00AC51E2" w:rsidP="00563F25">
      <w:pPr>
        <w:pStyle w:val="BodyTextMain"/>
        <w:keepNext/>
      </w:pPr>
      <w:r w:rsidRPr="00675702">
        <w:t xml:space="preserve">The hospital industry in India was expected to grow at a CAGR of 16 </w:t>
      </w:r>
      <w:r w:rsidR="007A7CE0" w:rsidRPr="00675702">
        <w:t>per cent</w:t>
      </w:r>
      <w:r w:rsidR="000E5A2B" w:rsidRPr="00675702">
        <w:t>,</w:t>
      </w:r>
      <w:r w:rsidR="007A7CE0" w:rsidRPr="00675702">
        <w:t xml:space="preserve"> </w:t>
      </w:r>
      <w:r w:rsidRPr="00675702">
        <w:t xml:space="preserve">to reach </w:t>
      </w:r>
      <w:r w:rsidR="000E5A2B" w:rsidRPr="00675702">
        <w:t xml:space="preserve">approximately </w:t>
      </w:r>
      <w:r w:rsidRPr="00675702">
        <w:t>$132.84 billion by FY</w:t>
      </w:r>
      <w:r w:rsidR="000E5A2B" w:rsidRPr="00675702">
        <w:t xml:space="preserve"> 2021–</w:t>
      </w:r>
      <w:r w:rsidRPr="00675702">
        <w:t xml:space="preserve">22 from </w:t>
      </w:r>
      <w:r w:rsidR="000E5A2B" w:rsidRPr="00675702">
        <w:t xml:space="preserve">approximately </w:t>
      </w:r>
      <w:r w:rsidRPr="00675702">
        <w:t>$61.79 billion in FY</w:t>
      </w:r>
      <w:r w:rsidR="000E5A2B" w:rsidRPr="00675702">
        <w:t xml:space="preserve"> 2016–</w:t>
      </w:r>
      <w:r w:rsidRPr="00675702">
        <w:t>17. The government of India was planning to increase public health spending to 2.5 per</w:t>
      </w:r>
      <w:r w:rsidR="000E5A2B" w:rsidRPr="00675702">
        <w:t xml:space="preserve"> </w:t>
      </w:r>
      <w:r w:rsidRPr="00675702">
        <w:t xml:space="preserve">cent of the country’s </w:t>
      </w:r>
      <w:r w:rsidR="000E5A2B" w:rsidRPr="00675702">
        <w:t xml:space="preserve">gross domestic product </w:t>
      </w:r>
      <w:r w:rsidRPr="00675702">
        <w:t>by 2025.</w:t>
      </w:r>
      <w:r w:rsidRPr="00675702">
        <w:rPr>
          <w:rStyle w:val="FootnoteReference"/>
        </w:rPr>
        <w:footnoteReference w:id="6"/>
      </w:r>
      <w:r w:rsidRPr="00675702">
        <w:t xml:space="preserve"> </w:t>
      </w:r>
      <w:r w:rsidR="000E5A2B" w:rsidRPr="00675702">
        <w:t>In FY 2019–20, t</w:t>
      </w:r>
      <w:r w:rsidRPr="00675702">
        <w:t xml:space="preserve">he Indian economy </w:t>
      </w:r>
      <w:r w:rsidR="000E5A2B" w:rsidRPr="00675702">
        <w:t>had</w:t>
      </w:r>
      <w:r w:rsidRPr="00675702">
        <w:t xml:space="preserve"> grown by 5.0 per</w:t>
      </w:r>
      <w:r w:rsidR="000E5A2B" w:rsidRPr="00675702">
        <w:t xml:space="preserve"> </w:t>
      </w:r>
      <w:r w:rsidRPr="00675702">
        <w:t xml:space="preserve">cent </w:t>
      </w:r>
      <w:r w:rsidR="000E5A2B" w:rsidRPr="00675702">
        <w:t>from the previous</w:t>
      </w:r>
      <w:r w:rsidRPr="00675702">
        <w:t xml:space="preserve"> year.</w:t>
      </w:r>
      <w:r w:rsidRPr="00675702">
        <w:rPr>
          <w:rStyle w:val="FootnoteReference"/>
        </w:rPr>
        <w:footnoteReference w:id="7"/>
      </w:r>
    </w:p>
    <w:p w14:paraId="26558BE1" w14:textId="77777777" w:rsidR="00AC51E2" w:rsidRPr="00675702" w:rsidRDefault="00AC51E2" w:rsidP="00AC51E2">
      <w:pPr>
        <w:pStyle w:val="BodyTextMain"/>
      </w:pPr>
    </w:p>
    <w:p w14:paraId="3AE3FC7F" w14:textId="26D68F24" w:rsidR="00AC51E2" w:rsidRPr="00400C74" w:rsidRDefault="00AC51E2" w:rsidP="00AC51E2">
      <w:pPr>
        <w:pStyle w:val="BodyTextMain"/>
        <w:rPr>
          <w:spacing w:val="-4"/>
        </w:rPr>
      </w:pPr>
      <w:r w:rsidRPr="00400C74">
        <w:rPr>
          <w:spacing w:val="-4"/>
        </w:rPr>
        <w:t>The outlook for the Indian health</w:t>
      </w:r>
      <w:r w:rsidR="000E5A2B" w:rsidRPr="00400C74">
        <w:rPr>
          <w:spacing w:val="-4"/>
        </w:rPr>
        <w:t xml:space="preserve"> </w:t>
      </w:r>
      <w:r w:rsidRPr="00400C74">
        <w:rPr>
          <w:spacing w:val="-4"/>
        </w:rPr>
        <w:t>care industry looked positive. According to the India Brand Equity Foundation, the health</w:t>
      </w:r>
      <w:r w:rsidR="000E5A2B" w:rsidRPr="00400C74">
        <w:rPr>
          <w:spacing w:val="-4"/>
        </w:rPr>
        <w:t xml:space="preserve"> </w:t>
      </w:r>
      <w:r w:rsidRPr="00400C74">
        <w:rPr>
          <w:spacing w:val="-4"/>
        </w:rPr>
        <w:t xml:space="preserve">care market in India was expected to reach $372 billion by 2022, driven by rising incomes, greater health awareness, </w:t>
      </w:r>
      <w:r w:rsidR="000E5A2B" w:rsidRPr="00400C74">
        <w:rPr>
          <w:spacing w:val="-4"/>
        </w:rPr>
        <w:t xml:space="preserve">changing </w:t>
      </w:r>
      <w:r w:rsidRPr="00400C74">
        <w:rPr>
          <w:spacing w:val="-4"/>
        </w:rPr>
        <w:t>lifestyles, increasing access to insurance, higher purchasing power, and patient empowerment. These factors had led to a demand for better health</w:t>
      </w:r>
      <w:r w:rsidR="000E5A2B" w:rsidRPr="00400C74">
        <w:rPr>
          <w:spacing w:val="-4"/>
        </w:rPr>
        <w:t xml:space="preserve"> </w:t>
      </w:r>
      <w:r w:rsidRPr="00400C74">
        <w:rPr>
          <w:spacing w:val="-4"/>
        </w:rPr>
        <w:t>care facilities at affordable prices.</w:t>
      </w:r>
    </w:p>
    <w:p w14:paraId="575A7218" w14:textId="77777777" w:rsidR="00AC51E2" w:rsidRPr="00675702" w:rsidRDefault="00AC51E2" w:rsidP="00AC51E2">
      <w:pPr>
        <w:pStyle w:val="BodyTextMain"/>
      </w:pPr>
    </w:p>
    <w:p w14:paraId="43D7FA61" w14:textId="77777777" w:rsidR="00AC51E2" w:rsidRPr="00675702" w:rsidRDefault="00AC51E2" w:rsidP="00AC51E2">
      <w:pPr>
        <w:pStyle w:val="BodyTextMain"/>
      </w:pPr>
    </w:p>
    <w:p w14:paraId="4FAD3826" w14:textId="77777777" w:rsidR="00AC51E2" w:rsidRPr="00675702" w:rsidRDefault="00AC51E2" w:rsidP="00AC51E2">
      <w:pPr>
        <w:pStyle w:val="Casehead1"/>
      </w:pPr>
      <w:r w:rsidRPr="00675702">
        <w:t>BENGALURU MARKET</w:t>
      </w:r>
    </w:p>
    <w:p w14:paraId="434FECA3" w14:textId="77777777" w:rsidR="00AC51E2" w:rsidRPr="00675702" w:rsidRDefault="00AC51E2" w:rsidP="00AC51E2">
      <w:pPr>
        <w:pStyle w:val="BodyTextMain"/>
      </w:pPr>
    </w:p>
    <w:p w14:paraId="6C35F317" w14:textId="3FC85268" w:rsidR="00AC51E2" w:rsidRPr="00675702" w:rsidRDefault="00AC51E2" w:rsidP="00AC51E2">
      <w:pPr>
        <w:pStyle w:val="BodyTextMain"/>
      </w:pPr>
      <w:r w:rsidRPr="00675702">
        <w:t xml:space="preserve">Bengaluru, the capital of the </w:t>
      </w:r>
      <w:r w:rsidR="000E5A2B" w:rsidRPr="00675702">
        <w:t xml:space="preserve">Indian </w:t>
      </w:r>
      <w:r w:rsidRPr="00675702">
        <w:t xml:space="preserve">state Karnataka, was located in the southeastern region of the state on the Deccan </w:t>
      </w:r>
      <w:r w:rsidR="00820F80" w:rsidRPr="00675702">
        <w:t>plateau</w:t>
      </w:r>
      <w:r w:rsidRPr="00675702">
        <w:t>. It was the third</w:t>
      </w:r>
      <w:r w:rsidR="00E2476A" w:rsidRPr="00675702">
        <w:t>-</w:t>
      </w:r>
      <w:r w:rsidRPr="00675702">
        <w:t>most</w:t>
      </w:r>
      <w:r w:rsidR="006F268A" w:rsidRPr="00675702">
        <w:t>-</w:t>
      </w:r>
      <w:r w:rsidRPr="00675702">
        <w:t>populous city and fifth</w:t>
      </w:r>
      <w:r w:rsidR="00E2476A" w:rsidRPr="00675702">
        <w:t>-</w:t>
      </w:r>
      <w:r w:rsidRPr="00675702">
        <w:t xml:space="preserve">most populous urban area in India. </w:t>
      </w:r>
      <w:r w:rsidR="00E2476A" w:rsidRPr="00675702">
        <w:t xml:space="preserve">In 2020, </w:t>
      </w:r>
      <w:r w:rsidRPr="00675702">
        <w:t>Bengaluru’s population was estimated at 12,326,532.</w:t>
      </w:r>
      <w:r w:rsidRPr="00675702">
        <w:rPr>
          <w:rStyle w:val="FootnoteReference"/>
        </w:rPr>
        <w:footnoteReference w:id="8"/>
      </w:r>
    </w:p>
    <w:p w14:paraId="6CBBBD4D" w14:textId="77777777" w:rsidR="00AC51E2" w:rsidRPr="00675702" w:rsidRDefault="00AC51E2" w:rsidP="00AC51E2">
      <w:pPr>
        <w:pStyle w:val="BodyTextMain"/>
      </w:pPr>
    </w:p>
    <w:p w14:paraId="07C0BF8C" w14:textId="19B2331A" w:rsidR="004F77FE" w:rsidRPr="00675702" w:rsidRDefault="00AC51E2" w:rsidP="00FD7306">
      <w:pPr>
        <w:pStyle w:val="BodyTextMain"/>
      </w:pPr>
      <w:r w:rsidRPr="00675702">
        <w:t xml:space="preserve">Bengaluru was one of the top </w:t>
      </w:r>
      <w:r w:rsidR="00E2476A" w:rsidRPr="00675702">
        <w:t>destinations in the country for i</w:t>
      </w:r>
      <w:r w:rsidRPr="00675702">
        <w:t xml:space="preserve">nformation </w:t>
      </w:r>
      <w:r w:rsidR="00E2476A" w:rsidRPr="00675702">
        <w:t>t</w:t>
      </w:r>
      <w:r w:rsidRPr="00675702">
        <w:t xml:space="preserve">echnology (IT) </w:t>
      </w:r>
      <w:r w:rsidR="00E2476A" w:rsidRPr="00675702">
        <w:t>services. The city was</w:t>
      </w:r>
      <w:r w:rsidRPr="00675702">
        <w:t xml:space="preserve"> ho</w:t>
      </w:r>
      <w:r w:rsidR="00E2476A" w:rsidRPr="00675702">
        <w:t>me to</w:t>
      </w:r>
      <w:r w:rsidRPr="00675702">
        <w:t xml:space="preserve"> several </w:t>
      </w:r>
      <w:r w:rsidR="00FB26EC" w:rsidRPr="00675702">
        <w:t>global IT-enabled</w:t>
      </w:r>
      <w:r w:rsidRPr="00675702">
        <w:t xml:space="preserve"> </w:t>
      </w:r>
      <w:r w:rsidR="00E2476A" w:rsidRPr="00675702">
        <w:t>s</w:t>
      </w:r>
      <w:r w:rsidRPr="00675702">
        <w:t>ervices companies</w:t>
      </w:r>
      <w:r w:rsidR="00E2476A" w:rsidRPr="00675702">
        <w:t>,</w:t>
      </w:r>
      <w:r w:rsidRPr="00675702">
        <w:t xml:space="preserve"> </w:t>
      </w:r>
      <w:r w:rsidR="00E2476A" w:rsidRPr="00675702">
        <w:t>including</w:t>
      </w:r>
      <w:r w:rsidRPr="00675702">
        <w:t xml:space="preserve"> Infosys</w:t>
      </w:r>
      <w:r w:rsidR="00E2476A" w:rsidRPr="00675702">
        <w:t xml:space="preserve"> Limited</w:t>
      </w:r>
      <w:r w:rsidRPr="00675702">
        <w:t>, Wipro</w:t>
      </w:r>
      <w:r w:rsidR="00E2476A" w:rsidRPr="00675702">
        <w:t xml:space="preserve"> Limited</w:t>
      </w:r>
      <w:r w:rsidRPr="00675702">
        <w:t xml:space="preserve">, </w:t>
      </w:r>
      <w:r w:rsidR="00E2476A" w:rsidRPr="00675702">
        <w:t xml:space="preserve">International Business Machines Corporation (commonly known as </w:t>
      </w:r>
      <w:r w:rsidRPr="00675702">
        <w:t>IBM</w:t>
      </w:r>
      <w:r w:rsidR="00E2476A" w:rsidRPr="00675702">
        <w:t>)</w:t>
      </w:r>
      <w:r w:rsidRPr="00675702">
        <w:t>, and Accenture</w:t>
      </w:r>
      <w:r w:rsidR="00E2476A" w:rsidRPr="00675702">
        <w:t xml:space="preserve"> plc</w:t>
      </w:r>
      <w:r w:rsidRPr="00675702">
        <w:t xml:space="preserve">. </w:t>
      </w:r>
      <w:r w:rsidR="00E2476A" w:rsidRPr="00675702">
        <w:t>O</w:t>
      </w:r>
      <w:r w:rsidRPr="00675702">
        <w:t xml:space="preserve">ver 45 companies </w:t>
      </w:r>
      <w:r w:rsidR="00E2476A" w:rsidRPr="00675702">
        <w:t xml:space="preserve">in IT industries had offices in the city and </w:t>
      </w:r>
      <w:r w:rsidRPr="00675702">
        <w:t>employ</w:t>
      </w:r>
      <w:r w:rsidR="00E2476A" w:rsidRPr="00675702">
        <w:t>ed</w:t>
      </w:r>
      <w:r w:rsidRPr="00675702">
        <w:t xml:space="preserve"> thousands of young professionals from across the country. </w:t>
      </w:r>
      <w:r w:rsidR="00E2476A" w:rsidRPr="00675702">
        <w:t>To some</w:t>
      </w:r>
      <w:r w:rsidRPr="00675702">
        <w:t>, Bengaluru was known as the Silicon Valley of India</w:t>
      </w:r>
      <w:r w:rsidR="00E2476A" w:rsidRPr="00675702">
        <w:t xml:space="preserve"> (referring to the </w:t>
      </w:r>
      <w:r w:rsidR="000B5455" w:rsidRPr="00675702">
        <w:t xml:space="preserve">technology hub in </w:t>
      </w:r>
      <w:r w:rsidR="00E2476A" w:rsidRPr="00675702">
        <w:t>California</w:t>
      </w:r>
      <w:r w:rsidR="00FC51A8" w:rsidRPr="00675702">
        <w:t xml:space="preserve">, </w:t>
      </w:r>
      <w:r w:rsidR="000B5455" w:rsidRPr="00675702">
        <w:t>United States</w:t>
      </w:r>
      <w:r w:rsidR="00E2476A" w:rsidRPr="00675702">
        <w:t>).</w:t>
      </w:r>
    </w:p>
    <w:p w14:paraId="59BC8AD6" w14:textId="77777777" w:rsidR="004F77FE" w:rsidRPr="00675702" w:rsidRDefault="004F77FE" w:rsidP="00FD7306">
      <w:pPr>
        <w:pStyle w:val="BodyTextMain"/>
      </w:pPr>
    </w:p>
    <w:p w14:paraId="56DD875E" w14:textId="645F1BB9" w:rsidR="00AC51E2" w:rsidRPr="00675702" w:rsidRDefault="00E2476A">
      <w:pPr>
        <w:pStyle w:val="BodyTextMain"/>
      </w:pPr>
      <w:r w:rsidRPr="00675702">
        <w:t>I</w:t>
      </w:r>
      <w:r w:rsidR="00AC51E2" w:rsidRPr="00675702">
        <w:t>ts diverse population offered excellent opportunities for dental services, particularly for young</w:t>
      </w:r>
      <w:r w:rsidRPr="00675702">
        <w:t>er</w:t>
      </w:r>
      <w:r w:rsidR="00AC51E2" w:rsidRPr="00675702">
        <w:t xml:space="preserve"> professionals</w:t>
      </w:r>
      <w:r w:rsidRPr="00675702">
        <w:t xml:space="preserve"> who were health conscious</w:t>
      </w:r>
      <w:r w:rsidR="00AC51E2" w:rsidRPr="00675702">
        <w:t xml:space="preserve"> </w:t>
      </w:r>
      <w:r w:rsidRPr="00675702">
        <w:t xml:space="preserve">and </w:t>
      </w:r>
      <w:r w:rsidR="00AC51E2" w:rsidRPr="00675702">
        <w:t>tech</w:t>
      </w:r>
      <w:r w:rsidRPr="00675702">
        <w:t xml:space="preserve">nology </w:t>
      </w:r>
      <w:r w:rsidR="00AC51E2" w:rsidRPr="00675702">
        <w:t>savvy</w:t>
      </w:r>
      <w:r w:rsidRPr="00675702">
        <w:t xml:space="preserve">. These consumers tended to </w:t>
      </w:r>
      <w:r w:rsidR="00AC51E2" w:rsidRPr="00675702">
        <w:t xml:space="preserve">prefer </w:t>
      </w:r>
      <w:r w:rsidR="00646906" w:rsidRPr="00675702">
        <w:t xml:space="preserve">to </w:t>
      </w:r>
      <w:r w:rsidR="00AC51E2" w:rsidRPr="00675702">
        <w:t xml:space="preserve">use </w:t>
      </w:r>
      <w:r w:rsidRPr="00675702">
        <w:t xml:space="preserve">mobile digital </w:t>
      </w:r>
      <w:r w:rsidR="00AC51E2" w:rsidRPr="00675702">
        <w:t>app</w:t>
      </w:r>
      <w:r w:rsidRPr="00675702">
        <w:t>lications for most</w:t>
      </w:r>
      <w:r w:rsidR="00AC51E2" w:rsidRPr="00675702">
        <w:t xml:space="preserve"> services, including dental </w:t>
      </w:r>
      <w:r w:rsidRPr="00675702">
        <w:t>care</w:t>
      </w:r>
      <w:r w:rsidR="00AC51E2" w:rsidRPr="00675702">
        <w:t xml:space="preserve">, </w:t>
      </w:r>
      <w:r w:rsidRPr="00675702">
        <w:t xml:space="preserve">and </w:t>
      </w:r>
      <w:r w:rsidR="00AC51E2" w:rsidRPr="00675702">
        <w:t xml:space="preserve">dental service providers were </w:t>
      </w:r>
      <w:r w:rsidRPr="00675702">
        <w:t>increasingly adding</w:t>
      </w:r>
      <w:r w:rsidR="00AC51E2" w:rsidRPr="00675702">
        <w:t xml:space="preserve"> mobile </w:t>
      </w:r>
      <w:r w:rsidRPr="00675702">
        <w:t xml:space="preserve">services </w:t>
      </w:r>
      <w:r w:rsidR="00806161" w:rsidRPr="00675702">
        <w:t xml:space="preserve">routes </w:t>
      </w:r>
      <w:r w:rsidR="00AC51E2" w:rsidRPr="00675702">
        <w:t>to reach th</w:t>
      </w:r>
      <w:r w:rsidRPr="00675702">
        <w:t>is</w:t>
      </w:r>
      <w:r w:rsidR="00AC51E2" w:rsidRPr="00675702">
        <w:t xml:space="preserve"> co</w:t>
      </w:r>
      <w:r w:rsidRPr="00675702">
        <w:t>nsu</w:t>
      </w:r>
      <w:r w:rsidR="00AC51E2" w:rsidRPr="00675702">
        <w:t>mer</w:t>
      </w:r>
      <w:r w:rsidRPr="00675702">
        <w:t xml:space="preserve"> </w:t>
      </w:r>
      <w:r w:rsidR="00AC51E2" w:rsidRPr="00675702">
        <w:t>s</w:t>
      </w:r>
      <w:r w:rsidRPr="00675702">
        <w:t>egment</w:t>
      </w:r>
      <w:r w:rsidR="00AC51E2" w:rsidRPr="00675702">
        <w:t>.</w:t>
      </w:r>
      <w:r w:rsidR="00FD7306" w:rsidRPr="00675702">
        <w:t xml:space="preserve"> For example, the online health practitioner aggregator </w:t>
      </w:r>
      <w:proofErr w:type="spellStart"/>
      <w:r w:rsidR="00FD7306" w:rsidRPr="00675702">
        <w:t>Practo</w:t>
      </w:r>
      <w:proofErr w:type="spellEnd"/>
      <w:r w:rsidR="00FD7306" w:rsidRPr="00675702">
        <w:t xml:space="preserve"> listed</w:t>
      </w:r>
      <w:r w:rsidR="00AC51E2" w:rsidRPr="00675702">
        <w:t xml:space="preserve"> 2,436 stand</w:t>
      </w:r>
      <w:r w:rsidR="00FD7306" w:rsidRPr="00675702">
        <w:t>-</w:t>
      </w:r>
      <w:r w:rsidR="00AC51E2" w:rsidRPr="00675702">
        <w:t>alone dental clinics</w:t>
      </w:r>
      <w:r w:rsidR="004735A5" w:rsidRPr="00675702">
        <w:t xml:space="preserve"> in</w:t>
      </w:r>
      <w:r w:rsidR="00AC51E2" w:rsidRPr="00675702">
        <w:t xml:space="preserve"> Bengaluru</w:t>
      </w:r>
      <w:r w:rsidR="00FD7306" w:rsidRPr="00675702">
        <w:t>.</w:t>
      </w:r>
      <w:r w:rsidR="00AC51E2" w:rsidRPr="00675702">
        <w:rPr>
          <w:rStyle w:val="FootnoteReference"/>
        </w:rPr>
        <w:footnoteReference w:id="9"/>
      </w:r>
    </w:p>
    <w:p w14:paraId="0B9EFFDC" w14:textId="0606829C" w:rsidR="00AC51E2" w:rsidRPr="00675702" w:rsidRDefault="00AC51E2" w:rsidP="00AC51E2">
      <w:pPr>
        <w:pStyle w:val="BodyTextMain"/>
      </w:pPr>
    </w:p>
    <w:p w14:paraId="42CD5EC8" w14:textId="77777777" w:rsidR="00BE3F1D" w:rsidRPr="00675702" w:rsidRDefault="00BE3F1D" w:rsidP="00AC51E2">
      <w:pPr>
        <w:pStyle w:val="BodyTextMain"/>
      </w:pPr>
    </w:p>
    <w:p w14:paraId="0898496A" w14:textId="77777777" w:rsidR="00AC51E2" w:rsidRPr="00675702" w:rsidRDefault="00AC51E2" w:rsidP="00AC51E2">
      <w:pPr>
        <w:pStyle w:val="Casehead1"/>
      </w:pPr>
      <w:r w:rsidRPr="00675702">
        <w:t>PLAN FOR EXPANSION</w:t>
      </w:r>
    </w:p>
    <w:p w14:paraId="554527DF" w14:textId="77777777" w:rsidR="00AC51E2" w:rsidRPr="00675702" w:rsidRDefault="00AC51E2" w:rsidP="00AC51E2">
      <w:pPr>
        <w:pStyle w:val="BodyTextMain"/>
      </w:pPr>
    </w:p>
    <w:p w14:paraId="591770F9" w14:textId="43CBAFDB" w:rsidR="00AC51E2" w:rsidRPr="00675702" w:rsidRDefault="004F77FE" w:rsidP="00AC51E2">
      <w:pPr>
        <w:pStyle w:val="BodyTextMain"/>
      </w:pPr>
      <w:r w:rsidRPr="00675702">
        <w:t>With a large</w:t>
      </w:r>
      <w:r w:rsidR="00AC51E2" w:rsidRPr="00675702">
        <w:t xml:space="preserve"> population of health</w:t>
      </w:r>
      <w:r w:rsidRPr="00675702">
        <w:t xml:space="preserve"> care </w:t>
      </w:r>
      <w:r w:rsidR="00AC51E2" w:rsidRPr="00675702">
        <w:t xml:space="preserve">conscious professionals, </w:t>
      </w:r>
      <w:r w:rsidRPr="00675702">
        <w:t>there was</w:t>
      </w:r>
      <w:r w:rsidR="00AC51E2" w:rsidRPr="00675702">
        <w:t xml:space="preserve"> growing demand for dental services</w:t>
      </w:r>
      <w:r w:rsidRPr="00675702">
        <w:t xml:space="preserve"> in Bengaluru</w:t>
      </w:r>
      <w:r w:rsidR="00AC51E2" w:rsidRPr="00675702">
        <w:t xml:space="preserve">. This presented a huge opportunity for both private practitioners and corporate hospitals to set up world-class facilities in the city. </w:t>
      </w:r>
      <w:r w:rsidRPr="00675702">
        <w:t>In 2020</w:t>
      </w:r>
      <w:r w:rsidR="00AC51E2" w:rsidRPr="00675702">
        <w:t xml:space="preserve">, India </w:t>
      </w:r>
      <w:r w:rsidRPr="00675702">
        <w:t>reported</w:t>
      </w:r>
      <w:r w:rsidR="00AC51E2" w:rsidRPr="00675702">
        <w:t xml:space="preserve"> over 180,000 </w:t>
      </w:r>
      <w:r w:rsidRPr="00675702">
        <w:t>practi</w:t>
      </w:r>
      <w:r w:rsidR="00A71591" w:rsidRPr="00675702">
        <w:t>s</w:t>
      </w:r>
      <w:r w:rsidRPr="00675702">
        <w:t xml:space="preserve">ing </w:t>
      </w:r>
      <w:r w:rsidR="00AC51E2" w:rsidRPr="00675702">
        <w:t xml:space="preserve">dentists and over 35,000 </w:t>
      </w:r>
      <w:r w:rsidRPr="00675702">
        <w:t>practi</w:t>
      </w:r>
      <w:r w:rsidR="00A71591" w:rsidRPr="00675702">
        <w:t>s</w:t>
      </w:r>
      <w:r w:rsidRPr="00675702">
        <w:t xml:space="preserve">ing </w:t>
      </w:r>
      <w:r w:rsidR="00AC51E2" w:rsidRPr="00675702">
        <w:t xml:space="preserve">dental specialists, including orthodontists, periodontists, endodontists, oral and maxillofacial surgeons, </w:t>
      </w:r>
      <w:proofErr w:type="spellStart"/>
      <w:r w:rsidR="00AC51E2" w:rsidRPr="00675702">
        <w:t>pedodontists</w:t>
      </w:r>
      <w:proofErr w:type="spellEnd"/>
      <w:r w:rsidR="00AC51E2" w:rsidRPr="00675702">
        <w:t xml:space="preserve">, prosthodontists, and </w:t>
      </w:r>
      <w:proofErr w:type="spellStart"/>
      <w:r w:rsidR="00AC51E2" w:rsidRPr="00675702">
        <w:t>implatologists</w:t>
      </w:r>
      <w:proofErr w:type="spellEnd"/>
      <w:r w:rsidR="00AC51E2" w:rsidRPr="00675702">
        <w:t>.</w:t>
      </w:r>
      <w:r w:rsidR="00AC51E2" w:rsidRPr="00675702">
        <w:rPr>
          <w:rStyle w:val="FootnoteReference"/>
        </w:rPr>
        <w:footnoteReference w:id="10"/>
      </w:r>
    </w:p>
    <w:p w14:paraId="0234E5FF" w14:textId="77777777" w:rsidR="00803320" w:rsidRPr="00675702" w:rsidRDefault="00803320" w:rsidP="00AC51E2">
      <w:pPr>
        <w:pStyle w:val="BodyTextMain"/>
      </w:pPr>
    </w:p>
    <w:p w14:paraId="2C183161" w14:textId="3B868704" w:rsidR="00B87DC0" w:rsidRPr="00675702" w:rsidRDefault="00B27BDA" w:rsidP="00AC51E2">
      <w:pPr>
        <w:pStyle w:val="BodyTextMain"/>
      </w:pPr>
      <w:r w:rsidRPr="00675702">
        <w:lastRenderedPageBreak/>
        <w:t>W</w:t>
      </w:r>
      <w:r w:rsidR="00AC51E2" w:rsidRPr="00675702">
        <w:t>ithin this context</w:t>
      </w:r>
      <w:r w:rsidRPr="00675702">
        <w:t>,</w:t>
      </w:r>
      <w:r w:rsidR="00AC51E2" w:rsidRPr="00675702">
        <w:t xml:space="preserve"> Haifa planned to set up her own chain of dental clinics in the city over the next five years. </w:t>
      </w:r>
      <w:r w:rsidRPr="00675702">
        <w:t>Haifa hoped</w:t>
      </w:r>
      <w:r w:rsidR="00AC51E2" w:rsidRPr="00675702">
        <w:t xml:space="preserve"> to offer a range of dentistry service</w:t>
      </w:r>
      <w:r w:rsidRPr="00675702">
        <w:t xml:space="preserve"> within the next two years,</w:t>
      </w:r>
      <w:r w:rsidR="00AC51E2" w:rsidRPr="00675702">
        <w:t xml:space="preserve"> for which she would need to recruit specialists in orthodontics, pediatric dentistry, </w:t>
      </w:r>
      <w:r w:rsidR="004735A5" w:rsidRPr="00675702">
        <w:t xml:space="preserve">special care dentistry, </w:t>
      </w:r>
      <w:r w:rsidR="00AC51E2" w:rsidRPr="00675702">
        <w:t>endodontics, prosthodontics, dental public health, and oral and maxillofacial surgery, among other specialist areas.</w:t>
      </w:r>
    </w:p>
    <w:p w14:paraId="7C3A9CA6" w14:textId="6F9878E0" w:rsidR="00AC51E2" w:rsidRPr="00675702" w:rsidRDefault="00AC51E2" w:rsidP="00AC51E2">
      <w:pPr>
        <w:pStyle w:val="BodyTextMain"/>
      </w:pPr>
    </w:p>
    <w:p w14:paraId="47620ADB" w14:textId="472F8BE3" w:rsidR="00AC51E2" w:rsidRPr="00675702" w:rsidRDefault="00AC51E2" w:rsidP="00AC51E2">
      <w:pPr>
        <w:pStyle w:val="BodyTextMain"/>
      </w:pPr>
      <w:r w:rsidRPr="00675702">
        <w:t xml:space="preserve">As </w:t>
      </w:r>
      <w:r w:rsidR="00B27BDA" w:rsidRPr="00675702">
        <w:t>Haifa was aware</w:t>
      </w:r>
      <w:r w:rsidRPr="00675702">
        <w:t>, health</w:t>
      </w:r>
      <w:r w:rsidR="00B27BDA" w:rsidRPr="00675702">
        <w:t xml:space="preserve"> </w:t>
      </w:r>
      <w:r w:rsidRPr="00675702">
        <w:t>care treatment costs in India were relatively low</w:t>
      </w:r>
      <w:r w:rsidR="00B27BDA" w:rsidRPr="00675702">
        <w:t xml:space="preserve"> in</w:t>
      </w:r>
      <w:r w:rsidRPr="00675702">
        <w:t xml:space="preserve"> compar</w:t>
      </w:r>
      <w:r w:rsidR="00B27BDA" w:rsidRPr="00675702">
        <w:t>ison</w:t>
      </w:r>
      <w:r w:rsidRPr="00675702">
        <w:t xml:space="preserve"> to the European Union or the Middle East. </w:t>
      </w:r>
      <w:r w:rsidR="00B27BDA" w:rsidRPr="00675702">
        <w:t>Therefore</w:t>
      </w:r>
      <w:r w:rsidRPr="00675702">
        <w:t xml:space="preserve">, people from other regions could access </w:t>
      </w:r>
      <w:r w:rsidR="00DB7E11" w:rsidRPr="00675702">
        <w:t>high-quality</w:t>
      </w:r>
      <w:r w:rsidRPr="00675702">
        <w:t xml:space="preserve"> health</w:t>
      </w:r>
      <w:r w:rsidR="00B27BDA" w:rsidRPr="00675702">
        <w:t xml:space="preserve"> </w:t>
      </w:r>
      <w:r w:rsidRPr="00675702">
        <w:t xml:space="preserve">care services </w:t>
      </w:r>
      <w:r w:rsidR="00B27BDA" w:rsidRPr="00675702">
        <w:t>in India for</w:t>
      </w:r>
      <w:r w:rsidRPr="00675702">
        <w:t xml:space="preserve"> a fraction of the </w:t>
      </w:r>
      <w:r w:rsidR="004735A5" w:rsidRPr="00675702">
        <w:t>price</w:t>
      </w:r>
      <w:r w:rsidRPr="00675702">
        <w:t xml:space="preserve"> </w:t>
      </w:r>
      <w:r w:rsidR="004735A5" w:rsidRPr="00675702">
        <w:t xml:space="preserve">they would pay </w:t>
      </w:r>
      <w:r w:rsidRPr="00675702">
        <w:t xml:space="preserve">in their own countries. Haifa </w:t>
      </w:r>
      <w:r w:rsidR="00B27BDA" w:rsidRPr="00675702">
        <w:t>intended</w:t>
      </w:r>
      <w:r w:rsidRPr="00675702">
        <w:t xml:space="preserve"> to take advantage of the growing domestic and international </w:t>
      </w:r>
      <w:r w:rsidR="00B27BDA" w:rsidRPr="00675702">
        <w:t xml:space="preserve">dentistry </w:t>
      </w:r>
      <w:r w:rsidRPr="00675702">
        <w:t>market</w:t>
      </w:r>
      <w:r w:rsidR="00B27BDA" w:rsidRPr="00675702">
        <w:t>s</w:t>
      </w:r>
      <w:r w:rsidRPr="00675702">
        <w:t xml:space="preserve"> over the next </w:t>
      </w:r>
      <w:r w:rsidR="00B27BDA" w:rsidRPr="00675702">
        <w:t>decade</w:t>
      </w:r>
      <w:r w:rsidRPr="00675702">
        <w:t>.</w:t>
      </w:r>
    </w:p>
    <w:p w14:paraId="7336D2BF" w14:textId="25D1F93A" w:rsidR="00AC51E2" w:rsidRPr="00675702" w:rsidRDefault="00AC51E2" w:rsidP="00AC51E2">
      <w:pPr>
        <w:pStyle w:val="BodyTextMain"/>
      </w:pPr>
    </w:p>
    <w:p w14:paraId="0352F799" w14:textId="77777777" w:rsidR="00AC51E2" w:rsidRPr="00675702" w:rsidRDefault="00AC51E2" w:rsidP="00AC51E2">
      <w:pPr>
        <w:pStyle w:val="BodyTextMain"/>
      </w:pPr>
    </w:p>
    <w:p w14:paraId="41FB5859" w14:textId="14710BB3" w:rsidR="00AC51E2" w:rsidRPr="00675702" w:rsidRDefault="00AC51E2" w:rsidP="00AC51E2">
      <w:pPr>
        <w:pStyle w:val="Casehead1"/>
      </w:pPr>
      <w:r w:rsidRPr="00675702">
        <w:t>CURRENT REQUIREMENT</w:t>
      </w:r>
      <w:r w:rsidR="00102C49" w:rsidRPr="00675702">
        <w:t xml:space="preserve"> and Revenue Estimates</w:t>
      </w:r>
    </w:p>
    <w:p w14:paraId="627919C8" w14:textId="77777777" w:rsidR="00AC51E2" w:rsidRPr="00675702" w:rsidRDefault="00AC51E2" w:rsidP="00AC51E2">
      <w:pPr>
        <w:pStyle w:val="BodyTextMain"/>
      </w:pPr>
    </w:p>
    <w:p w14:paraId="5ADF0A7C" w14:textId="22F41814" w:rsidR="00AC51E2" w:rsidRPr="00675702" w:rsidRDefault="00AC51E2" w:rsidP="00AC51E2">
      <w:pPr>
        <w:pStyle w:val="BodyTextMain"/>
      </w:pPr>
      <w:r w:rsidRPr="00675702">
        <w:t xml:space="preserve">Haifa </w:t>
      </w:r>
      <w:r w:rsidR="004735A5" w:rsidRPr="00675702">
        <w:t xml:space="preserve">had </w:t>
      </w:r>
      <w:r w:rsidR="0064553A" w:rsidRPr="00675702">
        <w:t>no interest in establishing a business partnership. She expected</w:t>
      </w:r>
      <w:r w:rsidR="001C6359" w:rsidRPr="00675702">
        <w:t xml:space="preserve"> to </w:t>
      </w:r>
      <w:r w:rsidRPr="00675702">
        <w:t xml:space="preserve">invest </w:t>
      </w:r>
      <w:r w:rsidR="001C6359" w:rsidRPr="00675702">
        <w:t>₹</w:t>
      </w:r>
      <w:r w:rsidRPr="00675702">
        <w:t>3</w:t>
      </w:r>
      <w:r w:rsidR="001C6359" w:rsidRPr="00675702">
        <w:t xml:space="preserve"> million</w:t>
      </w:r>
      <w:r w:rsidR="001C6359" w:rsidRPr="00675702">
        <w:rPr>
          <w:rStyle w:val="FootnoteReference"/>
        </w:rPr>
        <w:footnoteReference w:id="11"/>
      </w:r>
      <w:r w:rsidRPr="00675702">
        <w:t xml:space="preserve"> of </w:t>
      </w:r>
      <w:r w:rsidR="001C6359" w:rsidRPr="00675702">
        <w:t>her own</w:t>
      </w:r>
      <w:r w:rsidRPr="00675702">
        <w:t xml:space="preserve"> capital </w:t>
      </w:r>
      <w:r w:rsidR="0064553A" w:rsidRPr="00675702">
        <w:t>to help cover</w:t>
      </w:r>
      <w:r w:rsidR="001C6359" w:rsidRPr="00675702">
        <w:t xml:space="preserve"> the total costs that would be incurred</w:t>
      </w:r>
      <w:r w:rsidR="00414DA8" w:rsidRPr="00675702">
        <w:t>;</w:t>
      </w:r>
      <w:r w:rsidR="0064553A" w:rsidRPr="00675702">
        <w:t xml:space="preserve"> </w:t>
      </w:r>
      <w:r w:rsidR="005207F3" w:rsidRPr="00675702">
        <w:t xml:space="preserve">in addition, </w:t>
      </w:r>
      <w:r w:rsidR="0064553A" w:rsidRPr="00675702">
        <w:t>a considerable amount of</w:t>
      </w:r>
      <w:r w:rsidRPr="00675702">
        <w:t xml:space="preserve"> </w:t>
      </w:r>
      <w:r w:rsidR="0064553A" w:rsidRPr="00675702">
        <w:t xml:space="preserve">financial </w:t>
      </w:r>
      <w:r w:rsidRPr="00675702">
        <w:t>support</w:t>
      </w:r>
      <w:r w:rsidR="0064553A" w:rsidRPr="00675702">
        <w:t xml:space="preserve"> </w:t>
      </w:r>
      <w:r w:rsidR="001A374E" w:rsidRPr="00675702">
        <w:t xml:space="preserve">would </w:t>
      </w:r>
      <w:r w:rsidR="0064553A" w:rsidRPr="00675702">
        <w:t>come</w:t>
      </w:r>
      <w:r w:rsidRPr="00675702">
        <w:t xml:space="preserve"> from </w:t>
      </w:r>
      <w:r w:rsidR="0064553A" w:rsidRPr="00675702">
        <w:t>a</w:t>
      </w:r>
      <w:r w:rsidRPr="00675702">
        <w:t xml:space="preserve"> bank. Initially, </w:t>
      </w:r>
      <w:r w:rsidR="0064553A" w:rsidRPr="00675702">
        <w:t>s</w:t>
      </w:r>
      <w:r w:rsidRPr="00675702">
        <w:t>he plan</w:t>
      </w:r>
      <w:r w:rsidR="0064553A" w:rsidRPr="00675702">
        <w:t>ned</w:t>
      </w:r>
      <w:r w:rsidRPr="00675702">
        <w:t xml:space="preserve"> to set up at least two clinics in Bengaluru</w:t>
      </w:r>
      <w:r w:rsidR="0064553A" w:rsidRPr="00675702">
        <w:t>, so s</w:t>
      </w:r>
      <w:r w:rsidRPr="00675702">
        <w:t>he decided t</w:t>
      </w:r>
      <w:r w:rsidR="0064553A" w:rsidRPr="00675702">
        <w:t>o approach Syndicate Bank for the</w:t>
      </w:r>
      <w:r w:rsidRPr="00675702">
        <w:t xml:space="preserve"> additional financing required to </w:t>
      </w:r>
      <w:r w:rsidR="0064553A" w:rsidRPr="00675702">
        <w:t>open</w:t>
      </w:r>
      <w:r w:rsidRPr="00675702">
        <w:t xml:space="preserve"> the </w:t>
      </w:r>
      <w:r w:rsidR="0064553A" w:rsidRPr="00675702">
        <w:t>two</w:t>
      </w:r>
      <w:r w:rsidRPr="00675702">
        <w:t xml:space="preserve"> clinics. </w:t>
      </w:r>
      <w:r w:rsidR="00D15D34" w:rsidRPr="00675702">
        <w:t>Both</w:t>
      </w:r>
      <w:r w:rsidRPr="00675702">
        <w:t xml:space="preserve"> fixed and variable expenses </w:t>
      </w:r>
      <w:r w:rsidR="00D15D34" w:rsidRPr="00675702">
        <w:t>would have to be covered for the opening of</w:t>
      </w:r>
      <w:r w:rsidRPr="00675702">
        <w:t xml:space="preserve"> the </w:t>
      </w:r>
      <w:r w:rsidR="0064553A" w:rsidRPr="00675702">
        <w:t>two</w:t>
      </w:r>
      <w:r w:rsidRPr="00675702">
        <w:t xml:space="preserve"> clinic</w:t>
      </w:r>
      <w:r w:rsidR="00D15D34" w:rsidRPr="00675702">
        <w:t>s (see</w:t>
      </w:r>
      <w:r w:rsidRPr="00675702">
        <w:t xml:space="preserve"> Exhibit 1</w:t>
      </w:r>
      <w:r w:rsidR="00D15D34" w:rsidRPr="00675702">
        <w:t>)</w:t>
      </w:r>
      <w:r w:rsidRPr="00675702">
        <w:t>.</w:t>
      </w:r>
    </w:p>
    <w:p w14:paraId="39A2286A" w14:textId="77777777" w:rsidR="00AC51E2" w:rsidRPr="00675702" w:rsidRDefault="00AC51E2" w:rsidP="00AC51E2">
      <w:pPr>
        <w:pStyle w:val="BodyTextMain"/>
      </w:pPr>
    </w:p>
    <w:p w14:paraId="1CF53D88" w14:textId="1BB798A3" w:rsidR="00AC51E2" w:rsidRPr="00675702" w:rsidRDefault="00AC51E2" w:rsidP="00AC51E2">
      <w:pPr>
        <w:pStyle w:val="BodyTextMain"/>
      </w:pPr>
      <w:r w:rsidRPr="00675702">
        <w:t xml:space="preserve">Haifa sought Joseph’s expertise in preparing </w:t>
      </w:r>
      <w:r w:rsidR="00D15D34" w:rsidRPr="00675702">
        <w:t>a</w:t>
      </w:r>
      <w:r w:rsidRPr="00675702">
        <w:t xml:space="preserve"> marketing plan and </w:t>
      </w:r>
      <w:r w:rsidR="00D15D34" w:rsidRPr="00675702">
        <w:t xml:space="preserve">a </w:t>
      </w:r>
      <w:r w:rsidRPr="00675702">
        <w:t>financial forecasting</w:t>
      </w:r>
      <w:r w:rsidR="00D15D34" w:rsidRPr="00675702">
        <w:t xml:space="preserve"> report</w:t>
      </w:r>
      <w:r w:rsidRPr="00675702">
        <w:t>. Joseph agreed to render his services as a consultant. He gather</w:t>
      </w:r>
      <w:r w:rsidR="00D15D34" w:rsidRPr="00675702">
        <w:t>ed</w:t>
      </w:r>
      <w:r w:rsidRPr="00675702">
        <w:t xml:space="preserve"> all </w:t>
      </w:r>
      <w:r w:rsidR="00D15D34" w:rsidRPr="00675702">
        <w:t>relevant</w:t>
      </w:r>
      <w:r w:rsidRPr="00675702">
        <w:t xml:space="preserve"> details </w:t>
      </w:r>
      <w:r w:rsidR="00D15D34" w:rsidRPr="00675702">
        <w:t xml:space="preserve">from Haifa </w:t>
      </w:r>
      <w:r w:rsidRPr="00675702">
        <w:t xml:space="preserve">and </w:t>
      </w:r>
      <w:r w:rsidR="00D15D34" w:rsidRPr="00675702">
        <w:t>drafted</w:t>
      </w:r>
      <w:r w:rsidRPr="00675702">
        <w:t xml:space="preserve"> a plan. After the meeting, Joseph identified three key </w:t>
      </w:r>
      <w:r w:rsidR="00D15D34" w:rsidRPr="00675702">
        <w:t>consumer segments</w:t>
      </w:r>
      <w:r w:rsidRPr="00675702">
        <w:t xml:space="preserve"> to focus on. </w:t>
      </w:r>
      <w:r w:rsidR="00D15D34" w:rsidRPr="00675702">
        <w:t>T</w:t>
      </w:r>
      <w:r w:rsidRPr="00675702">
        <w:t xml:space="preserve">he </w:t>
      </w:r>
      <w:r w:rsidR="00D15D34" w:rsidRPr="00675702">
        <w:t xml:space="preserve">first </w:t>
      </w:r>
      <w:r w:rsidRPr="00675702">
        <w:t xml:space="preserve">target </w:t>
      </w:r>
      <w:r w:rsidR="00D15D34" w:rsidRPr="00675702">
        <w:t>consumer</w:t>
      </w:r>
      <w:r w:rsidRPr="00675702">
        <w:t xml:space="preserve"> </w:t>
      </w:r>
      <w:r w:rsidR="004735A5" w:rsidRPr="00675702">
        <w:t xml:space="preserve">group </w:t>
      </w:r>
      <w:r w:rsidRPr="00675702">
        <w:t>f</w:t>
      </w:r>
      <w:r w:rsidR="004735A5" w:rsidRPr="00675702">
        <w:t>or</w:t>
      </w:r>
      <w:r w:rsidRPr="00675702">
        <w:t xml:space="preserve"> the</w:t>
      </w:r>
      <w:r w:rsidR="004735A5" w:rsidRPr="00675702">
        <w:t xml:space="preserve"> two</w:t>
      </w:r>
      <w:r w:rsidRPr="00675702">
        <w:t xml:space="preserve"> clinics would </w:t>
      </w:r>
      <w:r w:rsidR="00D15D34" w:rsidRPr="00675702">
        <w:t>be mainly</w:t>
      </w:r>
      <w:r w:rsidRPr="00675702">
        <w:t xml:space="preserve"> tech</w:t>
      </w:r>
      <w:r w:rsidR="00D15D34" w:rsidRPr="00675702">
        <w:t>nology</w:t>
      </w:r>
      <w:r w:rsidRPr="00675702">
        <w:t>-savvy</w:t>
      </w:r>
      <w:r w:rsidR="00D15D34" w:rsidRPr="00675702">
        <w:t>,</w:t>
      </w:r>
      <w:r w:rsidRPr="00675702">
        <w:t xml:space="preserve"> </w:t>
      </w:r>
      <w:r w:rsidR="00D140CA" w:rsidRPr="00675702">
        <w:t>health-care-conscious</w:t>
      </w:r>
      <w:r w:rsidRPr="00675702">
        <w:t xml:space="preserve"> young professionals who had made Bengaluru their home. </w:t>
      </w:r>
      <w:r w:rsidR="004735A5" w:rsidRPr="00675702">
        <w:t>T</w:t>
      </w:r>
      <w:r w:rsidR="00D15D34" w:rsidRPr="00675702">
        <w:t>he clinics should then aim</w:t>
      </w:r>
      <w:r w:rsidRPr="00675702">
        <w:t xml:space="preserve"> to expand their </w:t>
      </w:r>
      <w:r w:rsidR="00D15D34" w:rsidRPr="00675702">
        <w:t>potential customer profile</w:t>
      </w:r>
      <w:r w:rsidRPr="00675702">
        <w:t xml:space="preserve"> to </w:t>
      </w:r>
      <w:r w:rsidR="00D15D34" w:rsidRPr="00675702">
        <w:t xml:space="preserve">include </w:t>
      </w:r>
      <w:r w:rsidRPr="00675702">
        <w:t>children</w:t>
      </w:r>
      <w:r w:rsidR="00D15D34" w:rsidRPr="00675702">
        <w:t>. The</w:t>
      </w:r>
      <w:r w:rsidRPr="00675702">
        <w:t xml:space="preserve"> Indian government estimate</w:t>
      </w:r>
      <w:r w:rsidR="00D15D34" w:rsidRPr="00675702">
        <w:t>d</w:t>
      </w:r>
      <w:r w:rsidRPr="00675702">
        <w:t xml:space="preserve"> that more than 70 per</w:t>
      </w:r>
      <w:r w:rsidR="00D15D34" w:rsidRPr="00675702">
        <w:t xml:space="preserve"> </w:t>
      </w:r>
      <w:r w:rsidRPr="00675702">
        <w:t xml:space="preserve">cent of children </w:t>
      </w:r>
      <w:r w:rsidR="00D15D34" w:rsidRPr="00675702">
        <w:t>needed</w:t>
      </w:r>
      <w:r w:rsidRPr="00675702">
        <w:t xml:space="preserve"> dental care. Th</w:t>
      </w:r>
      <w:r w:rsidR="00D15D34" w:rsidRPr="00675702">
        <w:t>e third</w:t>
      </w:r>
      <w:r w:rsidRPr="00675702">
        <w:t xml:space="preserve"> key </w:t>
      </w:r>
      <w:r w:rsidR="004735A5" w:rsidRPr="00675702">
        <w:t>target consumer group</w:t>
      </w:r>
      <w:r w:rsidRPr="00675702">
        <w:t xml:space="preserve"> </w:t>
      </w:r>
      <w:r w:rsidR="00D15D34" w:rsidRPr="00675702">
        <w:t>would simply include India’s</w:t>
      </w:r>
      <w:r w:rsidRPr="00675702">
        <w:t xml:space="preserve"> adult population</w:t>
      </w:r>
      <w:r w:rsidR="004735A5" w:rsidRPr="00675702">
        <w:t>. Over</w:t>
      </w:r>
      <w:r w:rsidRPr="00675702">
        <w:t xml:space="preserve"> 90 per</w:t>
      </w:r>
      <w:r w:rsidR="00D15D34" w:rsidRPr="00675702">
        <w:t xml:space="preserve"> </w:t>
      </w:r>
      <w:r w:rsidRPr="00675702">
        <w:t xml:space="preserve">cent of adults </w:t>
      </w:r>
      <w:r w:rsidR="00D15D34" w:rsidRPr="00675702">
        <w:t xml:space="preserve">in India </w:t>
      </w:r>
      <w:r w:rsidR="004735A5" w:rsidRPr="00675702">
        <w:t xml:space="preserve">were </w:t>
      </w:r>
      <w:r w:rsidR="00D15D34" w:rsidRPr="00675702">
        <w:t>estimated to be</w:t>
      </w:r>
      <w:r w:rsidRPr="00675702">
        <w:t xml:space="preserve"> affected by periodontal disease.</w:t>
      </w:r>
      <w:r w:rsidRPr="00675702">
        <w:rPr>
          <w:rStyle w:val="FootnoteReference"/>
        </w:rPr>
        <w:footnoteReference w:id="12"/>
      </w:r>
    </w:p>
    <w:p w14:paraId="074647C7" w14:textId="6D675CF6" w:rsidR="00AC51E2" w:rsidRPr="00675702" w:rsidRDefault="00AC51E2" w:rsidP="00AC51E2">
      <w:pPr>
        <w:pStyle w:val="BodyTextMain"/>
      </w:pPr>
    </w:p>
    <w:p w14:paraId="2E3C47B4" w14:textId="612F21B4" w:rsidR="00AC51E2" w:rsidRPr="00675702" w:rsidRDefault="007E7879" w:rsidP="00AC51E2">
      <w:pPr>
        <w:pStyle w:val="BodyTextMain"/>
      </w:pPr>
      <w:r w:rsidRPr="00675702">
        <w:t>Haifa planned to supervise the operation of both</w:t>
      </w:r>
      <w:r w:rsidR="00AC51E2" w:rsidRPr="00675702">
        <w:t xml:space="preserve"> clinics</w:t>
      </w:r>
      <w:r w:rsidR="009E7882" w:rsidRPr="00675702">
        <w:t xml:space="preserve"> in Bengaluru, but she would</w:t>
      </w:r>
      <w:r w:rsidR="00112541" w:rsidRPr="00675702">
        <w:t xml:space="preserve"> </w:t>
      </w:r>
      <w:r w:rsidR="009E7882" w:rsidRPr="00675702">
        <w:t xml:space="preserve">certainly </w:t>
      </w:r>
      <w:r w:rsidR="00AC51E2" w:rsidRPr="00675702">
        <w:t>need additional staff (</w:t>
      </w:r>
      <w:r w:rsidR="009E7882" w:rsidRPr="00675702">
        <w:t>see</w:t>
      </w:r>
      <w:r w:rsidR="00AC51E2" w:rsidRPr="00675702">
        <w:t xml:space="preserve"> Exhibit 2</w:t>
      </w:r>
      <w:r w:rsidR="009E7882" w:rsidRPr="00675702">
        <w:t>)</w:t>
      </w:r>
      <w:r w:rsidR="00AC51E2" w:rsidRPr="00675702">
        <w:t xml:space="preserve">. With </w:t>
      </w:r>
      <w:r w:rsidR="009E7882" w:rsidRPr="00675702">
        <w:t>a full</w:t>
      </w:r>
      <w:r w:rsidR="00AC51E2" w:rsidRPr="00675702">
        <w:t xml:space="preserve"> staff</w:t>
      </w:r>
      <w:r w:rsidR="009E7882" w:rsidRPr="00675702">
        <w:t xml:space="preserve"> in place</w:t>
      </w:r>
      <w:r w:rsidR="00AC51E2" w:rsidRPr="00675702">
        <w:t xml:space="preserve">, she would </w:t>
      </w:r>
      <w:r w:rsidR="009E7882" w:rsidRPr="00675702">
        <w:t>serve</w:t>
      </w:r>
      <w:r w:rsidR="00AC51E2" w:rsidRPr="00675702">
        <w:t xml:space="preserve"> at least 12 patients per hour in each clinic</w:t>
      </w:r>
      <w:r w:rsidR="009E7882" w:rsidRPr="00675702">
        <w:t>,</w:t>
      </w:r>
      <w:r w:rsidR="00AC51E2" w:rsidRPr="00675702">
        <w:t xml:space="preserve"> with a normal consultation fee of </w:t>
      </w:r>
      <w:r w:rsidR="009E7882" w:rsidRPr="00675702">
        <w:t>₹</w:t>
      </w:r>
      <w:r w:rsidR="00AC51E2" w:rsidRPr="00675702">
        <w:t xml:space="preserve">500 per patient. </w:t>
      </w:r>
      <w:r w:rsidRPr="00675702">
        <w:t>Each</w:t>
      </w:r>
      <w:r w:rsidR="00AC51E2" w:rsidRPr="00675702">
        <w:t xml:space="preserve"> clinic </w:t>
      </w:r>
      <w:r w:rsidRPr="00675702">
        <w:t>would operate for</w:t>
      </w:r>
      <w:r w:rsidR="00AC51E2" w:rsidRPr="00675702">
        <w:t xml:space="preserve"> 30 hours </w:t>
      </w:r>
      <w:r w:rsidRPr="00675702">
        <w:t>per week</w:t>
      </w:r>
      <w:r w:rsidR="00AC51E2" w:rsidRPr="00675702">
        <w:t>.</w:t>
      </w:r>
      <w:r w:rsidR="00291DF8" w:rsidRPr="00675702">
        <w:t xml:space="preserve"> </w:t>
      </w:r>
      <w:r w:rsidR="00AC51E2" w:rsidRPr="00675702">
        <w:t xml:space="preserve">The clinics were expected to be open for </w:t>
      </w:r>
      <w:r w:rsidR="00291DF8" w:rsidRPr="00675702">
        <w:t>four weeks per month</w:t>
      </w:r>
      <w:r w:rsidR="00AC51E2" w:rsidRPr="00675702">
        <w:t xml:space="preserve">. However, she was not sure how many patients would </w:t>
      </w:r>
      <w:r w:rsidR="00B966FF" w:rsidRPr="00675702">
        <w:t xml:space="preserve">be </w:t>
      </w:r>
      <w:r w:rsidR="00AC51E2" w:rsidRPr="00675702">
        <w:t>need</w:t>
      </w:r>
      <w:r w:rsidR="00B966FF" w:rsidRPr="00675702">
        <w:t>ed</w:t>
      </w:r>
      <w:r w:rsidR="00AC51E2" w:rsidRPr="00675702">
        <w:t xml:space="preserve"> </w:t>
      </w:r>
      <w:r w:rsidR="00B966FF" w:rsidRPr="00675702">
        <w:t>each</w:t>
      </w:r>
      <w:r w:rsidR="00AC51E2" w:rsidRPr="00675702">
        <w:t xml:space="preserve"> day to meet </w:t>
      </w:r>
      <w:r w:rsidRPr="00675702">
        <w:t xml:space="preserve">her </w:t>
      </w:r>
      <w:r w:rsidR="00AC51E2" w:rsidRPr="00675702">
        <w:t xml:space="preserve">expenses. </w:t>
      </w:r>
      <w:r w:rsidR="00B966FF" w:rsidRPr="00675702">
        <w:t>S</w:t>
      </w:r>
      <w:r w:rsidR="00AC51E2" w:rsidRPr="00675702">
        <w:t>he was</w:t>
      </w:r>
      <w:r w:rsidR="00B966FF" w:rsidRPr="00675702">
        <w:t xml:space="preserve"> also</w:t>
      </w:r>
      <w:r w:rsidR="00AC51E2" w:rsidRPr="00675702">
        <w:t xml:space="preserve"> unaware of </w:t>
      </w:r>
      <w:r w:rsidR="00B966FF" w:rsidRPr="00675702">
        <w:t>what</w:t>
      </w:r>
      <w:r w:rsidR="00AC51E2" w:rsidRPr="00675702">
        <w:t xml:space="preserve"> consistent pattern</w:t>
      </w:r>
      <w:r w:rsidR="00B966FF" w:rsidRPr="00675702">
        <w:t>, if any, could be expected for</w:t>
      </w:r>
      <w:r w:rsidR="00AC51E2" w:rsidRPr="00675702">
        <w:t xml:space="preserve"> patient walk-ins or those in need of regular </w:t>
      </w:r>
      <w:r w:rsidR="00B46EDF" w:rsidRPr="00675702">
        <w:t>checkups</w:t>
      </w:r>
      <w:r w:rsidR="00AC51E2" w:rsidRPr="00675702">
        <w:t xml:space="preserve">. </w:t>
      </w:r>
      <w:r w:rsidR="00B966FF" w:rsidRPr="00675702">
        <w:t>R</w:t>
      </w:r>
      <w:r w:rsidR="00AC51E2" w:rsidRPr="00675702">
        <w:t>egard</w:t>
      </w:r>
      <w:r w:rsidR="00B966FF" w:rsidRPr="00675702">
        <w:t>ing</w:t>
      </w:r>
      <w:r w:rsidR="00AC51E2" w:rsidRPr="00675702">
        <w:t xml:space="preserve"> additional </w:t>
      </w:r>
      <w:r w:rsidR="00B966FF" w:rsidRPr="00675702">
        <w:t>revenue</w:t>
      </w:r>
      <w:r w:rsidR="00AC51E2" w:rsidRPr="00675702">
        <w:t xml:space="preserve">, Haifa informed Joseph that </w:t>
      </w:r>
      <w:r w:rsidR="00B966FF" w:rsidRPr="00675702">
        <w:t xml:space="preserve">she expected to supplement her </w:t>
      </w:r>
      <w:r w:rsidR="00AC51E2" w:rsidRPr="00675702">
        <w:t>patient fees</w:t>
      </w:r>
      <w:r w:rsidR="00B966FF" w:rsidRPr="00675702">
        <w:t xml:space="preserve"> with </w:t>
      </w:r>
      <w:r w:rsidRPr="00675702">
        <w:t xml:space="preserve">earned income of </w:t>
      </w:r>
      <w:r w:rsidR="00B966FF" w:rsidRPr="00675702">
        <w:t>approximate</w:t>
      </w:r>
      <w:r w:rsidRPr="00675702">
        <w:t>ly</w:t>
      </w:r>
      <w:r w:rsidR="00B966FF" w:rsidRPr="00675702">
        <w:t xml:space="preserve"> ₹50,000 from</w:t>
      </w:r>
      <w:r w:rsidR="00AC51E2" w:rsidRPr="00675702">
        <w:t xml:space="preserve"> referring procedures, </w:t>
      </w:r>
      <w:r w:rsidR="00B966FF" w:rsidRPr="00675702">
        <w:t xml:space="preserve">₹25,000 from </w:t>
      </w:r>
      <w:r w:rsidR="00AC51E2" w:rsidRPr="00675702">
        <w:t xml:space="preserve">pharmacy visits, and </w:t>
      </w:r>
      <w:r w:rsidR="00B966FF" w:rsidRPr="00675702">
        <w:t xml:space="preserve">₹30,000 from </w:t>
      </w:r>
      <w:r w:rsidR="00AC51E2" w:rsidRPr="00675702">
        <w:t>dental lab</w:t>
      </w:r>
      <w:r w:rsidRPr="00675702">
        <w:t>oratory</w:t>
      </w:r>
      <w:r w:rsidR="00AC51E2" w:rsidRPr="00675702">
        <w:t xml:space="preserve"> work. </w:t>
      </w:r>
      <w:r w:rsidR="00B966FF" w:rsidRPr="00675702">
        <w:t>However</w:t>
      </w:r>
      <w:r w:rsidR="00AC51E2" w:rsidRPr="00675702">
        <w:t xml:space="preserve">, she also </w:t>
      </w:r>
      <w:r w:rsidR="00B966FF" w:rsidRPr="00675702">
        <w:t>expected to incur expenses for</w:t>
      </w:r>
      <w:r w:rsidR="00AC51E2" w:rsidRPr="00675702">
        <w:t xml:space="preserve"> </w:t>
      </w:r>
      <w:r w:rsidR="00B966FF" w:rsidRPr="00675702">
        <w:t xml:space="preserve">various </w:t>
      </w:r>
      <w:r w:rsidR="00AC51E2" w:rsidRPr="00675702">
        <w:t xml:space="preserve">equipment </w:t>
      </w:r>
      <w:r w:rsidR="00B966FF" w:rsidRPr="00675702">
        <w:t xml:space="preserve">requirements </w:t>
      </w:r>
      <w:r w:rsidR="00AC51E2" w:rsidRPr="00675702">
        <w:t>for the</w:t>
      </w:r>
      <w:r w:rsidR="00B966FF" w:rsidRPr="00675702">
        <w:t xml:space="preserve"> two</w:t>
      </w:r>
      <w:r w:rsidR="00AC51E2" w:rsidRPr="00675702">
        <w:t xml:space="preserve"> clinics (</w:t>
      </w:r>
      <w:r w:rsidR="00B966FF" w:rsidRPr="00675702">
        <w:t>see</w:t>
      </w:r>
      <w:r w:rsidR="00AC51E2" w:rsidRPr="00675702">
        <w:t xml:space="preserve"> Exhibit 3).</w:t>
      </w:r>
    </w:p>
    <w:p w14:paraId="599796E3" w14:textId="77777777" w:rsidR="00AC51E2" w:rsidRPr="00675702" w:rsidRDefault="00AC51E2" w:rsidP="00AC51E2">
      <w:pPr>
        <w:pStyle w:val="BodyTextMain"/>
      </w:pPr>
    </w:p>
    <w:p w14:paraId="27845BC8" w14:textId="1042CE10" w:rsidR="00AC51E2" w:rsidRPr="00675702" w:rsidRDefault="00AC51E2" w:rsidP="00AC51E2">
      <w:pPr>
        <w:pStyle w:val="BodyTextMain"/>
      </w:pPr>
      <w:r w:rsidRPr="00675702">
        <w:t xml:space="preserve">Based on his analysis, Joseph found that Haifa could expect a business growth </w:t>
      </w:r>
      <w:r w:rsidR="008C5C55" w:rsidRPr="00675702">
        <w:t xml:space="preserve">rate </w:t>
      </w:r>
      <w:r w:rsidRPr="00675702">
        <w:t>of a</w:t>
      </w:r>
      <w:r w:rsidR="008C5C55" w:rsidRPr="00675702">
        <w:t>pproximately</w:t>
      </w:r>
      <w:r w:rsidRPr="00675702">
        <w:t xml:space="preserve"> 15 per</w:t>
      </w:r>
      <w:r w:rsidR="008C5C55" w:rsidRPr="00675702">
        <w:t xml:space="preserve"> </w:t>
      </w:r>
      <w:r w:rsidRPr="00675702">
        <w:t xml:space="preserve">cent. However, </w:t>
      </w:r>
      <w:r w:rsidR="008C5C55" w:rsidRPr="00675702">
        <w:t>Haifa</w:t>
      </w:r>
      <w:r w:rsidRPr="00675702">
        <w:t xml:space="preserve"> worried</w:t>
      </w:r>
      <w:r w:rsidR="008C5C55" w:rsidRPr="00675702">
        <w:t xml:space="preserve"> that</w:t>
      </w:r>
      <w:r w:rsidRPr="00675702">
        <w:t xml:space="preserve"> </w:t>
      </w:r>
      <w:r w:rsidR="008C5C55" w:rsidRPr="00675702">
        <w:t>she would incur a similar rate of</w:t>
      </w:r>
      <w:r w:rsidRPr="00675702">
        <w:t xml:space="preserve"> 15 per</w:t>
      </w:r>
      <w:r w:rsidR="008C5C55" w:rsidRPr="00675702">
        <w:t xml:space="preserve"> </w:t>
      </w:r>
      <w:r w:rsidRPr="00675702">
        <w:t>cent</w:t>
      </w:r>
      <w:r w:rsidR="008C5C55" w:rsidRPr="00675702">
        <w:t xml:space="preserve"> in</w:t>
      </w:r>
      <w:r w:rsidRPr="00675702">
        <w:t xml:space="preserve"> increase</w:t>
      </w:r>
      <w:r w:rsidR="008C5C55" w:rsidRPr="00675702">
        <w:t>d</w:t>
      </w:r>
      <w:r w:rsidRPr="00675702">
        <w:t xml:space="preserve"> </w:t>
      </w:r>
      <w:r w:rsidR="008C5C55" w:rsidRPr="00675702">
        <w:t>op</w:t>
      </w:r>
      <w:r w:rsidR="007E7879" w:rsidRPr="00675702">
        <w:t>e</w:t>
      </w:r>
      <w:r w:rsidR="008C5C55" w:rsidRPr="00675702">
        <w:t xml:space="preserve">ration </w:t>
      </w:r>
      <w:r w:rsidRPr="00675702">
        <w:t xml:space="preserve">expenses </w:t>
      </w:r>
      <w:r w:rsidR="008C5C55" w:rsidRPr="00675702">
        <w:t>for the two</w:t>
      </w:r>
      <w:r w:rsidRPr="00675702">
        <w:t xml:space="preserve"> clinics. She was </w:t>
      </w:r>
      <w:r w:rsidR="008C5C55" w:rsidRPr="00675702">
        <w:t>unsure</w:t>
      </w:r>
      <w:r w:rsidRPr="00675702">
        <w:t xml:space="preserve"> how much </w:t>
      </w:r>
      <w:r w:rsidR="008C5C55" w:rsidRPr="00675702">
        <w:t xml:space="preserve">capital </w:t>
      </w:r>
      <w:r w:rsidRPr="00675702">
        <w:t xml:space="preserve">she would </w:t>
      </w:r>
      <w:r w:rsidR="008C5C55" w:rsidRPr="00675702">
        <w:t>need in the form of a</w:t>
      </w:r>
      <w:r w:rsidRPr="00675702">
        <w:t xml:space="preserve"> bank</w:t>
      </w:r>
      <w:r w:rsidR="008C5C55" w:rsidRPr="00675702">
        <w:t xml:space="preserve"> loan</w:t>
      </w:r>
      <w:r w:rsidRPr="00675702">
        <w:t xml:space="preserve">, the interest rate </w:t>
      </w:r>
      <w:r w:rsidR="008C5C55" w:rsidRPr="00675702">
        <w:t>for the loan</w:t>
      </w:r>
      <w:r w:rsidRPr="00675702">
        <w:t>, and the repayment p</w:t>
      </w:r>
      <w:r w:rsidR="008C5C55" w:rsidRPr="00675702">
        <w:t>lan</w:t>
      </w:r>
      <w:r w:rsidRPr="00675702">
        <w:t xml:space="preserve"> </w:t>
      </w:r>
      <w:r w:rsidR="007E7879" w:rsidRPr="00675702">
        <w:t xml:space="preserve">that </w:t>
      </w:r>
      <w:r w:rsidRPr="00675702">
        <w:t xml:space="preserve">she would have to </w:t>
      </w:r>
      <w:r w:rsidR="007D416B" w:rsidRPr="00675702">
        <w:t>follow</w:t>
      </w:r>
      <w:r w:rsidRPr="00675702">
        <w:t>. Joseph assured her that he would prepare the projected income statement and balance sheet for the</w:t>
      </w:r>
      <w:r w:rsidR="008C5C55" w:rsidRPr="00675702">
        <w:t xml:space="preserve"> initial two-year</w:t>
      </w:r>
      <w:r w:rsidRPr="00675702">
        <w:t xml:space="preserve"> period, based on certain assumptions (</w:t>
      </w:r>
      <w:r w:rsidR="008C5C55" w:rsidRPr="00675702">
        <w:t>see</w:t>
      </w:r>
      <w:r w:rsidRPr="00675702">
        <w:t xml:space="preserve"> Exhibit 4). </w:t>
      </w:r>
      <w:r w:rsidR="008C5C55" w:rsidRPr="00675702">
        <w:t>He also informed Haifa that she could expect to pay an annual</w:t>
      </w:r>
      <w:r w:rsidRPr="00675702">
        <w:t xml:space="preserve"> interest </w:t>
      </w:r>
      <w:r w:rsidR="008C5C55" w:rsidRPr="00675702">
        <w:t>rate of</w:t>
      </w:r>
      <w:r w:rsidRPr="00675702">
        <w:t xml:space="preserve"> 7 per</w:t>
      </w:r>
      <w:r w:rsidR="008C5C55" w:rsidRPr="00675702">
        <w:t xml:space="preserve"> </w:t>
      </w:r>
      <w:r w:rsidRPr="00675702">
        <w:t xml:space="preserve">cent </w:t>
      </w:r>
      <w:r w:rsidR="008C5C55" w:rsidRPr="00675702">
        <w:t>for the bank loan,</w:t>
      </w:r>
      <w:r w:rsidRPr="00675702">
        <w:t xml:space="preserve"> with a five-year repayment period.</w:t>
      </w:r>
    </w:p>
    <w:p w14:paraId="752BB6E1" w14:textId="65FA9207" w:rsidR="00AC51E2" w:rsidRPr="00400C74" w:rsidRDefault="00AC51E2" w:rsidP="00AC51E2">
      <w:pPr>
        <w:pStyle w:val="BodyTextMain"/>
        <w:rPr>
          <w:spacing w:val="-4"/>
        </w:rPr>
      </w:pPr>
      <w:r w:rsidRPr="00400C74">
        <w:rPr>
          <w:spacing w:val="-4"/>
        </w:rPr>
        <w:lastRenderedPageBreak/>
        <w:t xml:space="preserve">Joseph realized that Haifa had no idea how to segment markets or target specific patients to ensure </w:t>
      </w:r>
      <w:r w:rsidR="00AA3CE8" w:rsidRPr="00400C74">
        <w:rPr>
          <w:spacing w:val="-4"/>
        </w:rPr>
        <w:t xml:space="preserve">a </w:t>
      </w:r>
      <w:r w:rsidRPr="00400C74">
        <w:rPr>
          <w:spacing w:val="-4"/>
        </w:rPr>
        <w:t xml:space="preserve">consistent </w:t>
      </w:r>
      <w:r w:rsidR="00AA3CE8" w:rsidRPr="00400C74">
        <w:rPr>
          <w:spacing w:val="-4"/>
        </w:rPr>
        <w:t xml:space="preserve">flow of </w:t>
      </w:r>
      <w:r w:rsidRPr="00400C74">
        <w:rPr>
          <w:spacing w:val="-4"/>
        </w:rPr>
        <w:t>business</w:t>
      </w:r>
      <w:r w:rsidR="00AA3CE8" w:rsidRPr="00400C74">
        <w:rPr>
          <w:spacing w:val="-4"/>
        </w:rPr>
        <w:t xml:space="preserve"> activity</w:t>
      </w:r>
      <w:r w:rsidRPr="00400C74">
        <w:rPr>
          <w:spacing w:val="-4"/>
        </w:rPr>
        <w:t xml:space="preserve">. He also realized that </w:t>
      </w:r>
      <w:r w:rsidR="00AA3CE8" w:rsidRPr="00400C74">
        <w:rPr>
          <w:spacing w:val="-4"/>
        </w:rPr>
        <w:t>although</w:t>
      </w:r>
      <w:r w:rsidRPr="00400C74">
        <w:rPr>
          <w:spacing w:val="-4"/>
        </w:rPr>
        <w:t xml:space="preserve"> Bengaluru had </w:t>
      </w:r>
      <w:r w:rsidR="00A47629" w:rsidRPr="00400C74">
        <w:rPr>
          <w:spacing w:val="-4"/>
        </w:rPr>
        <w:t>plenty</w:t>
      </w:r>
      <w:r w:rsidRPr="00400C74">
        <w:rPr>
          <w:spacing w:val="-4"/>
        </w:rPr>
        <w:t xml:space="preserve"> of health</w:t>
      </w:r>
      <w:r w:rsidR="00A47629" w:rsidRPr="00400C74">
        <w:rPr>
          <w:spacing w:val="-4"/>
        </w:rPr>
        <w:t xml:space="preserve"> care conscious consumers</w:t>
      </w:r>
      <w:r w:rsidRPr="00400C74">
        <w:rPr>
          <w:spacing w:val="-4"/>
        </w:rPr>
        <w:t xml:space="preserve">, </w:t>
      </w:r>
      <w:r w:rsidR="007D416B" w:rsidRPr="00400C74">
        <w:rPr>
          <w:spacing w:val="-4"/>
        </w:rPr>
        <w:t xml:space="preserve">Haifa’s </w:t>
      </w:r>
      <w:r w:rsidR="00A47629" w:rsidRPr="00400C74">
        <w:rPr>
          <w:spacing w:val="-4"/>
        </w:rPr>
        <w:t>potential customers</w:t>
      </w:r>
      <w:r w:rsidRPr="00400C74">
        <w:rPr>
          <w:spacing w:val="-4"/>
        </w:rPr>
        <w:t xml:space="preserve"> would </w:t>
      </w:r>
      <w:r w:rsidR="00A47629" w:rsidRPr="00400C74">
        <w:rPr>
          <w:spacing w:val="-4"/>
        </w:rPr>
        <w:t>have to be made aware of the</w:t>
      </w:r>
      <w:r w:rsidRPr="00400C74">
        <w:rPr>
          <w:spacing w:val="-4"/>
        </w:rPr>
        <w:t xml:space="preserve"> </w:t>
      </w:r>
      <w:r w:rsidR="00A47629" w:rsidRPr="00400C74">
        <w:rPr>
          <w:spacing w:val="-4"/>
        </w:rPr>
        <w:t>importance of</w:t>
      </w:r>
      <w:r w:rsidRPr="00400C74">
        <w:rPr>
          <w:spacing w:val="-4"/>
        </w:rPr>
        <w:t xml:space="preserve"> dental health</w:t>
      </w:r>
      <w:r w:rsidR="00A47629" w:rsidRPr="00400C74">
        <w:rPr>
          <w:spacing w:val="-4"/>
        </w:rPr>
        <w:t xml:space="preserve"> </w:t>
      </w:r>
      <w:r w:rsidR="007D416B" w:rsidRPr="00400C74">
        <w:rPr>
          <w:spacing w:val="-4"/>
        </w:rPr>
        <w:t>in an effort to</w:t>
      </w:r>
      <w:r w:rsidRPr="00400C74">
        <w:rPr>
          <w:spacing w:val="-4"/>
        </w:rPr>
        <w:t xml:space="preserve"> expand</w:t>
      </w:r>
      <w:r w:rsidR="00A47629" w:rsidRPr="00400C74">
        <w:rPr>
          <w:spacing w:val="-4"/>
        </w:rPr>
        <w:t xml:space="preserve"> the customer base of the two clinics. W</w:t>
      </w:r>
      <w:r w:rsidRPr="00400C74">
        <w:rPr>
          <w:spacing w:val="-4"/>
        </w:rPr>
        <w:t xml:space="preserve">ord of mouth would not be </w:t>
      </w:r>
      <w:r w:rsidR="00A47629" w:rsidRPr="00400C74">
        <w:rPr>
          <w:spacing w:val="-4"/>
        </w:rPr>
        <w:t>adequate</w:t>
      </w:r>
      <w:r w:rsidRPr="00400C74">
        <w:rPr>
          <w:spacing w:val="-4"/>
        </w:rPr>
        <w:t xml:space="preserve"> to sustain the business. For the </w:t>
      </w:r>
      <w:r w:rsidR="00A47629" w:rsidRPr="00400C74">
        <w:rPr>
          <w:spacing w:val="-4"/>
        </w:rPr>
        <w:t xml:space="preserve">location of the </w:t>
      </w:r>
      <w:r w:rsidRPr="00400C74">
        <w:rPr>
          <w:spacing w:val="-4"/>
        </w:rPr>
        <w:t xml:space="preserve">first two clinics, Haifa narrowed down </w:t>
      </w:r>
      <w:r w:rsidR="00A47629" w:rsidRPr="00400C74">
        <w:rPr>
          <w:spacing w:val="-4"/>
        </w:rPr>
        <w:t>the list of potential areas</w:t>
      </w:r>
      <w:r w:rsidRPr="00400C74">
        <w:rPr>
          <w:spacing w:val="-4"/>
        </w:rPr>
        <w:t xml:space="preserve"> to Koramangala and Whitefield, two </w:t>
      </w:r>
      <w:r w:rsidR="00A47629" w:rsidRPr="00400C74">
        <w:rPr>
          <w:spacing w:val="-4"/>
        </w:rPr>
        <w:t>of</w:t>
      </w:r>
      <w:r w:rsidRPr="00400C74">
        <w:rPr>
          <w:spacing w:val="-4"/>
        </w:rPr>
        <w:t xml:space="preserve"> Bangalore</w:t>
      </w:r>
      <w:r w:rsidR="00A47629" w:rsidRPr="00400C74">
        <w:rPr>
          <w:spacing w:val="-4"/>
        </w:rPr>
        <w:t xml:space="preserve">’s most popular </w:t>
      </w:r>
      <w:r w:rsidR="004C111D" w:rsidRPr="00400C74">
        <w:rPr>
          <w:spacing w:val="-4"/>
        </w:rPr>
        <w:t>neighbourhoods among</w:t>
      </w:r>
      <w:r w:rsidRPr="00400C74">
        <w:rPr>
          <w:spacing w:val="-4"/>
        </w:rPr>
        <w:t xml:space="preserve"> young IT professionals. </w:t>
      </w:r>
      <w:r w:rsidR="007D416B" w:rsidRPr="00400C74">
        <w:rPr>
          <w:spacing w:val="-4"/>
        </w:rPr>
        <w:t>D</w:t>
      </w:r>
      <w:r w:rsidRPr="00400C74">
        <w:rPr>
          <w:spacing w:val="-4"/>
        </w:rPr>
        <w:t xml:space="preserve">uring the meeting, Joseph realized that he would </w:t>
      </w:r>
      <w:r w:rsidR="007D416B" w:rsidRPr="00400C74">
        <w:rPr>
          <w:spacing w:val="-4"/>
        </w:rPr>
        <w:t xml:space="preserve">also </w:t>
      </w:r>
      <w:r w:rsidRPr="00400C74">
        <w:rPr>
          <w:spacing w:val="-4"/>
        </w:rPr>
        <w:t xml:space="preserve">have to help Haifa </w:t>
      </w:r>
      <w:r w:rsidR="004C111D" w:rsidRPr="00400C74">
        <w:rPr>
          <w:spacing w:val="-4"/>
        </w:rPr>
        <w:t>draft</w:t>
      </w:r>
      <w:r w:rsidRPr="00400C74">
        <w:rPr>
          <w:spacing w:val="-4"/>
        </w:rPr>
        <w:t xml:space="preserve"> a workable marketing plan</w:t>
      </w:r>
      <w:r w:rsidR="007D416B" w:rsidRPr="00400C74">
        <w:rPr>
          <w:spacing w:val="-4"/>
        </w:rPr>
        <w:t>, so he</w:t>
      </w:r>
      <w:r w:rsidRPr="00400C74">
        <w:rPr>
          <w:spacing w:val="-4"/>
        </w:rPr>
        <w:t xml:space="preserve"> advised her to create a basic </w:t>
      </w:r>
      <w:r w:rsidR="004C111D" w:rsidRPr="00400C74">
        <w:rPr>
          <w:spacing w:val="-4"/>
        </w:rPr>
        <w:t xml:space="preserve">health care </w:t>
      </w:r>
      <w:r w:rsidRPr="00400C74">
        <w:rPr>
          <w:spacing w:val="-4"/>
        </w:rPr>
        <w:t xml:space="preserve">awareness </w:t>
      </w:r>
      <w:r w:rsidR="004C111D" w:rsidRPr="00400C74">
        <w:rPr>
          <w:spacing w:val="-4"/>
        </w:rPr>
        <w:t>strategy. I</w:t>
      </w:r>
      <w:r w:rsidRPr="00400C74">
        <w:rPr>
          <w:spacing w:val="-4"/>
        </w:rPr>
        <w:t>n the meantime, he would c</w:t>
      </w:r>
      <w:r w:rsidR="004C111D" w:rsidRPr="00400C74">
        <w:rPr>
          <w:spacing w:val="-4"/>
        </w:rPr>
        <w:t>reate</w:t>
      </w:r>
      <w:r w:rsidRPr="00400C74">
        <w:rPr>
          <w:spacing w:val="-4"/>
        </w:rPr>
        <w:t xml:space="preserve"> a detailed plan to </w:t>
      </w:r>
      <w:r w:rsidR="004C111D" w:rsidRPr="00400C74">
        <w:rPr>
          <w:spacing w:val="-4"/>
        </w:rPr>
        <w:t>attract</w:t>
      </w:r>
      <w:r w:rsidRPr="00400C74">
        <w:rPr>
          <w:spacing w:val="-4"/>
        </w:rPr>
        <w:t xml:space="preserve"> foot</w:t>
      </w:r>
      <w:r w:rsidR="004C111D" w:rsidRPr="00400C74">
        <w:rPr>
          <w:spacing w:val="-4"/>
        </w:rPr>
        <w:t xml:space="preserve"> traffic to the clinics and</w:t>
      </w:r>
      <w:r w:rsidRPr="00400C74">
        <w:rPr>
          <w:spacing w:val="-4"/>
        </w:rPr>
        <w:t xml:space="preserve"> estimate</w:t>
      </w:r>
      <w:r w:rsidR="004C111D" w:rsidRPr="00400C74">
        <w:rPr>
          <w:spacing w:val="-4"/>
        </w:rPr>
        <w:t xml:space="preserve"> the potential</w:t>
      </w:r>
      <w:r w:rsidRPr="00400C74">
        <w:rPr>
          <w:spacing w:val="-4"/>
        </w:rPr>
        <w:t xml:space="preserve"> cash flows for the proposed clinics.</w:t>
      </w:r>
    </w:p>
    <w:p w14:paraId="2913C7B5" w14:textId="77777777" w:rsidR="00AC51E2" w:rsidRPr="00675702" w:rsidRDefault="00AC51E2" w:rsidP="00AC51E2">
      <w:pPr>
        <w:pStyle w:val="BodyTextMain"/>
      </w:pPr>
    </w:p>
    <w:p w14:paraId="41CC103B" w14:textId="1B72C43E" w:rsidR="00AC51E2" w:rsidRDefault="0059288E" w:rsidP="00AC51E2">
      <w:pPr>
        <w:pStyle w:val="BodyTextMain"/>
      </w:pPr>
      <w:r w:rsidRPr="00675702">
        <w:t>As t</w:t>
      </w:r>
      <w:r w:rsidR="00AC51E2" w:rsidRPr="00675702">
        <w:t>he meeting came to an end</w:t>
      </w:r>
      <w:r w:rsidRPr="00675702">
        <w:t>, Haifa and Joseph enjoyed some</w:t>
      </w:r>
      <w:r w:rsidR="00AC51E2" w:rsidRPr="00675702">
        <w:t xml:space="preserve"> tea and cookies. </w:t>
      </w:r>
      <w:r w:rsidRPr="00675702">
        <w:t xml:space="preserve">However, </w:t>
      </w:r>
      <w:r w:rsidR="00AC51E2" w:rsidRPr="00675702">
        <w:t xml:space="preserve">Joseph was also left with </w:t>
      </w:r>
      <w:r w:rsidRPr="00675702">
        <w:t xml:space="preserve">some </w:t>
      </w:r>
      <w:r w:rsidR="00AC51E2" w:rsidRPr="00675702">
        <w:t xml:space="preserve">food for thought on </w:t>
      </w:r>
      <w:r w:rsidR="007D416B" w:rsidRPr="00675702">
        <w:t xml:space="preserve">how to </w:t>
      </w:r>
      <w:r w:rsidRPr="00675702">
        <w:t>devis</w:t>
      </w:r>
      <w:r w:rsidR="007D416B" w:rsidRPr="00675702">
        <w:t>e</w:t>
      </w:r>
      <w:r w:rsidR="00AC51E2" w:rsidRPr="00675702">
        <w:t xml:space="preserve"> a compelling marketing plan. </w:t>
      </w:r>
      <w:r w:rsidRPr="00675702">
        <w:t>I</w:t>
      </w:r>
      <w:r w:rsidR="00AC51E2" w:rsidRPr="00675702">
        <w:t xml:space="preserve">n contrast, </w:t>
      </w:r>
      <w:r w:rsidRPr="00675702">
        <w:t xml:space="preserve">Haifa </w:t>
      </w:r>
      <w:r w:rsidR="00AC51E2" w:rsidRPr="00675702">
        <w:t xml:space="preserve">was left wondering if she could compete with corporate hospitals </w:t>
      </w:r>
      <w:r w:rsidRPr="00675702">
        <w:t>to</w:t>
      </w:r>
      <w:r w:rsidR="00AC51E2" w:rsidRPr="00675702">
        <w:t xml:space="preserve"> carve a niche for her</w:t>
      </w:r>
      <w:r w:rsidRPr="00675702">
        <w:t xml:space="preserve"> new business venture</w:t>
      </w:r>
      <w:r w:rsidR="00AC51E2" w:rsidRPr="00675702">
        <w:t xml:space="preserve"> in </w:t>
      </w:r>
      <w:r w:rsidRPr="00675702">
        <w:t>India’s</w:t>
      </w:r>
      <w:r w:rsidR="00AC51E2" w:rsidRPr="00675702">
        <w:t xml:space="preserve"> growing market for dental services.</w:t>
      </w:r>
    </w:p>
    <w:p w14:paraId="1CDF4A47" w14:textId="3D3151C5" w:rsidR="00886C79" w:rsidRDefault="00886C79" w:rsidP="00AC51E2">
      <w:pPr>
        <w:pStyle w:val="BodyTextMain"/>
      </w:pPr>
    </w:p>
    <w:p w14:paraId="281AD373" w14:textId="3C07AF67" w:rsidR="00886C79" w:rsidRDefault="00886C79" w:rsidP="00AC51E2">
      <w:pPr>
        <w:pStyle w:val="BodyTextMain"/>
      </w:pPr>
      <w:bookmarkStart w:id="0" w:name="_GoBack"/>
      <w:bookmarkEnd w:id="0"/>
    </w:p>
    <w:p w14:paraId="233AB441" w14:textId="446A4CC9" w:rsidR="00886C79" w:rsidRPr="00675702" w:rsidRDefault="00886C79" w:rsidP="00AC51E2">
      <w:pPr>
        <w:pStyle w:val="BodyTextMain"/>
      </w:pPr>
    </w:p>
    <w:p w14:paraId="6DCB6256" w14:textId="0DE0CABA" w:rsidR="00AC51E2" w:rsidRPr="00675702" w:rsidRDefault="00886C79">
      <w:pPr>
        <w:spacing w:after="200" w:line="276" w:lineRule="auto"/>
        <w:rPr>
          <w:sz w:val="22"/>
          <w:szCs w:val="22"/>
        </w:rPr>
      </w:pPr>
      <w:r>
        <w:rPr>
          <w:noProof/>
        </w:rPr>
        <mc:AlternateContent>
          <mc:Choice Requires="wps">
            <w:drawing>
              <wp:anchor distT="45720" distB="45720" distL="114300" distR="114300" simplePos="0" relativeHeight="251659264" behindDoc="0" locked="0" layoutInCell="1" allowOverlap="1" wp14:anchorId="19E59C35" wp14:editId="29D94D24">
                <wp:simplePos x="0" y="0"/>
                <wp:positionH relativeFrom="margin">
                  <wp:align>center</wp:align>
                </wp:positionH>
                <wp:positionV relativeFrom="paragraph">
                  <wp:posOffset>3983</wp:posOffset>
                </wp:positionV>
                <wp:extent cx="5111750" cy="140462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1404620"/>
                        </a:xfrm>
                        <a:prstGeom prst="rect">
                          <a:avLst/>
                        </a:prstGeom>
                        <a:solidFill>
                          <a:srgbClr val="FFFFFF"/>
                        </a:solidFill>
                        <a:ln w="9525">
                          <a:solidFill>
                            <a:srgbClr val="000000"/>
                          </a:solidFill>
                          <a:miter lim="800000"/>
                          <a:headEnd/>
                          <a:tailEnd/>
                        </a:ln>
                      </wps:spPr>
                      <wps:txbx>
                        <w:txbxContent>
                          <w:p w14:paraId="3551D19D" w14:textId="681A66BB" w:rsidR="00886C79" w:rsidRDefault="00886C79" w:rsidP="00886C79">
                            <w:pPr>
                              <w:pStyle w:val="Footnote"/>
                              <w:jc w:val="center"/>
                            </w:pPr>
                            <w:r>
                              <w:rPr>
                                <w:lang w:val="en-US"/>
                              </w:rPr>
                              <w:t xml:space="preserve">Vinod Madhavan, Associate Professor, Marketing Area and Durga Prasad, Professor, Accounting, Economics and Finance Area at  T </w:t>
                            </w:r>
                            <w:proofErr w:type="gramStart"/>
                            <w:r>
                              <w:rPr>
                                <w:lang w:val="en-US"/>
                              </w:rPr>
                              <w:t>A</w:t>
                            </w:r>
                            <w:proofErr w:type="gramEnd"/>
                            <w:r>
                              <w:rPr>
                                <w:lang w:val="en-US"/>
                              </w:rPr>
                              <w:t xml:space="preserve"> Pai Management Institute India. Dr </w:t>
                            </w:r>
                            <w:proofErr w:type="spellStart"/>
                            <w:r>
                              <w:rPr>
                                <w:lang w:val="en-US"/>
                              </w:rPr>
                              <w:t>Souparna</w:t>
                            </w:r>
                            <w:proofErr w:type="spellEnd"/>
                            <w:r>
                              <w:rPr>
                                <w:lang w:val="en-US"/>
                              </w:rPr>
                              <w:t>, Associate Professor, Endodontics Area and Dr Haifa B, Professor, Prosthodontics, Srinivas Dental College,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E59C35" id="_x0000_t202" coordsize="21600,21600" o:spt="202" path="m,l,21600r21600,l21600,xe">
                <v:stroke joinstyle="miter"/>
                <v:path gradientshapeok="t" o:connecttype="rect"/>
              </v:shapetype>
              <v:shape id="Text Box 2" o:spid="_x0000_s1026" type="#_x0000_t202" style="position:absolute;margin-left:0;margin-top:.3pt;width:40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">
                <v:textbox style="mso-fit-shape-to-text:t">
                  <w:txbxContent>
                    <w:p w14:paraId="3551D19D" w14:textId="681A66BB" w:rsidR="00886C79" w:rsidRDefault="00886C79" w:rsidP="00886C79">
                      <w:pPr>
                        <w:pStyle w:val="Footnote"/>
                        <w:jc w:val="center"/>
                      </w:pPr>
                      <w:r>
                        <w:rPr>
                          <w:lang w:val="en-US"/>
                        </w:rPr>
                        <w:t xml:space="preserve">Vinod Madhavan, Associate Professor, Marketing Area and Durga Prasad, Professor, Accounting, Economics and Finance Area at  T </w:t>
                      </w:r>
                      <w:proofErr w:type="gramStart"/>
                      <w:r>
                        <w:rPr>
                          <w:lang w:val="en-US"/>
                        </w:rPr>
                        <w:t>A</w:t>
                      </w:r>
                      <w:proofErr w:type="gramEnd"/>
                      <w:r>
                        <w:rPr>
                          <w:lang w:val="en-US"/>
                        </w:rPr>
                        <w:t xml:space="preserve"> Pai Management Institute India. Dr </w:t>
                      </w:r>
                      <w:proofErr w:type="spellStart"/>
                      <w:r>
                        <w:rPr>
                          <w:lang w:val="en-US"/>
                        </w:rPr>
                        <w:t>Souparna</w:t>
                      </w:r>
                      <w:proofErr w:type="spellEnd"/>
                      <w:r>
                        <w:rPr>
                          <w:lang w:val="en-US"/>
                        </w:rPr>
                        <w:t>, Associate Professor, Endodontics Area and Dr Haifa B, Professor, Prosthodontics, Srinivas Dental College, India.</w:t>
                      </w:r>
                    </w:p>
                  </w:txbxContent>
                </v:textbox>
                <w10:wrap type="square" anchorx="margin"/>
              </v:shape>
            </w:pict>
          </mc:Fallback>
        </mc:AlternateContent>
      </w:r>
      <w:r w:rsidR="00AC51E2" w:rsidRPr="00675702">
        <w:br w:type="page"/>
      </w:r>
    </w:p>
    <w:p w14:paraId="42541ADB" w14:textId="7A98EF1F" w:rsidR="00AC51E2" w:rsidRPr="00675702" w:rsidRDefault="00AC51E2" w:rsidP="00B62DDC">
      <w:pPr>
        <w:pStyle w:val="ExhibitHeading"/>
      </w:pPr>
      <w:bookmarkStart w:id="1" w:name="_Hlk66255112"/>
      <w:r w:rsidRPr="00675702">
        <w:lastRenderedPageBreak/>
        <w:t>EXHIBIT 1: FIXED AND VARIABLE EXPENSES</w:t>
      </w:r>
      <w:r w:rsidR="00B62DDC" w:rsidRPr="00675702">
        <w:t xml:space="preserve"> </w:t>
      </w:r>
      <w:r w:rsidRPr="00675702">
        <w:t>(</w:t>
      </w:r>
      <w:r w:rsidR="008E4BA2" w:rsidRPr="00675702">
        <w:t>₹ Thousands</w:t>
      </w:r>
      <w:r w:rsidRPr="00675702">
        <w:t>)</w:t>
      </w:r>
    </w:p>
    <w:p w14:paraId="51A81A87" w14:textId="77777777" w:rsidR="00B62DDC" w:rsidRPr="009A7DDE" w:rsidRDefault="00B62DDC" w:rsidP="00B62DDC">
      <w:pPr>
        <w:pStyle w:val="ExhibitText"/>
        <w:rPr>
          <w:rFonts w:ascii="Times New Roman" w:hAnsi="Times New Roman" w:cs="Times New Roman"/>
          <w:sz w:val="22"/>
          <w:szCs w:val="22"/>
        </w:rPr>
      </w:pPr>
    </w:p>
    <w:tbl>
      <w:tblPr>
        <w:tblStyle w:val="TableGrid"/>
        <w:tblW w:w="8978" w:type="dxa"/>
        <w:jc w:val="center"/>
        <w:tblCellMar>
          <w:top w:w="58" w:type="dxa"/>
          <w:bottom w:w="58" w:type="dxa"/>
        </w:tblCellMar>
        <w:tblLook w:val="04A0" w:firstRow="1" w:lastRow="0" w:firstColumn="1" w:lastColumn="0" w:noHBand="0" w:noVBand="1"/>
      </w:tblPr>
      <w:tblGrid>
        <w:gridCol w:w="7573"/>
        <w:gridCol w:w="1405"/>
      </w:tblGrid>
      <w:tr w:rsidR="00AC51E2" w:rsidRPr="00675702" w14:paraId="79B8D523" w14:textId="77777777" w:rsidTr="00850A6B">
        <w:trPr>
          <w:trHeight w:val="20"/>
          <w:jc w:val="center"/>
        </w:trPr>
        <w:tc>
          <w:tcPr>
            <w:tcW w:w="7573" w:type="dxa"/>
            <w:noWrap/>
            <w:vAlign w:val="center"/>
            <w:hideMark/>
          </w:tcPr>
          <w:p w14:paraId="2F972E68" w14:textId="0E8F659A" w:rsidR="00AC51E2" w:rsidRPr="00675702" w:rsidRDefault="00AC51E2" w:rsidP="004F77FE">
            <w:pPr>
              <w:spacing w:before="100" w:beforeAutospacing="1" w:after="100" w:afterAutospacing="1"/>
              <w:contextualSpacing/>
              <w:rPr>
                <w:rFonts w:ascii="Arial" w:hAnsi="Arial"/>
                <w:b/>
                <w:bCs/>
              </w:rPr>
            </w:pPr>
            <w:r w:rsidRPr="00675702">
              <w:rPr>
                <w:rFonts w:ascii="Arial" w:hAnsi="Arial"/>
                <w:b/>
                <w:bCs/>
              </w:rPr>
              <w:t>F</w:t>
            </w:r>
            <w:r w:rsidR="00A320C5" w:rsidRPr="00675702">
              <w:rPr>
                <w:rFonts w:ascii="Arial" w:hAnsi="Arial"/>
                <w:b/>
                <w:bCs/>
              </w:rPr>
              <w:t xml:space="preserve">ixed </w:t>
            </w:r>
            <w:r w:rsidRPr="00675702">
              <w:rPr>
                <w:rFonts w:ascii="Arial" w:hAnsi="Arial"/>
                <w:b/>
                <w:bCs/>
              </w:rPr>
              <w:t>E</w:t>
            </w:r>
            <w:r w:rsidR="00A320C5" w:rsidRPr="00675702">
              <w:rPr>
                <w:rFonts w:ascii="Arial" w:hAnsi="Arial"/>
                <w:b/>
                <w:bCs/>
              </w:rPr>
              <w:t>xpenses</w:t>
            </w:r>
            <w:r w:rsidRPr="00675702">
              <w:rPr>
                <w:rFonts w:ascii="Arial" w:hAnsi="Arial"/>
                <w:b/>
                <w:bCs/>
              </w:rPr>
              <w:t xml:space="preserve"> </w:t>
            </w:r>
          </w:p>
        </w:tc>
        <w:tc>
          <w:tcPr>
            <w:tcW w:w="1405" w:type="dxa"/>
            <w:vAlign w:val="center"/>
          </w:tcPr>
          <w:p w14:paraId="55DC265E" w14:textId="2E398FCD" w:rsidR="00AC51E2" w:rsidRPr="00675702" w:rsidRDefault="00AC51E2" w:rsidP="004F77FE">
            <w:pPr>
              <w:spacing w:before="100" w:beforeAutospacing="1" w:after="100" w:afterAutospacing="1"/>
              <w:contextualSpacing/>
              <w:jc w:val="center"/>
              <w:rPr>
                <w:rFonts w:ascii="Arial" w:hAnsi="Arial"/>
                <w:b/>
                <w:bCs/>
              </w:rPr>
            </w:pPr>
            <w:r w:rsidRPr="00675702">
              <w:rPr>
                <w:rFonts w:ascii="Arial" w:hAnsi="Arial"/>
                <w:b/>
                <w:bCs/>
              </w:rPr>
              <w:t xml:space="preserve">Per </w:t>
            </w:r>
            <w:r w:rsidR="00693D19" w:rsidRPr="00675702">
              <w:rPr>
                <w:rFonts w:ascii="Arial" w:hAnsi="Arial"/>
                <w:b/>
                <w:bCs/>
              </w:rPr>
              <w:t>Year</w:t>
            </w:r>
          </w:p>
        </w:tc>
      </w:tr>
      <w:tr w:rsidR="00AC51E2" w:rsidRPr="00675702" w14:paraId="79DD4810" w14:textId="77777777" w:rsidTr="00850A6B">
        <w:trPr>
          <w:trHeight w:val="20"/>
          <w:jc w:val="center"/>
        </w:trPr>
        <w:tc>
          <w:tcPr>
            <w:tcW w:w="7573" w:type="dxa"/>
            <w:noWrap/>
            <w:vAlign w:val="center"/>
            <w:hideMark/>
          </w:tcPr>
          <w:p w14:paraId="42D59C9F" w14:textId="714E708E"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Rent per month per clinic (</w:t>
            </w:r>
            <w:r w:rsidR="00A42762" w:rsidRPr="00675702">
              <w:rPr>
                <w:rFonts w:ascii="Arial" w:hAnsi="Arial" w:cs="Arial"/>
              </w:rPr>
              <w:t>₹</w:t>
            </w:r>
            <w:r w:rsidRPr="00675702">
              <w:rPr>
                <w:rFonts w:ascii="Arial" w:hAnsi="Arial" w:cs="Arial"/>
              </w:rPr>
              <w:t>30)</w:t>
            </w:r>
          </w:p>
        </w:tc>
        <w:tc>
          <w:tcPr>
            <w:tcW w:w="1405" w:type="dxa"/>
            <w:vAlign w:val="center"/>
          </w:tcPr>
          <w:p w14:paraId="17E651D0" w14:textId="6940E38E"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720</w:t>
            </w:r>
          </w:p>
        </w:tc>
      </w:tr>
      <w:tr w:rsidR="00AC51E2" w:rsidRPr="00675702" w14:paraId="105BCCEC" w14:textId="77777777" w:rsidTr="00850A6B">
        <w:trPr>
          <w:trHeight w:val="20"/>
          <w:jc w:val="center"/>
        </w:trPr>
        <w:tc>
          <w:tcPr>
            <w:tcW w:w="7573" w:type="dxa"/>
            <w:noWrap/>
            <w:vAlign w:val="center"/>
            <w:hideMark/>
          </w:tcPr>
          <w:p w14:paraId="39229429" w14:textId="7966B50B"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Insurance per month per clinic (</w:t>
            </w:r>
            <w:r w:rsidR="00A42762" w:rsidRPr="00675702">
              <w:rPr>
                <w:rFonts w:ascii="Arial" w:hAnsi="Arial" w:cs="Arial"/>
              </w:rPr>
              <w:t>₹</w:t>
            </w:r>
            <w:r w:rsidRPr="00675702">
              <w:rPr>
                <w:rFonts w:ascii="Arial" w:hAnsi="Arial" w:cs="Arial"/>
              </w:rPr>
              <w:t>8)</w:t>
            </w:r>
          </w:p>
        </w:tc>
        <w:tc>
          <w:tcPr>
            <w:tcW w:w="1405" w:type="dxa"/>
            <w:vAlign w:val="center"/>
          </w:tcPr>
          <w:p w14:paraId="7E9AB697" w14:textId="743C6DDD"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192</w:t>
            </w:r>
          </w:p>
        </w:tc>
      </w:tr>
      <w:tr w:rsidR="00AC51E2" w:rsidRPr="00675702" w14:paraId="64BEA467" w14:textId="77777777" w:rsidTr="00850A6B">
        <w:trPr>
          <w:trHeight w:val="20"/>
          <w:jc w:val="center"/>
        </w:trPr>
        <w:tc>
          <w:tcPr>
            <w:tcW w:w="7573" w:type="dxa"/>
            <w:noWrap/>
            <w:vAlign w:val="center"/>
            <w:hideMark/>
          </w:tcPr>
          <w:p w14:paraId="2CD13C33" w14:textId="77777777"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Licensing fees per clinic</w:t>
            </w:r>
          </w:p>
        </w:tc>
        <w:tc>
          <w:tcPr>
            <w:tcW w:w="1405" w:type="dxa"/>
            <w:vAlign w:val="center"/>
          </w:tcPr>
          <w:p w14:paraId="71FF286C" w14:textId="4D4FB5B0"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2</w:t>
            </w:r>
          </w:p>
        </w:tc>
      </w:tr>
      <w:tr w:rsidR="00AC51E2" w:rsidRPr="00675702" w14:paraId="6715272D" w14:textId="77777777" w:rsidTr="00850A6B">
        <w:trPr>
          <w:trHeight w:val="20"/>
          <w:jc w:val="center"/>
        </w:trPr>
        <w:tc>
          <w:tcPr>
            <w:tcW w:w="7573" w:type="dxa"/>
            <w:noWrap/>
            <w:vAlign w:val="center"/>
            <w:hideMark/>
          </w:tcPr>
          <w:p w14:paraId="00B5F64A" w14:textId="2BE93158"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Promotion and dental awareness camps at various schools (for both clinics)</w:t>
            </w:r>
          </w:p>
        </w:tc>
        <w:tc>
          <w:tcPr>
            <w:tcW w:w="1405" w:type="dxa"/>
            <w:vAlign w:val="center"/>
          </w:tcPr>
          <w:p w14:paraId="5FB61374" w14:textId="2C16C2A7"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30</w:t>
            </w:r>
          </w:p>
        </w:tc>
      </w:tr>
      <w:tr w:rsidR="00AC51E2" w:rsidRPr="00675702" w14:paraId="1692D722" w14:textId="77777777" w:rsidTr="00850A6B">
        <w:trPr>
          <w:trHeight w:val="20"/>
          <w:jc w:val="center"/>
        </w:trPr>
        <w:tc>
          <w:tcPr>
            <w:tcW w:w="7573" w:type="dxa"/>
            <w:noWrap/>
            <w:vAlign w:val="center"/>
            <w:hideMark/>
          </w:tcPr>
          <w:p w14:paraId="318CCD14" w14:textId="77777777"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 xml:space="preserve">Professional education expenses </w:t>
            </w:r>
          </w:p>
        </w:tc>
        <w:tc>
          <w:tcPr>
            <w:tcW w:w="1405" w:type="dxa"/>
            <w:vAlign w:val="center"/>
          </w:tcPr>
          <w:p w14:paraId="01A4490B" w14:textId="003657AA"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50</w:t>
            </w:r>
          </w:p>
        </w:tc>
      </w:tr>
      <w:tr w:rsidR="00AC51E2" w:rsidRPr="00675702" w14:paraId="4D17A43E" w14:textId="77777777" w:rsidTr="00850A6B">
        <w:trPr>
          <w:trHeight w:val="20"/>
          <w:jc w:val="center"/>
        </w:trPr>
        <w:tc>
          <w:tcPr>
            <w:tcW w:w="7573" w:type="dxa"/>
            <w:noWrap/>
            <w:vAlign w:val="center"/>
          </w:tcPr>
          <w:p w14:paraId="1A53E64E" w14:textId="77777777" w:rsidR="00AC51E2" w:rsidRPr="00675702" w:rsidRDefault="00AC51E2" w:rsidP="004F77FE">
            <w:pPr>
              <w:spacing w:before="100" w:beforeAutospacing="1" w:after="100" w:afterAutospacing="1"/>
              <w:contextualSpacing/>
              <w:rPr>
                <w:rFonts w:ascii="Arial" w:hAnsi="Arial" w:cs="Arial"/>
              </w:rPr>
            </w:pPr>
          </w:p>
        </w:tc>
        <w:tc>
          <w:tcPr>
            <w:tcW w:w="1405" w:type="dxa"/>
          </w:tcPr>
          <w:p w14:paraId="1FB71119" w14:textId="77777777" w:rsidR="00AC51E2" w:rsidRPr="00675702" w:rsidRDefault="00AC51E2" w:rsidP="004F77FE">
            <w:pPr>
              <w:spacing w:before="100" w:beforeAutospacing="1" w:after="100" w:afterAutospacing="1"/>
              <w:contextualSpacing/>
              <w:jc w:val="right"/>
              <w:rPr>
                <w:rFonts w:ascii="Arial" w:hAnsi="Arial" w:cs="Arial"/>
              </w:rPr>
            </w:pPr>
          </w:p>
        </w:tc>
      </w:tr>
      <w:tr w:rsidR="00AC51E2" w:rsidRPr="00675702" w14:paraId="114B1601" w14:textId="77777777" w:rsidTr="00850A6B">
        <w:trPr>
          <w:trHeight w:val="20"/>
          <w:jc w:val="center"/>
        </w:trPr>
        <w:tc>
          <w:tcPr>
            <w:tcW w:w="7573" w:type="dxa"/>
            <w:noWrap/>
            <w:vAlign w:val="center"/>
          </w:tcPr>
          <w:p w14:paraId="1F04AA8A" w14:textId="53DDDF19" w:rsidR="00AC51E2" w:rsidRPr="00675702" w:rsidRDefault="00AC51E2" w:rsidP="004F77FE">
            <w:pPr>
              <w:spacing w:before="100" w:beforeAutospacing="1" w:after="100" w:afterAutospacing="1"/>
              <w:contextualSpacing/>
              <w:rPr>
                <w:rFonts w:ascii="Arial" w:hAnsi="Arial" w:cs="Arial"/>
                <w:b/>
                <w:bCs/>
              </w:rPr>
            </w:pPr>
            <w:r w:rsidRPr="00675702">
              <w:rPr>
                <w:rFonts w:ascii="Arial" w:hAnsi="Arial"/>
                <w:b/>
                <w:bCs/>
              </w:rPr>
              <w:t>V</w:t>
            </w:r>
            <w:r w:rsidR="00A320C5" w:rsidRPr="00675702">
              <w:rPr>
                <w:rFonts w:ascii="Arial" w:hAnsi="Arial"/>
                <w:b/>
                <w:bCs/>
              </w:rPr>
              <w:t xml:space="preserve">ariable </w:t>
            </w:r>
            <w:r w:rsidRPr="00675702">
              <w:rPr>
                <w:rFonts w:ascii="Arial" w:hAnsi="Arial"/>
                <w:b/>
                <w:bCs/>
              </w:rPr>
              <w:t>E</w:t>
            </w:r>
            <w:r w:rsidR="00A320C5" w:rsidRPr="00675702">
              <w:rPr>
                <w:rFonts w:ascii="Arial" w:hAnsi="Arial"/>
                <w:b/>
                <w:bCs/>
              </w:rPr>
              <w:t>xpenses</w:t>
            </w:r>
          </w:p>
        </w:tc>
        <w:tc>
          <w:tcPr>
            <w:tcW w:w="1405" w:type="dxa"/>
            <w:vAlign w:val="center"/>
          </w:tcPr>
          <w:p w14:paraId="110F415C" w14:textId="77777777" w:rsidR="00AC51E2" w:rsidRPr="00675702" w:rsidRDefault="00AC51E2" w:rsidP="004F77FE">
            <w:pPr>
              <w:spacing w:before="100" w:beforeAutospacing="1" w:after="100" w:afterAutospacing="1"/>
              <w:contextualSpacing/>
              <w:jc w:val="center"/>
              <w:rPr>
                <w:rFonts w:ascii="Arial" w:hAnsi="Arial" w:cs="Arial"/>
                <w:b/>
                <w:bCs/>
              </w:rPr>
            </w:pPr>
            <w:r w:rsidRPr="00675702">
              <w:rPr>
                <w:rFonts w:ascii="Arial" w:hAnsi="Arial"/>
                <w:b/>
                <w:bCs/>
              </w:rPr>
              <w:t>Per Patient</w:t>
            </w:r>
          </w:p>
        </w:tc>
      </w:tr>
      <w:tr w:rsidR="00AC51E2" w:rsidRPr="00675702" w14:paraId="4DF2228C" w14:textId="77777777" w:rsidTr="00850A6B">
        <w:trPr>
          <w:trHeight w:val="20"/>
          <w:jc w:val="center"/>
        </w:trPr>
        <w:tc>
          <w:tcPr>
            <w:tcW w:w="7573" w:type="dxa"/>
            <w:noWrap/>
            <w:vAlign w:val="center"/>
          </w:tcPr>
          <w:p w14:paraId="0897E4F5" w14:textId="581A6595"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Consumables (e.g., cement and polishing equipment)</w:t>
            </w:r>
            <w:r w:rsidR="00112541" w:rsidRPr="00675702">
              <w:rPr>
                <w:rFonts w:ascii="Arial" w:hAnsi="Arial" w:cs="Arial"/>
              </w:rPr>
              <w:t xml:space="preserve"> </w:t>
            </w:r>
          </w:p>
        </w:tc>
        <w:tc>
          <w:tcPr>
            <w:tcW w:w="1405" w:type="dxa"/>
            <w:vAlign w:val="center"/>
          </w:tcPr>
          <w:p w14:paraId="46372E25" w14:textId="01C4B6D3"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50</w:t>
            </w:r>
          </w:p>
        </w:tc>
      </w:tr>
      <w:tr w:rsidR="00AC51E2" w:rsidRPr="00675702" w14:paraId="1D7A67AD" w14:textId="77777777" w:rsidTr="00850A6B">
        <w:trPr>
          <w:trHeight w:val="20"/>
          <w:jc w:val="center"/>
        </w:trPr>
        <w:tc>
          <w:tcPr>
            <w:tcW w:w="7573" w:type="dxa"/>
            <w:noWrap/>
            <w:vAlign w:val="center"/>
          </w:tcPr>
          <w:p w14:paraId="5D243E48" w14:textId="77777777"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 xml:space="preserve">Patient record maintenance expenses </w:t>
            </w:r>
          </w:p>
        </w:tc>
        <w:tc>
          <w:tcPr>
            <w:tcW w:w="1405" w:type="dxa"/>
            <w:vAlign w:val="center"/>
          </w:tcPr>
          <w:p w14:paraId="52763FCC" w14:textId="72A66FFA"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20</w:t>
            </w:r>
          </w:p>
        </w:tc>
      </w:tr>
      <w:tr w:rsidR="00AC51E2" w:rsidRPr="00675702" w14:paraId="2DE70156" w14:textId="77777777" w:rsidTr="00850A6B">
        <w:trPr>
          <w:trHeight w:val="20"/>
          <w:jc w:val="center"/>
        </w:trPr>
        <w:tc>
          <w:tcPr>
            <w:tcW w:w="7573" w:type="dxa"/>
            <w:noWrap/>
            <w:vAlign w:val="center"/>
          </w:tcPr>
          <w:p w14:paraId="7BE82745" w14:textId="77777777"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 xml:space="preserve">Professional consultation fees </w:t>
            </w:r>
          </w:p>
        </w:tc>
        <w:tc>
          <w:tcPr>
            <w:tcW w:w="1405" w:type="dxa"/>
            <w:vAlign w:val="center"/>
          </w:tcPr>
          <w:p w14:paraId="14377097" w14:textId="7622B3EB"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50</w:t>
            </w:r>
          </w:p>
        </w:tc>
      </w:tr>
      <w:tr w:rsidR="00AC51E2" w:rsidRPr="00675702" w14:paraId="41353126" w14:textId="77777777" w:rsidTr="00850A6B">
        <w:trPr>
          <w:trHeight w:val="20"/>
          <w:jc w:val="center"/>
        </w:trPr>
        <w:tc>
          <w:tcPr>
            <w:tcW w:w="7573" w:type="dxa"/>
            <w:noWrap/>
            <w:vAlign w:val="center"/>
          </w:tcPr>
          <w:p w14:paraId="122B07BA" w14:textId="77777777"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 xml:space="preserve">Laboratory costs </w:t>
            </w:r>
          </w:p>
        </w:tc>
        <w:tc>
          <w:tcPr>
            <w:tcW w:w="1405" w:type="dxa"/>
            <w:vAlign w:val="center"/>
          </w:tcPr>
          <w:p w14:paraId="17D428FD" w14:textId="2C5D3715"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30</w:t>
            </w:r>
          </w:p>
        </w:tc>
      </w:tr>
      <w:tr w:rsidR="00AC51E2" w:rsidRPr="00675702" w:rsidDel="00485AA1" w14:paraId="1BD27E5F" w14:textId="77777777" w:rsidTr="00850A6B">
        <w:trPr>
          <w:trHeight w:val="20"/>
          <w:jc w:val="center"/>
        </w:trPr>
        <w:tc>
          <w:tcPr>
            <w:tcW w:w="7573" w:type="dxa"/>
            <w:noWrap/>
            <w:vAlign w:val="center"/>
          </w:tcPr>
          <w:p w14:paraId="30AB6455" w14:textId="77777777" w:rsidR="00AC51E2" w:rsidRPr="00675702" w:rsidDel="00485AA1" w:rsidRDefault="00AC51E2" w:rsidP="004F77FE">
            <w:pPr>
              <w:spacing w:before="100" w:beforeAutospacing="1" w:after="100" w:afterAutospacing="1"/>
              <w:contextualSpacing/>
              <w:rPr>
                <w:rFonts w:ascii="Arial" w:hAnsi="Arial"/>
              </w:rPr>
            </w:pPr>
            <w:r w:rsidRPr="00675702">
              <w:rPr>
                <w:rFonts w:ascii="Arial" w:hAnsi="Arial" w:cs="Arial"/>
              </w:rPr>
              <w:t>Total</w:t>
            </w:r>
          </w:p>
        </w:tc>
        <w:tc>
          <w:tcPr>
            <w:tcW w:w="1405" w:type="dxa"/>
            <w:vAlign w:val="center"/>
          </w:tcPr>
          <w:p w14:paraId="3A34EF70" w14:textId="0F16EC16"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150</w:t>
            </w:r>
          </w:p>
        </w:tc>
      </w:tr>
    </w:tbl>
    <w:p w14:paraId="71F80B34" w14:textId="77777777" w:rsidR="00B62DDC" w:rsidRPr="009A7DDE" w:rsidRDefault="00B62DDC" w:rsidP="00B62DDC">
      <w:pPr>
        <w:pStyle w:val="ExhibitText"/>
        <w:rPr>
          <w:rFonts w:ascii="Times New Roman" w:hAnsi="Times New Roman" w:cs="Times New Roman"/>
          <w:sz w:val="22"/>
          <w:szCs w:val="22"/>
        </w:rPr>
      </w:pPr>
    </w:p>
    <w:p w14:paraId="116C6426" w14:textId="5BBD4DFE" w:rsidR="0052012B" w:rsidRPr="00675702" w:rsidRDefault="0052012B" w:rsidP="00B62DDC">
      <w:pPr>
        <w:pStyle w:val="Footnote"/>
      </w:pPr>
      <w:r w:rsidRPr="00675702">
        <w:t>Note: ₹ = INR = Indian rupee; US$1 = ₹75.69 on May 1, 2020.</w:t>
      </w:r>
    </w:p>
    <w:p w14:paraId="7546BE74" w14:textId="4EA45562" w:rsidR="00AC51E2" w:rsidRPr="00675702" w:rsidRDefault="00AC51E2" w:rsidP="00B62DDC">
      <w:pPr>
        <w:pStyle w:val="Footnote"/>
      </w:pPr>
      <w:r w:rsidRPr="00675702">
        <w:t xml:space="preserve">Source: </w:t>
      </w:r>
      <w:r w:rsidR="00A320C5" w:rsidRPr="00675702">
        <w:t>Company information.</w:t>
      </w:r>
    </w:p>
    <w:p w14:paraId="048CF73E" w14:textId="77777777" w:rsidR="00AC51E2" w:rsidRPr="009A7DDE" w:rsidRDefault="00AC51E2" w:rsidP="00B62DDC">
      <w:pPr>
        <w:pStyle w:val="ExhibitText"/>
        <w:rPr>
          <w:rFonts w:ascii="Times New Roman" w:hAnsi="Times New Roman" w:cs="Times New Roman"/>
          <w:bCs/>
          <w:sz w:val="22"/>
          <w:szCs w:val="22"/>
        </w:rPr>
      </w:pPr>
    </w:p>
    <w:p w14:paraId="2EF5B854" w14:textId="77777777" w:rsidR="00AC51E2" w:rsidRPr="009A7DDE" w:rsidRDefault="00AC51E2" w:rsidP="00B62DDC">
      <w:pPr>
        <w:pStyle w:val="ExhibitText"/>
        <w:rPr>
          <w:rFonts w:ascii="Times New Roman" w:hAnsi="Times New Roman" w:cs="Times New Roman"/>
          <w:bCs/>
          <w:sz w:val="22"/>
          <w:szCs w:val="22"/>
        </w:rPr>
      </w:pPr>
    </w:p>
    <w:p w14:paraId="16D306C7" w14:textId="4A0B04B8" w:rsidR="00AC51E2" w:rsidRPr="00675702" w:rsidRDefault="00AC51E2" w:rsidP="00B62DDC">
      <w:pPr>
        <w:pStyle w:val="ExhibitHeading"/>
      </w:pPr>
      <w:r w:rsidRPr="00675702">
        <w:t>EXHIBIT 2: REQUIREMENTS OF MEDICAL STAFF (</w:t>
      </w:r>
      <w:r w:rsidR="00A320C5" w:rsidRPr="00675702">
        <w:t>₹</w:t>
      </w:r>
      <w:r w:rsidRPr="00675702">
        <w:t xml:space="preserve"> </w:t>
      </w:r>
      <w:r w:rsidR="008E4BA2" w:rsidRPr="00675702">
        <w:t>ThouSANDS</w:t>
      </w:r>
      <w:r w:rsidRPr="00675702">
        <w:t>)</w:t>
      </w:r>
    </w:p>
    <w:p w14:paraId="091561BD" w14:textId="77777777" w:rsidR="00B62DDC" w:rsidRPr="009A7DDE" w:rsidRDefault="00B62DDC" w:rsidP="00B62DDC">
      <w:pPr>
        <w:pStyle w:val="ExhibitText"/>
        <w:rPr>
          <w:rFonts w:ascii="Times New Roman" w:hAnsi="Times New Roman" w:cs="Times New Roman"/>
          <w:sz w:val="22"/>
          <w:szCs w:val="22"/>
        </w:rPr>
      </w:pPr>
    </w:p>
    <w:tbl>
      <w:tblPr>
        <w:tblStyle w:val="TableGrid"/>
        <w:tblW w:w="9057" w:type="dxa"/>
        <w:jc w:val="center"/>
        <w:tblCellMar>
          <w:top w:w="58" w:type="dxa"/>
          <w:bottom w:w="58" w:type="dxa"/>
        </w:tblCellMar>
        <w:tblLook w:val="04A0" w:firstRow="1" w:lastRow="0" w:firstColumn="1" w:lastColumn="0" w:noHBand="0" w:noVBand="1"/>
      </w:tblPr>
      <w:tblGrid>
        <w:gridCol w:w="4002"/>
        <w:gridCol w:w="1184"/>
        <w:gridCol w:w="1184"/>
        <w:gridCol w:w="1275"/>
        <w:gridCol w:w="1412"/>
      </w:tblGrid>
      <w:tr w:rsidR="00A320C5" w:rsidRPr="00675702" w14:paraId="72377965" w14:textId="77777777" w:rsidTr="00B51F91">
        <w:trPr>
          <w:trHeight w:val="265"/>
          <w:jc w:val="center"/>
        </w:trPr>
        <w:tc>
          <w:tcPr>
            <w:tcW w:w="4002" w:type="dxa"/>
            <w:noWrap/>
            <w:vAlign w:val="center"/>
            <w:hideMark/>
          </w:tcPr>
          <w:p w14:paraId="38B7C561" w14:textId="77777777" w:rsidR="00AC51E2" w:rsidRPr="00675702" w:rsidRDefault="00AC51E2" w:rsidP="004F77FE">
            <w:pPr>
              <w:spacing w:before="100" w:beforeAutospacing="1" w:after="100" w:afterAutospacing="1"/>
              <w:contextualSpacing/>
              <w:rPr>
                <w:rFonts w:ascii="Arial" w:hAnsi="Arial"/>
                <w:b/>
                <w:bCs/>
              </w:rPr>
            </w:pPr>
            <w:r w:rsidRPr="00675702">
              <w:rPr>
                <w:rFonts w:ascii="Arial" w:hAnsi="Arial" w:cs="Arial"/>
                <w:b/>
                <w:bCs/>
              </w:rPr>
              <w:t>Medical Staff</w:t>
            </w:r>
          </w:p>
        </w:tc>
        <w:tc>
          <w:tcPr>
            <w:tcW w:w="1184" w:type="dxa"/>
            <w:noWrap/>
            <w:vAlign w:val="center"/>
            <w:hideMark/>
          </w:tcPr>
          <w:p w14:paraId="7D1BDFD8" w14:textId="77777777" w:rsidR="00AC51E2" w:rsidRPr="00675702" w:rsidRDefault="00AC51E2" w:rsidP="004F77FE">
            <w:pPr>
              <w:spacing w:before="100" w:beforeAutospacing="1" w:after="100" w:afterAutospacing="1"/>
              <w:contextualSpacing/>
              <w:jc w:val="right"/>
              <w:rPr>
                <w:rFonts w:ascii="Arial" w:hAnsi="Arial" w:cs="Arial"/>
                <w:b/>
                <w:bCs/>
              </w:rPr>
            </w:pPr>
            <w:r w:rsidRPr="00675702">
              <w:rPr>
                <w:rFonts w:ascii="Arial" w:hAnsi="Arial"/>
                <w:b/>
                <w:bCs/>
              </w:rPr>
              <w:t>Number</w:t>
            </w:r>
            <w:r w:rsidRPr="00675702">
              <w:rPr>
                <w:rFonts w:ascii="Arial" w:hAnsi="Arial" w:cs="Arial"/>
                <w:b/>
                <w:bCs/>
              </w:rPr>
              <w:t> </w:t>
            </w:r>
          </w:p>
        </w:tc>
        <w:tc>
          <w:tcPr>
            <w:tcW w:w="1184" w:type="dxa"/>
            <w:noWrap/>
            <w:vAlign w:val="center"/>
            <w:hideMark/>
          </w:tcPr>
          <w:p w14:paraId="316757DB" w14:textId="033E6BB2" w:rsidR="00AC51E2" w:rsidRPr="00675702" w:rsidRDefault="00AC51E2" w:rsidP="004F77FE">
            <w:pPr>
              <w:spacing w:before="100" w:beforeAutospacing="1" w:after="100" w:afterAutospacing="1"/>
              <w:contextualSpacing/>
              <w:jc w:val="right"/>
              <w:rPr>
                <w:rFonts w:ascii="Arial" w:hAnsi="Arial" w:cs="Arial"/>
                <w:b/>
                <w:bCs/>
              </w:rPr>
            </w:pPr>
            <w:r w:rsidRPr="00675702">
              <w:rPr>
                <w:rFonts w:ascii="Arial" w:hAnsi="Arial"/>
                <w:b/>
                <w:bCs/>
              </w:rPr>
              <w:t xml:space="preserve">Per </w:t>
            </w:r>
            <w:r w:rsidR="00A320C5" w:rsidRPr="00675702">
              <w:rPr>
                <w:rFonts w:ascii="Arial" w:hAnsi="Arial"/>
                <w:b/>
                <w:bCs/>
              </w:rPr>
              <w:t>H</w:t>
            </w:r>
            <w:r w:rsidRPr="00675702">
              <w:rPr>
                <w:rFonts w:ascii="Arial" w:hAnsi="Arial"/>
                <w:b/>
                <w:bCs/>
              </w:rPr>
              <w:t>our</w:t>
            </w:r>
            <w:r w:rsidRPr="00675702">
              <w:rPr>
                <w:rFonts w:ascii="Arial" w:hAnsi="Arial" w:cs="Arial"/>
                <w:b/>
                <w:bCs/>
              </w:rPr>
              <w:t> </w:t>
            </w:r>
          </w:p>
        </w:tc>
        <w:tc>
          <w:tcPr>
            <w:tcW w:w="1275" w:type="dxa"/>
            <w:noWrap/>
            <w:vAlign w:val="center"/>
            <w:hideMark/>
          </w:tcPr>
          <w:p w14:paraId="64A24619" w14:textId="0CB631F5" w:rsidR="00AC51E2" w:rsidRPr="00675702" w:rsidRDefault="00AC51E2" w:rsidP="004F77FE">
            <w:pPr>
              <w:spacing w:before="100" w:beforeAutospacing="1" w:after="100" w:afterAutospacing="1"/>
              <w:contextualSpacing/>
              <w:jc w:val="right"/>
              <w:rPr>
                <w:rFonts w:ascii="Arial" w:hAnsi="Arial" w:cs="Arial"/>
                <w:b/>
                <w:bCs/>
              </w:rPr>
            </w:pPr>
            <w:r w:rsidRPr="00675702">
              <w:rPr>
                <w:rFonts w:ascii="Arial" w:hAnsi="Arial"/>
                <w:b/>
                <w:bCs/>
              </w:rPr>
              <w:t xml:space="preserve">Per </w:t>
            </w:r>
            <w:r w:rsidR="00A320C5" w:rsidRPr="00675702">
              <w:rPr>
                <w:rFonts w:ascii="Arial" w:hAnsi="Arial" w:cs="Arial"/>
                <w:b/>
                <w:bCs/>
              </w:rPr>
              <w:t>M</w:t>
            </w:r>
            <w:r w:rsidRPr="00675702">
              <w:rPr>
                <w:rFonts w:ascii="Arial" w:hAnsi="Arial" w:cs="Arial"/>
                <w:b/>
                <w:bCs/>
              </w:rPr>
              <w:t>onth</w:t>
            </w:r>
          </w:p>
        </w:tc>
        <w:tc>
          <w:tcPr>
            <w:tcW w:w="1412" w:type="dxa"/>
            <w:noWrap/>
            <w:vAlign w:val="center"/>
            <w:hideMark/>
          </w:tcPr>
          <w:p w14:paraId="4068093E" w14:textId="44A73084" w:rsidR="00AC51E2" w:rsidRPr="00675702" w:rsidRDefault="00AC51E2" w:rsidP="004F77FE">
            <w:pPr>
              <w:spacing w:before="100" w:beforeAutospacing="1" w:after="100" w:afterAutospacing="1"/>
              <w:contextualSpacing/>
              <w:jc w:val="right"/>
              <w:rPr>
                <w:rFonts w:ascii="Arial" w:hAnsi="Arial" w:cs="Arial"/>
                <w:b/>
                <w:bCs/>
              </w:rPr>
            </w:pPr>
            <w:r w:rsidRPr="00675702">
              <w:rPr>
                <w:rFonts w:ascii="Arial" w:hAnsi="Arial"/>
                <w:b/>
                <w:bCs/>
              </w:rPr>
              <w:t xml:space="preserve">Per </w:t>
            </w:r>
            <w:r w:rsidR="00A320C5" w:rsidRPr="00675702">
              <w:rPr>
                <w:rFonts w:ascii="Arial" w:hAnsi="Arial"/>
                <w:b/>
                <w:bCs/>
              </w:rPr>
              <w:t>Year</w:t>
            </w:r>
            <w:r w:rsidRPr="00675702">
              <w:rPr>
                <w:rFonts w:ascii="Arial" w:hAnsi="Arial"/>
                <w:b/>
                <w:bCs/>
              </w:rPr>
              <w:t xml:space="preserve"> </w:t>
            </w:r>
          </w:p>
        </w:tc>
      </w:tr>
      <w:tr w:rsidR="00A320C5" w:rsidRPr="00675702" w14:paraId="15818362" w14:textId="77777777" w:rsidTr="00B51F91">
        <w:trPr>
          <w:trHeight w:val="252"/>
          <w:jc w:val="center"/>
        </w:trPr>
        <w:tc>
          <w:tcPr>
            <w:tcW w:w="4002" w:type="dxa"/>
            <w:noWrap/>
            <w:vAlign w:val="center"/>
            <w:hideMark/>
          </w:tcPr>
          <w:p w14:paraId="55390AC8" w14:textId="70B78FE6"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Dentist</w:t>
            </w:r>
            <w:r w:rsidR="00A320C5" w:rsidRPr="00675702">
              <w:rPr>
                <w:rFonts w:ascii="Arial" w:hAnsi="Arial" w:cs="Arial"/>
              </w:rPr>
              <w:t xml:space="preserve"> (</w:t>
            </w:r>
            <w:r w:rsidRPr="00675702">
              <w:rPr>
                <w:rFonts w:ascii="Arial" w:hAnsi="Arial" w:cs="Arial"/>
              </w:rPr>
              <w:t>two for each clinic</w:t>
            </w:r>
            <w:r w:rsidR="00A320C5" w:rsidRPr="00675702">
              <w:rPr>
                <w:rFonts w:ascii="Arial" w:hAnsi="Arial" w:cs="Arial"/>
              </w:rPr>
              <w:t>)</w:t>
            </w:r>
          </w:p>
        </w:tc>
        <w:tc>
          <w:tcPr>
            <w:tcW w:w="1184" w:type="dxa"/>
            <w:noWrap/>
            <w:vAlign w:val="center"/>
            <w:hideMark/>
          </w:tcPr>
          <w:p w14:paraId="085F7480" w14:textId="77777777" w:rsidR="00AC51E2" w:rsidRPr="00675702" w:rsidRDefault="00AC51E2" w:rsidP="004F77FE">
            <w:pPr>
              <w:spacing w:before="100" w:beforeAutospacing="1" w:after="100" w:afterAutospacing="1"/>
              <w:contextualSpacing/>
              <w:jc w:val="center"/>
              <w:rPr>
                <w:rFonts w:ascii="Arial" w:hAnsi="Arial" w:cs="Arial"/>
              </w:rPr>
            </w:pPr>
            <w:r w:rsidRPr="00675702">
              <w:rPr>
                <w:rFonts w:ascii="Arial" w:hAnsi="Arial" w:cs="Arial"/>
              </w:rPr>
              <w:t>4</w:t>
            </w:r>
          </w:p>
        </w:tc>
        <w:tc>
          <w:tcPr>
            <w:tcW w:w="1184" w:type="dxa"/>
            <w:noWrap/>
            <w:vAlign w:val="center"/>
            <w:hideMark/>
          </w:tcPr>
          <w:p w14:paraId="5104FDCF" w14:textId="4D186164"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1.0</w:t>
            </w:r>
          </w:p>
        </w:tc>
        <w:tc>
          <w:tcPr>
            <w:tcW w:w="1275" w:type="dxa"/>
            <w:noWrap/>
            <w:vAlign w:val="center"/>
            <w:hideMark/>
          </w:tcPr>
          <w:p w14:paraId="4789C797" w14:textId="3B5D1677"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480</w:t>
            </w:r>
          </w:p>
        </w:tc>
        <w:tc>
          <w:tcPr>
            <w:tcW w:w="1412" w:type="dxa"/>
            <w:noWrap/>
            <w:vAlign w:val="center"/>
            <w:hideMark/>
          </w:tcPr>
          <w:p w14:paraId="0BBABA16" w14:textId="7D33A499"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5</w:t>
            </w:r>
            <w:r w:rsidR="00A320C5" w:rsidRPr="00675702">
              <w:rPr>
                <w:rFonts w:ascii="Arial" w:hAnsi="Arial" w:cs="Arial"/>
              </w:rPr>
              <w:t>,</w:t>
            </w:r>
            <w:r w:rsidRPr="00675702">
              <w:rPr>
                <w:rFonts w:ascii="Arial" w:hAnsi="Arial" w:cs="Arial"/>
              </w:rPr>
              <w:t>760</w:t>
            </w:r>
          </w:p>
        </w:tc>
      </w:tr>
      <w:tr w:rsidR="00A320C5" w:rsidRPr="00675702" w14:paraId="5BC69FED" w14:textId="77777777" w:rsidTr="00B51F91">
        <w:trPr>
          <w:trHeight w:val="252"/>
          <w:jc w:val="center"/>
        </w:trPr>
        <w:tc>
          <w:tcPr>
            <w:tcW w:w="4002" w:type="dxa"/>
            <w:noWrap/>
            <w:vAlign w:val="center"/>
            <w:hideMark/>
          </w:tcPr>
          <w:p w14:paraId="249A1295" w14:textId="1786FC70"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Dental hygienist</w:t>
            </w:r>
            <w:r w:rsidR="00A320C5" w:rsidRPr="00675702">
              <w:rPr>
                <w:rFonts w:ascii="Arial" w:hAnsi="Arial" w:cs="Arial"/>
              </w:rPr>
              <w:t xml:space="preserve"> (</w:t>
            </w:r>
            <w:r w:rsidRPr="00675702">
              <w:rPr>
                <w:rFonts w:ascii="Arial" w:hAnsi="Arial" w:cs="Arial"/>
              </w:rPr>
              <w:t>one for each clinic</w:t>
            </w:r>
            <w:r w:rsidR="00A320C5" w:rsidRPr="00675702">
              <w:rPr>
                <w:rFonts w:ascii="Arial" w:hAnsi="Arial" w:cs="Arial"/>
              </w:rPr>
              <w:t>)</w:t>
            </w:r>
          </w:p>
        </w:tc>
        <w:tc>
          <w:tcPr>
            <w:tcW w:w="1184" w:type="dxa"/>
            <w:noWrap/>
            <w:vAlign w:val="center"/>
            <w:hideMark/>
          </w:tcPr>
          <w:p w14:paraId="45C798A6" w14:textId="77777777" w:rsidR="00AC51E2" w:rsidRPr="00675702" w:rsidRDefault="00AC51E2" w:rsidP="004F77FE">
            <w:pPr>
              <w:spacing w:before="100" w:beforeAutospacing="1" w:after="100" w:afterAutospacing="1"/>
              <w:contextualSpacing/>
              <w:jc w:val="center"/>
              <w:rPr>
                <w:rFonts w:ascii="Arial" w:hAnsi="Arial" w:cs="Arial"/>
              </w:rPr>
            </w:pPr>
            <w:r w:rsidRPr="00675702">
              <w:rPr>
                <w:rFonts w:ascii="Arial" w:hAnsi="Arial" w:cs="Arial"/>
              </w:rPr>
              <w:t>2</w:t>
            </w:r>
          </w:p>
        </w:tc>
        <w:tc>
          <w:tcPr>
            <w:tcW w:w="1184" w:type="dxa"/>
            <w:noWrap/>
            <w:vAlign w:val="center"/>
            <w:hideMark/>
          </w:tcPr>
          <w:p w14:paraId="1537ECD4" w14:textId="308F25E9" w:rsidR="00AC51E2" w:rsidRPr="00675702" w:rsidRDefault="00A320C5" w:rsidP="004F77FE">
            <w:pPr>
              <w:spacing w:before="100" w:beforeAutospacing="1" w:after="100" w:afterAutospacing="1"/>
              <w:contextualSpacing/>
              <w:jc w:val="right"/>
              <w:rPr>
                <w:rFonts w:ascii="Arial" w:hAnsi="Arial" w:cs="Arial"/>
              </w:rPr>
            </w:pPr>
            <w:r w:rsidRPr="00675702">
              <w:rPr>
                <w:rFonts w:ascii="Arial" w:hAnsi="Arial" w:cs="Arial"/>
              </w:rPr>
              <w:t>0</w:t>
            </w:r>
            <w:r w:rsidR="00AC51E2" w:rsidRPr="00675702">
              <w:rPr>
                <w:rFonts w:ascii="Arial" w:hAnsi="Arial" w:cs="Arial"/>
              </w:rPr>
              <w:t>.5</w:t>
            </w:r>
          </w:p>
        </w:tc>
        <w:tc>
          <w:tcPr>
            <w:tcW w:w="1275" w:type="dxa"/>
            <w:noWrap/>
            <w:vAlign w:val="center"/>
            <w:hideMark/>
          </w:tcPr>
          <w:p w14:paraId="1D85304C" w14:textId="7EAE3195"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120</w:t>
            </w:r>
          </w:p>
        </w:tc>
        <w:tc>
          <w:tcPr>
            <w:tcW w:w="1412" w:type="dxa"/>
            <w:noWrap/>
            <w:vAlign w:val="center"/>
            <w:hideMark/>
          </w:tcPr>
          <w:p w14:paraId="199A9EB1" w14:textId="7BB12E71"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w:t>
            </w:r>
            <w:r w:rsidR="00A320C5" w:rsidRPr="00675702">
              <w:rPr>
                <w:rFonts w:ascii="Arial" w:hAnsi="Arial" w:cs="Arial"/>
              </w:rPr>
              <w:t>,</w:t>
            </w:r>
            <w:r w:rsidRPr="00675702">
              <w:rPr>
                <w:rFonts w:ascii="Arial" w:hAnsi="Arial" w:cs="Arial"/>
              </w:rPr>
              <w:t>440</w:t>
            </w:r>
          </w:p>
        </w:tc>
      </w:tr>
      <w:tr w:rsidR="00A320C5" w:rsidRPr="00675702" w14:paraId="02298D16" w14:textId="77777777" w:rsidTr="00B51F91">
        <w:trPr>
          <w:trHeight w:val="252"/>
          <w:jc w:val="center"/>
        </w:trPr>
        <w:tc>
          <w:tcPr>
            <w:tcW w:w="4002" w:type="dxa"/>
            <w:noWrap/>
            <w:vAlign w:val="center"/>
            <w:hideMark/>
          </w:tcPr>
          <w:p w14:paraId="6DF226B4" w14:textId="23169C4C"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Dental therapist</w:t>
            </w:r>
            <w:r w:rsidR="00A320C5" w:rsidRPr="00675702">
              <w:rPr>
                <w:rFonts w:ascii="Arial" w:hAnsi="Arial" w:cs="Arial"/>
              </w:rPr>
              <w:t xml:space="preserve"> (</w:t>
            </w:r>
            <w:r w:rsidRPr="00675702">
              <w:rPr>
                <w:rFonts w:ascii="Arial" w:hAnsi="Arial" w:cs="Arial"/>
              </w:rPr>
              <w:t>one for each clinic</w:t>
            </w:r>
            <w:r w:rsidR="00A320C5" w:rsidRPr="00675702">
              <w:rPr>
                <w:rFonts w:ascii="Arial" w:hAnsi="Arial" w:cs="Arial"/>
              </w:rPr>
              <w:t>)</w:t>
            </w:r>
          </w:p>
        </w:tc>
        <w:tc>
          <w:tcPr>
            <w:tcW w:w="1184" w:type="dxa"/>
            <w:noWrap/>
            <w:vAlign w:val="center"/>
            <w:hideMark/>
          </w:tcPr>
          <w:p w14:paraId="7DC3BEE6" w14:textId="77777777" w:rsidR="00AC51E2" w:rsidRPr="00675702" w:rsidRDefault="00AC51E2" w:rsidP="004F77FE">
            <w:pPr>
              <w:spacing w:before="100" w:beforeAutospacing="1" w:after="100" w:afterAutospacing="1"/>
              <w:contextualSpacing/>
              <w:jc w:val="center"/>
              <w:rPr>
                <w:rFonts w:ascii="Arial" w:hAnsi="Arial" w:cs="Arial"/>
              </w:rPr>
            </w:pPr>
            <w:r w:rsidRPr="00675702">
              <w:rPr>
                <w:rFonts w:ascii="Arial" w:hAnsi="Arial" w:cs="Arial"/>
              </w:rPr>
              <w:t>2</w:t>
            </w:r>
          </w:p>
        </w:tc>
        <w:tc>
          <w:tcPr>
            <w:tcW w:w="1184" w:type="dxa"/>
            <w:noWrap/>
            <w:vAlign w:val="center"/>
            <w:hideMark/>
          </w:tcPr>
          <w:p w14:paraId="597F72F7" w14:textId="3576D166" w:rsidR="00AC51E2" w:rsidRPr="00675702" w:rsidRDefault="00A320C5" w:rsidP="004F77FE">
            <w:pPr>
              <w:spacing w:before="100" w:beforeAutospacing="1" w:after="100" w:afterAutospacing="1"/>
              <w:contextualSpacing/>
              <w:jc w:val="right"/>
              <w:rPr>
                <w:rFonts w:ascii="Arial" w:hAnsi="Arial" w:cs="Arial"/>
              </w:rPr>
            </w:pPr>
            <w:r w:rsidRPr="00675702">
              <w:rPr>
                <w:rFonts w:ascii="Arial" w:hAnsi="Arial" w:cs="Arial"/>
              </w:rPr>
              <w:t>0</w:t>
            </w:r>
            <w:r w:rsidR="00AC51E2" w:rsidRPr="00675702">
              <w:rPr>
                <w:rFonts w:ascii="Arial" w:hAnsi="Arial" w:cs="Arial"/>
              </w:rPr>
              <w:t>.5</w:t>
            </w:r>
          </w:p>
        </w:tc>
        <w:tc>
          <w:tcPr>
            <w:tcW w:w="1275" w:type="dxa"/>
            <w:noWrap/>
            <w:vAlign w:val="center"/>
            <w:hideMark/>
          </w:tcPr>
          <w:p w14:paraId="096A5FDA" w14:textId="2A4BFBF7"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120</w:t>
            </w:r>
          </w:p>
        </w:tc>
        <w:tc>
          <w:tcPr>
            <w:tcW w:w="1412" w:type="dxa"/>
            <w:noWrap/>
            <w:vAlign w:val="center"/>
            <w:hideMark/>
          </w:tcPr>
          <w:p w14:paraId="50EBD3CF" w14:textId="400DF844"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w:t>
            </w:r>
            <w:r w:rsidR="00A320C5" w:rsidRPr="00675702">
              <w:rPr>
                <w:rFonts w:ascii="Arial" w:hAnsi="Arial" w:cs="Arial"/>
              </w:rPr>
              <w:t>,</w:t>
            </w:r>
            <w:r w:rsidRPr="00675702">
              <w:rPr>
                <w:rFonts w:ascii="Arial" w:hAnsi="Arial" w:cs="Arial"/>
              </w:rPr>
              <w:t>440</w:t>
            </w:r>
          </w:p>
        </w:tc>
      </w:tr>
      <w:tr w:rsidR="00A320C5" w:rsidRPr="00675702" w14:paraId="601DFBFD" w14:textId="77777777" w:rsidTr="00B51F91">
        <w:trPr>
          <w:trHeight w:val="252"/>
          <w:jc w:val="center"/>
        </w:trPr>
        <w:tc>
          <w:tcPr>
            <w:tcW w:w="4002" w:type="dxa"/>
            <w:noWrap/>
            <w:vAlign w:val="center"/>
            <w:hideMark/>
          </w:tcPr>
          <w:p w14:paraId="0F163327" w14:textId="7E881D22"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Dental nurse</w:t>
            </w:r>
            <w:r w:rsidR="00A320C5" w:rsidRPr="00675702">
              <w:rPr>
                <w:rFonts w:ascii="Arial" w:hAnsi="Arial" w:cs="Arial"/>
              </w:rPr>
              <w:t xml:space="preserve"> (</w:t>
            </w:r>
            <w:r w:rsidRPr="00675702">
              <w:rPr>
                <w:rFonts w:ascii="Arial" w:hAnsi="Arial" w:cs="Arial"/>
              </w:rPr>
              <w:t>one for each clinic</w:t>
            </w:r>
            <w:r w:rsidR="00A320C5" w:rsidRPr="00675702">
              <w:rPr>
                <w:rFonts w:ascii="Arial" w:hAnsi="Arial" w:cs="Arial"/>
              </w:rPr>
              <w:t>)</w:t>
            </w:r>
          </w:p>
        </w:tc>
        <w:tc>
          <w:tcPr>
            <w:tcW w:w="1184" w:type="dxa"/>
            <w:noWrap/>
            <w:vAlign w:val="center"/>
            <w:hideMark/>
          </w:tcPr>
          <w:p w14:paraId="61B50E73" w14:textId="77777777" w:rsidR="00AC51E2" w:rsidRPr="00675702" w:rsidRDefault="00AC51E2" w:rsidP="004F77FE">
            <w:pPr>
              <w:spacing w:before="100" w:beforeAutospacing="1" w:after="100" w:afterAutospacing="1"/>
              <w:contextualSpacing/>
              <w:jc w:val="center"/>
              <w:rPr>
                <w:rFonts w:ascii="Arial" w:hAnsi="Arial" w:cs="Arial"/>
              </w:rPr>
            </w:pPr>
            <w:r w:rsidRPr="00675702">
              <w:rPr>
                <w:rFonts w:ascii="Arial" w:hAnsi="Arial" w:cs="Arial"/>
              </w:rPr>
              <w:t>2</w:t>
            </w:r>
          </w:p>
        </w:tc>
        <w:tc>
          <w:tcPr>
            <w:tcW w:w="1184" w:type="dxa"/>
            <w:noWrap/>
            <w:vAlign w:val="center"/>
            <w:hideMark/>
          </w:tcPr>
          <w:p w14:paraId="79F833DB" w14:textId="46D2A3A7" w:rsidR="00AC51E2" w:rsidRPr="00675702" w:rsidRDefault="00A320C5" w:rsidP="004F77FE">
            <w:pPr>
              <w:spacing w:before="100" w:beforeAutospacing="1" w:after="100" w:afterAutospacing="1"/>
              <w:contextualSpacing/>
              <w:jc w:val="right"/>
              <w:rPr>
                <w:rFonts w:ascii="Arial" w:hAnsi="Arial" w:cs="Arial"/>
              </w:rPr>
            </w:pPr>
            <w:r w:rsidRPr="00675702">
              <w:rPr>
                <w:rFonts w:ascii="Arial" w:hAnsi="Arial" w:cs="Arial"/>
              </w:rPr>
              <w:t>0</w:t>
            </w:r>
            <w:r w:rsidR="00AC51E2" w:rsidRPr="00675702">
              <w:rPr>
                <w:rFonts w:ascii="Arial" w:hAnsi="Arial" w:cs="Arial"/>
              </w:rPr>
              <w:t>.3</w:t>
            </w:r>
          </w:p>
        </w:tc>
        <w:tc>
          <w:tcPr>
            <w:tcW w:w="1275" w:type="dxa"/>
            <w:noWrap/>
            <w:vAlign w:val="center"/>
            <w:hideMark/>
          </w:tcPr>
          <w:p w14:paraId="41EA4FD8" w14:textId="19DD12B7"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72</w:t>
            </w:r>
          </w:p>
        </w:tc>
        <w:tc>
          <w:tcPr>
            <w:tcW w:w="1412" w:type="dxa"/>
            <w:noWrap/>
            <w:vAlign w:val="center"/>
            <w:hideMark/>
          </w:tcPr>
          <w:p w14:paraId="5505F1E7" w14:textId="5123B02D"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864</w:t>
            </w:r>
          </w:p>
        </w:tc>
      </w:tr>
      <w:tr w:rsidR="00A320C5" w:rsidRPr="00675702" w14:paraId="42ED4D1F" w14:textId="77777777" w:rsidTr="00B51F91">
        <w:trPr>
          <w:trHeight w:val="252"/>
          <w:jc w:val="center"/>
        </w:trPr>
        <w:tc>
          <w:tcPr>
            <w:tcW w:w="4002" w:type="dxa"/>
            <w:noWrap/>
            <w:vAlign w:val="center"/>
            <w:hideMark/>
          </w:tcPr>
          <w:p w14:paraId="79590747" w14:textId="6B53F636"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Dental technician</w:t>
            </w:r>
            <w:r w:rsidR="00A320C5" w:rsidRPr="00675702">
              <w:rPr>
                <w:rFonts w:ascii="Arial" w:hAnsi="Arial" w:cs="Arial"/>
              </w:rPr>
              <w:t xml:space="preserve"> (</w:t>
            </w:r>
            <w:r w:rsidRPr="00675702">
              <w:rPr>
                <w:rFonts w:ascii="Arial" w:hAnsi="Arial" w:cs="Arial"/>
              </w:rPr>
              <w:t>one for both clinics</w:t>
            </w:r>
            <w:r w:rsidR="00A320C5" w:rsidRPr="00675702">
              <w:rPr>
                <w:rFonts w:ascii="Arial" w:hAnsi="Arial" w:cs="Arial"/>
              </w:rPr>
              <w:t>)</w:t>
            </w:r>
          </w:p>
        </w:tc>
        <w:tc>
          <w:tcPr>
            <w:tcW w:w="1184" w:type="dxa"/>
            <w:noWrap/>
            <w:vAlign w:val="center"/>
            <w:hideMark/>
          </w:tcPr>
          <w:p w14:paraId="67791DFC" w14:textId="77777777" w:rsidR="00AC51E2" w:rsidRPr="00675702" w:rsidRDefault="00AC51E2" w:rsidP="004F77FE">
            <w:pPr>
              <w:spacing w:before="100" w:beforeAutospacing="1" w:after="100" w:afterAutospacing="1"/>
              <w:contextualSpacing/>
              <w:jc w:val="center"/>
              <w:rPr>
                <w:rFonts w:ascii="Arial" w:hAnsi="Arial" w:cs="Arial"/>
              </w:rPr>
            </w:pPr>
            <w:r w:rsidRPr="00675702">
              <w:rPr>
                <w:rFonts w:ascii="Arial" w:hAnsi="Arial" w:cs="Arial"/>
              </w:rPr>
              <w:t>1</w:t>
            </w:r>
          </w:p>
        </w:tc>
        <w:tc>
          <w:tcPr>
            <w:tcW w:w="1184" w:type="dxa"/>
            <w:noWrap/>
            <w:vAlign w:val="center"/>
            <w:hideMark/>
          </w:tcPr>
          <w:p w14:paraId="2C803BAB" w14:textId="0F197659" w:rsidR="00AC51E2" w:rsidRPr="00675702" w:rsidRDefault="00A320C5" w:rsidP="004F77FE">
            <w:pPr>
              <w:spacing w:before="100" w:beforeAutospacing="1" w:after="100" w:afterAutospacing="1"/>
              <w:contextualSpacing/>
              <w:jc w:val="right"/>
              <w:rPr>
                <w:rFonts w:ascii="Arial" w:hAnsi="Arial" w:cs="Arial"/>
              </w:rPr>
            </w:pPr>
            <w:r w:rsidRPr="00675702">
              <w:rPr>
                <w:rFonts w:ascii="Arial" w:hAnsi="Arial" w:cs="Arial"/>
              </w:rPr>
              <w:t>0</w:t>
            </w:r>
            <w:r w:rsidR="00AC51E2" w:rsidRPr="00675702">
              <w:rPr>
                <w:rFonts w:ascii="Arial" w:hAnsi="Arial" w:cs="Arial"/>
              </w:rPr>
              <w:t>.1</w:t>
            </w:r>
          </w:p>
        </w:tc>
        <w:tc>
          <w:tcPr>
            <w:tcW w:w="1275" w:type="dxa"/>
            <w:noWrap/>
            <w:vAlign w:val="center"/>
            <w:hideMark/>
          </w:tcPr>
          <w:p w14:paraId="4E7DD0E8" w14:textId="5EDDEA34"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12</w:t>
            </w:r>
          </w:p>
        </w:tc>
        <w:tc>
          <w:tcPr>
            <w:tcW w:w="1412" w:type="dxa"/>
            <w:noWrap/>
            <w:vAlign w:val="center"/>
            <w:hideMark/>
          </w:tcPr>
          <w:p w14:paraId="4BC4408D" w14:textId="026EBDBD"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144</w:t>
            </w:r>
          </w:p>
        </w:tc>
      </w:tr>
    </w:tbl>
    <w:p w14:paraId="38D70BA4" w14:textId="77777777" w:rsidR="00B62DDC" w:rsidRPr="009A7DDE" w:rsidRDefault="00B62DDC" w:rsidP="00B62DDC">
      <w:pPr>
        <w:pStyle w:val="ExhibitText"/>
        <w:rPr>
          <w:rFonts w:ascii="Times New Roman" w:hAnsi="Times New Roman" w:cs="Times New Roman"/>
          <w:sz w:val="22"/>
          <w:szCs w:val="22"/>
        </w:rPr>
      </w:pPr>
    </w:p>
    <w:p w14:paraId="37EC6C16" w14:textId="748FE07F" w:rsidR="00AC51E2" w:rsidRPr="00675702" w:rsidRDefault="00A320C5" w:rsidP="00B62DDC">
      <w:pPr>
        <w:pStyle w:val="Footnote"/>
      </w:pPr>
      <w:r w:rsidRPr="00675702">
        <w:t xml:space="preserve">Note: </w:t>
      </w:r>
      <w:r w:rsidR="00AC51E2" w:rsidRPr="00675702">
        <w:t xml:space="preserve">Medical staff </w:t>
      </w:r>
      <w:r w:rsidRPr="00675702">
        <w:t>paid</w:t>
      </w:r>
      <w:r w:rsidR="00AC51E2" w:rsidRPr="00675702">
        <w:t xml:space="preserve"> hourly</w:t>
      </w:r>
      <w:r w:rsidRPr="00675702">
        <w:t xml:space="preserve"> wages,</w:t>
      </w:r>
      <w:r w:rsidR="00AC51E2" w:rsidRPr="00675702">
        <w:t xml:space="preserve"> bas</w:t>
      </w:r>
      <w:r w:rsidRPr="00675702">
        <w:t>ed on</w:t>
      </w:r>
      <w:r w:rsidR="00AC51E2" w:rsidRPr="00675702">
        <w:t xml:space="preserve"> </w:t>
      </w:r>
      <w:r w:rsidRPr="00675702">
        <w:t xml:space="preserve">the clinics operating </w:t>
      </w:r>
      <w:r w:rsidR="00AC51E2" w:rsidRPr="00675702">
        <w:t xml:space="preserve">30 hours </w:t>
      </w:r>
      <w:r w:rsidRPr="00675702">
        <w:t>per</w:t>
      </w:r>
      <w:r w:rsidR="00AC51E2" w:rsidRPr="00675702">
        <w:t xml:space="preserve"> week, four weeks </w:t>
      </w:r>
      <w:r w:rsidRPr="00675702">
        <w:t>per</w:t>
      </w:r>
      <w:r w:rsidR="00AC51E2" w:rsidRPr="00675702">
        <w:t xml:space="preserve"> month, and 48 weeks </w:t>
      </w:r>
      <w:r w:rsidRPr="00675702">
        <w:t>per</w:t>
      </w:r>
      <w:r w:rsidR="00AC51E2" w:rsidRPr="00675702">
        <w:t xml:space="preserve"> year</w:t>
      </w:r>
      <w:r w:rsidR="0052012B" w:rsidRPr="00675702">
        <w:t>; ₹ = INR = Indian rupee; US$1 = ₹75.69 on May 1, 2020.</w:t>
      </w:r>
    </w:p>
    <w:p w14:paraId="4B995CDD" w14:textId="77777777" w:rsidR="00A320C5" w:rsidRPr="00675702" w:rsidRDefault="00A320C5" w:rsidP="00A320C5">
      <w:pPr>
        <w:pStyle w:val="Footnote"/>
      </w:pPr>
      <w:r w:rsidRPr="00675702">
        <w:t>Source: Company information.</w:t>
      </w:r>
    </w:p>
    <w:p w14:paraId="6D21FAA4" w14:textId="77777777" w:rsidR="00A320C5" w:rsidRPr="009A7DDE" w:rsidRDefault="00A320C5" w:rsidP="00B62DDC">
      <w:pPr>
        <w:pStyle w:val="Footnote"/>
        <w:rPr>
          <w:rFonts w:ascii="Times New Roman" w:hAnsi="Times New Roman" w:cs="Times New Roman"/>
          <w:sz w:val="22"/>
          <w:szCs w:val="22"/>
        </w:rPr>
      </w:pPr>
    </w:p>
    <w:p w14:paraId="03FB63C9" w14:textId="77777777" w:rsidR="00AC51E2" w:rsidRPr="009A7DDE" w:rsidRDefault="00AC51E2" w:rsidP="00B62DDC">
      <w:pPr>
        <w:pStyle w:val="ExhibitText"/>
        <w:rPr>
          <w:rFonts w:ascii="Times New Roman" w:hAnsi="Times New Roman" w:cs="Times New Roman"/>
          <w:sz w:val="22"/>
          <w:szCs w:val="22"/>
        </w:rPr>
      </w:pPr>
    </w:p>
    <w:p w14:paraId="5E2FB6B0" w14:textId="2CE6587D" w:rsidR="00B62DDC" w:rsidRPr="00675702" w:rsidRDefault="00B62DDC">
      <w:pPr>
        <w:spacing w:after="200" w:line="276" w:lineRule="auto"/>
        <w:rPr>
          <w:rFonts w:ascii="Arial" w:hAnsi="Arial" w:cs="Arial"/>
        </w:rPr>
      </w:pPr>
      <w:r w:rsidRPr="00675702">
        <w:br w:type="page"/>
      </w:r>
    </w:p>
    <w:p w14:paraId="67805F44" w14:textId="2E469BC1" w:rsidR="00AC51E2" w:rsidRPr="00675702" w:rsidRDefault="00AC51E2" w:rsidP="00B62DDC">
      <w:pPr>
        <w:pStyle w:val="ExhibitHeading"/>
      </w:pPr>
      <w:r w:rsidRPr="00675702">
        <w:lastRenderedPageBreak/>
        <w:t>EXHIBIT 3: MEDICAL EQUIPMENT</w:t>
      </w:r>
    </w:p>
    <w:p w14:paraId="65D216E6" w14:textId="77777777" w:rsidR="00B62DDC" w:rsidRPr="00675702" w:rsidRDefault="00B62DDC" w:rsidP="00B62DDC">
      <w:pPr>
        <w:pStyle w:val="ExhibitHeading"/>
      </w:pPr>
    </w:p>
    <w:tbl>
      <w:tblPr>
        <w:tblStyle w:val="TableGrid"/>
        <w:tblW w:w="9355" w:type="dxa"/>
        <w:jc w:val="center"/>
        <w:tblLayout w:type="fixed"/>
        <w:tblCellMar>
          <w:top w:w="58" w:type="dxa"/>
          <w:bottom w:w="58" w:type="dxa"/>
        </w:tblCellMar>
        <w:tblLook w:val="04A0" w:firstRow="1" w:lastRow="0" w:firstColumn="1" w:lastColumn="0" w:noHBand="0" w:noVBand="1"/>
      </w:tblPr>
      <w:tblGrid>
        <w:gridCol w:w="2250"/>
        <w:gridCol w:w="1705"/>
        <w:gridCol w:w="5400"/>
      </w:tblGrid>
      <w:tr w:rsidR="00AC51E2" w:rsidRPr="00675702" w14:paraId="67D77EE1" w14:textId="77777777" w:rsidTr="00850A6B">
        <w:trPr>
          <w:trHeight w:val="327"/>
          <w:jc w:val="center"/>
        </w:trPr>
        <w:tc>
          <w:tcPr>
            <w:tcW w:w="2250" w:type="dxa"/>
            <w:vAlign w:val="center"/>
          </w:tcPr>
          <w:p w14:paraId="42D3B208" w14:textId="793DDA94" w:rsidR="00AC51E2" w:rsidRPr="00675702" w:rsidRDefault="002127F6" w:rsidP="00850A6B">
            <w:pPr>
              <w:spacing w:before="100" w:beforeAutospacing="1" w:after="100" w:afterAutospacing="1"/>
              <w:contextualSpacing/>
              <w:rPr>
                <w:rFonts w:ascii="Arial" w:hAnsi="Arial"/>
                <w:b/>
                <w:bCs/>
              </w:rPr>
            </w:pPr>
            <w:r w:rsidRPr="00675702">
              <w:rPr>
                <w:rFonts w:ascii="Arial" w:hAnsi="Arial"/>
                <w:b/>
                <w:bCs/>
              </w:rPr>
              <w:t>M</w:t>
            </w:r>
            <w:r w:rsidR="00AC51E2" w:rsidRPr="00675702">
              <w:rPr>
                <w:rFonts w:ascii="Arial" w:hAnsi="Arial" w:cs="Arial"/>
                <w:b/>
                <w:bCs/>
              </w:rPr>
              <w:t xml:space="preserve">edical </w:t>
            </w:r>
            <w:r w:rsidRPr="00675702">
              <w:rPr>
                <w:rFonts w:ascii="Arial" w:hAnsi="Arial" w:cs="Arial"/>
                <w:b/>
                <w:bCs/>
              </w:rPr>
              <w:t>E</w:t>
            </w:r>
            <w:r w:rsidR="00AC51E2" w:rsidRPr="00675702">
              <w:rPr>
                <w:rFonts w:ascii="Arial" w:hAnsi="Arial" w:cs="Arial"/>
                <w:b/>
                <w:bCs/>
              </w:rPr>
              <w:t>quipment</w:t>
            </w:r>
          </w:p>
        </w:tc>
        <w:tc>
          <w:tcPr>
            <w:tcW w:w="1705" w:type="dxa"/>
            <w:vAlign w:val="center"/>
          </w:tcPr>
          <w:p w14:paraId="4E61C030" w14:textId="54F748D0" w:rsidR="00AC51E2" w:rsidRPr="00675702" w:rsidRDefault="002127F6" w:rsidP="004F77FE">
            <w:pPr>
              <w:spacing w:before="100" w:beforeAutospacing="1" w:after="100" w:afterAutospacing="1"/>
              <w:contextualSpacing/>
              <w:jc w:val="center"/>
              <w:rPr>
                <w:rFonts w:ascii="Arial" w:hAnsi="Arial"/>
                <w:b/>
                <w:bCs/>
              </w:rPr>
            </w:pPr>
            <w:r w:rsidRPr="00675702">
              <w:rPr>
                <w:rFonts w:ascii="Arial" w:hAnsi="Arial"/>
                <w:b/>
                <w:bCs/>
              </w:rPr>
              <w:t>Cost</w:t>
            </w:r>
          </w:p>
          <w:p w14:paraId="1716BEC4" w14:textId="521597D9" w:rsidR="00AC51E2" w:rsidRPr="00675702" w:rsidRDefault="00AC51E2" w:rsidP="004F77FE">
            <w:pPr>
              <w:spacing w:before="100" w:beforeAutospacing="1" w:after="100" w:afterAutospacing="1"/>
              <w:contextualSpacing/>
              <w:jc w:val="center"/>
              <w:rPr>
                <w:rFonts w:ascii="Arial" w:hAnsi="Arial"/>
                <w:b/>
                <w:bCs/>
              </w:rPr>
            </w:pPr>
            <w:r w:rsidRPr="00675702">
              <w:rPr>
                <w:rFonts w:ascii="Arial" w:hAnsi="Arial"/>
                <w:b/>
                <w:bCs/>
              </w:rPr>
              <w:t>(</w:t>
            </w:r>
            <w:r w:rsidR="002127F6" w:rsidRPr="00675702">
              <w:rPr>
                <w:rFonts w:ascii="Arial" w:hAnsi="Arial"/>
                <w:b/>
                <w:bCs/>
              </w:rPr>
              <w:t xml:space="preserve">₹ </w:t>
            </w:r>
            <w:r w:rsidR="008E4BA2" w:rsidRPr="00675702">
              <w:rPr>
                <w:rFonts w:ascii="Arial" w:hAnsi="Arial"/>
                <w:b/>
                <w:bCs/>
              </w:rPr>
              <w:t>Thousands</w:t>
            </w:r>
            <w:r w:rsidRPr="00675702">
              <w:rPr>
                <w:rFonts w:ascii="Arial" w:hAnsi="Arial"/>
                <w:b/>
                <w:bCs/>
              </w:rPr>
              <w:t>)</w:t>
            </w:r>
          </w:p>
        </w:tc>
        <w:tc>
          <w:tcPr>
            <w:tcW w:w="5400" w:type="dxa"/>
            <w:vAlign w:val="center"/>
          </w:tcPr>
          <w:p w14:paraId="5EA12A10" w14:textId="77777777" w:rsidR="00AC51E2" w:rsidRPr="00675702" w:rsidRDefault="00AC51E2" w:rsidP="004F77FE">
            <w:pPr>
              <w:spacing w:before="100" w:beforeAutospacing="1" w:after="100" w:afterAutospacing="1"/>
              <w:contextualSpacing/>
              <w:jc w:val="center"/>
              <w:rPr>
                <w:rFonts w:ascii="Arial" w:hAnsi="Arial"/>
                <w:b/>
                <w:bCs/>
              </w:rPr>
            </w:pPr>
            <w:r w:rsidRPr="00675702">
              <w:rPr>
                <w:rFonts w:ascii="Arial" w:hAnsi="Arial"/>
                <w:b/>
                <w:bCs/>
              </w:rPr>
              <w:t>Remarks</w:t>
            </w:r>
          </w:p>
        </w:tc>
      </w:tr>
      <w:tr w:rsidR="00AC51E2" w:rsidRPr="00675702" w14:paraId="57903862" w14:textId="77777777" w:rsidTr="00B51F91">
        <w:trPr>
          <w:trHeight w:val="360"/>
          <w:jc w:val="center"/>
        </w:trPr>
        <w:tc>
          <w:tcPr>
            <w:tcW w:w="2250" w:type="dxa"/>
          </w:tcPr>
          <w:p w14:paraId="512B5A20" w14:textId="77777777"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Dental chair</w:t>
            </w:r>
          </w:p>
        </w:tc>
        <w:tc>
          <w:tcPr>
            <w:tcW w:w="1705" w:type="dxa"/>
          </w:tcPr>
          <w:p w14:paraId="072D560B" w14:textId="5CD3E092"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700</w:t>
            </w:r>
          </w:p>
        </w:tc>
        <w:tc>
          <w:tcPr>
            <w:tcW w:w="5400" w:type="dxa"/>
          </w:tcPr>
          <w:p w14:paraId="714AA45B" w14:textId="626E07A0" w:rsidR="00AC51E2" w:rsidRPr="00675702" w:rsidRDefault="00AC51E2" w:rsidP="004F77FE">
            <w:pPr>
              <w:jc w:val="both"/>
              <w:rPr>
                <w:rFonts w:ascii="Arial" w:hAnsi="Arial" w:cs="Arial"/>
              </w:rPr>
            </w:pPr>
            <w:r w:rsidRPr="00675702">
              <w:rPr>
                <w:rFonts w:ascii="Arial" w:hAnsi="Arial" w:cs="Arial"/>
              </w:rPr>
              <w:t>Two dental chairs per clinic</w:t>
            </w:r>
            <w:r w:rsidR="00A5590A" w:rsidRPr="00675702">
              <w:rPr>
                <w:rFonts w:ascii="Arial" w:hAnsi="Arial" w:cs="Arial"/>
              </w:rPr>
              <w:t>;</w:t>
            </w:r>
            <w:r w:rsidRPr="00675702">
              <w:rPr>
                <w:rFonts w:ascii="Arial" w:hAnsi="Arial" w:cs="Arial"/>
              </w:rPr>
              <w:t xml:space="preserve"> 50</w:t>
            </w:r>
            <w:r w:rsidR="00705C50" w:rsidRPr="00675702">
              <w:rPr>
                <w:rFonts w:ascii="Arial" w:hAnsi="Arial" w:cs="Arial"/>
              </w:rPr>
              <w:t>%</w:t>
            </w:r>
            <w:r w:rsidRPr="00675702">
              <w:rPr>
                <w:rFonts w:ascii="Arial" w:hAnsi="Arial" w:cs="Arial"/>
              </w:rPr>
              <w:t xml:space="preserve"> of cost paid in cash in 2019</w:t>
            </w:r>
            <w:r w:rsidR="00A5590A" w:rsidRPr="00675702">
              <w:rPr>
                <w:rFonts w:ascii="Arial" w:hAnsi="Arial" w:cs="Arial"/>
              </w:rPr>
              <w:t>;</w:t>
            </w:r>
            <w:r w:rsidRPr="00675702">
              <w:rPr>
                <w:rFonts w:ascii="Arial" w:hAnsi="Arial" w:cs="Arial"/>
              </w:rPr>
              <w:t xml:space="preserve"> remaining balance </w:t>
            </w:r>
            <w:r w:rsidR="00A5590A" w:rsidRPr="00675702">
              <w:rPr>
                <w:rFonts w:ascii="Arial" w:hAnsi="Arial" w:cs="Arial"/>
              </w:rPr>
              <w:t xml:space="preserve">paid </w:t>
            </w:r>
            <w:r w:rsidRPr="00675702">
              <w:rPr>
                <w:rFonts w:ascii="Arial" w:hAnsi="Arial" w:cs="Arial"/>
              </w:rPr>
              <w:t>in 2020</w:t>
            </w:r>
            <w:r w:rsidR="00A5590A" w:rsidRPr="00675702">
              <w:rPr>
                <w:rFonts w:ascii="Arial" w:hAnsi="Arial" w:cs="Arial"/>
              </w:rPr>
              <w:t>; e</w:t>
            </w:r>
            <w:r w:rsidRPr="00675702">
              <w:rPr>
                <w:rFonts w:ascii="Arial" w:hAnsi="Arial" w:cs="Arial"/>
              </w:rPr>
              <w:t xml:space="preserve">xpected use life </w:t>
            </w:r>
            <w:r w:rsidR="00A5590A" w:rsidRPr="00675702">
              <w:rPr>
                <w:rFonts w:ascii="Arial" w:hAnsi="Arial" w:cs="Arial"/>
              </w:rPr>
              <w:t>of</w:t>
            </w:r>
            <w:r w:rsidRPr="00675702">
              <w:rPr>
                <w:rFonts w:ascii="Arial" w:hAnsi="Arial" w:cs="Arial"/>
              </w:rPr>
              <w:t xml:space="preserve"> 20 years</w:t>
            </w:r>
            <w:r w:rsidR="009A7DDE">
              <w:rPr>
                <w:rFonts w:ascii="Arial" w:hAnsi="Arial" w:cs="Arial"/>
              </w:rPr>
              <w:t>.</w:t>
            </w:r>
          </w:p>
        </w:tc>
      </w:tr>
      <w:tr w:rsidR="00AC51E2" w:rsidRPr="00675702" w14:paraId="5F32A056" w14:textId="77777777" w:rsidTr="00B51F91">
        <w:trPr>
          <w:trHeight w:val="464"/>
          <w:jc w:val="center"/>
        </w:trPr>
        <w:tc>
          <w:tcPr>
            <w:tcW w:w="2250" w:type="dxa"/>
          </w:tcPr>
          <w:p w14:paraId="52CFF539" w14:textId="121B7FCD" w:rsidR="00AC51E2" w:rsidRPr="00675702" w:rsidRDefault="00AC51E2" w:rsidP="004F77FE">
            <w:pPr>
              <w:spacing w:before="100" w:beforeAutospacing="1" w:after="100" w:afterAutospacing="1"/>
              <w:contextualSpacing/>
              <w:rPr>
                <w:rFonts w:ascii="Arial" w:hAnsi="Arial" w:cs="Arial"/>
              </w:rPr>
            </w:pPr>
            <w:r w:rsidRPr="00675702">
              <w:rPr>
                <w:rFonts w:ascii="Arial" w:hAnsi="Arial" w:cs="Arial"/>
              </w:rPr>
              <w:t>X-ray unit</w:t>
            </w:r>
          </w:p>
        </w:tc>
        <w:tc>
          <w:tcPr>
            <w:tcW w:w="1705" w:type="dxa"/>
          </w:tcPr>
          <w:p w14:paraId="0EFF5B95" w14:textId="4402A534"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320</w:t>
            </w:r>
          </w:p>
        </w:tc>
        <w:tc>
          <w:tcPr>
            <w:tcW w:w="5400" w:type="dxa"/>
          </w:tcPr>
          <w:p w14:paraId="75692EBB" w14:textId="429B7F43" w:rsidR="00AC51E2" w:rsidRPr="00675702" w:rsidRDefault="00AC51E2" w:rsidP="004F77FE">
            <w:pPr>
              <w:jc w:val="both"/>
              <w:rPr>
                <w:rFonts w:ascii="Arial" w:hAnsi="Arial" w:cs="Arial"/>
              </w:rPr>
            </w:pPr>
            <w:r w:rsidRPr="00675702">
              <w:rPr>
                <w:rFonts w:ascii="Arial" w:hAnsi="Arial" w:cs="Arial"/>
              </w:rPr>
              <w:t>One unit for both clinics</w:t>
            </w:r>
            <w:r w:rsidR="00A5590A" w:rsidRPr="00675702">
              <w:rPr>
                <w:rFonts w:ascii="Arial" w:hAnsi="Arial" w:cs="Arial"/>
              </w:rPr>
              <w:t>;</w:t>
            </w:r>
            <w:r w:rsidRPr="00675702">
              <w:rPr>
                <w:rFonts w:ascii="Arial" w:hAnsi="Arial" w:cs="Arial"/>
              </w:rPr>
              <w:t xml:space="preserve"> 40</w:t>
            </w:r>
            <w:r w:rsidR="00705C50" w:rsidRPr="00675702">
              <w:rPr>
                <w:rFonts w:ascii="Arial" w:hAnsi="Arial" w:cs="Arial"/>
              </w:rPr>
              <w:t>%</w:t>
            </w:r>
            <w:r w:rsidRPr="00675702">
              <w:rPr>
                <w:rFonts w:ascii="Arial" w:hAnsi="Arial" w:cs="Arial"/>
              </w:rPr>
              <w:t xml:space="preserve"> of cost paid in cash </w:t>
            </w:r>
            <w:r w:rsidR="00A5590A" w:rsidRPr="00675702">
              <w:rPr>
                <w:rFonts w:ascii="Arial" w:hAnsi="Arial" w:cs="Arial"/>
              </w:rPr>
              <w:t>in 2019;</w:t>
            </w:r>
            <w:r w:rsidRPr="00675702">
              <w:rPr>
                <w:rFonts w:ascii="Arial" w:hAnsi="Arial" w:cs="Arial"/>
              </w:rPr>
              <w:t xml:space="preserve"> remaining </w:t>
            </w:r>
            <w:r w:rsidR="00A5590A" w:rsidRPr="00675702">
              <w:rPr>
                <w:rFonts w:ascii="Arial" w:hAnsi="Arial" w:cs="Arial"/>
              </w:rPr>
              <w:t>balance</w:t>
            </w:r>
            <w:r w:rsidRPr="00675702">
              <w:rPr>
                <w:rFonts w:ascii="Arial" w:hAnsi="Arial" w:cs="Arial"/>
              </w:rPr>
              <w:t xml:space="preserve"> paid in four </w:t>
            </w:r>
            <w:r w:rsidR="008E4BA2" w:rsidRPr="00675702">
              <w:rPr>
                <w:rFonts w:ascii="Arial" w:hAnsi="Arial" w:cs="Arial"/>
              </w:rPr>
              <w:t xml:space="preserve">instalments </w:t>
            </w:r>
            <w:r w:rsidRPr="00675702">
              <w:rPr>
                <w:rFonts w:ascii="Arial" w:hAnsi="Arial" w:cs="Arial"/>
              </w:rPr>
              <w:t xml:space="preserve">at the end of every </w:t>
            </w:r>
            <w:r w:rsidR="00A5590A" w:rsidRPr="00675702">
              <w:rPr>
                <w:rFonts w:ascii="Arial" w:hAnsi="Arial" w:cs="Arial"/>
              </w:rPr>
              <w:t xml:space="preserve">following </w:t>
            </w:r>
            <w:r w:rsidRPr="00675702">
              <w:rPr>
                <w:rFonts w:ascii="Arial" w:hAnsi="Arial" w:cs="Arial"/>
              </w:rPr>
              <w:t>year</w:t>
            </w:r>
            <w:r w:rsidR="009A7DDE">
              <w:rPr>
                <w:rFonts w:ascii="Arial" w:hAnsi="Arial" w:cs="Arial"/>
              </w:rPr>
              <w:t>.</w:t>
            </w:r>
          </w:p>
        </w:tc>
      </w:tr>
      <w:tr w:rsidR="00AC51E2" w:rsidRPr="00675702" w14:paraId="6F7EF985" w14:textId="77777777" w:rsidTr="00B51F91">
        <w:trPr>
          <w:trHeight w:val="1399"/>
          <w:jc w:val="center"/>
        </w:trPr>
        <w:tc>
          <w:tcPr>
            <w:tcW w:w="2250" w:type="dxa"/>
          </w:tcPr>
          <w:p w14:paraId="343DEC5E" w14:textId="46262493" w:rsidR="00AC51E2" w:rsidRPr="00675702" w:rsidRDefault="00AC51E2" w:rsidP="00A5590A">
            <w:pPr>
              <w:contextualSpacing/>
              <w:rPr>
                <w:rFonts w:ascii="Arial" w:hAnsi="Arial" w:cs="Arial"/>
              </w:rPr>
            </w:pPr>
            <w:r w:rsidRPr="00675702">
              <w:rPr>
                <w:rFonts w:ascii="Arial" w:hAnsi="Arial" w:cs="Arial"/>
              </w:rPr>
              <w:t>Other equipment:</w:t>
            </w:r>
          </w:p>
          <w:p w14:paraId="7C1AE0B4" w14:textId="77777777" w:rsidR="00A5590A" w:rsidRPr="00675702" w:rsidRDefault="00A5590A" w:rsidP="00B51F91">
            <w:pPr>
              <w:contextualSpacing/>
              <w:rPr>
                <w:rFonts w:ascii="Arial" w:hAnsi="Arial" w:cs="Arial"/>
              </w:rPr>
            </w:pPr>
          </w:p>
          <w:p w14:paraId="46A1A5EB" w14:textId="77777777" w:rsidR="00AC51E2" w:rsidRPr="00675702" w:rsidRDefault="00AC51E2" w:rsidP="00B51F91">
            <w:pPr>
              <w:pStyle w:val="ListParagraph"/>
              <w:numPr>
                <w:ilvl w:val="0"/>
                <w:numId w:val="13"/>
              </w:numPr>
              <w:ind w:left="446"/>
              <w:jc w:val="left"/>
              <w:rPr>
                <w:rFonts w:ascii="Arial" w:hAnsi="Arial" w:cs="Arial"/>
                <w:sz w:val="20"/>
                <w:szCs w:val="20"/>
              </w:rPr>
            </w:pPr>
            <w:r w:rsidRPr="00675702">
              <w:rPr>
                <w:rFonts w:ascii="Arial" w:hAnsi="Arial" w:cs="Arial"/>
                <w:sz w:val="20"/>
                <w:szCs w:val="20"/>
              </w:rPr>
              <w:t>Compressor</w:t>
            </w:r>
          </w:p>
          <w:p w14:paraId="4267050F" w14:textId="00DC93E9" w:rsidR="00AC51E2" w:rsidRPr="00675702" w:rsidRDefault="00AC51E2" w:rsidP="00B51F91">
            <w:pPr>
              <w:pStyle w:val="ListParagraph"/>
              <w:numPr>
                <w:ilvl w:val="0"/>
                <w:numId w:val="13"/>
              </w:numPr>
              <w:ind w:left="446"/>
              <w:jc w:val="left"/>
              <w:rPr>
                <w:rFonts w:ascii="Arial" w:hAnsi="Arial" w:cs="Arial"/>
                <w:sz w:val="20"/>
                <w:szCs w:val="20"/>
              </w:rPr>
            </w:pPr>
            <w:r w:rsidRPr="00675702">
              <w:rPr>
                <w:rFonts w:ascii="Arial" w:hAnsi="Arial" w:cs="Arial"/>
                <w:sz w:val="20"/>
                <w:szCs w:val="20"/>
              </w:rPr>
              <w:t>Air rotor</w:t>
            </w:r>
          </w:p>
          <w:p w14:paraId="0539DE61" w14:textId="29231229" w:rsidR="00AC51E2" w:rsidRPr="00675702" w:rsidRDefault="00AC51E2" w:rsidP="00B51F91">
            <w:pPr>
              <w:pStyle w:val="ListParagraph"/>
              <w:numPr>
                <w:ilvl w:val="0"/>
                <w:numId w:val="13"/>
              </w:numPr>
              <w:ind w:left="446"/>
              <w:jc w:val="left"/>
              <w:rPr>
                <w:rFonts w:ascii="Arial" w:hAnsi="Arial" w:cs="Arial"/>
                <w:sz w:val="20"/>
                <w:szCs w:val="20"/>
              </w:rPr>
            </w:pPr>
            <w:r w:rsidRPr="00675702">
              <w:rPr>
                <w:rFonts w:ascii="Arial" w:hAnsi="Arial" w:cs="Arial"/>
                <w:sz w:val="20"/>
                <w:szCs w:val="20"/>
              </w:rPr>
              <w:t>Composite unit</w:t>
            </w:r>
          </w:p>
          <w:p w14:paraId="1814DF1F" w14:textId="417C716F" w:rsidR="00AC51E2" w:rsidRPr="00675702" w:rsidRDefault="00AC51E2" w:rsidP="00B51F91">
            <w:pPr>
              <w:pStyle w:val="ListParagraph"/>
              <w:numPr>
                <w:ilvl w:val="0"/>
                <w:numId w:val="13"/>
              </w:numPr>
              <w:ind w:left="446"/>
              <w:jc w:val="left"/>
              <w:rPr>
                <w:rFonts w:ascii="Arial" w:hAnsi="Arial" w:cs="Arial"/>
                <w:sz w:val="20"/>
                <w:szCs w:val="20"/>
              </w:rPr>
            </w:pPr>
            <w:r w:rsidRPr="00675702">
              <w:rPr>
                <w:rFonts w:ascii="Arial" w:hAnsi="Arial" w:cs="Arial"/>
                <w:sz w:val="20"/>
                <w:szCs w:val="20"/>
              </w:rPr>
              <w:t>Scaler</w:t>
            </w:r>
          </w:p>
          <w:p w14:paraId="73C05E5B" w14:textId="77777777" w:rsidR="00AC51E2" w:rsidRPr="00675702" w:rsidRDefault="00AC51E2" w:rsidP="00B51F91">
            <w:pPr>
              <w:pStyle w:val="ListParagraph"/>
              <w:numPr>
                <w:ilvl w:val="0"/>
                <w:numId w:val="13"/>
              </w:numPr>
              <w:ind w:left="446"/>
              <w:jc w:val="left"/>
              <w:rPr>
                <w:rFonts w:ascii="Arial" w:hAnsi="Arial" w:cs="Arial"/>
                <w:sz w:val="20"/>
                <w:szCs w:val="20"/>
              </w:rPr>
            </w:pPr>
            <w:r w:rsidRPr="00675702">
              <w:rPr>
                <w:rFonts w:ascii="Arial" w:hAnsi="Arial" w:cs="Arial"/>
                <w:sz w:val="20"/>
                <w:szCs w:val="20"/>
              </w:rPr>
              <w:t>Mouth mirror, probe, and extraction kits</w:t>
            </w:r>
          </w:p>
        </w:tc>
        <w:tc>
          <w:tcPr>
            <w:tcW w:w="1705" w:type="dxa"/>
          </w:tcPr>
          <w:p w14:paraId="35F0CECE" w14:textId="56BC7836" w:rsidR="00AC51E2" w:rsidRPr="00675702" w:rsidRDefault="00AC51E2" w:rsidP="004F77FE">
            <w:pPr>
              <w:spacing w:before="100" w:beforeAutospacing="1" w:after="100" w:afterAutospacing="1"/>
              <w:contextualSpacing/>
              <w:jc w:val="right"/>
              <w:rPr>
                <w:rFonts w:ascii="Arial" w:hAnsi="Arial" w:cs="Arial"/>
              </w:rPr>
            </w:pPr>
          </w:p>
          <w:p w14:paraId="175C8CD5" w14:textId="77777777" w:rsidR="00A5590A" w:rsidRPr="00675702" w:rsidRDefault="00A5590A" w:rsidP="004F77FE">
            <w:pPr>
              <w:spacing w:before="100" w:beforeAutospacing="1" w:after="100" w:afterAutospacing="1"/>
              <w:contextualSpacing/>
              <w:jc w:val="right"/>
              <w:rPr>
                <w:rFonts w:ascii="Arial" w:hAnsi="Arial" w:cs="Arial"/>
              </w:rPr>
            </w:pPr>
          </w:p>
          <w:p w14:paraId="723A9784" w14:textId="4055E56F"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100</w:t>
            </w:r>
          </w:p>
          <w:p w14:paraId="4CD38542" w14:textId="3A4F987C"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10</w:t>
            </w:r>
          </w:p>
          <w:p w14:paraId="69AC1ACD" w14:textId="1A9999A0"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50</w:t>
            </w:r>
          </w:p>
          <w:p w14:paraId="0A8D24E9" w14:textId="11A75B08"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25</w:t>
            </w:r>
          </w:p>
          <w:p w14:paraId="6411EE1F" w14:textId="5C5BF575" w:rsidR="00AC51E2" w:rsidRPr="00675702" w:rsidRDefault="00AC51E2" w:rsidP="004F77FE">
            <w:pPr>
              <w:spacing w:before="100" w:beforeAutospacing="1" w:after="100" w:afterAutospacing="1"/>
              <w:contextualSpacing/>
              <w:jc w:val="right"/>
              <w:rPr>
                <w:rFonts w:ascii="Arial" w:hAnsi="Arial" w:cs="Arial"/>
              </w:rPr>
            </w:pPr>
            <w:r w:rsidRPr="00675702">
              <w:rPr>
                <w:rFonts w:ascii="Arial" w:hAnsi="Arial" w:cs="Arial"/>
              </w:rPr>
              <w:t>30</w:t>
            </w:r>
          </w:p>
        </w:tc>
        <w:tc>
          <w:tcPr>
            <w:tcW w:w="5400" w:type="dxa"/>
          </w:tcPr>
          <w:p w14:paraId="1EE9195E" w14:textId="3227809C" w:rsidR="00AC51E2" w:rsidRPr="000F11FC" w:rsidRDefault="00AC51E2" w:rsidP="004F77FE">
            <w:pPr>
              <w:jc w:val="both"/>
              <w:rPr>
                <w:rFonts w:ascii="Arial" w:hAnsi="Arial" w:cs="Arial"/>
              </w:rPr>
            </w:pPr>
            <w:r w:rsidRPr="000F11FC">
              <w:rPr>
                <w:rFonts w:ascii="Arial" w:hAnsi="Arial" w:cs="Arial"/>
              </w:rPr>
              <w:t>All cash purchases</w:t>
            </w:r>
            <w:r w:rsidR="00A5590A" w:rsidRPr="000F11FC">
              <w:rPr>
                <w:rFonts w:ascii="Arial" w:hAnsi="Arial" w:cs="Arial"/>
              </w:rPr>
              <w:t>;</w:t>
            </w:r>
            <w:r w:rsidRPr="000F11FC">
              <w:rPr>
                <w:rFonts w:ascii="Arial" w:hAnsi="Arial" w:cs="Arial"/>
              </w:rPr>
              <w:t xml:space="preserve"> one set for each clinic</w:t>
            </w:r>
            <w:r w:rsidR="00A5590A" w:rsidRPr="000F11FC">
              <w:rPr>
                <w:rFonts w:ascii="Arial" w:hAnsi="Arial" w:cs="Arial"/>
              </w:rPr>
              <w:t>;</w:t>
            </w:r>
            <w:r w:rsidRPr="000F11FC">
              <w:rPr>
                <w:rFonts w:ascii="Arial" w:hAnsi="Arial" w:cs="Arial"/>
              </w:rPr>
              <w:t xml:space="preserve"> </w:t>
            </w:r>
            <w:r w:rsidR="00A5590A" w:rsidRPr="000F11FC">
              <w:rPr>
                <w:rFonts w:ascii="Arial" w:hAnsi="Arial" w:cs="Arial"/>
              </w:rPr>
              <w:t>d</w:t>
            </w:r>
            <w:r w:rsidRPr="000F11FC">
              <w:rPr>
                <w:rFonts w:ascii="Arial" w:hAnsi="Arial" w:cs="Arial"/>
              </w:rPr>
              <w:t>epreciation on other equipment is 10</w:t>
            </w:r>
            <w:r w:rsidR="008A1857" w:rsidRPr="000F11FC">
              <w:rPr>
                <w:rFonts w:ascii="Arial" w:hAnsi="Arial" w:cs="Arial"/>
              </w:rPr>
              <w:t>%</w:t>
            </w:r>
            <w:r w:rsidR="007D416B" w:rsidRPr="000F11FC">
              <w:rPr>
                <w:rFonts w:ascii="Arial" w:hAnsi="Arial" w:cs="Arial"/>
              </w:rPr>
              <w:t>,</w:t>
            </w:r>
            <w:r w:rsidR="00A5590A" w:rsidRPr="000F11FC">
              <w:rPr>
                <w:rFonts w:ascii="Arial" w:hAnsi="Arial" w:cs="Arial"/>
              </w:rPr>
              <w:t xml:space="preserve"> using straight line method</w:t>
            </w:r>
            <w:r w:rsidRPr="000F11FC">
              <w:rPr>
                <w:rFonts w:ascii="Arial" w:hAnsi="Arial" w:cs="Arial"/>
              </w:rPr>
              <w:t xml:space="preserve"> of depreciation</w:t>
            </w:r>
            <w:r w:rsidR="009A7DDE" w:rsidRPr="000F11FC">
              <w:rPr>
                <w:rFonts w:ascii="Arial" w:hAnsi="Arial" w:cs="Arial"/>
              </w:rPr>
              <w:t>.</w:t>
            </w:r>
          </w:p>
        </w:tc>
      </w:tr>
    </w:tbl>
    <w:p w14:paraId="341EE98B" w14:textId="77777777" w:rsidR="00B62DDC" w:rsidRPr="00675702" w:rsidRDefault="00B62DDC" w:rsidP="00B62DDC">
      <w:pPr>
        <w:pStyle w:val="ExhibitText"/>
      </w:pPr>
    </w:p>
    <w:p w14:paraId="0692C035" w14:textId="682DCAB1" w:rsidR="0052012B" w:rsidRPr="00675702" w:rsidRDefault="0052012B" w:rsidP="00B62DDC">
      <w:pPr>
        <w:pStyle w:val="Footnote"/>
      </w:pPr>
      <w:r w:rsidRPr="00675702">
        <w:t>Note: ₹ = INR = Indian rupee; US$1 = ₹75.69 on May 1, 2020.</w:t>
      </w:r>
    </w:p>
    <w:p w14:paraId="7537635E" w14:textId="60A4A1F2" w:rsidR="00AC51E2" w:rsidRPr="00675702" w:rsidRDefault="00AC51E2" w:rsidP="00B62DDC">
      <w:pPr>
        <w:pStyle w:val="Footnote"/>
      </w:pPr>
      <w:r w:rsidRPr="00675702">
        <w:t xml:space="preserve">Source: </w:t>
      </w:r>
      <w:r w:rsidR="002127F6" w:rsidRPr="00675702">
        <w:t>Company information.</w:t>
      </w:r>
    </w:p>
    <w:p w14:paraId="68EBF752" w14:textId="77777777" w:rsidR="00AC51E2" w:rsidRPr="00675702" w:rsidRDefault="00AC51E2" w:rsidP="00B62DDC">
      <w:pPr>
        <w:pStyle w:val="ExhibitText"/>
      </w:pPr>
    </w:p>
    <w:p w14:paraId="3F7BED77" w14:textId="77777777" w:rsidR="00AC51E2" w:rsidRPr="00675702" w:rsidRDefault="00AC51E2" w:rsidP="00B62DDC">
      <w:pPr>
        <w:pStyle w:val="ExhibitText"/>
      </w:pPr>
    </w:p>
    <w:p w14:paraId="1051BE8F" w14:textId="20F24387" w:rsidR="00AC51E2" w:rsidRPr="00675702" w:rsidRDefault="00AC51E2" w:rsidP="00B62DDC">
      <w:pPr>
        <w:pStyle w:val="ExhibitHeading"/>
      </w:pPr>
      <w:r w:rsidRPr="00675702">
        <w:t>EXHIBIT 4: BASIS FOR FORECASTING 2021</w:t>
      </w:r>
    </w:p>
    <w:p w14:paraId="09155735" w14:textId="77777777" w:rsidR="00B62DDC" w:rsidRPr="00675702" w:rsidRDefault="00B62DDC" w:rsidP="00B62DDC">
      <w:pPr>
        <w:pStyle w:val="ExhibitText"/>
      </w:pPr>
    </w:p>
    <w:tbl>
      <w:tblPr>
        <w:tblStyle w:val="TableGrid"/>
        <w:tblW w:w="9269" w:type="dxa"/>
        <w:jc w:val="center"/>
        <w:tblCellMar>
          <w:top w:w="58" w:type="dxa"/>
          <w:bottom w:w="58" w:type="dxa"/>
        </w:tblCellMar>
        <w:tblLook w:val="04A0" w:firstRow="1" w:lastRow="0" w:firstColumn="1" w:lastColumn="0" w:noHBand="0" w:noVBand="1"/>
      </w:tblPr>
      <w:tblGrid>
        <w:gridCol w:w="5583"/>
        <w:gridCol w:w="3686"/>
      </w:tblGrid>
      <w:tr w:rsidR="00AC51E2" w:rsidRPr="00675702" w14:paraId="280E6A34" w14:textId="77777777" w:rsidTr="00850A6B">
        <w:trPr>
          <w:trHeight w:val="71"/>
          <w:jc w:val="center"/>
        </w:trPr>
        <w:tc>
          <w:tcPr>
            <w:tcW w:w="5583" w:type="dxa"/>
            <w:vAlign w:val="center"/>
          </w:tcPr>
          <w:p w14:paraId="2B081CA3" w14:textId="6B4C01F2" w:rsidR="00AC51E2" w:rsidRPr="00675702" w:rsidRDefault="00AC51E2" w:rsidP="00850A6B">
            <w:pPr>
              <w:spacing w:before="100" w:beforeAutospacing="1" w:after="100" w:afterAutospacing="1"/>
              <w:contextualSpacing/>
              <w:rPr>
                <w:rFonts w:ascii="Arial" w:hAnsi="Arial"/>
                <w:b/>
                <w:bCs/>
              </w:rPr>
            </w:pPr>
            <w:r w:rsidRPr="00675702">
              <w:rPr>
                <w:rFonts w:ascii="Arial" w:hAnsi="Arial"/>
                <w:b/>
                <w:bCs/>
              </w:rPr>
              <w:t xml:space="preserve">Line </w:t>
            </w:r>
            <w:r w:rsidR="00A5590A" w:rsidRPr="00675702">
              <w:rPr>
                <w:rFonts w:ascii="Arial" w:hAnsi="Arial" w:cs="Arial"/>
                <w:b/>
                <w:bCs/>
              </w:rPr>
              <w:t>I</w:t>
            </w:r>
            <w:r w:rsidRPr="00675702">
              <w:rPr>
                <w:rFonts w:ascii="Arial" w:hAnsi="Arial" w:cs="Arial"/>
                <w:b/>
                <w:bCs/>
              </w:rPr>
              <w:t>tems</w:t>
            </w:r>
          </w:p>
        </w:tc>
        <w:tc>
          <w:tcPr>
            <w:tcW w:w="3686" w:type="dxa"/>
            <w:vAlign w:val="center"/>
          </w:tcPr>
          <w:p w14:paraId="713F64E4" w14:textId="6539BBEC" w:rsidR="00AC51E2" w:rsidRPr="00675702" w:rsidRDefault="00AC51E2" w:rsidP="004F77FE">
            <w:pPr>
              <w:spacing w:before="100" w:beforeAutospacing="1" w:after="100" w:afterAutospacing="1"/>
              <w:contextualSpacing/>
              <w:jc w:val="center"/>
              <w:rPr>
                <w:rFonts w:ascii="Arial" w:hAnsi="Arial"/>
                <w:b/>
                <w:bCs/>
              </w:rPr>
            </w:pPr>
            <w:r w:rsidRPr="00675702">
              <w:rPr>
                <w:rFonts w:ascii="Arial" w:hAnsi="Arial"/>
                <w:b/>
                <w:bCs/>
              </w:rPr>
              <w:t xml:space="preserve">Basis for </w:t>
            </w:r>
            <w:r w:rsidR="00A5590A" w:rsidRPr="00675702">
              <w:rPr>
                <w:rFonts w:ascii="Arial" w:hAnsi="Arial"/>
                <w:b/>
                <w:bCs/>
              </w:rPr>
              <w:t>F</w:t>
            </w:r>
            <w:r w:rsidRPr="00675702">
              <w:rPr>
                <w:rFonts w:ascii="Arial" w:hAnsi="Arial"/>
                <w:b/>
                <w:bCs/>
              </w:rPr>
              <w:t>orecasting for 2021</w:t>
            </w:r>
          </w:p>
        </w:tc>
      </w:tr>
      <w:tr w:rsidR="00AC51E2" w:rsidRPr="00675702" w14:paraId="1EE8ABDA" w14:textId="77777777" w:rsidTr="00B51F91">
        <w:trPr>
          <w:trHeight w:val="656"/>
          <w:jc w:val="center"/>
        </w:trPr>
        <w:tc>
          <w:tcPr>
            <w:tcW w:w="5583" w:type="dxa"/>
            <w:vAlign w:val="center"/>
          </w:tcPr>
          <w:p w14:paraId="2B83146C" w14:textId="307DA156" w:rsidR="00AC51E2" w:rsidRPr="00675702" w:rsidRDefault="00AC51E2" w:rsidP="004F77FE">
            <w:pPr>
              <w:spacing w:before="100" w:beforeAutospacing="1" w:after="100" w:afterAutospacing="1"/>
              <w:contextualSpacing/>
              <w:jc w:val="both"/>
              <w:rPr>
                <w:rFonts w:ascii="Arial" w:hAnsi="Arial" w:cs="Arial"/>
              </w:rPr>
            </w:pPr>
            <w:r w:rsidRPr="00675702">
              <w:rPr>
                <w:rFonts w:ascii="Arial" w:hAnsi="Arial" w:cs="Arial"/>
              </w:rPr>
              <w:t>Other income from various sources, professional consultation fees, rent, licensing fees, insurance, professional development expenses, other equipment, mouth mirrors, probes, and extraction kits</w:t>
            </w:r>
            <w:r w:rsidR="009A7DDE">
              <w:rPr>
                <w:rFonts w:ascii="Arial" w:hAnsi="Arial" w:cs="Arial"/>
              </w:rPr>
              <w:t>.</w:t>
            </w:r>
          </w:p>
        </w:tc>
        <w:tc>
          <w:tcPr>
            <w:tcW w:w="3686" w:type="dxa"/>
            <w:vAlign w:val="center"/>
          </w:tcPr>
          <w:p w14:paraId="5EB34847" w14:textId="77777777" w:rsidR="00AC51E2" w:rsidRPr="00675702" w:rsidRDefault="00AC51E2" w:rsidP="004F77FE">
            <w:pPr>
              <w:spacing w:before="100" w:beforeAutospacing="1" w:after="100" w:afterAutospacing="1"/>
              <w:contextualSpacing/>
              <w:jc w:val="both"/>
              <w:rPr>
                <w:rFonts w:ascii="Arial" w:hAnsi="Arial" w:cs="Arial"/>
              </w:rPr>
            </w:pPr>
            <w:r w:rsidRPr="00675702">
              <w:rPr>
                <w:rFonts w:ascii="Arial" w:hAnsi="Arial" w:cs="Arial"/>
              </w:rPr>
              <w:t>Constant</w:t>
            </w:r>
          </w:p>
        </w:tc>
      </w:tr>
      <w:tr w:rsidR="00AC51E2" w:rsidRPr="00675702" w14:paraId="524D8995" w14:textId="77777777" w:rsidTr="00B51F91">
        <w:trPr>
          <w:trHeight w:val="206"/>
          <w:jc w:val="center"/>
        </w:trPr>
        <w:tc>
          <w:tcPr>
            <w:tcW w:w="5583" w:type="dxa"/>
            <w:vAlign w:val="center"/>
          </w:tcPr>
          <w:p w14:paraId="5B7987FE" w14:textId="5EA330B7" w:rsidR="00AC51E2" w:rsidRPr="00675702" w:rsidRDefault="00AC51E2" w:rsidP="004F77FE">
            <w:pPr>
              <w:spacing w:before="100" w:beforeAutospacing="1" w:after="100" w:afterAutospacing="1"/>
              <w:contextualSpacing/>
              <w:jc w:val="both"/>
              <w:rPr>
                <w:rFonts w:ascii="Arial" w:hAnsi="Arial" w:cs="Arial"/>
              </w:rPr>
            </w:pPr>
            <w:r w:rsidRPr="00675702">
              <w:rPr>
                <w:rFonts w:ascii="Arial" w:hAnsi="Arial" w:cs="Arial"/>
              </w:rPr>
              <w:t>Salaries, consumables, clinic maintenance, laboratory expenses, electricity, transportation, promotion expenses, and cash</w:t>
            </w:r>
            <w:r w:rsidR="009A7DDE">
              <w:rPr>
                <w:rFonts w:ascii="Arial" w:hAnsi="Arial" w:cs="Arial"/>
              </w:rPr>
              <w:t>.</w:t>
            </w:r>
          </w:p>
        </w:tc>
        <w:tc>
          <w:tcPr>
            <w:tcW w:w="3686" w:type="dxa"/>
            <w:vAlign w:val="center"/>
          </w:tcPr>
          <w:p w14:paraId="60630898" w14:textId="77777777" w:rsidR="00AC51E2" w:rsidRPr="00675702" w:rsidRDefault="00AC51E2" w:rsidP="004F77FE">
            <w:pPr>
              <w:spacing w:before="100" w:beforeAutospacing="1" w:after="100" w:afterAutospacing="1"/>
              <w:contextualSpacing/>
              <w:jc w:val="both"/>
              <w:rPr>
                <w:rFonts w:ascii="Arial" w:hAnsi="Arial" w:cs="Arial"/>
              </w:rPr>
            </w:pPr>
            <w:r w:rsidRPr="00675702">
              <w:rPr>
                <w:rFonts w:ascii="Arial" w:hAnsi="Arial" w:cs="Arial"/>
              </w:rPr>
              <w:t>Consultation fees</w:t>
            </w:r>
          </w:p>
        </w:tc>
      </w:tr>
      <w:tr w:rsidR="00AC51E2" w:rsidRPr="00675702" w14:paraId="4737D250" w14:textId="77777777" w:rsidTr="00B51F91">
        <w:trPr>
          <w:trHeight w:val="47"/>
          <w:jc w:val="center"/>
        </w:trPr>
        <w:tc>
          <w:tcPr>
            <w:tcW w:w="5583" w:type="dxa"/>
            <w:vAlign w:val="center"/>
          </w:tcPr>
          <w:p w14:paraId="03A3F538" w14:textId="77777777" w:rsidR="00AC51E2" w:rsidRPr="00675702" w:rsidRDefault="00AC51E2" w:rsidP="004F77FE">
            <w:pPr>
              <w:spacing w:before="100" w:beforeAutospacing="1" w:after="100" w:afterAutospacing="1"/>
              <w:contextualSpacing/>
              <w:jc w:val="both"/>
              <w:rPr>
                <w:rFonts w:ascii="Arial" w:hAnsi="Arial" w:cs="Arial"/>
              </w:rPr>
            </w:pPr>
            <w:r w:rsidRPr="00675702">
              <w:rPr>
                <w:rFonts w:ascii="Arial" w:hAnsi="Arial" w:cs="Arial"/>
              </w:rPr>
              <w:t>Dental chair</w:t>
            </w:r>
          </w:p>
        </w:tc>
        <w:tc>
          <w:tcPr>
            <w:tcW w:w="3686" w:type="dxa"/>
            <w:vAlign w:val="center"/>
          </w:tcPr>
          <w:p w14:paraId="440321E3" w14:textId="28CD7A8C" w:rsidR="00AC51E2" w:rsidRPr="00675702" w:rsidRDefault="00AC51E2" w:rsidP="004F77FE">
            <w:pPr>
              <w:spacing w:before="100" w:beforeAutospacing="1" w:after="100" w:afterAutospacing="1"/>
              <w:contextualSpacing/>
              <w:jc w:val="both"/>
              <w:rPr>
                <w:rFonts w:ascii="Arial" w:hAnsi="Arial" w:cs="Arial"/>
              </w:rPr>
            </w:pPr>
            <w:r w:rsidRPr="00675702">
              <w:rPr>
                <w:rFonts w:ascii="Arial" w:hAnsi="Arial" w:cs="Arial"/>
              </w:rPr>
              <w:t>Proposed to procure one additional chair for each clinic</w:t>
            </w:r>
            <w:r w:rsidR="000F11FC">
              <w:rPr>
                <w:rFonts w:ascii="Arial" w:hAnsi="Arial" w:cs="Arial"/>
              </w:rPr>
              <w:t>.</w:t>
            </w:r>
          </w:p>
        </w:tc>
      </w:tr>
      <w:tr w:rsidR="00AC51E2" w:rsidRPr="00675702" w14:paraId="3B1DDBCB" w14:textId="77777777" w:rsidTr="00B51F91">
        <w:trPr>
          <w:trHeight w:val="107"/>
          <w:jc w:val="center"/>
        </w:trPr>
        <w:tc>
          <w:tcPr>
            <w:tcW w:w="5583" w:type="dxa"/>
            <w:vAlign w:val="center"/>
          </w:tcPr>
          <w:p w14:paraId="438C2087" w14:textId="77777777" w:rsidR="00AC51E2" w:rsidRPr="00675702" w:rsidRDefault="00AC51E2" w:rsidP="004F77FE">
            <w:pPr>
              <w:spacing w:before="100" w:beforeAutospacing="1" w:after="100" w:afterAutospacing="1"/>
              <w:contextualSpacing/>
              <w:jc w:val="both"/>
              <w:rPr>
                <w:rFonts w:ascii="Arial" w:hAnsi="Arial" w:cs="Arial"/>
              </w:rPr>
            </w:pPr>
            <w:r w:rsidRPr="00675702">
              <w:rPr>
                <w:rFonts w:ascii="Arial" w:hAnsi="Arial" w:cs="Arial"/>
              </w:rPr>
              <w:t>X-ray unit</w:t>
            </w:r>
          </w:p>
        </w:tc>
        <w:tc>
          <w:tcPr>
            <w:tcW w:w="3686" w:type="dxa"/>
            <w:vAlign w:val="center"/>
          </w:tcPr>
          <w:p w14:paraId="71C8B03C" w14:textId="6DE31EE7" w:rsidR="00AC51E2" w:rsidRPr="00675702" w:rsidRDefault="00AC51E2" w:rsidP="004F77FE">
            <w:pPr>
              <w:spacing w:before="100" w:beforeAutospacing="1" w:after="100" w:afterAutospacing="1"/>
              <w:contextualSpacing/>
              <w:jc w:val="both"/>
              <w:rPr>
                <w:rFonts w:ascii="Arial" w:hAnsi="Arial" w:cs="Arial"/>
              </w:rPr>
            </w:pPr>
            <w:r w:rsidRPr="00675702">
              <w:rPr>
                <w:rFonts w:ascii="Arial" w:hAnsi="Arial" w:cs="Arial"/>
              </w:rPr>
              <w:t>Proposed to procure one additional unit</w:t>
            </w:r>
            <w:r w:rsidR="000F11FC">
              <w:rPr>
                <w:rFonts w:ascii="Arial" w:hAnsi="Arial" w:cs="Arial"/>
              </w:rPr>
              <w:t>.</w:t>
            </w:r>
          </w:p>
        </w:tc>
      </w:tr>
      <w:tr w:rsidR="00AC51E2" w:rsidRPr="00675702" w14:paraId="6842C053" w14:textId="77777777" w:rsidTr="00B51F91">
        <w:trPr>
          <w:trHeight w:val="53"/>
          <w:jc w:val="center"/>
        </w:trPr>
        <w:tc>
          <w:tcPr>
            <w:tcW w:w="5583" w:type="dxa"/>
            <w:vAlign w:val="center"/>
          </w:tcPr>
          <w:p w14:paraId="0385C71A" w14:textId="77777777" w:rsidR="00AC51E2" w:rsidRPr="00675702" w:rsidRDefault="00AC51E2" w:rsidP="004F77FE">
            <w:pPr>
              <w:spacing w:before="100" w:beforeAutospacing="1" w:after="100" w:afterAutospacing="1"/>
              <w:contextualSpacing/>
              <w:jc w:val="both"/>
              <w:rPr>
                <w:rFonts w:ascii="Arial" w:hAnsi="Arial" w:cs="Arial"/>
              </w:rPr>
            </w:pPr>
            <w:r w:rsidRPr="00675702">
              <w:rPr>
                <w:rFonts w:ascii="Arial" w:hAnsi="Arial" w:cs="Arial"/>
              </w:rPr>
              <w:t>Equity capital</w:t>
            </w:r>
          </w:p>
        </w:tc>
        <w:tc>
          <w:tcPr>
            <w:tcW w:w="3686" w:type="dxa"/>
            <w:vAlign w:val="center"/>
          </w:tcPr>
          <w:p w14:paraId="3E33E771" w14:textId="3D258026" w:rsidR="00AC51E2" w:rsidRPr="00675702" w:rsidRDefault="00AC51E2" w:rsidP="004F77FE">
            <w:pPr>
              <w:jc w:val="both"/>
              <w:rPr>
                <w:rFonts w:ascii="Arial" w:hAnsi="Arial" w:cs="Arial"/>
              </w:rPr>
            </w:pPr>
            <w:r w:rsidRPr="00675702">
              <w:rPr>
                <w:rFonts w:ascii="Arial" w:hAnsi="Arial" w:cs="Arial"/>
              </w:rPr>
              <w:t>Proposed to increase equity by 50%</w:t>
            </w:r>
            <w:r w:rsidR="000F11FC">
              <w:rPr>
                <w:rFonts w:ascii="Arial" w:hAnsi="Arial" w:cs="Arial"/>
              </w:rPr>
              <w:t>.</w:t>
            </w:r>
          </w:p>
        </w:tc>
      </w:tr>
    </w:tbl>
    <w:p w14:paraId="6188767B" w14:textId="77777777" w:rsidR="00B62DDC" w:rsidRPr="00675702" w:rsidRDefault="00B62DDC" w:rsidP="00B62DDC">
      <w:pPr>
        <w:pStyle w:val="ExhibitText"/>
      </w:pPr>
    </w:p>
    <w:p w14:paraId="0B26678D" w14:textId="2B833C92" w:rsidR="00AC51E2" w:rsidRPr="00675702" w:rsidRDefault="00AC51E2" w:rsidP="00B62DDC">
      <w:pPr>
        <w:pStyle w:val="Footnote"/>
      </w:pPr>
      <w:r w:rsidRPr="00675702">
        <w:t xml:space="preserve">Source: </w:t>
      </w:r>
      <w:r w:rsidR="00587059" w:rsidRPr="00675702">
        <w:t xml:space="preserve">Authors’ </w:t>
      </w:r>
      <w:r w:rsidRPr="00675702">
        <w:t xml:space="preserve">estimates based on </w:t>
      </w:r>
      <w:r w:rsidR="002127F6" w:rsidRPr="00675702">
        <w:t>company information.</w:t>
      </w:r>
      <w:bookmarkEnd w:id="1"/>
    </w:p>
    <w:sectPr w:rsidR="00AC51E2" w:rsidRPr="00675702"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001CA" w16cex:dateUtc="2021-04-25T18:57:00Z"/>
  <w16cex:commentExtensible w16cex:durableId="244102DB" w16cex:dateUtc="2021-05-08T07:0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FAC01" w14:textId="77777777" w:rsidR="00B4169D" w:rsidRDefault="00B4169D" w:rsidP="00D75295">
      <w:r>
        <w:separator/>
      </w:r>
    </w:p>
  </w:endnote>
  <w:endnote w:type="continuationSeparator" w:id="0">
    <w:p w14:paraId="79C1C99C" w14:textId="77777777" w:rsidR="00B4169D" w:rsidRDefault="00B4169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B7A81" w14:textId="77777777" w:rsidR="00B4169D" w:rsidRDefault="00B4169D" w:rsidP="00D75295">
      <w:r>
        <w:separator/>
      </w:r>
    </w:p>
  </w:footnote>
  <w:footnote w:type="continuationSeparator" w:id="0">
    <w:p w14:paraId="2EF9D5DF" w14:textId="77777777" w:rsidR="00B4169D" w:rsidRDefault="00B4169D" w:rsidP="00D75295">
      <w:r>
        <w:continuationSeparator/>
      </w:r>
    </w:p>
  </w:footnote>
  <w:footnote w:id="1">
    <w:p w14:paraId="1A29C9B7" w14:textId="1E541EA9" w:rsidR="00DD62AE" w:rsidRPr="006F36F7" w:rsidRDefault="00DD62AE" w:rsidP="00DD62AE">
      <w:pPr>
        <w:jc w:val="both"/>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Indian Dental Association, </w:t>
      </w:r>
      <w:r w:rsidRPr="006F36F7">
        <w:rPr>
          <w:rFonts w:ascii="Arial" w:hAnsi="Arial" w:cs="Arial"/>
          <w:i/>
          <w:iCs/>
          <w:sz w:val="17"/>
          <w:szCs w:val="17"/>
          <w:lang w:val="en-GB"/>
        </w:rPr>
        <w:t>Healthcare and Dental Industry in India</w:t>
      </w:r>
      <w:r w:rsidRPr="006F36F7">
        <w:rPr>
          <w:rFonts w:ascii="Arial" w:hAnsi="Arial" w:cs="Arial"/>
          <w:sz w:val="17"/>
          <w:szCs w:val="17"/>
          <w:lang w:val="en-GB"/>
        </w:rPr>
        <w:t>, accessed March 27, 2020, www.wds.org.in/PDF/Generaloralhealth.pdf.</w:t>
      </w:r>
    </w:p>
  </w:footnote>
  <w:footnote w:id="2">
    <w:p w14:paraId="7D2B6DE5" w14:textId="653F794D" w:rsidR="00A5590A" w:rsidRPr="006F36F7" w:rsidRDefault="00A5590A" w:rsidP="00AC51E2">
      <w:pPr>
        <w:jc w:val="both"/>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w:t>
      </w:r>
      <w:r w:rsidR="00DD62AE" w:rsidRPr="006F36F7">
        <w:rPr>
          <w:rFonts w:ascii="Arial" w:hAnsi="Arial" w:cs="Arial"/>
          <w:sz w:val="17"/>
          <w:szCs w:val="17"/>
          <w:lang w:val="en-GB"/>
        </w:rPr>
        <w:t>Ibid., 5.</w:t>
      </w:r>
      <w:r w:rsidR="00112541" w:rsidRPr="006F36F7">
        <w:rPr>
          <w:rFonts w:ascii="Arial" w:hAnsi="Arial" w:cs="Arial"/>
          <w:sz w:val="17"/>
          <w:szCs w:val="17"/>
          <w:lang w:val="en-GB"/>
        </w:rPr>
        <w:t xml:space="preserve"> </w:t>
      </w:r>
    </w:p>
  </w:footnote>
  <w:footnote w:id="3">
    <w:p w14:paraId="77C82BE5" w14:textId="37041148" w:rsidR="00A5590A" w:rsidRPr="006F36F7" w:rsidRDefault="00A5590A">
      <w:pPr>
        <w:pStyle w:val="FootnoteText"/>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All </w:t>
      </w:r>
      <w:r w:rsidR="00365152">
        <w:rPr>
          <w:rFonts w:ascii="Arial" w:hAnsi="Arial" w:cs="Arial"/>
          <w:sz w:val="17"/>
          <w:szCs w:val="17"/>
          <w:lang w:val="en-GB"/>
        </w:rPr>
        <w:t>dollar</w:t>
      </w:r>
      <w:r w:rsidR="00365152" w:rsidRPr="006F36F7">
        <w:rPr>
          <w:rFonts w:ascii="Arial" w:hAnsi="Arial" w:cs="Arial"/>
          <w:sz w:val="17"/>
          <w:szCs w:val="17"/>
          <w:lang w:val="en-GB"/>
        </w:rPr>
        <w:t xml:space="preserve"> </w:t>
      </w:r>
      <w:r w:rsidRPr="006F36F7">
        <w:rPr>
          <w:rFonts w:ascii="Arial" w:hAnsi="Arial" w:cs="Arial"/>
          <w:sz w:val="17"/>
          <w:szCs w:val="17"/>
          <w:lang w:val="en-GB"/>
        </w:rPr>
        <w:t xml:space="preserve">amounts are in </w:t>
      </w:r>
      <w:r w:rsidR="00365152">
        <w:rPr>
          <w:rFonts w:ascii="Arial" w:hAnsi="Arial" w:cs="Arial"/>
          <w:sz w:val="17"/>
          <w:szCs w:val="17"/>
          <w:lang w:val="en-GB"/>
        </w:rPr>
        <w:t>US dollars</w:t>
      </w:r>
      <w:r w:rsidRPr="006F36F7">
        <w:rPr>
          <w:rFonts w:ascii="Arial" w:hAnsi="Arial" w:cs="Arial"/>
          <w:sz w:val="17"/>
          <w:szCs w:val="17"/>
          <w:lang w:val="en-GB"/>
        </w:rPr>
        <w:t xml:space="preserve"> unless otherwise specified.</w:t>
      </w:r>
    </w:p>
  </w:footnote>
  <w:footnote w:id="4">
    <w:p w14:paraId="0623F437" w14:textId="42B063A1" w:rsidR="00A5590A" w:rsidRPr="006F36F7" w:rsidRDefault="00A5590A" w:rsidP="00AC51E2">
      <w:pPr>
        <w:pStyle w:val="FootnoteText"/>
        <w:jc w:val="both"/>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“Oral Care: India,” Statista, accessed March 28, 2020, www.statista.com/outlook/70060000/119/oral-care/india</w:t>
      </w:r>
      <w:r w:rsidRPr="00850A6B">
        <w:rPr>
          <w:rStyle w:val="Hyperlink"/>
          <w:rFonts w:ascii="Arial" w:hAnsi="Arial" w:cs="Arial"/>
          <w:sz w:val="17"/>
          <w:szCs w:val="17"/>
          <w:u w:val="none"/>
          <w:lang w:val="en-GB"/>
        </w:rPr>
        <w:t>.</w:t>
      </w:r>
    </w:p>
  </w:footnote>
  <w:footnote w:id="5">
    <w:p w14:paraId="747D1697" w14:textId="56096443" w:rsidR="00A5590A" w:rsidRPr="006F36F7" w:rsidRDefault="00A5590A" w:rsidP="00AC51E2">
      <w:pPr>
        <w:jc w:val="both"/>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Bhakti Shah,</w:t>
      </w:r>
      <w:r w:rsidRPr="006F36F7">
        <w:rPr>
          <w:rFonts w:ascii="Arial" w:hAnsi="Arial" w:cs="Arial"/>
          <w:iCs/>
          <w:sz w:val="17"/>
          <w:szCs w:val="17"/>
          <w:lang w:val="en-GB"/>
        </w:rPr>
        <w:t xml:space="preserve"> “The Dental Industry in India: An Insight,” Maier </w:t>
      </w:r>
      <w:proofErr w:type="spellStart"/>
      <w:r w:rsidRPr="006F36F7">
        <w:rPr>
          <w:rFonts w:ascii="Arial" w:hAnsi="Arial" w:cs="Arial"/>
          <w:iCs/>
          <w:sz w:val="17"/>
          <w:szCs w:val="17"/>
          <w:lang w:val="en-GB"/>
        </w:rPr>
        <w:t>Vidorno</w:t>
      </w:r>
      <w:proofErr w:type="spellEnd"/>
      <w:r w:rsidRPr="006F36F7">
        <w:rPr>
          <w:rFonts w:ascii="Arial" w:hAnsi="Arial" w:cs="Arial"/>
          <w:iCs/>
          <w:sz w:val="17"/>
          <w:szCs w:val="17"/>
          <w:lang w:val="en-GB"/>
        </w:rPr>
        <w:t xml:space="preserve">, </w:t>
      </w:r>
      <w:r w:rsidRPr="006F36F7">
        <w:rPr>
          <w:rFonts w:ascii="Arial" w:hAnsi="Arial" w:cs="Arial"/>
          <w:sz w:val="17"/>
          <w:szCs w:val="17"/>
          <w:lang w:val="en-GB"/>
        </w:rPr>
        <w:t xml:space="preserve">accessed March 28, 2020, www.maiervidorno.com/dental-industry-india-insight. </w:t>
      </w:r>
    </w:p>
  </w:footnote>
  <w:footnote w:id="6">
    <w:p w14:paraId="7DD895EA" w14:textId="7438C2CC" w:rsidR="00A5590A" w:rsidRPr="006F36F7" w:rsidRDefault="00A5590A" w:rsidP="00AC51E2">
      <w:pPr>
        <w:jc w:val="both"/>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“Healthcare Industry in India,” Indian Brand Equity Foundation, January 11, 2019, accessed March 28, 2020, www.ibef.org/industry/healthcare-india.aspx. </w:t>
      </w:r>
    </w:p>
  </w:footnote>
  <w:footnote w:id="7">
    <w:p w14:paraId="78FC23F8" w14:textId="1E75F159" w:rsidR="00A5590A" w:rsidRPr="006F36F7" w:rsidRDefault="00A5590A" w:rsidP="00AC51E2">
      <w:pPr>
        <w:pStyle w:val="FootnoteText"/>
        <w:jc w:val="both"/>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“GDP Growth Rate,” Trading Economics, accessed March 28, 2020, https://tradingeconomics.com/india/gdp-growth-annual. </w:t>
      </w:r>
    </w:p>
  </w:footnote>
  <w:footnote w:id="8">
    <w:p w14:paraId="7BFCEBEF" w14:textId="2DB8A6D8" w:rsidR="00A5590A" w:rsidRPr="006F36F7" w:rsidRDefault="00A5590A" w:rsidP="00AC51E2">
      <w:pPr>
        <w:pStyle w:val="FootnoteText"/>
        <w:jc w:val="both"/>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“Bangalore Population 2021,” World Population Review, accessed April 1, 2020, https://worldpopulationreview.com/world-cities/bangalore-population.</w:t>
      </w:r>
    </w:p>
  </w:footnote>
  <w:footnote w:id="9">
    <w:p w14:paraId="30F41FFE" w14:textId="4AFF5D58" w:rsidR="00A5590A" w:rsidRPr="006F36F7" w:rsidRDefault="00A5590A" w:rsidP="00AC51E2">
      <w:pPr>
        <w:pStyle w:val="FootnoteText"/>
        <w:jc w:val="both"/>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w:t>
      </w:r>
      <w:proofErr w:type="spellStart"/>
      <w:r w:rsidRPr="006F36F7">
        <w:rPr>
          <w:rFonts w:ascii="Arial" w:hAnsi="Arial" w:cs="Arial"/>
          <w:sz w:val="17"/>
          <w:szCs w:val="17"/>
          <w:lang w:val="en-GB"/>
        </w:rPr>
        <w:t>Practo</w:t>
      </w:r>
      <w:proofErr w:type="spellEnd"/>
      <w:r w:rsidRPr="006F36F7">
        <w:rPr>
          <w:rFonts w:ascii="Arial" w:hAnsi="Arial" w:cs="Arial"/>
          <w:sz w:val="17"/>
          <w:szCs w:val="17"/>
          <w:lang w:val="en-GB"/>
        </w:rPr>
        <w:t xml:space="preserve"> was a free patient-focused online portal with over 100,000 doctor profiles from across India and Singapore that helped patients book appointments with health practitioners; “Goodbye Doubts, Say Hello Doctor,” </w:t>
      </w:r>
      <w:proofErr w:type="spellStart"/>
      <w:r w:rsidRPr="006F36F7">
        <w:rPr>
          <w:rFonts w:ascii="Arial" w:hAnsi="Arial" w:cs="Arial"/>
          <w:sz w:val="17"/>
          <w:szCs w:val="17"/>
          <w:lang w:val="en-GB"/>
        </w:rPr>
        <w:t>Practo</w:t>
      </w:r>
      <w:proofErr w:type="spellEnd"/>
      <w:r w:rsidRPr="006F36F7">
        <w:rPr>
          <w:rFonts w:ascii="Arial" w:hAnsi="Arial" w:cs="Arial"/>
          <w:sz w:val="17"/>
          <w:szCs w:val="17"/>
          <w:lang w:val="en-GB"/>
        </w:rPr>
        <w:t>, accessed March 21, 2021, www.practo.com.</w:t>
      </w:r>
    </w:p>
  </w:footnote>
  <w:footnote w:id="10">
    <w:p w14:paraId="5662C8A3" w14:textId="41ACCD7D" w:rsidR="00A5590A" w:rsidRPr="00563F25" w:rsidRDefault="00A5590A" w:rsidP="00AC51E2">
      <w:pPr>
        <w:pStyle w:val="FootnoteText"/>
        <w:jc w:val="both"/>
        <w:rPr>
          <w:rFonts w:ascii="Arial" w:hAnsi="Arial" w:cs="Arial"/>
          <w:spacing w:val="-6"/>
          <w:kern w:val="17"/>
          <w:sz w:val="17"/>
          <w:szCs w:val="17"/>
          <w:lang w:val="en-GB"/>
        </w:rPr>
      </w:pPr>
      <w:r w:rsidRPr="00563F25">
        <w:rPr>
          <w:rStyle w:val="FootnoteReference"/>
          <w:rFonts w:ascii="Arial" w:hAnsi="Arial" w:cs="Arial"/>
          <w:spacing w:val="-6"/>
          <w:kern w:val="17"/>
          <w:sz w:val="17"/>
          <w:szCs w:val="17"/>
          <w:lang w:val="en-GB"/>
        </w:rPr>
        <w:footnoteRef/>
      </w:r>
      <w:r w:rsidRPr="00563F25">
        <w:rPr>
          <w:rFonts w:ascii="Arial" w:hAnsi="Arial" w:cs="Arial"/>
          <w:spacing w:val="-6"/>
          <w:kern w:val="17"/>
          <w:sz w:val="17"/>
          <w:szCs w:val="17"/>
          <w:lang w:val="en-GB"/>
        </w:rPr>
        <w:t xml:space="preserve"> “Dental Tourism in Bangalore,” Dental Solutions, accessed April 1, 2020, https://dentalsolutionsclinic.com/dental-tourism-bangalore. </w:t>
      </w:r>
    </w:p>
  </w:footnote>
  <w:footnote w:id="11">
    <w:p w14:paraId="1A6909B8" w14:textId="1A9B0763" w:rsidR="00A5590A" w:rsidRPr="006F36F7" w:rsidRDefault="00A5590A">
      <w:pPr>
        <w:pStyle w:val="FootnoteText"/>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 = INR = Indian rupee; US$1 = ₹75.69 on May 1, 2020. </w:t>
      </w:r>
    </w:p>
  </w:footnote>
  <w:footnote w:id="12">
    <w:p w14:paraId="36E9BCBE" w14:textId="1A01F77F" w:rsidR="00A5590A" w:rsidRPr="006F36F7" w:rsidRDefault="00A5590A" w:rsidP="00AC51E2">
      <w:pPr>
        <w:pStyle w:val="FootnoteText"/>
        <w:jc w:val="both"/>
        <w:rPr>
          <w:rFonts w:ascii="Arial" w:hAnsi="Arial" w:cs="Arial"/>
          <w:sz w:val="17"/>
          <w:szCs w:val="17"/>
          <w:lang w:val="en-GB"/>
        </w:rPr>
      </w:pPr>
      <w:r w:rsidRPr="006F36F7">
        <w:rPr>
          <w:rStyle w:val="FootnoteReference"/>
          <w:rFonts w:ascii="Arial" w:hAnsi="Arial" w:cs="Arial"/>
          <w:sz w:val="17"/>
          <w:szCs w:val="17"/>
          <w:lang w:val="en-GB"/>
        </w:rPr>
        <w:footnoteRef/>
      </w:r>
      <w:r w:rsidRPr="006F36F7">
        <w:rPr>
          <w:rFonts w:ascii="Arial" w:hAnsi="Arial" w:cs="Arial"/>
          <w:sz w:val="17"/>
          <w:szCs w:val="17"/>
          <w:lang w:val="en-GB"/>
        </w:rPr>
        <w:t xml:space="preserve"> Neetu Chandra Sharma, “Dental Public Health—Why Is It Important in India,” </w:t>
      </w:r>
      <w:proofErr w:type="spellStart"/>
      <w:r w:rsidRPr="006F36F7">
        <w:rPr>
          <w:rFonts w:ascii="Arial" w:hAnsi="Arial" w:cs="Arial"/>
          <w:sz w:val="17"/>
          <w:szCs w:val="17"/>
          <w:lang w:val="en-GB"/>
        </w:rPr>
        <w:t>Livemint</w:t>
      </w:r>
      <w:proofErr w:type="spellEnd"/>
      <w:r w:rsidRPr="006F36F7">
        <w:rPr>
          <w:rFonts w:ascii="Arial" w:hAnsi="Arial" w:cs="Arial"/>
          <w:sz w:val="17"/>
          <w:szCs w:val="17"/>
          <w:lang w:val="en-GB"/>
        </w:rPr>
        <w:t>, July 20, 2019, accessed April 1, 2020, www.livemint.com/news/india/dental-public-health-why-is-it-important-in-india-1563616880257.html.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4260DAB" w:rsidR="00A5590A" w:rsidRPr="00C92CC4" w:rsidRDefault="00A5590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563F25">
      <w:rPr>
        <w:rFonts w:ascii="Arial" w:hAnsi="Arial"/>
        <w:b/>
      </w:rPr>
      <w:t>9B21A016</w:t>
    </w:r>
  </w:p>
  <w:p w14:paraId="2B53C0A0" w14:textId="77777777" w:rsidR="00A5590A" w:rsidRDefault="00A5590A" w:rsidP="00D13667">
    <w:pPr>
      <w:pStyle w:val="Header"/>
      <w:tabs>
        <w:tab w:val="clear" w:pos="4680"/>
      </w:tabs>
      <w:rPr>
        <w:sz w:val="18"/>
        <w:szCs w:val="18"/>
      </w:rPr>
    </w:pPr>
  </w:p>
  <w:p w14:paraId="19E99513" w14:textId="77777777" w:rsidR="00A5590A" w:rsidRDefault="00A55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C3302"/>
    <w:multiLevelType w:val="hybridMultilevel"/>
    <w:tmpl w:val="148E10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0"/>
  </w:num>
  <w:num w:numId="5">
    <w:abstractNumId w:val="3"/>
  </w:num>
  <w:num w:numId="6">
    <w:abstractNumId w:val="7"/>
  </w:num>
  <w:num w:numId="7">
    <w:abstractNumId w:val="0"/>
  </w:num>
  <w:num w:numId="8">
    <w:abstractNumId w:val="12"/>
  </w:num>
  <w:num w:numId="9">
    <w:abstractNumId w:val="8"/>
  </w:num>
  <w:num w:numId="10">
    <w:abstractNumId w:val="1"/>
  </w:num>
  <w:num w:numId="11">
    <w:abstractNumId w:val="5"/>
  </w:num>
  <w:num w:numId="12">
    <w:abstractNumId w:val="6"/>
  </w:num>
  <w:num w:numId="1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7B6"/>
    <w:rsid w:val="00013360"/>
    <w:rsid w:val="00016759"/>
    <w:rsid w:val="000216CE"/>
    <w:rsid w:val="00024ED4"/>
    <w:rsid w:val="00025DC7"/>
    <w:rsid w:val="00035F09"/>
    <w:rsid w:val="00044ECC"/>
    <w:rsid w:val="000531D3"/>
    <w:rsid w:val="0005646B"/>
    <w:rsid w:val="000615D1"/>
    <w:rsid w:val="0008102D"/>
    <w:rsid w:val="00083C04"/>
    <w:rsid w:val="00086B26"/>
    <w:rsid w:val="00094C0E"/>
    <w:rsid w:val="000A146D"/>
    <w:rsid w:val="000B4701"/>
    <w:rsid w:val="000B5455"/>
    <w:rsid w:val="000D2A2F"/>
    <w:rsid w:val="000D7091"/>
    <w:rsid w:val="000E4ADF"/>
    <w:rsid w:val="000E5A2B"/>
    <w:rsid w:val="000F0C22"/>
    <w:rsid w:val="000F11FC"/>
    <w:rsid w:val="000F204D"/>
    <w:rsid w:val="000F6B09"/>
    <w:rsid w:val="000F6FDC"/>
    <w:rsid w:val="001007D1"/>
    <w:rsid w:val="00102C49"/>
    <w:rsid w:val="00104567"/>
    <w:rsid w:val="00104916"/>
    <w:rsid w:val="00104AA7"/>
    <w:rsid w:val="00112541"/>
    <w:rsid w:val="0012732D"/>
    <w:rsid w:val="0014272E"/>
    <w:rsid w:val="00143F25"/>
    <w:rsid w:val="00152682"/>
    <w:rsid w:val="00154FC9"/>
    <w:rsid w:val="00160F82"/>
    <w:rsid w:val="001901C0"/>
    <w:rsid w:val="0019241A"/>
    <w:rsid w:val="00192A18"/>
    <w:rsid w:val="00195D9B"/>
    <w:rsid w:val="001A22D1"/>
    <w:rsid w:val="001A374E"/>
    <w:rsid w:val="001A752D"/>
    <w:rsid w:val="001A757E"/>
    <w:rsid w:val="001B1E96"/>
    <w:rsid w:val="001B5032"/>
    <w:rsid w:val="001C0C50"/>
    <w:rsid w:val="001C2EC6"/>
    <w:rsid w:val="001C6359"/>
    <w:rsid w:val="001C7777"/>
    <w:rsid w:val="001D344B"/>
    <w:rsid w:val="001D6A48"/>
    <w:rsid w:val="001E364F"/>
    <w:rsid w:val="001F4222"/>
    <w:rsid w:val="00203AA1"/>
    <w:rsid w:val="0021141A"/>
    <w:rsid w:val="002127F6"/>
    <w:rsid w:val="00213E98"/>
    <w:rsid w:val="00230150"/>
    <w:rsid w:val="0023081A"/>
    <w:rsid w:val="00233111"/>
    <w:rsid w:val="002464CB"/>
    <w:rsid w:val="002469C5"/>
    <w:rsid w:val="00247D34"/>
    <w:rsid w:val="00262C93"/>
    <w:rsid w:val="00265FA8"/>
    <w:rsid w:val="00280EC6"/>
    <w:rsid w:val="00281A1D"/>
    <w:rsid w:val="00291DF8"/>
    <w:rsid w:val="002B40FF"/>
    <w:rsid w:val="002C4E29"/>
    <w:rsid w:val="002D63E3"/>
    <w:rsid w:val="002F460C"/>
    <w:rsid w:val="002F48D6"/>
    <w:rsid w:val="00317391"/>
    <w:rsid w:val="00323374"/>
    <w:rsid w:val="00326216"/>
    <w:rsid w:val="00336580"/>
    <w:rsid w:val="00354899"/>
    <w:rsid w:val="00355C34"/>
    <w:rsid w:val="00355FD6"/>
    <w:rsid w:val="00364A5C"/>
    <w:rsid w:val="00365152"/>
    <w:rsid w:val="00370DC8"/>
    <w:rsid w:val="00371BE7"/>
    <w:rsid w:val="00373FB1"/>
    <w:rsid w:val="0037532C"/>
    <w:rsid w:val="00396C76"/>
    <w:rsid w:val="003A7277"/>
    <w:rsid w:val="003B30D8"/>
    <w:rsid w:val="003B5F2C"/>
    <w:rsid w:val="003B7EF2"/>
    <w:rsid w:val="003C3FA4"/>
    <w:rsid w:val="003D0BA1"/>
    <w:rsid w:val="003D1D19"/>
    <w:rsid w:val="003E0134"/>
    <w:rsid w:val="003E1B28"/>
    <w:rsid w:val="003E3BE4"/>
    <w:rsid w:val="003F2B0C"/>
    <w:rsid w:val="003F5613"/>
    <w:rsid w:val="003F67FE"/>
    <w:rsid w:val="00400C74"/>
    <w:rsid w:val="004105B2"/>
    <w:rsid w:val="0041145A"/>
    <w:rsid w:val="00412900"/>
    <w:rsid w:val="00414DA8"/>
    <w:rsid w:val="004221E4"/>
    <w:rsid w:val="004273F8"/>
    <w:rsid w:val="004355A3"/>
    <w:rsid w:val="00446546"/>
    <w:rsid w:val="00452769"/>
    <w:rsid w:val="00454FA7"/>
    <w:rsid w:val="00465348"/>
    <w:rsid w:val="004735A5"/>
    <w:rsid w:val="00487D41"/>
    <w:rsid w:val="004979A5"/>
    <w:rsid w:val="004A25E0"/>
    <w:rsid w:val="004A5744"/>
    <w:rsid w:val="004B1CCB"/>
    <w:rsid w:val="004B632F"/>
    <w:rsid w:val="004C111D"/>
    <w:rsid w:val="004D3FB1"/>
    <w:rsid w:val="004D6F21"/>
    <w:rsid w:val="004D73A5"/>
    <w:rsid w:val="004E7F95"/>
    <w:rsid w:val="004F27D5"/>
    <w:rsid w:val="004F2EF6"/>
    <w:rsid w:val="004F77FE"/>
    <w:rsid w:val="005160F1"/>
    <w:rsid w:val="0052012B"/>
    <w:rsid w:val="005207F3"/>
    <w:rsid w:val="00524F2F"/>
    <w:rsid w:val="00527E5C"/>
    <w:rsid w:val="00532CF5"/>
    <w:rsid w:val="005528CB"/>
    <w:rsid w:val="005532A3"/>
    <w:rsid w:val="00563F25"/>
    <w:rsid w:val="00566771"/>
    <w:rsid w:val="00581E2E"/>
    <w:rsid w:val="00584F15"/>
    <w:rsid w:val="00587059"/>
    <w:rsid w:val="005902DF"/>
    <w:rsid w:val="0059288E"/>
    <w:rsid w:val="0059514B"/>
    <w:rsid w:val="005A1B0F"/>
    <w:rsid w:val="005A1D50"/>
    <w:rsid w:val="005A7381"/>
    <w:rsid w:val="005B4CE6"/>
    <w:rsid w:val="005B5EFE"/>
    <w:rsid w:val="005B7256"/>
    <w:rsid w:val="005C45C2"/>
    <w:rsid w:val="005C613C"/>
    <w:rsid w:val="005D1373"/>
    <w:rsid w:val="006163F7"/>
    <w:rsid w:val="00624E68"/>
    <w:rsid w:val="00627C63"/>
    <w:rsid w:val="0063350B"/>
    <w:rsid w:val="0064553A"/>
    <w:rsid w:val="00646906"/>
    <w:rsid w:val="00652606"/>
    <w:rsid w:val="00653C55"/>
    <w:rsid w:val="00654C12"/>
    <w:rsid w:val="00675702"/>
    <w:rsid w:val="00681274"/>
    <w:rsid w:val="0068260B"/>
    <w:rsid w:val="006931C5"/>
    <w:rsid w:val="00693D19"/>
    <w:rsid w:val="006946EE"/>
    <w:rsid w:val="006A58A9"/>
    <w:rsid w:val="006A606D"/>
    <w:rsid w:val="006C0371"/>
    <w:rsid w:val="006C08B6"/>
    <w:rsid w:val="006C0B1A"/>
    <w:rsid w:val="006C6065"/>
    <w:rsid w:val="006C7F9F"/>
    <w:rsid w:val="006E2F6D"/>
    <w:rsid w:val="006E35EB"/>
    <w:rsid w:val="006E58F6"/>
    <w:rsid w:val="006E77E1"/>
    <w:rsid w:val="006F131D"/>
    <w:rsid w:val="006F268A"/>
    <w:rsid w:val="006F36F7"/>
    <w:rsid w:val="00705C50"/>
    <w:rsid w:val="00705ED3"/>
    <w:rsid w:val="00711642"/>
    <w:rsid w:val="00723F1B"/>
    <w:rsid w:val="00726F82"/>
    <w:rsid w:val="007507C6"/>
    <w:rsid w:val="00751E0B"/>
    <w:rsid w:val="00752BCD"/>
    <w:rsid w:val="00766DA1"/>
    <w:rsid w:val="007760B8"/>
    <w:rsid w:val="00780D94"/>
    <w:rsid w:val="007866A6"/>
    <w:rsid w:val="007A130D"/>
    <w:rsid w:val="007A7CE0"/>
    <w:rsid w:val="007B7B80"/>
    <w:rsid w:val="007D1A2D"/>
    <w:rsid w:val="007D32E6"/>
    <w:rsid w:val="007D4102"/>
    <w:rsid w:val="007D416B"/>
    <w:rsid w:val="007E54A7"/>
    <w:rsid w:val="007E7879"/>
    <w:rsid w:val="007F43B7"/>
    <w:rsid w:val="00803320"/>
    <w:rsid w:val="00806161"/>
    <w:rsid w:val="00806ECE"/>
    <w:rsid w:val="00820F80"/>
    <w:rsid w:val="00821FFC"/>
    <w:rsid w:val="00823E9F"/>
    <w:rsid w:val="008271CA"/>
    <w:rsid w:val="008467D5"/>
    <w:rsid w:val="00850A6B"/>
    <w:rsid w:val="008641EE"/>
    <w:rsid w:val="008704EA"/>
    <w:rsid w:val="00881658"/>
    <w:rsid w:val="00886C79"/>
    <w:rsid w:val="008A1857"/>
    <w:rsid w:val="008A44D7"/>
    <w:rsid w:val="008A4DC4"/>
    <w:rsid w:val="008B438C"/>
    <w:rsid w:val="008C5C55"/>
    <w:rsid w:val="008D06CA"/>
    <w:rsid w:val="008D3A46"/>
    <w:rsid w:val="008E4BA2"/>
    <w:rsid w:val="008F2385"/>
    <w:rsid w:val="009067A4"/>
    <w:rsid w:val="00930885"/>
    <w:rsid w:val="00933D68"/>
    <w:rsid w:val="009340DB"/>
    <w:rsid w:val="00942783"/>
    <w:rsid w:val="0094618C"/>
    <w:rsid w:val="00946F15"/>
    <w:rsid w:val="0095684B"/>
    <w:rsid w:val="00972498"/>
    <w:rsid w:val="0097481F"/>
    <w:rsid w:val="00974CC6"/>
    <w:rsid w:val="00976AD4"/>
    <w:rsid w:val="0098587A"/>
    <w:rsid w:val="00995547"/>
    <w:rsid w:val="009A312F"/>
    <w:rsid w:val="009A5348"/>
    <w:rsid w:val="009A7DDE"/>
    <w:rsid w:val="009B0AB7"/>
    <w:rsid w:val="009C76D5"/>
    <w:rsid w:val="009E4CC5"/>
    <w:rsid w:val="009E7882"/>
    <w:rsid w:val="009F7AA4"/>
    <w:rsid w:val="00A10AD7"/>
    <w:rsid w:val="00A12913"/>
    <w:rsid w:val="00A320C5"/>
    <w:rsid w:val="00A323B0"/>
    <w:rsid w:val="00A42762"/>
    <w:rsid w:val="00A47629"/>
    <w:rsid w:val="00A5590A"/>
    <w:rsid w:val="00A559DB"/>
    <w:rsid w:val="00A569EA"/>
    <w:rsid w:val="00A676A0"/>
    <w:rsid w:val="00A71591"/>
    <w:rsid w:val="00AA3CE8"/>
    <w:rsid w:val="00AC0BFD"/>
    <w:rsid w:val="00AC51E2"/>
    <w:rsid w:val="00AE752B"/>
    <w:rsid w:val="00AF35FC"/>
    <w:rsid w:val="00AF5556"/>
    <w:rsid w:val="00B03639"/>
    <w:rsid w:val="00B0652A"/>
    <w:rsid w:val="00B272E0"/>
    <w:rsid w:val="00B27BDA"/>
    <w:rsid w:val="00B326C0"/>
    <w:rsid w:val="00B34FFA"/>
    <w:rsid w:val="00B379DB"/>
    <w:rsid w:val="00B40937"/>
    <w:rsid w:val="00B4169D"/>
    <w:rsid w:val="00B423EF"/>
    <w:rsid w:val="00B453DE"/>
    <w:rsid w:val="00B46EDF"/>
    <w:rsid w:val="00B51F91"/>
    <w:rsid w:val="00B52174"/>
    <w:rsid w:val="00B62497"/>
    <w:rsid w:val="00B62DDC"/>
    <w:rsid w:val="00B72597"/>
    <w:rsid w:val="00B87DC0"/>
    <w:rsid w:val="00B901F9"/>
    <w:rsid w:val="00B9361D"/>
    <w:rsid w:val="00B966FF"/>
    <w:rsid w:val="00BC4D98"/>
    <w:rsid w:val="00BD6EFB"/>
    <w:rsid w:val="00BE3DF5"/>
    <w:rsid w:val="00BE3F1D"/>
    <w:rsid w:val="00BF5EAB"/>
    <w:rsid w:val="00C02410"/>
    <w:rsid w:val="00C1584D"/>
    <w:rsid w:val="00C15BE2"/>
    <w:rsid w:val="00C22919"/>
    <w:rsid w:val="00C3447F"/>
    <w:rsid w:val="00C36A8D"/>
    <w:rsid w:val="00C44714"/>
    <w:rsid w:val="00C57160"/>
    <w:rsid w:val="00C67102"/>
    <w:rsid w:val="00C7256C"/>
    <w:rsid w:val="00C81491"/>
    <w:rsid w:val="00C81676"/>
    <w:rsid w:val="00C8499C"/>
    <w:rsid w:val="00C85C5D"/>
    <w:rsid w:val="00C92CC4"/>
    <w:rsid w:val="00CA038D"/>
    <w:rsid w:val="00CA0AFB"/>
    <w:rsid w:val="00CA1913"/>
    <w:rsid w:val="00CA2CE1"/>
    <w:rsid w:val="00CA3976"/>
    <w:rsid w:val="00CA3C91"/>
    <w:rsid w:val="00CA44F7"/>
    <w:rsid w:val="00CA50E3"/>
    <w:rsid w:val="00CA5DB8"/>
    <w:rsid w:val="00CA757B"/>
    <w:rsid w:val="00CC1787"/>
    <w:rsid w:val="00CC182C"/>
    <w:rsid w:val="00CD0824"/>
    <w:rsid w:val="00CD2908"/>
    <w:rsid w:val="00CD429C"/>
    <w:rsid w:val="00CD67F2"/>
    <w:rsid w:val="00D03A82"/>
    <w:rsid w:val="00D05867"/>
    <w:rsid w:val="00D13667"/>
    <w:rsid w:val="00D140CA"/>
    <w:rsid w:val="00D15344"/>
    <w:rsid w:val="00D15D34"/>
    <w:rsid w:val="00D23F57"/>
    <w:rsid w:val="00D31BEC"/>
    <w:rsid w:val="00D40748"/>
    <w:rsid w:val="00D54BAE"/>
    <w:rsid w:val="00D60AC5"/>
    <w:rsid w:val="00D63150"/>
    <w:rsid w:val="00D636BA"/>
    <w:rsid w:val="00D64A32"/>
    <w:rsid w:val="00D64EFC"/>
    <w:rsid w:val="00D75295"/>
    <w:rsid w:val="00D76CE9"/>
    <w:rsid w:val="00D91351"/>
    <w:rsid w:val="00D97F12"/>
    <w:rsid w:val="00DA6095"/>
    <w:rsid w:val="00DB42E7"/>
    <w:rsid w:val="00DB7E11"/>
    <w:rsid w:val="00DC09D8"/>
    <w:rsid w:val="00DD62AE"/>
    <w:rsid w:val="00DE01A6"/>
    <w:rsid w:val="00DE7A98"/>
    <w:rsid w:val="00DF0C43"/>
    <w:rsid w:val="00DF32C2"/>
    <w:rsid w:val="00DF6FF2"/>
    <w:rsid w:val="00E2476A"/>
    <w:rsid w:val="00E314FB"/>
    <w:rsid w:val="00E471A7"/>
    <w:rsid w:val="00E635CF"/>
    <w:rsid w:val="00EA26F6"/>
    <w:rsid w:val="00EB1E3B"/>
    <w:rsid w:val="00EB43F0"/>
    <w:rsid w:val="00EC6E0A"/>
    <w:rsid w:val="00ED4E18"/>
    <w:rsid w:val="00ED7922"/>
    <w:rsid w:val="00EE02C4"/>
    <w:rsid w:val="00EE1F37"/>
    <w:rsid w:val="00EE37A1"/>
    <w:rsid w:val="00F0159C"/>
    <w:rsid w:val="00F105B7"/>
    <w:rsid w:val="00F13220"/>
    <w:rsid w:val="00F17A21"/>
    <w:rsid w:val="00F35159"/>
    <w:rsid w:val="00F36FC2"/>
    <w:rsid w:val="00F37B27"/>
    <w:rsid w:val="00F46556"/>
    <w:rsid w:val="00F50E91"/>
    <w:rsid w:val="00F56799"/>
    <w:rsid w:val="00F57D29"/>
    <w:rsid w:val="00F60786"/>
    <w:rsid w:val="00F742CC"/>
    <w:rsid w:val="00F87DAC"/>
    <w:rsid w:val="00F91BC7"/>
    <w:rsid w:val="00F9570D"/>
    <w:rsid w:val="00F95FAC"/>
    <w:rsid w:val="00F96201"/>
    <w:rsid w:val="00FA1BBC"/>
    <w:rsid w:val="00FB26EC"/>
    <w:rsid w:val="00FC51A8"/>
    <w:rsid w:val="00FD0B18"/>
    <w:rsid w:val="00FD2FAD"/>
    <w:rsid w:val="00FD7306"/>
    <w:rsid w:val="00FE714F"/>
    <w:rsid w:val="00FE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00254">
      <w:bodyDiv w:val="1"/>
      <w:marLeft w:val="0"/>
      <w:marRight w:val="0"/>
      <w:marTop w:val="0"/>
      <w:marBottom w:val="0"/>
      <w:divBdr>
        <w:top w:val="none" w:sz="0" w:space="0" w:color="auto"/>
        <w:left w:val="none" w:sz="0" w:space="0" w:color="auto"/>
        <w:bottom w:val="none" w:sz="0" w:space="0" w:color="auto"/>
        <w:right w:val="none" w:sz="0" w:space="0" w:color="auto"/>
      </w:divBdr>
      <w:divsChild>
        <w:div w:id="535386252">
          <w:marLeft w:val="0"/>
          <w:marRight w:val="0"/>
          <w:marTop w:val="0"/>
          <w:marBottom w:val="0"/>
          <w:divBdr>
            <w:top w:val="none" w:sz="0" w:space="0" w:color="auto"/>
            <w:left w:val="none" w:sz="0" w:space="0" w:color="auto"/>
            <w:bottom w:val="none" w:sz="0" w:space="0" w:color="auto"/>
            <w:right w:val="none" w:sz="0" w:space="0" w:color="auto"/>
          </w:divBdr>
          <w:divsChild>
            <w:div w:id="2039506795">
              <w:marLeft w:val="0"/>
              <w:marRight w:val="0"/>
              <w:marTop w:val="0"/>
              <w:marBottom w:val="0"/>
              <w:divBdr>
                <w:top w:val="none" w:sz="0" w:space="0" w:color="auto"/>
                <w:left w:val="none" w:sz="0" w:space="0" w:color="auto"/>
                <w:bottom w:val="none" w:sz="0" w:space="0" w:color="auto"/>
                <w:right w:val="none" w:sz="0" w:space="0" w:color="auto"/>
              </w:divBdr>
              <w:divsChild>
                <w:div w:id="1179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1210E-E09A-4719-8536-9E6795B5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3</cp:revision>
  <cp:lastPrinted>2015-03-04T20:34:00Z</cp:lastPrinted>
  <dcterms:created xsi:type="dcterms:W3CDTF">2021-06-04T13:26:00Z</dcterms:created>
  <dcterms:modified xsi:type="dcterms:W3CDTF">2021-06-04T13:27:00Z</dcterms:modified>
</cp:coreProperties>
</file>