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E0C53" w14:textId="7424B37D" w:rsidR="001268A8" w:rsidRPr="004B0F00" w:rsidRDefault="004B0F00" w:rsidP="001268A8">
      <w:pPr>
        <w:pBdr>
          <w:bottom w:val="single" w:sz="18" w:space="1" w:color="auto"/>
        </w:pBdr>
        <w:tabs>
          <w:tab w:val="left" w:pos="-1440"/>
          <w:tab w:val="left" w:pos="-720"/>
          <w:tab w:val="left" w:pos="1"/>
        </w:tabs>
        <w:spacing w:after="0" w:line="240" w:lineRule="auto"/>
        <w:jc w:val="both"/>
        <w:rPr>
          <w:rFonts w:ascii="Arial" w:eastAsia="Times New Roman" w:hAnsi="Arial" w:cs="Times New Roman"/>
          <w:b/>
          <w:noProof/>
          <w:sz w:val="24"/>
          <w:szCs w:val="20"/>
          <w:lang w:eastAsia="en-CA"/>
        </w:rPr>
      </w:pPr>
      <w:r w:rsidRPr="004B0F00">
        <w:rPr>
          <w:rFonts w:ascii="Arial" w:eastAsia="Times New Roman" w:hAnsi="Arial" w:cs="Times New Roman"/>
          <w:b/>
          <w:noProof/>
          <w:sz w:val="24"/>
          <w:szCs w:val="20"/>
          <w:lang w:eastAsia="en-CA"/>
        </w:rPr>
        <w:drawing>
          <wp:inline distT="0" distB="0" distL="0" distR="0" wp14:anchorId="765E2E7D" wp14:editId="162A69A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2BBBE32" w14:textId="131DE08C" w:rsidR="001268A8" w:rsidRPr="001268A8" w:rsidRDefault="004B0F00" w:rsidP="001268A8">
      <w:pPr>
        <w:spacing w:after="0" w:line="240" w:lineRule="auto"/>
        <w:jc w:val="right"/>
        <w:rPr>
          <w:rFonts w:ascii="Arial" w:eastAsia="Times New Roman" w:hAnsi="Arial" w:cs="Times New Roman"/>
          <w:b/>
          <w:caps/>
          <w:sz w:val="24"/>
          <w:szCs w:val="20"/>
          <w:lang w:val="en-GB"/>
        </w:rPr>
      </w:pPr>
      <w:r>
        <w:rPr>
          <w:rFonts w:ascii="Arial" w:eastAsia="Times New Roman" w:hAnsi="Arial" w:cs="Times New Roman"/>
          <w:b/>
          <w:caps/>
          <w:sz w:val="24"/>
          <w:szCs w:val="20"/>
          <w:lang w:val="en-GB"/>
        </w:rPr>
        <w:t>9B21B001</w:t>
      </w:r>
    </w:p>
    <w:p w14:paraId="377C4953" w14:textId="77777777" w:rsidR="001268A8" w:rsidRPr="001268A8" w:rsidRDefault="001268A8" w:rsidP="001268A8">
      <w:pPr>
        <w:spacing w:after="0" w:line="240" w:lineRule="auto"/>
        <w:jc w:val="right"/>
        <w:rPr>
          <w:rFonts w:ascii="Arial" w:eastAsia="Times New Roman" w:hAnsi="Arial" w:cs="Times New Roman"/>
          <w:b/>
          <w:sz w:val="20"/>
          <w:szCs w:val="20"/>
          <w:lang w:val="en-GB"/>
        </w:rPr>
      </w:pPr>
    </w:p>
    <w:p w14:paraId="3615C1BB" w14:textId="77777777" w:rsidR="001268A8" w:rsidRPr="001268A8" w:rsidRDefault="001268A8" w:rsidP="001268A8">
      <w:pPr>
        <w:spacing w:after="0" w:line="240" w:lineRule="auto"/>
        <w:jc w:val="right"/>
        <w:rPr>
          <w:rFonts w:ascii="Arial" w:eastAsia="Times New Roman" w:hAnsi="Arial" w:cs="Times New Roman"/>
          <w:b/>
          <w:sz w:val="20"/>
          <w:szCs w:val="20"/>
          <w:lang w:val="en-GB"/>
        </w:rPr>
      </w:pPr>
    </w:p>
    <w:p w14:paraId="7BB5EED5" w14:textId="77777777" w:rsidR="001268A8" w:rsidRPr="001268A8" w:rsidRDefault="001268A8" w:rsidP="001268A8">
      <w:pPr>
        <w:autoSpaceDE w:val="0"/>
        <w:autoSpaceDN w:val="0"/>
        <w:adjustRightInd w:val="0"/>
        <w:spacing w:after="0" w:line="240" w:lineRule="auto"/>
        <w:textAlignment w:val="center"/>
        <w:rPr>
          <w:rFonts w:ascii="Arial" w:eastAsia="Calibri" w:hAnsi="Arial" w:cs="Arial"/>
          <w:b/>
          <w:bCs/>
          <w:caps/>
          <w:color w:val="000000"/>
          <w:sz w:val="20"/>
          <w:szCs w:val="20"/>
          <w:lang w:val="en-GB"/>
        </w:rPr>
      </w:pPr>
      <w:r w:rsidRPr="001268A8">
        <w:rPr>
          <w:rFonts w:ascii="Arial" w:eastAsia="Calibri" w:hAnsi="Arial" w:cs="Arial"/>
          <w:b/>
          <w:bCs/>
          <w:caps/>
          <w:color w:val="000000"/>
          <w:sz w:val="28"/>
          <w:szCs w:val="28"/>
          <w:lang w:val="en-GB"/>
        </w:rPr>
        <w:t>Delta 9 Cannabis: Picking a Path to Growth during turbulent Times</w:t>
      </w:r>
    </w:p>
    <w:p w14:paraId="0D9861A9" w14:textId="77777777" w:rsidR="001268A8" w:rsidRPr="001268A8" w:rsidRDefault="001268A8" w:rsidP="001268A8">
      <w:pPr>
        <w:autoSpaceDE w:val="0"/>
        <w:autoSpaceDN w:val="0"/>
        <w:adjustRightInd w:val="0"/>
        <w:spacing w:after="0" w:line="240" w:lineRule="auto"/>
        <w:textAlignment w:val="center"/>
        <w:rPr>
          <w:rFonts w:ascii="Arial" w:eastAsia="Calibri" w:hAnsi="Arial" w:cs="Arial"/>
          <w:b/>
          <w:bCs/>
          <w:caps/>
          <w:color w:val="000000"/>
          <w:sz w:val="20"/>
          <w:szCs w:val="20"/>
          <w:lang w:val="en-GB"/>
        </w:rPr>
      </w:pPr>
    </w:p>
    <w:p w14:paraId="29E742AC" w14:textId="77777777" w:rsidR="001268A8" w:rsidRPr="001268A8" w:rsidRDefault="001268A8" w:rsidP="001268A8">
      <w:pPr>
        <w:autoSpaceDE w:val="0"/>
        <w:autoSpaceDN w:val="0"/>
        <w:adjustRightInd w:val="0"/>
        <w:spacing w:after="0" w:line="240" w:lineRule="auto"/>
        <w:textAlignment w:val="center"/>
        <w:rPr>
          <w:rFonts w:ascii="Arial" w:eastAsia="Calibri" w:hAnsi="Arial" w:cs="Arial"/>
          <w:b/>
          <w:bCs/>
          <w:caps/>
          <w:color w:val="000000"/>
          <w:sz w:val="20"/>
          <w:szCs w:val="20"/>
          <w:lang w:val="en-GB"/>
        </w:rPr>
      </w:pPr>
    </w:p>
    <w:p w14:paraId="27F595C1" w14:textId="77777777" w:rsidR="001268A8" w:rsidRPr="001268A8" w:rsidRDefault="001268A8" w:rsidP="001268A8">
      <w:pPr>
        <w:pBdr>
          <w:top w:val="single" w:sz="8" w:space="4" w:color="auto"/>
        </w:pBdr>
        <w:tabs>
          <w:tab w:val="right" w:pos="9360"/>
        </w:tabs>
        <w:autoSpaceDE w:val="0"/>
        <w:autoSpaceDN w:val="0"/>
        <w:adjustRightInd w:val="0"/>
        <w:spacing w:after="0" w:line="240" w:lineRule="auto"/>
        <w:jc w:val="both"/>
        <w:textAlignment w:val="center"/>
        <w:rPr>
          <w:rFonts w:ascii="Arial" w:eastAsia="Times New Roman" w:hAnsi="Arial" w:cs="Times New Roman"/>
          <w:i/>
          <w:iCs/>
          <w:color w:val="000000"/>
          <w:sz w:val="16"/>
          <w:szCs w:val="20"/>
          <w:lang w:val="en-GB"/>
        </w:rPr>
      </w:pPr>
      <w:r w:rsidRPr="001268A8">
        <w:rPr>
          <w:rFonts w:ascii="Arial" w:eastAsia="Times New Roman" w:hAnsi="Arial" w:cs="Times New Roman"/>
          <w:i/>
          <w:iCs/>
          <w:color w:val="000000"/>
          <w:sz w:val="16"/>
          <w:szCs w:val="20"/>
          <w:lang w:val="en-GB"/>
        </w:rPr>
        <w:t>Pavandeep Sehra wrote this case under the supervision of Kun Huo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37EDBB7" w14:textId="77777777" w:rsidR="001268A8" w:rsidRPr="001268A8" w:rsidRDefault="001268A8" w:rsidP="001268A8">
      <w:pPr>
        <w:pBdr>
          <w:top w:val="single" w:sz="8" w:space="4" w:color="auto"/>
        </w:pBdr>
        <w:tabs>
          <w:tab w:val="right" w:pos="9360"/>
        </w:tabs>
        <w:autoSpaceDE w:val="0"/>
        <w:autoSpaceDN w:val="0"/>
        <w:adjustRightInd w:val="0"/>
        <w:spacing w:after="0" w:line="240" w:lineRule="auto"/>
        <w:jc w:val="both"/>
        <w:textAlignment w:val="center"/>
        <w:rPr>
          <w:rFonts w:ascii="Arial" w:eastAsia="Times New Roman" w:hAnsi="Arial" w:cs="Times New Roman"/>
          <w:i/>
          <w:iCs/>
          <w:color w:val="000000"/>
          <w:sz w:val="16"/>
          <w:szCs w:val="20"/>
          <w:lang w:val="en-GB"/>
        </w:rPr>
      </w:pPr>
    </w:p>
    <w:p w14:paraId="4370EB43" w14:textId="77777777" w:rsidR="004B0F00" w:rsidRDefault="004B0F00" w:rsidP="004B0F00">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EBD295F" w14:textId="77777777" w:rsidR="004B0F00" w:rsidRDefault="004B0F00" w:rsidP="004B0F00">
      <w:pPr>
        <w:pStyle w:val="StyleStyleCopyrightStatementAfter0ptBottomSinglesolid"/>
        <w:rPr>
          <w:rFonts w:cs="Arial"/>
          <w:iCs w:val="0"/>
          <w:color w:val="auto"/>
          <w:szCs w:val="16"/>
        </w:rPr>
      </w:pPr>
    </w:p>
    <w:p w14:paraId="2F6F18F5" w14:textId="39E9149A" w:rsidR="001268A8" w:rsidRPr="004B0F00" w:rsidRDefault="004B0F00" w:rsidP="004B0F0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1268A8" w:rsidRPr="001268A8">
        <w:rPr>
          <w:rFonts w:cs="Arial"/>
          <w:szCs w:val="16"/>
        </w:rPr>
        <w:tab/>
      </w:r>
      <w:r w:rsidR="00492F5B">
        <w:rPr>
          <w:rFonts w:cs="Arial"/>
          <w:szCs w:val="16"/>
        </w:rPr>
        <w:t>Version: 2021-0</w:t>
      </w:r>
      <w:r>
        <w:rPr>
          <w:rFonts w:cs="Arial"/>
          <w:i w:val="0"/>
          <w:szCs w:val="16"/>
        </w:rPr>
        <w:t>3</w:t>
      </w:r>
      <w:r w:rsidR="00492F5B">
        <w:rPr>
          <w:rFonts w:cs="Arial"/>
          <w:szCs w:val="16"/>
        </w:rPr>
        <w:t>-</w:t>
      </w:r>
      <w:r>
        <w:rPr>
          <w:rFonts w:cs="Arial"/>
          <w:i w:val="0"/>
          <w:szCs w:val="16"/>
        </w:rPr>
        <w:t>03</w:t>
      </w:r>
    </w:p>
    <w:p w14:paraId="541D3E5A" w14:textId="77777777" w:rsidR="001268A8" w:rsidRPr="001268A8" w:rsidRDefault="001268A8" w:rsidP="001268A8">
      <w:pPr>
        <w:pBdr>
          <w:top w:val="single" w:sz="8" w:space="4" w:color="auto"/>
        </w:pBdr>
        <w:tabs>
          <w:tab w:val="right" w:pos="9360"/>
        </w:tabs>
        <w:autoSpaceDE w:val="0"/>
        <w:autoSpaceDN w:val="0"/>
        <w:adjustRightInd w:val="0"/>
        <w:spacing w:after="0" w:line="240" w:lineRule="auto"/>
        <w:jc w:val="both"/>
        <w:textAlignment w:val="center"/>
        <w:rPr>
          <w:rFonts w:ascii="Times New Roman" w:eastAsia="Times New Roman" w:hAnsi="Times New Roman" w:cs="Times New Roman"/>
          <w:i/>
          <w:iCs/>
          <w:color w:val="000000"/>
          <w:sz w:val="20"/>
          <w:szCs w:val="20"/>
          <w:lang w:val="en-GB"/>
        </w:rPr>
      </w:pPr>
    </w:p>
    <w:p w14:paraId="00EDEA40" w14:textId="77777777" w:rsidR="001268A8" w:rsidRPr="001268A8" w:rsidRDefault="001268A8" w:rsidP="001268A8">
      <w:pPr>
        <w:pBdr>
          <w:top w:val="single" w:sz="8" w:space="4" w:color="auto"/>
        </w:pBdr>
        <w:tabs>
          <w:tab w:val="right" w:pos="9360"/>
        </w:tabs>
        <w:autoSpaceDE w:val="0"/>
        <w:autoSpaceDN w:val="0"/>
        <w:adjustRightInd w:val="0"/>
        <w:spacing w:after="0" w:line="240" w:lineRule="auto"/>
        <w:jc w:val="both"/>
        <w:textAlignment w:val="center"/>
        <w:rPr>
          <w:rFonts w:ascii="Times New Roman" w:eastAsia="Times New Roman" w:hAnsi="Times New Roman" w:cs="Times New Roman"/>
          <w:i/>
          <w:iCs/>
          <w:color w:val="000000"/>
          <w:sz w:val="20"/>
          <w:szCs w:val="20"/>
          <w:lang w:val="en-GB"/>
        </w:rPr>
      </w:pPr>
    </w:p>
    <w:p w14:paraId="42404DC6"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On Wednesday, April 1, 2020, John Arbuthnot, chief executive officer (CEO) and co-founder of Delta 9 Cannabis Inc. (Delta 9), was in his office earlier than usual. The day before marked the close of Delta 9’s best fiscal quarter ever. This was far from a surprise: Delta 9 had grown rapidly since its founding in 2012. An avid sports fan, Arbuthnot likened the past three fiscal quarters of the business to scoring three goals in the first period of a hockey game. Arbuthnot considered the rest of 2020 to be Delta 9’s second period.</w:t>
      </w:r>
    </w:p>
    <w:p w14:paraId="37F48B6F"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3B95F2D9" w14:textId="142C0966" w:rsidR="001268A8" w:rsidRPr="009617E6" w:rsidRDefault="001268A8" w:rsidP="001268A8">
      <w:pPr>
        <w:spacing w:after="0" w:line="240" w:lineRule="auto"/>
        <w:jc w:val="both"/>
        <w:rPr>
          <w:rFonts w:ascii="Times New Roman" w:eastAsia="Times New Roman" w:hAnsi="Times New Roman" w:cs="Times New Roman"/>
          <w:spacing w:val="-2"/>
          <w:lang w:val="en-GB"/>
        </w:rPr>
      </w:pPr>
      <w:r w:rsidRPr="009617E6">
        <w:rPr>
          <w:rFonts w:ascii="Times New Roman" w:eastAsia="Times New Roman" w:hAnsi="Times New Roman" w:cs="Times New Roman"/>
          <w:spacing w:val="-2"/>
          <w:lang w:val="en-GB"/>
        </w:rPr>
        <w:t xml:space="preserve">However, despite this growth, Delta 9’s share price had deflated over the past year, a problem that was exacerbated by the COVID-19 pandemic. Delta 9’s original growth strategy </w:t>
      </w:r>
      <w:r w:rsidR="0082386F" w:rsidRPr="009617E6">
        <w:rPr>
          <w:rFonts w:ascii="Times New Roman" w:eastAsia="Times New Roman" w:hAnsi="Times New Roman" w:cs="Times New Roman"/>
          <w:spacing w:val="-2"/>
          <w:lang w:val="en-GB"/>
        </w:rPr>
        <w:t xml:space="preserve">had </w:t>
      </w:r>
      <w:r w:rsidRPr="009617E6">
        <w:rPr>
          <w:rFonts w:ascii="Times New Roman" w:eastAsia="Times New Roman" w:hAnsi="Times New Roman" w:cs="Times New Roman"/>
          <w:spacing w:val="-2"/>
          <w:lang w:val="en-GB"/>
        </w:rPr>
        <w:t>relied on the capital markets being bullish on the cannabis industry. Now, Arbuthnot was forced to reconsider his game plan. Should the company raise additional capital to fund growth? How should the company allocate its capital internally?</w:t>
      </w:r>
    </w:p>
    <w:p w14:paraId="02923A4A"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3ED2D8FD"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i/>
          <w:iCs/>
          <w:lang w:val="en-GB"/>
        </w:rPr>
        <w:t>Buzz</w:t>
      </w:r>
      <w:r w:rsidRPr="001268A8">
        <w:rPr>
          <w:rFonts w:ascii="Times New Roman" w:eastAsia="Times New Roman" w:hAnsi="Times New Roman" w:cs="Times New Roman"/>
          <w:lang w:val="en-GB"/>
        </w:rPr>
        <w:t>. Arbuthnot looked down at his cell phone. It was a calendar reminder for his presentation to the board of directors in one week’s time. Arbuthnot looked forward to delivering the solid financials to the board, but he knew that he would have to answer the difficult question as well. For a growth company, the question was always, “What is next?”</w:t>
      </w:r>
    </w:p>
    <w:p w14:paraId="39DB2CEB"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2856F708"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2B4FC892" w14:textId="77777777" w:rsidR="001268A8" w:rsidRPr="001268A8" w:rsidRDefault="001268A8" w:rsidP="001268A8">
      <w:pPr>
        <w:keepNext/>
        <w:spacing w:after="0" w:line="240" w:lineRule="auto"/>
        <w:jc w:val="both"/>
        <w:rPr>
          <w:rFonts w:ascii="Arial" w:eastAsia="Times New Roman" w:hAnsi="Arial" w:cs="Arial"/>
          <w:b/>
          <w:caps/>
          <w:sz w:val="20"/>
          <w:szCs w:val="20"/>
          <w:lang w:val="en-GB"/>
        </w:rPr>
      </w:pPr>
      <w:r w:rsidRPr="001268A8">
        <w:rPr>
          <w:rFonts w:ascii="Arial" w:eastAsia="Times New Roman" w:hAnsi="Arial" w:cs="Arial"/>
          <w:b/>
          <w:caps/>
          <w:sz w:val="20"/>
          <w:szCs w:val="20"/>
          <w:lang w:val="en-GB"/>
        </w:rPr>
        <w:t>Cannabis Industry Background</w:t>
      </w:r>
    </w:p>
    <w:p w14:paraId="2ECE5AA3" w14:textId="77777777" w:rsidR="001268A8" w:rsidRPr="001268A8" w:rsidRDefault="001268A8" w:rsidP="001268A8">
      <w:pPr>
        <w:keepNext/>
        <w:spacing w:after="0" w:line="240" w:lineRule="auto"/>
        <w:jc w:val="both"/>
        <w:rPr>
          <w:rFonts w:ascii="Times New Roman" w:eastAsia="Times New Roman" w:hAnsi="Times New Roman" w:cs="Times New Roman"/>
          <w:lang w:val="en-GB"/>
        </w:rPr>
      </w:pPr>
    </w:p>
    <w:p w14:paraId="3D77F1A3"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Terms and Uses</w:t>
      </w:r>
    </w:p>
    <w:p w14:paraId="3D7DCC90" w14:textId="77777777" w:rsidR="001268A8" w:rsidRPr="001268A8" w:rsidRDefault="001268A8" w:rsidP="001268A8">
      <w:pPr>
        <w:keepNext/>
        <w:spacing w:after="0" w:line="240" w:lineRule="auto"/>
        <w:jc w:val="both"/>
        <w:rPr>
          <w:rFonts w:ascii="Times New Roman" w:eastAsia="Times New Roman" w:hAnsi="Times New Roman" w:cs="Times New Roman"/>
          <w:lang w:val="en-GB"/>
        </w:rPr>
      </w:pPr>
    </w:p>
    <w:p w14:paraId="1E1D7BB1"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Cannabis referred to a genus of flowering plants.</w:t>
      </w:r>
      <w:r w:rsidRPr="001268A8">
        <w:rPr>
          <w:rFonts w:ascii="Times New Roman" w:eastAsia="Times New Roman" w:hAnsi="Times New Roman" w:cs="Times New Roman"/>
          <w:vertAlign w:val="superscript"/>
          <w:lang w:val="en-GB"/>
        </w:rPr>
        <w:endnoteReference w:id="1"/>
      </w:r>
      <w:r w:rsidRPr="001268A8">
        <w:rPr>
          <w:rFonts w:ascii="Times New Roman" w:eastAsia="Times New Roman" w:hAnsi="Times New Roman" w:cs="Times New Roman"/>
          <w:lang w:val="en-GB"/>
        </w:rPr>
        <w:t xml:space="preserve"> For marketing purposes, it was commonly accepted that there were three species within this genus: </w:t>
      </w:r>
      <w:r w:rsidRPr="001268A8">
        <w:rPr>
          <w:rFonts w:ascii="Times New Roman" w:eastAsia="Times New Roman" w:hAnsi="Times New Roman" w:cs="Times New Roman"/>
          <w:i/>
          <w:iCs/>
          <w:lang w:val="en-GB"/>
        </w:rPr>
        <w:t>Cannabis sativa</w:t>
      </w:r>
      <w:r w:rsidRPr="001268A8">
        <w:rPr>
          <w:rFonts w:ascii="Times New Roman" w:eastAsia="Times New Roman" w:hAnsi="Times New Roman" w:cs="Times New Roman"/>
          <w:lang w:val="en-GB"/>
        </w:rPr>
        <w:t xml:space="preserve">, </w:t>
      </w:r>
      <w:r w:rsidRPr="001268A8">
        <w:rPr>
          <w:rFonts w:ascii="Times New Roman" w:eastAsia="Times New Roman" w:hAnsi="Times New Roman" w:cs="Times New Roman"/>
          <w:i/>
          <w:iCs/>
          <w:lang w:val="en-GB"/>
        </w:rPr>
        <w:t>Cannabis indica</w:t>
      </w:r>
      <w:r w:rsidRPr="001268A8">
        <w:rPr>
          <w:rFonts w:ascii="Times New Roman" w:eastAsia="Times New Roman" w:hAnsi="Times New Roman" w:cs="Times New Roman"/>
          <w:lang w:val="en-GB"/>
        </w:rPr>
        <w:t xml:space="preserve">, and </w:t>
      </w:r>
      <w:r w:rsidRPr="001268A8">
        <w:rPr>
          <w:rFonts w:ascii="Times New Roman" w:eastAsia="Times New Roman" w:hAnsi="Times New Roman" w:cs="Times New Roman"/>
          <w:i/>
          <w:iCs/>
          <w:lang w:val="en-GB"/>
        </w:rPr>
        <w:t>Cannabis ruderalis</w:t>
      </w:r>
      <w:r w:rsidRPr="001268A8">
        <w:rPr>
          <w:rFonts w:ascii="Times New Roman" w:eastAsia="Times New Roman" w:hAnsi="Times New Roman" w:cs="Times New Roman"/>
          <w:lang w:val="en-GB"/>
        </w:rPr>
        <w:t>.</w:t>
      </w:r>
      <w:r w:rsidRPr="001268A8">
        <w:rPr>
          <w:rFonts w:ascii="Times New Roman" w:eastAsia="Times New Roman" w:hAnsi="Times New Roman" w:cs="Times New Roman"/>
          <w:vertAlign w:val="superscript"/>
          <w:lang w:val="en-GB"/>
        </w:rPr>
        <w:endnoteReference w:id="2"/>
      </w:r>
      <w:r w:rsidRPr="001268A8">
        <w:rPr>
          <w:rFonts w:ascii="Times New Roman" w:eastAsia="Times New Roman" w:hAnsi="Times New Roman" w:cs="Times New Roman"/>
          <w:lang w:val="en-GB"/>
        </w:rPr>
        <w:t xml:space="preserve"> Most strains of cannabis were blends of </w:t>
      </w:r>
      <w:r w:rsidRPr="001268A8">
        <w:rPr>
          <w:rFonts w:ascii="Times New Roman" w:eastAsia="Times New Roman" w:hAnsi="Times New Roman" w:cs="Times New Roman"/>
          <w:i/>
          <w:iCs/>
          <w:lang w:val="en-GB"/>
        </w:rPr>
        <w:t>Cannabis sativa</w:t>
      </w:r>
      <w:r w:rsidRPr="001268A8">
        <w:rPr>
          <w:rFonts w:ascii="Times New Roman" w:eastAsia="Times New Roman" w:hAnsi="Times New Roman" w:cs="Times New Roman"/>
          <w:lang w:val="en-GB"/>
        </w:rPr>
        <w:t xml:space="preserve"> and </w:t>
      </w:r>
      <w:r w:rsidRPr="001268A8">
        <w:rPr>
          <w:rFonts w:ascii="Times New Roman" w:eastAsia="Times New Roman" w:hAnsi="Times New Roman" w:cs="Times New Roman"/>
          <w:i/>
          <w:iCs/>
          <w:lang w:val="en-GB"/>
        </w:rPr>
        <w:t>Cannabis indica</w:t>
      </w:r>
      <w:r w:rsidRPr="001268A8">
        <w:rPr>
          <w:rFonts w:ascii="Times New Roman" w:eastAsia="Times New Roman" w:hAnsi="Times New Roman" w:cs="Times New Roman"/>
          <w:lang w:val="en-GB"/>
        </w:rPr>
        <w:t>.</w:t>
      </w:r>
    </w:p>
    <w:p w14:paraId="6C1F04CC"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7D07FB98" w14:textId="77777777" w:rsidR="001268A8" w:rsidRPr="00B558E0" w:rsidRDefault="001268A8" w:rsidP="001268A8">
      <w:pPr>
        <w:spacing w:after="0" w:line="240" w:lineRule="auto"/>
        <w:jc w:val="both"/>
        <w:rPr>
          <w:rFonts w:ascii="Times New Roman" w:eastAsia="Times New Roman" w:hAnsi="Times New Roman" w:cs="Times New Roman"/>
          <w:spacing w:val="-2"/>
          <w:lang w:val="en-GB"/>
        </w:rPr>
      </w:pPr>
      <w:r w:rsidRPr="00B558E0">
        <w:rPr>
          <w:rFonts w:ascii="Times New Roman" w:eastAsia="Times New Roman" w:hAnsi="Times New Roman" w:cs="Times New Roman"/>
          <w:spacing w:val="-2"/>
          <w:lang w:val="en-GB"/>
        </w:rPr>
        <w:t>Perhaps the best-known use of cannabis was for its psychoactive effect; the consumption or smoking of cannabis was known to generate a “high” that was largely attributable to the presence of the chemical delta-9-tetrahydrocannabinol (THC). THC and another constituent compound of cannabis, cannabidiol (CBD), were known to provide pain relief.</w:t>
      </w:r>
      <w:r w:rsidRPr="00B558E0">
        <w:rPr>
          <w:rFonts w:ascii="Times New Roman" w:eastAsia="Times New Roman" w:hAnsi="Times New Roman" w:cs="Times New Roman"/>
          <w:spacing w:val="-2"/>
          <w:vertAlign w:val="superscript"/>
          <w:lang w:val="en-GB"/>
        </w:rPr>
        <w:endnoteReference w:id="3"/>
      </w:r>
      <w:r w:rsidRPr="00B558E0">
        <w:rPr>
          <w:rFonts w:ascii="Times New Roman" w:eastAsia="Times New Roman" w:hAnsi="Times New Roman" w:cs="Times New Roman"/>
          <w:spacing w:val="-2"/>
          <w:lang w:val="en-GB"/>
        </w:rPr>
        <w:t xml:space="preserve"> THC and CBD were most concentrated in the plant’s flowering buds, which were the most popular and valuable component of the plant for smoking and consuming. Cannabis could also be used to treat nausea, vomiting, low appetite, and muscle spasms, among other medical ailments.</w:t>
      </w:r>
      <w:r w:rsidRPr="00B558E0">
        <w:rPr>
          <w:rFonts w:ascii="Times New Roman" w:eastAsia="Times New Roman" w:hAnsi="Times New Roman" w:cs="Times New Roman"/>
          <w:spacing w:val="-2"/>
          <w:vertAlign w:val="superscript"/>
          <w:lang w:val="en-GB"/>
        </w:rPr>
        <w:endnoteReference w:id="4"/>
      </w:r>
    </w:p>
    <w:p w14:paraId="1A256B66" w14:textId="522489B1"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lastRenderedPageBreak/>
        <w:t>Hemp referred to cannabis that was not cultivated for the plant’s psychoactive effect. There were many uses for hemp, including consuming its nutritious seeds, using its fibres in textiles, and using the oil from its seeds to produce oil-based paints.</w:t>
      </w:r>
      <w:r w:rsidRPr="001268A8">
        <w:rPr>
          <w:rFonts w:ascii="Times New Roman" w:eastAsia="Times New Roman" w:hAnsi="Times New Roman" w:cs="Times New Roman"/>
          <w:vertAlign w:val="superscript"/>
          <w:lang w:val="en-GB"/>
        </w:rPr>
        <w:endnoteReference w:id="5"/>
      </w:r>
    </w:p>
    <w:p w14:paraId="2895EE0A"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1AD9C223"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2EF97DA6"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Legal History of Cannabis in Canada</w:t>
      </w:r>
    </w:p>
    <w:p w14:paraId="34562757"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68300CDE" w14:textId="2F7764F9"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 xml:space="preserve">Canada became one of the first </w:t>
      </w:r>
      <w:r w:rsidR="0082386F">
        <w:rPr>
          <w:rFonts w:ascii="Times New Roman" w:eastAsia="Times New Roman" w:hAnsi="Times New Roman" w:cs="Times New Roman"/>
          <w:lang w:val="en-GB"/>
        </w:rPr>
        <w:t>W</w:t>
      </w:r>
      <w:r w:rsidRPr="001268A8">
        <w:rPr>
          <w:rFonts w:ascii="Times New Roman" w:eastAsia="Times New Roman" w:hAnsi="Times New Roman" w:cs="Times New Roman"/>
          <w:lang w:val="en-GB"/>
        </w:rPr>
        <w:t xml:space="preserve">estern nations to criminalize cannabis with the </w:t>
      </w:r>
      <w:r w:rsidRPr="001268A8">
        <w:rPr>
          <w:rFonts w:ascii="Times New Roman" w:eastAsia="Times New Roman" w:hAnsi="Times New Roman" w:cs="Times New Roman"/>
          <w:i/>
          <w:iCs/>
          <w:lang w:val="en-GB"/>
        </w:rPr>
        <w:t>Act to Prohibit the Improper Use of Opium and other Drugs</w:t>
      </w:r>
      <w:r w:rsidRPr="001268A8">
        <w:rPr>
          <w:rFonts w:ascii="Times New Roman" w:eastAsia="Times New Roman" w:hAnsi="Times New Roman" w:cs="Times New Roman"/>
          <w:lang w:val="en-GB"/>
        </w:rPr>
        <w:t xml:space="preserve"> in 1923. In the 1990s, however, landmark court decisions established the constitutional right to use cannabis for medicinal purposes. In 2001, the Canadian federal government implemented the </w:t>
      </w:r>
      <w:r w:rsidRPr="001268A8">
        <w:rPr>
          <w:rFonts w:ascii="Times New Roman" w:eastAsia="Times New Roman" w:hAnsi="Times New Roman" w:cs="Times New Roman"/>
          <w:i/>
          <w:iCs/>
          <w:lang w:val="en-GB"/>
        </w:rPr>
        <w:t>Marihuana Medical Access Regulations</w:t>
      </w:r>
      <w:r w:rsidRPr="001268A8">
        <w:rPr>
          <w:rFonts w:ascii="Times New Roman" w:eastAsia="Times New Roman" w:hAnsi="Times New Roman" w:cs="Times New Roman"/>
          <w:lang w:val="en-GB"/>
        </w:rPr>
        <w:t xml:space="preserve"> (MMAR), which allowed patients to obtain licences to grow cannabis for themselves and a small number of other patients.</w:t>
      </w:r>
      <w:r w:rsidRPr="001268A8">
        <w:rPr>
          <w:rFonts w:ascii="Times New Roman" w:eastAsia="Times New Roman" w:hAnsi="Times New Roman" w:cs="Times New Roman"/>
          <w:vertAlign w:val="superscript"/>
          <w:lang w:val="en-GB"/>
        </w:rPr>
        <w:endnoteReference w:id="6"/>
      </w:r>
      <w:r w:rsidRPr="001268A8">
        <w:rPr>
          <w:rFonts w:ascii="Times New Roman" w:eastAsia="Times New Roman" w:hAnsi="Times New Roman" w:cs="Times New Roman"/>
          <w:lang w:val="en-GB"/>
        </w:rPr>
        <w:t xml:space="preserve"> Patients could also obtain cannabis directly from Health Canada.</w:t>
      </w:r>
    </w:p>
    <w:p w14:paraId="166A9FCE"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13815EAE" w14:textId="12697BC0"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By 2012, however, it was widely understood that the MMAR was deeply flawed. Growers felt that the government was putting them at risk of home invasion, and the electrical equipment used for indoor growth could be a fire hazard.</w:t>
      </w:r>
      <w:r w:rsidRPr="001268A8">
        <w:rPr>
          <w:rFonts w:ascii="Times New Roman" w:eastAsia="Times New Roman" w:hAnsi="Times New Roman" w:cs="Times New Roman"/>
          <w:vertAlign w:val="superscript"/>
          <w:lang w:val="en-GB"/>
        </w:rPr>
        <w:endnoteReference w:id="7"/>
      </w:r>
      <w:r w:rsidRPr="001268A8">
        <w:rPr>
          <w:rFonts w:ascii="Times New Roman" w:eastAsia="Times New Roman" w:hAnsi="Times New Roman" w:cs="Times New Roman"/>
          <w:lang w:val="en-GB"/>
        </w:rPr>
        <w:t xml:space="preserve"> Further, only a single strain of cannabis was available from Health Canada.</w:t>
      </w:r>
      <w:r w:rsidRPr="001268A8">
        <w:rPr>
          <w:rFonts w:ascii="Times New Roman" w:eastAsia="Times New Roman" w:hAnsi="Times New Roman" w:cs="Times New Roman"/>
          <w:vertAlign w:val="superscript"/>
          <w:lang w:val="en-GB"/>
        </w:rPr>
        <w:t xml:space="preserve"> </w:t>
      </w:r>
      <w:r w:rsidRPr="001268A8">
        <w:rPr>
          <w:rFonts w:ascii="Times New Roman" w:eastAsia="Times New Roman" w:hAnsi="Times New Roman" w:cs="Times New Roman"/>
          <w:lang w:val="en-GB"/>
        </w:rPr>
        <w:t>Many patients turned toward the black market instead, simply for convenience.</w:t>
      </w:r>
      <w:r w:rsidRPr="001268A8">
        <w:rPr>
          <w:rFonts w:ascii="Times New Roman" w:eastAsia="Times New Roman" w:hAnsi="Times New Roman" w:cs="Times New Roman"/>
          <w:vertAlign w:val="superscript"/>
          <w:lang w:val="en-GB"/>
        </w:rPr>
        <w:endnoteReference w:id="8"/>
      </w:r>
    </w:p>
    <w:p w14:paraId="6519FF91"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316E4D05"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Around this time, the concept of decriminalizing or legalizing the recreational use of cannabis became an increasingly popular political conversation. Politicians understood that the black market was unregulated, yielded no tax revenue, was too often associated with organized crime, and forced patients to pay higher prices. In 2012, close to two-thirds of Canadians favoured legalizing or decriminalizing cannabis.</w:t>
      </w:r>
      <w:r w:rsidRPr="001268A8">
        <w:rPr>
          <w:rFonts w:ascii="Times New Roman" w:eastAsia="Times New Roman" w:hAnsi="Times New Roman" w:cs="Times New Roman"/>
          <w:vertAlign w:val="superscript"/>
          <w:lang w:val="en-GB"/>
        </w:rPr>
        <w:endnoteReference w:id="9"/>
      </w:r>
    </w:p>
    <w:p w14:paraId="6F8D8F82"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24C74E23"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 xml:space="preserve">In December 2012, Health Canada announced plans to overhaul the MMAR. In June 2013, the </w:t>
      </w:r>
      <w:r w:rsidRPr="001268A8">
        <w:rPr>
          <w:rFonts w:ascii="Times New Roman" w:eastAsia="Times New Roman" w:hAnsi="Times New Roman" w:cs="Times New Roman"/>
          <w:i/>
          <w:iCs/>
          <w:lang w:val="en-GB"/>
        </w:rPr>
        <w:t>Marihuana for Medical Purposes Regulations</w:t>
      </w:r>
      <w:r w:rsidRPr="001268A8">
        <w:rPr>
          <w:rFonts w:ascii="Times New Roman" w:eastAsia="Times New Roman" w:hAnsi="Times New Roman" w:cs="Times New Roman"/>
          <w:lang w:val="en-GB"/>
        </w:rPr>
        <w:t xml:space="preserve"> (MMPR) took the production of medical cannabis out of the hands of individuals and placed it into the hands of regulated and licensed producers.</w:t>
      </w:r>
      <w:r w:rsidRPr="001268A8">
        <w:rPr>
          <w:rFonts w:ascii="Times New Roman" w:eastAsia="Times New Roman" w:hAnsi="Times New Roman" w:cs="Times New Roman"/>
          <w:vertAlign w:val="superscript"/>
          <w:lang w:val="en-GB"/>
        </w:rPr>
        <w:endnoteReference w:id="10"/>
      </w:r>
    </w:p>
    <w:p w14:paraId="0D0D5B60"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5477305D"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In October 2015, the Liberal Party of Canada won the federal election. Legalizing the recreational use of cannabis had been an official policy of the Liberal Party since January 2012,</w:t>
      </w:r>
      <w:r w:rsidRPr="001268A8">
        <w:rPr>
          <w:rFonts w:ascii="Times New Roman" w:eastAsia="Times New Roman" w:hAnsi="Times New Roman" w:cs="Times New Roman"/>
          <w:vertAlign w:val="superscript"/>
          <w:lang w:val="en-GB"/>
        </w:rPr>
        <w:endnoteReference w:id="11"/>
      </w:r>
      <w:r w:rsidRPr="001268A8">
        <w:rPr>
          <w:rFonts w:ascii="Times New Roman" w:eastAsia="Times New Roman" w:hAnsi="Times New Roman" w:cs="Times New Roman"/>
          <w:lang w:val="en-GB"/>
        </w:rPr>
        <w:t xml:space="preserve"> and in April 2017, the party introduced the structure for legalization with the </w:t>
      </w:r>
      <w:r w:rsidRPr="001268A8">
        <w:rPr>
          <w:rFonts w:ascii="Times New Roman" w:eastAsia="Times New Roman" w:hAnsi="Times New Roman" w:cs="Times New Roman"/>
          <w:i/>
          <w:iCs/>
          <w:lang w:val="en-GB"/>
        </w:rPr>
        <w:t>Cannabis Act</w:t>
      </w:r>
      <w:r w:rsidRPr="001268A8">
        <w:rPr>
          <w:rFonts w:ascii="Times New Roman" w:eastAsia="Times New Roman" w:hAnsi="Times New Roman" w:cs="Times New Roman"/>
          <w:lang w:val="en-GB"/>
        </w:rPr>
        <w:t>, introduced to the House of Commons. The Act came into effect on October 17, 2018, making Canada just the second country in the world to legalize the recreational use of cannabis.</w:t>
      </w:r>
      <w:r w:rsidRPr="001268A8">
        <w:rPr>
          <w:rFonts w:ascii="Times New Roman" w:eastAsia="Times New Roman" w:hAnsi="Times New Roman" w:cs="Times New Roman"/>
          <w:vertAlign w:val="superscript"/>
          <w:lang w:val="en-GB"/>
        </w:rPr>
        <w:endnoteReference w:id="12"/>
      </w:r>
      <w:r w:rsidRPr="001268A8">
        <w:rPr>
          <w:rFonts w:ascii="Times New Roman" w:eastAsia="Times New Roman" w:hAnsi="Times New Roman" w:cs="Times New Roman"/>
          <w:lang w:val="en-GB"/>
        </w:rPr>
        <w:t xml:space="preserve"> Although the </w:t>
      </w:r>
      <w:r w:rsidRPr="001268A8">
        <w:rPr>
          <w:rFonts w:ascii="Times New Roman" w:eastAsia="Times New Roman" w:hAnsi="Times New Roman" w:cs="Times New Roman"/>
          <w:i/>
          <w:iCs/>
          <w:lang w:val="en-GB"/>
        </w:rPr>
        <w:t>Cannabis Act</w:t>
      </w:r>
      <w:r w:rsidRPr="001268A8">
        <w:rPr>
          <w:rFonts w:ascii="Times New Roman" w:eastAsia="Times New Roman" w:hAnsi="Times New Roman" w:cs="Times New Roman"/>
          <w:lang w:val="en-GB"/>
        </w:rPr>
        <w:t xml:space="preserve"> legalized cannabis federally, provinces and territories were responsible for “developing, implementing, maintaining and enforcing systems to oversee the distribution and sale of cannabis.”</w:t>
      </w:r>
      <w:r w:rsidRPr="001268A8">
        <w:rPr>
          <w:rFonts w:ascii="Times New Roman" w:eastAsia="Times New Roman" w:hAnsi="Times New Roman" w:cs="Times New Roman"/>
          <w:vertAlign w:val="superscript"/>
          <w:lang w:val="en-GB"/>
        </w:rPr>
        <w:endnoteReference w:id="13"/>
      </w:r>
    </w:p>
    <w:p w14:paraId="7B874C5A"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10892078"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77AF5429"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Legal History of Cannabis in the United States</w:t>
      </w:r>
    </w:p>
    <w:p w14:paraId="1C3CAE6B"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5EFC0CB8"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In 1970, the United States classified cannabis as a Schedule I controlled substance, alongside drugs such as heroin and LSD. Nonetheless, many states subsequently legalized or decriminalized both the medicinal and recreational use of cannabis. In 1996, California became the first state to legalize the medicinal use of cannabis.</w:t>
      </w:r>
      <w:r w:rsidRPr="001268A8">
        <w:rPr>
          <w:rFonts w:ascii="Times New Roman" w:eastAsia="Times New Roman" w:hAnsi="Times New Roman" w:cs="Times New Roman"/>
          <w:vertAlign w:val="superscript"/>
          <w:lang w:val="en-GB"/>
        </w:rPr>
        <w:endnoteReference w:id="14"/>
      </w:r>
      <w:r w:rsidRPr="001268A8">
        <w:rPr>
          <w:rFonts w:ascii="Times New Roman" w:eastAsia="Times New Roman" w:hAnsi="Times New Roman" w:cs="Times New Roman"/>
          <w:lang w:val="en-GB"/>
        </w:rPr>
        <w:t xml:space="preserve"> In December 2012, Washington became the first state to legalize the recreational use of cannabis. As of March 2020, the medicinal use of cannabis was legal in 33 states and the recreational use of cannabis was legal in 11 states. These state regulations were in direct conflict with federal law.</w:t>
      </w:r>
      <w:r w:rsidRPr="001268A8">
        <w:rPr>
          <w:rFonts w:ascii="Times New Roman" w:eastAsia="Times New Roman" w:hAnsi="Times New Roman" w:cs="Times New Roman"/>
          <w:vertAlign w:val="superscript"/>
          <w:lang w:val="en-GB"/>
        </w:rPr>
        <w:endnoteReference w:id="15"/>
      </w:r>
    </w:p>
    <w:p w14:paraId="0680E47C"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7AB7C6B5"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State of Cannabis Market and Forecasted Growth</w:t>
      </w:r>
    </w:p>
    <w:p w14:paraId="774F1A3E" w14:textId="77777777" w:rsidR="001268A8" w:rsidRPr="001268A8" w:rsidRDefault="001268A8" w:rsidP="001268A8">
      <w:pPr>
        <w:keepNext/>
        <w:spacing w:after="0" w:line="240" w:lineRule="auto"/>
        <w:jc w:val="both"/>
        <w:rPr>
          <w:rFonts w:ascii="Times New Roman" w:eastAsia="Times New Roman" w:hAnsi="Times New Roman" w:cs="Times New Roman"/>
          <w:lang w:val="en-GB"/>
        </w:rPr>
      </w:pPr>
    </w:p>
    <w:p w14:paraId="30AEAC8B" w14:textId="73BD3FAD"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 xml:space="preserve">The market for legal cannabis in Canada grew at an incredible pace following legalization: by March 2020, legal cannabis retail sales had grown to CA$181 million from just $42 million in October 2018 (see Exhibit </w:t>
      </w:r>
      <w:r w:rsidRPr="001268A8">
        <w:rPr>
          <w:rFonts w:ascii="Times New Roman" w:eastAsia="Times New Roman" w:hAnsi="Times New Roman" w:cs="Times New Roman"/>
          <w:lang w:val="en-GB"/>
        </w:rPr>
        <w:lastRenderedPageBreak/>
        <w:t>1).</w:t>
      </w:r>
      <w:r w:rsidR="00126808" w:rsidRPr="001268A8">
        <w:rPr>
          <w:rFonts w:ascii="Times New Roman" w:eastAsia="Times New Roman" w:hAnsi="Times New Roman" w:cs="Times New Roman"/>
          <w:vertAlign w:val="superscript"/>
          <w:lang w:val="en-GB"/>
        </w:rPr>
        <w:endnoteReference w:id="16"/>
      </w:r>
      <w:r w:rsidRPr="001268A8">
        <w:rPr>
          <w:rFonts w:ascii="Times New Roman" w:eastAsia="Times New Roman" w:hAnsi="Times New Roman" w:cs="Times New Roman"/>
          <w:lang w:val="en-GB"/>
        </w:rPr>
        <w:t xml:space="preserve"> In 2019, legal cannabis retail sales grew an average of 8.4 per cent each month</w:t>
      </w:r>
      <w:r w:rsidR="00CC0C6D">
        <w:rPr>
          <w:rFonts w:ascii="Times New Roman" w:eastAsia="Times New Roman" w:hAnsi="Times New Roman" w:cs="Times New Roman"/>
          <w:lang w:val="en-GB"/>
        </w:rPr>
        <w:t xml:space="preserve">, with </w:t>
      </w:r>
      <w:r w:rsidR="00481AB9">
        <w:rPr>
          <w:rFonts w:ascii="Times New Roman" w:eastAsia="Times New Roman" w:hAnsi="Times New Roman" w:cs="Times New Roman"/>
          <w:lang w:val="en-GB"/>
        </w:rPr>
        <w:t xml:space="preserve">sales for the year totalling </w:t>
      </w:r>
      <w:r w:rsidRPr="001268A8">
        <w:rPr>
          <w:rFonts w:ascii="Times New Roman" w:eastAsia="Times New Roman" w:hAnsi="Times New Roman" w:cs="Times New Roman"/>
          <w:lang w:val="en-GB"/>
        </w:rPr>
        <w:t>$1.2 billion.</w:t>
      </w:r>
      <w:r w:rsidRPr="001268A8">
        <w:rPr>
          <w:rFonts w:ascii="Times New Roman" w:eastAsia="Times New Roman" w:hAnsi="Times New Roman" w:cs="Times New Roman"/>
          <w:vertAlign w:val="superscript"/>
          <w:lang w:val="en-GB"/>
        </w:rPr>
        <w:endnoteReference w:id="17"/>
      </w:r>
      <w:r w:rsidRPr="001268A8">
        <w:rPr>
          <w:rFonts w:ascii="Times New Roman" w:eastAsia="Times New Roman" w:hAnsi="Times New Roman" w:cs="Times New Roman"/>
          <w:lang w:val="en-GB"/>
        </w:rPr>
        <w:t xml:space="preserve"> However, the market size for cannabis was significantly larger; in 2019, more than 40 per cent of consumers obtained their cannabis from the black market.</w:t>
      </w:r>
      <w:r w:rsidRPr="001268A8">
        <w:rPr>
          <w:rFonts w:ascii="Times New Roman" w:eastAsia="Times New Roman" w:hAnsi="Times New Roman" w:cs="Times New Roman"/>
          <w:vertAlign w:val="superscript"/>
          <w:lang w:val="en-GB"/>
        </w:rPr>
        <w:endnoteReference w:id="18"/>
      </w:r>
    </w:p>
    <w:p w14:paraId="381E1941"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75BB9466"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There were many explanations for why the black market for cannabis continued to thrive post-legalization.</w:t>
      </w:r>
      <w:r w:rsidRPr="001268A8">
        <w:rPr>
          <w:rFonts w:ascii="Times New Roman" w:eastAsia="Times New Roman" w:hAnsi="Times New Roman" w:cs="Times New Roman"/>
          <w:vertAlign w:val="superscript"/>
          <w:lang w:val="en-GB"/>
        </w:rPr>
        <w:t xml:space="preserve"> </w:t>
      </w:r>
      <w:r w:rsidRPr="001268A8">
        <w:rPr>
          <w:rFonts w:ascii="Times New Roman" w:eastAsia="Times New Roman" w:hAnsi="Times New Roman" w:cs="Times New Roman"/>
          <w:lang w:val="en-GB"/>
        </w:rPr>
        <w:t>Firstly, black market cannabis was easier to obtain; the rollout of legal cannabis retail locations was slow in 2018 and 2019. However, the main issue was that the black market offered cannabis at lower prices by evading taxes. The black market also continued to thrive because many customers believed that the black market offered a greater variety of high-quality cannabis. Even legal cannabis producers widely acknowledged that smaller-scale craft producers grew higher quality cannabis, which was difficult to produce on a mass scale.</w:t>
      </w:r>
      <w:r w:rsidRPr="001268A8">
        <w:rPr>
          <w:rFonts w:ascii="Times New Roman" w:eastAsia="Times New Roman" w:hAnsi="Times New Roman" w:cs="Times New Roman"/>
          <w:vertAlign w:val="superscript"/>
          <w:lang w:val="en-GB"/>
        </w:rPr>
        <w:endnoteReference w:id="19"/>
      </w:r>
    </w:p>
    <w:p w14:paraId="3838F954"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7CC1D11F" w14:textId="77777777" w:rsidR="001268A8" w:rsidRPr="001268A8" w:rsidRDefault="001268A8" w:rsidP="001268A8">
      <w:pPr>
        <w:spacing w:after="0" w:line="240" w:lineRule="auto"/>
        <w:jc w:val="both"/>
        <w:rPr>
          <w:rFonts w:ascii="Times New Roman" w:eastAsia="Times New Roman" w:hAnsi="Times New Roman" w:cs="Times New Roman"/>
          <w:vertAlign w:val="superscript"/>
          <w:lang w:val="en-GB"/>
        </w:rPr>
      </w:pPr>
      <w:r w:rsidRPr="001268A8">
        <w:rPr>
          <w:rFonts w:ascii="Times New Roman" w:eastAsia="Times New Roman" w:hAnsi="Times New Roman" w:cs="Times New Roman"/>
          <w:lang w:val="en-GB"/>
        </w:rPr>
        <w:t>As legal cannabis companies improved their variety and quality of cannabis, achieved greater economies of scale, and opened additional retail locations, the black market was expected to lose significant market share. In fact, it was expected that legal cannabis sales would reach $2.5 billion in sales in 2020 and just over $6.4 billion in 2024.</w:t>
      </w:r>
      <w:r w:rsidRPr="001268A8">
        <w:rPr>
          <w:rFonts w:ascii="Times New Roman" w:eastAsia="Times New Roman" w:hAnsi="Times New Roman" w:cs="Times New Roman"/>
          <w:vertAlign w:val="superscript"/>
          <w:lang w:val="en-GB"/>
        </w:rPr>
        <w:endnoteReference w:id="20"/>
      </w:r>
    </w:p>
    <w:p w14:paraId="328088A6"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080721D9" w14:textId="3E40C243"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In the United States, legal cannabis sales amounted to US$</w:t>
      </w:r>
      <w:r w:rsidR="001E302D">
        <w:rPr>
          <w:rFonts w:ascii="Times New Roman" w:eastAsia="Times New Roman" w:hAnsi="Times New Roman" w:cs="Times New Roman"/>
          <w:lang w:val="en-GB"/>
        </w:rPr>
        <w:t>12</w:t>
      </w:r>
      <w:r w:rsidRPr="001268A8">
        <w:rPr>
          <w:rFonts w:ascii="Times New Roman" w:eastAsia="Times New Roman" w:hAnsi="Times New Roman" w:cs="Times New Roman"/>
          <w:lang w:val="en-GB"/>
        </w:rPr>
        <w:t>.</w:t>
      </w:r>
      <w:r w:rsidR="001E302D">
        <w:rPr>
          <w:rFonts w:ascii="Times New Roman" w:eastAsia="Times New Roman" w:hAnsi="Times New Roman" w:cs="Times New Roman"/>
          <w:lang w:val="en-GB"/>
        </w:rPr>
        <w:t>2</w:t>
      </w:r>
      <w:r w:rsidRPr="001268A8">
        <w:rPr>
          <w:rFonts w:ascii="Times New Roman" w:eastAsia="Times New Roman" w:hAnsi="Times New Roman" w:cs="Times New Roman"/>
          <w:lang w:val="en-GB"/>
        </w:rPr>
        <w:t xml:space="preserve"> billion in 2019, which was expected to grow at a compound annual growth rate (CAGR) of </w:t>
      </w:r>
      <w:r w:rsidR="00AD464D">
        <w:rPr>
          <w:rFonts w:ascii="Times New Roman" w:eastAsia="Times New Roman" w:hAnsi="Times New Roman" w:cs="Times New Roman"/>
          <w:lang w:val="en-GB"/>
        </w:rPr>
        <w:t>20</w:t>
      </w:r>
      <w:r w:rsidRPr="001268A8">
        <w:rPr>
          <w:rFonts w:ascii="Times New Roman" w:eastAsia="Times New Roman" w:hAnsi="Times New Roman" w:cs="Times New Roman"/>
          <w:lang w:val="en-GB"/>
        </w:rPr>
        <w:t>.</w:t>
      </w:r>
      <w:r w:rsidR="00AD464D">
        <w:rPr>
          <w:rFonts w:ascii="Times New Roman" w:eastAsia="Times New Roman" w:hAnsi="Times New Roman" w:cs="Times New Roman"/>
          <w:lang w:val="en-GB"/>
        </w:rPr>
        <w:t>6</w:t>
      </w:r>
      <w:r w:rsidRPr="001268A8">
        <w:rPr>
          <w:rFonts w:ascii="Times New Roman" w:eastAsia="Times New Roman" w:hAnsi="Times New Roman" w:cs="Times New Roman"/>
          <w:lang w:val="en-GB"/>
        </w:rPr>
        <w:t xml:space="preserve"> per cent over the next five years.</w:t>
      </w:r>
      <w:r w:rsidR="00B164CE">
        <w:rPr>
          <w:rStyle w:val="EndnoteReference"/>
          <w:rFonts w:ascii="Times New Roman" w:eastAsia="Times New Roman" w:hAnsi="Times New Roman" w:cs="Times New Roman"/>
          <w:lang w:val="en-GB"/>
        </w:rPr>
        <w:endnoteReference w:id="21"/>
      </w:r>
      <w:r w:rsidRPr="001268A8">
        <w:rPr>
          <w:rFonts w:ascii="Times New Roman" w:eastAsia="Times New Roman" w:hAnsi="Times New Roman" w:cs="Times New Roman"/>
          <w:lang w:val="en-GB"/>
        </w:rPr>
        <w:t xml:space="preserve"> Globally, legal cannabis sales in 2019 amounted to US$17.7 billion. With more geographies across the world beginning to open recreational and medical cannabis markets, global cannabis sales were expected to reach US$40 billion by 2024.</w:t>
      </w:r>
      <w:r w:rsidRPr="001268A8">
        <w:rPr>
          <w:rFonts w:ascii="Times New Roman" w:eastAsia="Times New Roman" w:hAnsi="Times New Roman" w:cs="Times New Roman"/>
          <w:vertAlign w:val="superscript"/>
          <w:lang w:val="en-GB"/>
        </w:rPr>
        <w:endnoteReference w:id="22"/>
      </w:r>
    </w:p>
    <w:p w14:paraId="14AA37A2"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6125055C"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644B8D83"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Major Players (Early 2020)</w:t>
      </w:r>
    </w:p>
    <w:p w14:paraId="4180B46E"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0196B1A3"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More than 470 companies were licensed to cultivate, process, or wholesale cannabis in Canada.</w:t>
      </w:r>
      <w:r w:rsidRPr="001268A8">
        <w:rPr>
          <w:rFonts w:ascii="Times New Roman" w:eastAsia="Times New Roman" w:hAnsi="Times New Roman" w:cs="Times New Roman"/>
          <w:vertAlign w:val="superscript"/>
          <w:lang w:val="en-GB"/>
        </w:rPr>
        <w:endnoteReference w:id="23"/>
      </w:r>
      <w:r w:rsidRPr="001268A8">
        <w:rPr>
          <w:rFonts w:ascii="Times New Roman" w:eastAsia="Times New Roman" w:hAnsi="Times New Roman" w:cs="Times New Roman"/>
          <w:lang w:val="en-GB"/>
        </w:rPr>
        <w:t xml:space="preserve"> The largest cannabis companies were Canopy Growth Corporation, Aurora Cannabis Inc., </w:t>
      </w:r>
      <w:proofErr w:type="spellStart"/>
      <w:r w:rsidRPr="001268A8">
        <w:rPr>
          <w:rFonts w:ascii="Times New Roman" w:eastAsia="Times New Roman" w:hAnsi="Times New Roman" w:cs="Times New Roman"/>
          <w:lang w:val="en-GB"/>
        </w:rPr>
        <w:t>Tilray</w:t>
      </w:r>
      <w:proofErr w:type="spellEnd"/>
      <w:r w:rsidRPr="001268A8">
        <w:rPr>
          <w:rFonts w:ascii="Times New Roman" w:eastAsia="Times New Roman" w:hAnsi="Times New Roman" w:cs="Times New Roman"/>
          <w:lang w:val="en-GB"/>
        </w:rPr>
        <w:t xml:space="preserve"> Inc., </w:t>
      </w:r>
      <w:proofErr w:type="spellStart"/>
      <w:r w:rsidRPr="001268A8">
        <w:rPr>
          <w:rFonts w:ascii="Times New Roman" w:eastAsia="Times New Roman" w:hAnsi="Times New Roman" w:cs="Times New Roman"/>
          <w:lang w:val="en-GB"/>
        </w:rPr>
        <w:t>Aphria</w:t>
      </w:r>
      <w:proofErr w:type="spellEnd"/>
      <w:r w:rsidRPr="001268A8">
        <w:rPr>
          <w:rFonts w:ascii="Times New Roman" w:eastAsia="Times New Roman" w:hAnsi="Times New Roman" w:cs="Times New Roman"/>
          <w:lang w:val="en-GB"/>
        </w:rPr>
        <w:t xml:space="preserve"> Inc., Organigram Holdings Inc., and Cronos Group Inc. In their first fiscal quarters of 2020, these companies achieved combined revenues of approximately $340 million. Of these companies, only Canopy Growth and Aurora Cannabis owned retail locations.</w:t>
      </w:r>
      <w:r w:rsidRPr="001268A8">
        <w:rPr>
          <w:rFonts w:ascii="Times New Roman" w:eastAsia="Times New Roman" w:hAnsi="Times New Roman" w:cs="Times New Roman"/>
          <w:vertAlign w:val="superscript"/>
          <w:lang w:val="en-GB"/>
        </w:rPr>
        <w:endnoteReference w:id="24"/>
      </w:r>
    </w:p>
    <w:p w14:paraId="0D296D3F"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0950B1C1" w14:textId="2EC3A920"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 xml:space="preserve">The retail landscape for cannabis was fragmented. </w:t>
      </w:r>
      <w:r w:rsidR="00E0435B" w:rsidRPr="00E0435B">
        <w:rPr>
          <w:rFonts w:ascii="Times New Roman" w:eastAsia="Times New Roman" w:hAnsi="Times New Roman" w:cs="Times New Roman"/>
          <w:lang w:val="en-GB"/>
        </w:rPr>
        <w:t>The market was new and expanding, and stores and brands were frequently opened, bought, and consolidated.</w:t>
      </w:r>
      <w:r w:rsidR="00E0435B">
        <w:rPr>
          <w:rFonts w:ascii="Times New Roman" w:eastAsia="Times New Roman" w:hAnsi="Times New Roman" w:cs="Times New Roman"/>
          <w:lang w:val="en-GB"/>
        </w:rPr>
        <w:t xml:space="preserve"> </w:t>
      </w:r>
      <w:r w:rsidRPr="001268A8">
        <w:rPr>
          <w:rFonts w:ascii="Times New Roman" w:eastAsia="Times New Roman" w:hAnsi="Times New Roman" w:cs="Times New Roman"/>
          <w:lang w:val="en-GB"/>
        </w:rPr>
        <w:t>Canada’s largest cannabis retail chains included Prairie Records (</w:t>
      </w:r>
      <w:proofErr w:type="spellStart"/>
      <w:r w:rsidRPr="001268A8">
        <w:rPr>
          <w:rFonts w:ascii="Times New Roman" w:eastAsia="Times New Roman" w:hAnsi="Times New Roman" w:cs="Times New Roman"/>
          <w:lang w:val="en-GB"/>
        </w:rPr>
        <w:t>WestLeaf</w:t>
      </w:r>
      <w:proofErr w:type="spellEnd"/>
      <w:r w:rsidRPr="001268A8">
        <w:rPr>
          <w:rFonts w:ascii="Times New Roman" w:eastAsia="Times New Roman" w:hAnsi="Times New Roman" w:cs="Times New Roman"/>
          <w:lang w:val="en-GB"/>
        </w:rPr>
        <w:t xml:space="preserve"> Cannabis Inc.), Fire &amp; Flower Cannabis Co., Tweed Inc. (Canopy Growth Corporation), Tokyo Smoke (Canopy Growth Corporation), Meta Growth Corporation, YSS Corporation, NOVA Cannabis (</w:t>
      </w:r>
      <w:proofErr w:type="spellStart"/>
      <w:r w:rsidRPr="001268A8">
        <w:rPr>
          <w:rFonts w:ascii="Times New Roman" w:eastAsia="Times New Roman" w:hAnsi="Times New Roman" w:cs="Times New Roman"/>
          <w:lang w:val="en-GB"/>
        </w:rPr>
        <w:t>Alcanna</w:t>
      </w:r>
      <w:proofErr w:type="spellEnd"/>
      <w:r w:rsidRPr="001268A8">
        <w:rPr>
          <w:rFonts w:ascii="Times New Roman" w:eastAsia="Times New Roman" w:hAnsi="Times New Roman" w:cs="Times New Roman"/>
          <w:lang w:val="en-GB"/>
        </w:rPr>
        <w:t xml:space="preserve"> Inc.), and High Tide Inc. Combined, these brands operated fewer than 220 of the roughly 1,000 legal cannabis retailers throughout the country.</w:t>
      </w:r>
      <w:r w:rsidRPr="001268A8">
        <w:rPr>
          <w:rFonts w:ascii="Times New Roman" w:eastAsia="Times New Roman" w:hAnsi="Times New Roman" w:cs="Times New Roman"/>
          <w:vertAlign w:val="superscript"/>
          <w:lang w:val="en-GB"/>
        </w:rPr>
        <w:endnoteReference w:id="25"/>
      </w:r>
    </w:p>
    <w:p w14:paraId="77BFEA00"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188102FE"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285C853E" w14:textId="77777777" w:rsidR="001268A8" w:rsidRPr="001268A8" w:rsidRDefault="001268A8" w:rsidP="001268A8">
      <w:pPr>
        <w:keepNext/>
        <w:spacing w:after="0" w:line="240" w:lineRule="auto"/>
        <w:jc w:val="both"/>
        <w:rPr>
          <w:rFonts w:ascii="Arial" w:eastAsia="Times New Roman" w:hAnsi="Arial" w:cs="Arial"/>
          <w:b/>
          <w:caps/>
          <w:sz w:val="20"/>
          <w:szCs w:val="20"/>
          <w:lang w:val="en-GB"/>
        </w:rPr>
      </w:pPr>
      <w:r w:rsidRPr="001268A8">
        <w:rPr>
          <w:rFonts w:ascii="Arial" w:eastAsia="Times New Roman" w:hAnsi="Arial" w:cs="Arial"/>
          <w:b/>
          <w:caps/>
          <w:sz w:val="20"/>
          <w:szCs w:val="20"/>
          <w:lang w:val="en-GB"/>
        </w:rPr>
        <w:t>Delta 9</w:t>
      </w:r>
    </w:p>
    <w:p w14:paraId="0070737E"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750B65B0"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Arbuthnot started Delta 9 in January 2012. At that time, he was still a commerce student at the University of Manitoba’s Asper School of Business. While completing a new venture feasibility study, Arbuthnot predicted that the corporate production of medical cannabis would soon become legal. He envisioned a company that commercialized medical cannabis and used first-mover advantage to capture a significant portion of the market.</w:t>
      </w:r>
    </w:p>
    <w:p w14:paraId="514904A1"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794364E2" w14:textId="55696C44"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lastRenderedPageBreak/>
        <w:t>Unlike many new venture projects</w:t>
      </w:r>
      <w:r w:rsidR="00477E5F">
        <w:rPr>
          <w:rFonts w:ascii="Times New Roman" w:eastAsia="Times New Roman" w:hAnsi="Times New Roman" w:cs="Times New Roman"/>
          <w:lang w:val="en-GB"/>
        </w:rPr>
        <w:t>,</w:t>
      </w:r>
      <w:r w:rsidRPr="001268A8">
        <w:rPr>
          <w:rFonts w:ascii="Times New Roman" w:eastAsia="Times New Roman" w:hAnsi="Times New Roman" w:cs="Times New Roman"/>
          <w:lang w:val="en-GB"/>
        </w:rPr>
        <w:t xml:space="preserve"> </w:t>
      </w:r>
      <w:r w:rsidR="00477E5F">
        <w:rPr>
          <w:rFonts w:ascii="Times New Roman" w:eastAsia="Times New Roman" w:hAnsi="Times New Roman" w:cs="Times New Roman"/>
          <w:lang w:val="en-GB"/>
        </w:rPr>
        <w:t>which</w:t>
      </w:r>
      <w:r w:rsidRPr="001268A8">
        <w:rPr>
          <w:rFonts w:ascii="Times New Roman" w:eastAsia="Times New Roman" w:hAnsi="Times New Roman" w:cs="Times New Roman"/>
          <w:lang w:val="en-GB"/>
        </w:rPr>
        <w:t xml:space="preserve"> only lived on paper, Arbuthnot’s idea was turned into reality when he boldly followed his passion and cofounded Delta 9 Biotech Inc. with his father, Bill. Since its founding, Delta 9 had been headquartered in Winnipeg, Manitoba.</w:t>
      </w:r>
    </w:p>
    <w:p w14:paraId="29822E7C"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023E129C" w14:textId="77777777" w:rsidR="001268A8" w:rsidRPr="00B558E0" w:rsidRDefault="001268A8" w:rsidP="001268A8">
      <w:pPr>
        <w:spacing w:after="0" w:line="240" w:lineRule="auto"/>
        <w:jc w:val="both"/>
        <w:rPr>
          <w:rFonts w:ascii="Times New Roman" w:eastAsia="Times New Roman" w:hAnsi="Times New Roman" w:cs="Times New Roman"/>
          <w:spacing w:val="-2"/>
          <w:lang w:val="en-GB"/>
        </w:rPr>
      </w:pPr>
      <w:r w:rsidRPr="00B558E0">
        <w:rPr>
          <w:rFonts w:ascii="Times New Roman" w:eastAsia="Times New Roman" w:hAnsi="Times New Roman" w:cs="Times New Roman"/>
          <w:spacing w:val="-2"/>
          <w:lang w:val="en-GB"/>
        </w:rPr>
        <w:t>Raising initial capital to get the company started was extremely difficult because cannabis was highly stigmatized in 2012. However, through hard work and creativity, Arbuthnot was able to raise the capital required to retrofit a warehouse for cannabis production and to apply for licences to cultivate and sell cannabis. By March 2014, Delta 9 had received sales and cultivation licences from Health Canada, making Delta 9 just the fourth company in Canada to become a fully licensed producer of medical cannabis. Four months later, in July 2014, Delta 9 began making parcel deliveries of medical cannabis to hundreds of customers.</w:t>
      </w:r>
    </w:p>
    <w:p w14:paraId="225C89B2"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531B2CC9"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In November 2017, with the company renamed Delta 9 Cannabis Inc., its shares began trading on the Toronto Stock Exchange.</w:t>
      </w:r>
    </w:p>
    <w:p w14:paraId="5491F190"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7DECF348"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063E066C"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Grow Pod Production</w:t>
      </w:r>
    </w:p>
    <w:p w14:paraId="14891B0E"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6ADF95F1" w14:textId="486B4412"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 xml:space="preserve">Because of Canada’s cold winters, most Canadian cannabis companies grew cannabis in large, </w:t>
      </w:r>
      <w:r w:rsidR="00BD2D12">
        <w:rPr>
          <w:rFonts w:ascii="Times New Roman" w:eastAsia="Times New Roman" w:hAnsi="Times New Roman" w:cs="Times New Roman"/>
          <w:lang w:val="en-GB"/>
        </w:rPr>
        <w:t>undivided</w:t>
      </w:r>
      <w:r w:rsidRPr="001268A8">
        <w:rPr>
          <w:rFonts w:ascii="Times New Roman" w:eastAsia="Times New Roman" w:hAnsi="Times New Roman" w:cs="Times New Roman"/>
          <w:lang w:val="en-GB"/>
        </w:rPr>
        <w:t xml:space="preserve"> </w:t>
      </w:r>
      <w:r w:rsidR="00BD2D12">
        <w:rPr>
          <w:rFonts w:ascii="Times New Roman" w:eastAsia="Times New Roman" w:hAnsi="Times New Roman" w:cs="Times New Roman"/>
          <w:lang w:val="en-GB"/>
        </w:rPr>
        <w:t>greenhouses</w:t>
      </w:r>
      <w:r w:rsidRPr="001268A8">
        <w:rPr>
          <w:rFonts w:ascii="Times New Roman" w:eastAsia="Times New Roman" w:hAnsi="Times New Roman" w:cs="Times New Roman"/>
          <w:lang w:val="en-GB"/>
        </w:rPr>
        <w:t xml:space="preserve">. </w:t>
      </w:r>
      <w:r w:rsidR="00BD2D12" w:rsidRPr="00BD2D12">
        <w:rPr>
          <w:rFonts w:ascii="Times New Roman" w:eastAsia="Times New Roman" w:hAnsi="Times New Roman" w:cs="Times New Roman"/>
          <w:lang w:val="en-GB"/>
        </w:rPr>
        <w:t>The unsegregated, open nature of the greenhouses</w:t>
      </w:r>
      <w:r w:rsidR="00BD2D12">
        <w:rPr>
          <w:rFonts w:ascii="Times New Roman" w:eastAsia="Times New Roman" w:hAnsi="Times New Roman" w:cs="Times New Roman"/>
          <w:lang w:val="en-GB"/>
        </w:rPr>
        <w:t xml:space="preserve"> </w:t>
      </w:r>
      <w:r w:rsidRPr="001268A8">
        <w:rPr>
          <w:rFonts w:ascii="Times New Roman" w:eastAsia="Times New Roman" w:hAnsi="Times New Roman" w:cs="Times New Roman"/>
          <w:lang w:val="en-GB"/>
        </w:rPr>
        <w:t xml:space="preserve">incentivized companies to maximize production in the space they had because many of the expenses in these facilities were independent of the volume of production. </w:t>
      </w:r>
      <w:r w:rsidR="0060066F">
        <w:rPr>
          <w:rFonts w:ascii="Times New Roman" w:eastAsia="Times New Roman" w:hAnsi="Times New Roman" w:cs="Times New Roman"/>
          <w:lang w:val="en-GB"/>
        </w:rPr>
        <w:t>In the early days of legalization, w</w:t>
      </w:r>
      <w:r w:rsidR="00D91063">
        <w:rPr>
          <w:rFonts w:ascii="Times New Roman" w:eastAsia="Times New Roman" w:hAnsi="Times New Roman" w:cs="Times New Roman"/>
          <w:lang w:val="en-GB"/>
        </w:rPr>
        <w:t>ell-funded companies expand</w:t>
      </w:r>
      <w:r w:rsidR="008552B6">
        <w:rPr>
          <w:rFonts w:ascii="Times New Roman" w:eastAsia="Times New Roman" w:hAnsi="Times New Roman" w:cs="Times New Roman"/>
          <w:lang w:val="en-GB"/>
        </w:rPr>
        <w:t>ed production</w:t>
      </w:r>
      <w:r w:rsidR="00711510">
        <w:rPr>
          <w:rFonts w:ascii="Times New Roman" w:eastAsia="Times New Roman" w:hAnsi="Times New Roman" w:cs="Times New Roman"/>
          <w:lang w:val="en-GB"/>
        </w:rPr>
        <w:t xml:space="preserve"> capacity</w:t>
      </w:r>
      <w:r w:rsidR="008552B6">
        <w:rPr>
          <w:rFonts w:ascii="Times New Roman" w:eastAsia="Times New Roman" w:hAnsi="Times New Roman" w:cs="Times New Roman"/>
          <w:lang w:val="en-GB"/>
        </w:rPr>
        <w:t xml:space="preserve"> rapidly</w:t>
      </w:r>
      <w:r w:rsidR="00406B91">
        <w:rPr>
          <w:rFonts w:ascii="Times New Roman" w:eastAsia="Times New Roman" w:hAnsi="Times New Roman" w:cs="Times New Roman"/>
          <w:lang w:val="en-GB"/>
        </w:rPr>
        <w:t xml:space="preserve"> </w:t>
      </w:r>
      <w:r w:rsidR="00D91063">
        <w:rPr>
          <w:rFonts w:ascii="Times New Roman" w:eastAsia="Times New Roman" w:hAnsi="Times New Roman" w:cs="Times New Roman"/>
          <w:lang w:val="en-GB"/>
        </w:rPr>
        <w:t xml:space="preserve">in anticipation of higher future demand and to </w:t>
      </w:r>
      <w:r w:rsidR="00711510">
        <w:rPr>
          <w:rFonts w:ascii="Times New Roman" w:eastAsia="Times New Roman" w:hAnsi="Times New Roman" w:cs="Times New Roman"/>
          <w:lang w:val="en-GB"/>
        </w:rPr>
        <w:t>deter</w:t>
      </w:r>
      <w:r w:rsidR="00D91063">
        <w:rPr>
          <w:rFonts w:ascii="Times New Roman" w:eastAsia="Times New Roman" w:hAnsi="Times New Roman" w:cs="Times New Roman"/>
          <w:lang w:val="en-GB"/>
        </w:rPr>
        <w:t xml:space="preserve"> new </w:t>
      </w:r>
      <w:r w:rsidR="00C33DBB">
        <w:rPr>
          <w:rFonts w:ascii="Times New Roman" w:eastAsia="Times New Roman" w:hAnsi="Times New Roman" w:cs="Times New Roman"/>
          <w:lang w:val="en-GB"/>
        </w:rPr>
        <w:t xml:space="preserve">companies from entering </w:t>
      </w:r>
      <w:r w:rsidR="008552B6">
        <w:rPr>
          <w:rFonts w:ascii="Times New Roman" w:eastAsia="Times New Roman" w:hAnsi="Times New Roman" w:cs="Times New Roman"/>
          <w:lang w:val="en-GB"/>
        </w:rPr>
        <w:t>the</w:t>
      </w:r>
      <w:r w:rsidR="00D91063">
        <w:rPr>
          <w:rFonts w:ascii="Times New Roman" w:eastAsia="Times New Roman" w:hAnsi="Times New Roman" w:cs="Times New Roman"/>
          <w:lang w:val="en-GB"/>
        </w:rPr>
        <w:t xml:space="preserve"> </w:t>
      </w:r>
      <w:r w:rsidR="00711510">
        <w:rPr>
          <w:rFonts w:ascii="Times New Roman" w:eastAsia="Times New Roman" w:hAnsi="Times New Roman" w:cs="Times New Roman"/>
          <w:lang w:val="en-GB"/>
        </w:rPr>
        <w:t>market</w:t>
      </w:r>
      <w:r w:rsidR="008552B6">
        <w:rPr>
          <w:rFonts w:ascii="Times New Roman" w:eastAsia="Times New Roman" w:hAnsi="Times New Roman" w:cs="Times New Roman"/>
          <w:lang w:val="en-GB"/>
        </w:rPr>
        <w:t xml:space="preserve">. </w:t>
      </w:r>
      <w:r w:rsidR="0060066F">
        <w:rPr>
          <w:rFonts w:ascii="Times New Roman" w:eastAsia="Times New Roman" w:hAnsi="Times New Roman" w:cs="Times New Roman"/>
          <w:lang w:val="en-GB"/>
        </w:rPr>
        <w:t>The producers ended up overshooting demand and the price for cannabis crashed. Additionally</w:t>
      </w:r>
      <w:r w:rsidRPr="001268A8">
        <w:rPr>
          <w:rFonts w:ascii="Times New Roman" w:eastAsia="Times New Roman" w:hAnsi="Times New Roman" w:cs="Times New Roman"/>
          <w:lang w:val="en-GB"/>
        </w:rPr>
        <w:t>, open growth increased the risk of crop failure; if a pest or disease infected just a single plant, the issue could spread to all other plants in the facility.</w:t>
      </w:r>
    </w:p>
    <w:p w14:paraId="1E881EB0"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670DFB36" w14:textId="233AB602"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 xml:space="preserve">Recognizing the </w:t>
      </w:r>
      <w:r w:rsidR="00897104">
        <w:rPr>
          <w:rFonts w:ascii="Times New Roman" w:eastAsia="Times New Roman" w:hAnsi="Times New Roman" w:cs="Times New Roman"/>
          <w:lang w:val="en-GB"/>
        </w:rPr>
        <w:t>disadvantages</w:t>
      </w:r>
      <w:r w:rsidR="00897104" w:rsidRPr="001268A8">
        <w:rPr>
          <w:rFonts w:ascii="Times New Roman" w:eastAsia="Times New Roman" w:hAnsi="Times New Roman" w:cs="Times New Roman"/>
          <w:lang w:val="en-GB"/>
        </w:rPr>
        <w:t xml:space="preserve"> </w:t>
      </w:r>
      <w:r w:rsidRPr="001268A8">
        <w:rPr>
          <w:rFonts w:ascii="Times New Roman" w:eastAsia="Times New Roman" w:hAnsi="Times New Roman" w:cs="Times New Roman"/>
          <w:lang w:val="en-GB"/>
        </w:rPr>
        <w:t>of open</w:t>
      </w:r>
      <w:r w:rsidR="00711510">
        <w:rPr>
          <w:rFonts w:ascii="Times New Roman" w:eastAsia="Times New Roman" w:hAnsi="Times New Roman" w:cs="Times New Roman"/>
          <w:lang w:val="en-GB"/>
        </w:rPr>
        <w:t xml:space="preserve"> and </w:t>
      </w:r>
      <w:r w:rsidR="00E54698">
        <w:rPr>
          <w:rFonts w:ascii="Times New Roman" w:eastAsia="Times New Roman" w:hAnsi="Times New Roman" w:cs="Times New Roman"/>
          <w:lang w:val="en-GB"/>
        </w:rPr>
        <w:t>unsegregated</w:t>
      </w:r>
      <w:r w:rsidRPr="001268A8">
        <w:rPr>
          <w:rFonts w:ascii="Times New Roman" w:eastAsia="Times New Roman" w:hAnsi="Times New Roman" w:cs="Times New Roman"/>
          <w:lang w:val="en-GB"/>
        </w:rPr>
        <w:t xml:space="preserve"> growth, Delta 9 </w:t>
      </w:r>
      <w:r w:rsidR="00711510">
        <w:rPr>
          <w:rFonts w:ascii="Times New Roman" w:eastAsia="Times New Roman" w:hAnsi="Times New Roman" w:cs="Times New Roman"/>
          <w:lang w:val="en-GB"/>
        </w:rPr>
        <w:t>planted</w:t>
      </w:r>
      <w:r w:rsidR="00711510" w:rsidRPr="001268A8">
        <w:rPr>
          <w:rFonts w:ascii="Times New Roman" w:eastAsia="Times New Roman" w:hAnsi="Times New Roman" w:cs="Times New Roman"/>
          <w:lang w:val="en-GB"/>
        </w:rPr>
        <w:t xml:space="preserve"> </w:t>
      </w:r>
      <w:r w:rsidRPr="001268A8">
        <w:rPr>
          <w:rFonts w:ascii="Times New Roman" w:eastAsia="Times New Roman" w:hAnsi="Times New Roman" w:cs="Times New Roman"/>
          <w:lang w:val="en-GB"/>
        </w:rPr>
        <w:t xml:space="preserve">cannabis in grow pods. Grow pods were shipping containers that Delta 9 proprietarily retrofitted </w:t>
      </w:r>
      <w:r w:rsidR="00711510">
        <w:rPr>
          <w:rFonts w:ascii="Times New Roman" w:eastAsia="Times New Roman" w:hAnsi="Times New Roman" w:cs="Times New Roman"/>
          <w:lang w:val="en-GB"/>
        </w:rPr>
        <w:t>for cannabis cultivation</w:t>
      </w:r>
      <w:r w:rsidRPr="001268A8">
        <w:rPr>
          <w:rFonts w:ascii="Times New Roman" w:eastAsia="Times New Roman" w:hAnsi="Times New Roman" w:cs="Times New Roman"/>
          <w:lang w:val="en-GB"/>
        </w:rPr>
        <w:t xml:space="preserve">. The pods were stackable, scalable, and modular, which allowed for vertical farming and incremental increases in production capacity. Importantly, because grow pods were independent of each other, crop failures </w:t>
      </w:r>
      <w:r w:rsidR="00711510">
        <w:rPr>
          <w:rFonts w:ascii="Times New Roman" w:eastAsia="Times New Roman" w:hAnsi="Times New Roman" w:cs="Times New Roman"/>
          <w:lang w:val="en-GB"/>
        </w:rPr>
        <w:t>could be</w:t>
      </w:r>
      <w:r w:rsidR="00711510" w:rsidRPr="001268A8">
        <w:rPr>
          <w:rFonts w:ascii="Times New Roman" w:eastAsia="Times New Roman" w:hAnsi="Times New Roman" w:cs="Times New Roman"/>
          <w:lang w:val="en-GB"/>
        </w:rPr>
        <w:t xml:space="preserve"> </w:t>
      </w:r>
      <w:r w:rsidRPr="001268A8">
        <w:rPr>
          <w:rFonts w:ascii="Times New Roman" w:eastAsia="Times New Roman" w:hAnsi="Times New Roman" w:cs="Times New Roman"/>
          <w:lang w:val="en-GB"/>
        </w:rPr>
        <w:t>isolated. In addition, grow pods could be optimized for different cannabis strains, which ensured consistency and superior quality cannabis while keeping the cost of production low (see Exhibit 2).</w:t>
      </w:r>
    </w:p>
    <w:p w14:paraId="1E6B2614"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0FA0907B"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Delta 9 manufactured three types of grow pods: genetics and clone units, flowering units, and support units. Cannabis seeds or cuttings were rooted in genetics and clone units. After a few weeks, these plants were transferred to flowering units, where the plants remained for the rest of their growing lives. Support units were used to process and store cannabis.</w:t>
      </w:r>
    </w:p>
    <w:p w14:paraId="1DD36F8A" w14:textId="77777777" w:rsidR="001268A8" w:rsidRPr="004B0F00" w:rsidRDefault="001268A8" w:rsidP="001268A8">
      <w:pPr>
        <w:spacing w:after="0" w:line="240" w:lineRule="auto"/>
        <w:jc w:val="both"/>
        <w:rPr>
          <w:rFonts w:ascii="Times New Roman" w:eastAsia="Times New Roman" w:hAnsi="Times New Roman" w:cs="Times New Roman"/>
          <w:sz w:val="14"/>
          <w:szCs w:val="14"/>
          <w:lang w:val="en-GB"/>
        </w:rPr>
      </w:pPr>
    </w:p>
    <w:p w14:paraId="536AC518" w14:textId="77777777" w:rsidR="001268A8" w:rsidRPr="004B0F00" w:rsidRDefault="001268A8" w:rsidP="001268A8">
      <w:pPr>
        <w:spacing w:after="0" w:line="240" w:lineRule="auto"/>
        <w:jc w:val="both"/>
        <w:rPr>
          <w:rFonts w:ascii="Times New Roman" w:eastAsia="Times New Roman" w:hAnsi="Times New Roman" w:cs="Times New Roman"/>
          <w:sz w:val="14"/>
          <w:szCs w:val="14"/>
          <w:lang w:val="en-GB"/>
        </w:rPr>
      </w:pPr>
    </w:p>
    <w:p w14:paraId="4217F9E4"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Shift Toward a Vertical Integration Strategy</w:t>
      </w:r>
    </w:p>
    <w:p w14:paraId="2CDA874E" w14:textId="77777777" w:rsidR="001268A8" w:rsidRPr="004B0F00" w:rsidRDefault="001268A8" w:rsidP="001268A8">
      <w:pPr>
        <w:spacing w:after="0" w:line="240" w:lineRule="auto"/>
        <w:jc w:val="both"/>
        <w:rPr>
          <w:rFonts w:ascii="Times New Roman" w:eastAsia="Times New Roman" w:hAnsi="Times New Roman" w:cs="Times New Roman"/>
          <w:sz w:val="14"/>
          <w:szCs w:val="14"/>
          <w:lang w:val="en-GB"/>
        </w:rPr>
      </w:pPr>
    </w:p>
    <w:p w14:paraId="56858F41"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Following the Canadian federal election in October 2015, it became clear that the recreational use of cannabis would become legal in Canada within a few years.</w:t>
      </w:r>
      <w:r w:rsidRPr="001268A8">
        <w:rPr>
          <w:rFonts w:ascii="Times New Roman" w:eastAsia="Times New Roman" w:hAnsi="Times New Roman" w:cs="Times New Roman"/>
          <w:vertAlign w:val="superscript"/>
          <w:lang w:val="en-GB"/>
        </w:rPr>
        <w:endnoteReference w:id="26"/>
      </w:r>
      <w:r w:rsidRPr="001268A8">
        <w:rPr>
          <w:rFonts w:ascii="Times New Roman" w:eastAsia="Times New Roman" w:hAnsi="Times New Roman" w:cs="Times New Roman"/>
          <w:lang w:val="en-GB"/>
        </w:rPr>
        <w:t xml:space="preserve"> Therefore, Arbuthnot decided to move Delta 9 from the medical cannabis market to the much larger recreational market.</w:t>
      </w:r>
    </w:p>
    <w:p w14:paraId="5CD59B3C" w14:textId="77777777" w:rsidR="001268A8" w:rsidRPr="004B0F00" w:rsidRDefault="001268A8" w:rsidP="001268A8">
      <w:pPr>
        <w:spacing w:after="0" w:line="240" w:lineRule="auto"/>
        <w:jc w:val="both"/>
        <w:rPr>
          <w:rFonts w:ascii="Times New Roman" w:eastAsia="Times New Roman" w:hAnsi="Times New Roman" w:cs="Times New Roman"/>
          <w:sz w:val="14"/>
          <w:szCs w:val="14"/>
          <w:lang w:val="en-GB"/>
        </w:rPr>
      </w:pPr>
    </w:p>
    <w:p w14:paraId="09B138D9" w14:textId="7E3F8F50" w:rsidR="001268A8" w:rsidRPr="004B0F00" w:rsidRDefault="001268A8" w:rsidP="001268A8">
      <w:pPr>
        <w:spacing w:after="0" w:line="240" w:lineRule="auto"/>
        <w:jc w:val="both"/>
        <w:rPr>
          <w:rFonts w:ascii="Times New Roman" w:eastAsia="Times New Roman" w:hAnsi="Times New Roman" w:cs="Times New Roman"/>
          <w:spacing w:val="-4"/>
          <w:kern w:val="22"/>
          <w:lang w:val="en-GB"/>
        </w:rPr>
      </w:pPr>
      <w:r w:rsidRPr="004B0F00">
        <w:rPr>
          <w:rFonts w:ascii="Times New Roman" w:eastAsia="Times New Roman" w:hAnsi="Times New Roman" w:cs="Times New Roman"/>
          <w:spacing w:val="-4"/>
          <w:kern w:val="22"/>
          <w:lang w:val="en-GB"/>
        </w:rPr>
        <w:t xml:space="preserve">Delta 9 </w:t>
      </w:r>
      <w:proofErr w:type="spellStart"/>
      <w:r w:rsidRPr="004B0F00">
        <w:rPr>
          <w:rFonts w:ascii="Times New Roman" w:eastAsia="Times New Roman" w:hAnsi="Times New Roman" w:cs="Times New Roman"/>
          <w:spacing w:val="-4"/>
          <w:kern w:val="22"/>
          <w:lang w:val="en-GB"/>
        </w:rPr>
        <w:t>analyzed</w:t>
      </w:r>
      <w:proofErr w:type="spellEnd"/>
      <w:r w:rsidRPr="004B0F00">
        <w:rPr>
          <w:rFonts w:ascii="Times New Roman" w:eastAsia="Times New Roman" w:hAnsi="Times New Roman" w:cs="Times New Roman"/>
          <w:spacing w:val="-4"/>
          <w:kern w:val="22"/>
          <w:lang w:val="en-GB"/>
        </w:rPr>
        <w:t xml:space="preserve"> the experience of the few states in the United States that had already legalized the recreational use of cannabis. Invariably, each state </w:t>
      </w:r>
      <w:r w:rsidR="00F63DA0" w:rsidRPr="004B0F00">
        <w:rPr>
          <w:rFonts w:ascii="Times New Roman" w:eastAsia="Times New Roman" w:hAnsi="Times New Roman" w:cs="Times New Roman"/>
          <w:spacing w:val="-4"/>
          <w:kern w:val="22"/>
          <w:lang w:val="en-GB"/>
        </w:rPr>
        <w:t xml:space="preserve">had </w:t>
      </w:r>
      <w:r w:rsidRPr="004B0F00">
        <w:rPr>
          <w:rFonts w:ascii="Times New Roman" w:eastAsia="Times New Roman" w:hAnsi="Times New Roman" w:cs="Times New Roman"/>
          <w:spacing w:val="-4"/>
          <w:kern w:val="22"/>
          <w:lang w:val="en-GB"/>
        </w:rPr>
        <w:t>experienced significant volatility in supply and demand. These markets started with an undersupply of cannabis and elevated wholesale and retail prices that were not competitive with the black market. As cannabis companies increased their output, the situation reversed; markets faced an oversupply of cannabis with significantly reduced wholesale prices. In markets facing oversupply, lower quality cannabis was deep</w:t>
      </w:r>
      <w:r w:rsidR="00DA2F6E" w:rsidRPr="004B0F00">
        <w:rPr>
          <w:rFonts w:ascii="Times New Roman" w:eastAsia="Times New Roman" w:hAnsi="Times New Roman" w:cs="Times New Roman"/>
          <w:spacing w:val="-4"/>
          <w:kern w:val="22"/>
          <w:lang w:val="en-GB"/>
        </w:rPr>
        <w:t>ly</w:t>
      </w:r>
      <w:r w:rsidRPr="004B0F00">
        <w:rPr>
          <w:rFonts w:ascii="Times New Roman" w:eastAsia="Times New Roman" w:hAnsi="Times New Roman" w:cs="Times New Roman"/>
          <w:spacing w:val="-4"/>
          <w:kern w:val="22"/>
          <w:lang w:val="en-GB"/>
        </w:rPr>
        <w:t xml:space="preserve"> discount</w:t>
      </w:r>
      <w:r w:rsidR="00DA2F6E" w:rsidRPr="004B0F00">
        <w:rPr>
          <w:rFonts w:ascii="Times New Roman" w:eastAsia="Times New Roman" w:hAnsi="Times New Roman" w:cs="Times New Roman"/>
          <w:spacing w:val="-4"/>
          <w:kern w:val="22"/>
          <w:lang w:val="en-GB"/>
        </w:rPr>
        <w:t>ed</w:t>
      </w:r>
      <w:r w:rsidRPr="004B0F00">
        <w:rPr>
          <w:rFonts w:ascii="Times New Roman" w:eastAsia="Times New Roman" w:hAnsi="Times New Roman" w:cs="Times New Roman"/>
          <w:spacing w:val="-4"/>
          <w:kern w:val="22"/>
          <w:lang w:val="en-GB"/>
        </w:rPr>
        <w:t xml:space="preserve"> to processing companies to produce oils and edibles.</w:t>
      </w:r>
      <w:r w:rsidR="00D433B2" w:rsidRPr="004B0F00">
        <w:rPr>
          <w:rFonts w:ascii="Times New Roman" w:eastAsia="Times New Roman" w:hAnsi="Times New Roman" w:cs="Times New Roman"/>
          <w:spacing w:val="-4"/>
          <w:kern w:val="22"/>
          <w:vertAlign w:val="superscript"/>
          <w:lang w:val="en-GB"/>
        </w:rPr>
        <w:endnoteReference w:id="27"/>
      </w:r>
    </w:p>
    <w:p w14:paraId="6AE5BD48" w14:textId="6752A584" w:rsidR="001268A8" w:rsidRPr="001268A8" w:rsidRDefault="001268A8" w:rsidP="001268A8">
      <w:pPr>
        <w:spacing w:after="0" w:line="240" w:lineRule="auto"/>
        <w:jc w:val="both"/>
        <w:rPr>
          <w:rFonts w:ascii="Times New Roman" w:eastAsia="Times New Roman" w:hAnsi="Times New Roman" w:cs="Times New Roman"/>
          <w:lang w:val="en-GB"/>
        </w:rPr>
      </w:pPr>
      <w:bookmarkStart w:id="0" w:name="_Hlk48226149"/>
      <w:r w:rsidRPr="001268A8">
        <w:rPr>
          <w:rFonts w:ascii="Times New Roman" w:eastAsia="Times New Roman" w:hAnsi="Times New Roman" w:cs="Times New Roman"/>
          <w:lang w:val="en-GB"/>
        </w:rPr>
        <w:lastRenderedPageBreak/>
        <w:t>To become resilient to volatility in supply and demand, Delta 9 chose to vertically integrate and focus on producing premium quality cannabis. That way, during initial phases of undersupply, Delta 9 could stock its</w:t>
      </w:r>
      <w:r w:rsidR="002C4631">
        <w:rPr>
          <w:rFonts w:ascii="Times New Roman" w:eastAsia="Times New Roman" w:hAnsi="Times New Roman" w:cs="Times New Roman"/>
          <w:lang w:val="en-GB"/>
        </w:rPr>
        <w:t xml:space="preserve"> </w:t>
      </w:r>
      <w:r w:rsidRPr="001268A8">
        <w:rPr>
          <w:rFonts w:ascii="Times New Roman" w:eastAsia="Times New Roman" w:hAnsi="Times New Roman" w:cs="Times New Roman"/>
          <w:lang w:val="en-GB"/>
        </w:rPr>
        <w:t>retail locations with its own cannabis</w:t>
      </w:r>
      <w:r w:rsidR="002C4631">
        <w:rPr>
          <w:rFonts w:ascii="Times New Roman" w:eastAsia="Times New Roman" w:hAnsi="Times New Roman" w:cs="Times New Roman"/>
          <w:lang w:val="en-GB"/>
        </w:rPr>
        <w:t xml:space="preserve"> </w:t>
      </w:r>
      <w:r w:rsidR="00DA2F6E">
        <w:rPr>
          <w:rFonts w:ascii="Times New Roman" w:eastAsia="Times New Roman" w:hAnsi="Times New Roman" w:cs="Times New Roman"/>
          <w:lang w:val="en-GB"/>
        </w:rPr>
        <w:t xml:space="preserve">as well as </w:t>
      </w:r>
      <w:r w:rsidR="00F63DA0">
        <w:rPr>
          <w:rFonts w:ascii="Times New Roman" w:eastAsia="Times New Roman" w:hAnsi="Times New Roman" w:cs="Times New Roman"/>
          <w:lang w:val="en-GB"/>
        </w:rPr>
        <w:t>cannabis</w:t>
      </w:r>
      <w:r w:rsidR="002C4631">
        <w:rPr>
          <w:rFonts w:ascii="Times New Roman" w:eastAsia="Times New Roman" w:hAnsi="Times New Roman" w:cs="Times New Roman"/>
          <w:lang w:val="en-GB"/>
        </w:rPr>
        <w:t xml:space="preserve"> from other producers</w:t>
      </w:r>
      <w:r w:rsidRPr="001268A8">
        <w:rPr>
          <w:rFonts w:ascii="Times New Roman" w:eastAsia="Times New Roman" w:hAnsi="Times New Roman" w:cs="Times New Roman"/>
          <w:lang w:val="en-GB"/>
        </w:rPr>
        <w:t>. During later phases of oversupply,</w:t>
      </w:r>
      <w:r w:rsidR="002C4631">
        <w:rPr>
          <w:rFonts w:ascii="Times New Roman" w:eastAsia="Times New Roman" w:hAnsi="Times New Roman" w:cs="Times New Roman"/>
          <w:lang w:val="en-GB"/>
        </w:rPr>
        <w:t xml:space="preserve"> Delta-9 c</w:t>
      </w:r>
      <w:r w:rsidR="00DA2F6E">
        <w:rPr>
          <w:rFonts w:ascii="Times New Roman" w:eastAsia="Times New Roman" w:hAnsi="Times New Roman" w:cs="Times New Roman"/>
          <w:lang w:val="en-GB"/>
        </w:rPr>
        <w:t>ould</w:t>
      </w:r>
      <w:r w:rsidR="002C4631">
        <w:rPr>
          <w:rFonts w:ascii="Times New Roman" w:eastAsia="Times New Roman" w:hAnsi="Times New Roman" w:cs="Times New Roman"/>
          <w:lang w:val="en-GB"/>
        </w:rPr>
        <w:t xml:space="preserve"> make sure its</w:t>
      </w:r>
      <w:r w:rsidR="00DA2F6E">
        <w:rPr>
          <w:rFonts w:ascii="Times New Roman" w:eastAsia="Times New Roman" w:hAnsi="Times New Roman" w:cs="Times New Roman"/>
          <w:lang w:val="en-GB"/>
        </w:rPr>
        <w:t xml:space="preserve"> own</w:t>
      </w:r>
      <w:r w:rsidR="002C4631">
        <w:rPr>
          <w:rFonts w:ascii="Times New Roman" w:eastAsia="Times New Roman" w:hAnsi="Times New Roman" w:cs="Times New Roman"/>
          <w:lang w:val="en-GB"/>
        </w:rPr>
        <w:t xml:space="preserve"> products w</w:t>
      </w:r>
      <w:r w:rsidR="00F63DA0">
        <w:rPr>
          <w:rFonts w:ascii="Times New Roman" w:eastAsia="Times New Roman" w:hAnsi="Times New Roman" w:cs="Times New Roman"/>
          <w:lang w:val="en-GB"/>
        </w:rPr>
        <w:t>ould</w:t>
      </w:r>
      <w:r w:rsidR="002C4631">
        <w:rPr>
          <w:rFonts w:ascii="Times New Roman" w:eastAsia="Times New Roman" w:hAnsi="Times New Roman" w:cs="Times New Roman"/>
          <w:lang w:val="en-GB"/>
        </w:rPr>
        <w:t xml:space="preserve"> be stocked in company-owned stores. Moreover,</w:t>
      </w:r>
      <w:r w:rsidRPr="001268A8">
        <w:rPr>
          <w:rFonts w:ascii="Times New Roman" w:eastAsia="Times New Roman" w:hAnsi="Times New Roman" w:cs="Times New Roman"/>
          <w:lang w:val="en-GB"/>
        </w:rPr>
        <w:t xml:space="preserve"> </w:t>
      </w:r>
      <w:r w:rsidR="00A91354">
        <w:rPr>
          <w:rFonts w:ascii="Times New Roman" w:eastAsia="Times New Roman" w:hAnsi="Times New Roman" w:cs="Times New Roman"/>
          <w:lang w:val="en-GB"/>
        </w:rPr>
        <w:t>the</w:t>
      </w:r>
      <w:r w:rsidRPr="001268A8">
        <w:rPr>
          <w:rFonts w:ascii="Times New Roman" w:eastAsia="Times New Roman" w:hAnsi="Times New Roman" w:cs="Times New Roman"/>
          <w:lang w:val="en-GB"/>
        </w:rPr>
        <w:t xml:space="preserve"> premium quality</w:t>
      </w:r>
      <w:r w:rsidR="00A91354">
        <w:rPr>
          <w:rFonts w:ascii="Times New Roman" w:eastAsia="Times New Roman" w:hAnsi="Times New Roman" w:cs="Times New Roman"/>
          <w:lang w:val="en-GB"/>
        </w:rPr>
        <w:t xml:space="preserve"> of Delta 9’s cannabis</w:t>
      </w:r>
      <w:r w:rsidRPr="001268A8">
        <w:rPr>
          <w:rFonts w:ascii="Times New Roman" w:eastAsia="Times New Roman" w:hAnsi="Times New Roman" w:cs="Times New Roman"/>
          <w:lang w:val="en-GB"/>
        </w:rPr>
        <w:t xml:space="preserve"> would ensure that </w:t>
      </w:r>
      <w:r w:rsidR="00991198">
        <w:rPr>
          <w:rFonts w:ascii="Times New Roman" w:eastAsia="Times New Roman" w:hAnsi="Times New Roman" w:cs="Times New Roman"/>
          <w:lang w:val="en-GB"/>
        </w:rPr>
        <w:t>the company’s</w:t>
      </w:r>
      <w:r w:rsidR="00CE0449">
        <w:rPr>
          <w:rFonts w:ascii="Times New Roman" w:eastAsia="Times New Roman" w:hAnsi="Times New Roman" w:cs="Times New Roman"/>
          <w:lang w:val="en-GB"/>
        </w:rPr>
        <w:t xml:space="preserve"> product was always in demand</w:t>
      </w:r>
      <w:r w:rsidR="00DA2F6E">
        <w:rPr>
          <w:rFonts w:ascii="Times New Roman" w:eastAsia="Times New Roman" w:hAnsi="Times New Roman" w:cs="Times New Roman"/>
          <w:lang w:val="en-GB"/>
        </w:rPr>
        <w:t xml:space="preserve"> and </w:t>
      </w:r>
      <w:r w:rsidR="00F63DA0">
        <w:rPr>
          <w:rFonts w:ascii="Times New Roman" w:eastAsia="Times New Roman" w:hAnsi="Times New Roman" w:cs="Times New Roman"/>
          <w:lang w:val="en-GB"/>
        </w:rPr>
        <w:t xml:space="preserve">that </w:t>
      </w:r>
      <w:r w:rsidR="00991198">
        <w:rPr>
          <w:rFonts w:ascii="Times New Roman" w:eastAsia="Times New Roman" w:hAnsi="Times New Roman" w:cs="Times New Roman"/>
          <w:lang w:val="en-GB"/>
        </w:rPr>
        <w:t>it</w:t>
      </w:r>
      <w:r w:rsidR="00F63DA0">
        <w:rPr>
          <w:rFonts w:ascii="Times New Roman" w:eastAsia="Times New Roman" w:hAnsi="Times New Roman" w:cs="Times New Roman"/>
          <w:lang w:val="en-GB"/>
        </w:rPr>
        <w:t xml:space="preserve"> would </w:t>
      </w:r>
      <w:r w:rsidR="00DA2F6E">
        <w:rPr>
          <w:rFonts w:ascii="Times New Roman" w:eastAsia="Times New Roman" w:hAnsi="Times New Roman" w:cs="Times New Roman"/>
          <w:lang w:val="en-GB"/>
        </w:rPr>
        <w:t>avoid liquidation</w:t>
      </w:r>
      <w:r w:rsidR="00CE0449">
        <w:rPr>
          <w:rFonts w:ascii="Times New Roman" w:eastAsia="Times New Roman" w:hAnsi="Times New Roman" w:cs="Times New Roman"/>
          <w:lang w:val="en-GB"/>
        </w:rPr>
        <w:t>.</w:t>
      </w:r>
    </w:p>
    <w:p w14:paraId="0A9B760F"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090CDD84"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4D9AD00B" w14:textId="77777777" w:rsidR="001268A8" w:rsidRPr="001268A8" w:rsidRDefault="001268A8" w:rsidP="001268A8">
      <w:pPr>
        <w:keepNext/>
        <w:spacing w:after="0" w:line="240" w:lineRule="auto"/>
        <w:jc w:val="both"/>
        <w:rPr>
          <w:rFonts w:ascii="Arial" w:eastAsia="Times New Roman" w:hAnsi="Arial" w:cs="Arial"/>
          <w:b/>
          <w:caps/>
          <w:sz w:val="20"/>
          <w:szCs w:val="20"/>
          <w:lang w:val="en-GB"/>
        </w:rPr>
      </w:pPr>
      <w:r w:rsidRPr="001268A8">
        <w:rPr>
          <w:rFonts w:ascii="Arial" w:eastAsia="Times New Roman" w:hAnsi="Arial" w:cs="Arial"/>
          <w:b/>
          <w:caps/>
          <w:sz w:val="20"/>
          <w:szCs w:val="20"/>
          <w:lang w:val="en-GB"/>
        </w:rPr>
        <w:t>Post-Legalization</w:t>
      </w:r>
    </w:p>
    <w:p w14:paraId="472C0D96" w14:textId="77777777" w:rsidR="001268A8" w:rsidRPr="001268A8" w:rsidRDefault="001268A8" w:rsidP="001268A8">
      <w:pPr>
        <w:spacing w:after="0" w:line="240" w:lineRule="auto"/>
        <w:jc w:val="both"/>
        <w:rPr>
          <w:rFonts w:ascii="Times New Roman" w:eastAsia="Times New Roman" w:hAnsi="Times New Roman" w:cs="Times New Roman"/>
          <w:lang w:val="en-GB"/>
        </w:rPr>
      </w:pPr>
    </w:p>
    <w:bookmarkEnd w:id="0"/>
    <w:p w14:paraId="00121A4C"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Wholesale</w:t>
      </w:r>
    </w:p>
    <w:p w14:paraId="5187912D"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58D954B2"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Consistent with Arbuthnot’s hypothesis, Canada initially experienced an undersupply of cannabis, similar to that in the United States.</w:t>
      </w:r>
      <w:r w:rsidRPr="001268A8">
        <w:rPr>
          <w:rFonts w:ascii="Times New Roman" w:eastAsia="Times New Roman" w:hAnsi="Times New Roman" w:cs="Times New Roman"/>
          <w:vertAlign w:val="superscript"/>
          <w:lang w:val="en-GB"/>
        </w:rPr>
        <w:endnoteReference w:id="28"/>
      </w:r>
      <w:r w:rsidRPr="001268A8">
        <w:rPr>
          <w:rFonts w:ascii="Times New Roman" w:eastAsia="Times New Roman" w:hAnsi="Times New Roman" w:cs="Times New Roman"/>
          <w:lang w:val="en-GB"/>
        </w:rPr>
        <w:t xml:space="preserve"> However, the Canadian market was different in several respects. In particular, provincial governments became intimately involved in the Canadian industry.</w:t>
      </w:r>
      <w:r w:rsidRPr="001268A8">
        <w:rPr>
          <w:rFonts w:ascii="Times New Roman" w:eastAsia="Times New Roman" w:hAnsi="Times New Roman" w:cs="Times New Roman"/>
          <w:vertAlign w:val="superscript"/>
          <w:lang w:val="en-GB"/>
        </w:rPr>
        <w:endnoteReference w:id="29"/>
      </w:r>
    </w:p>
    <w:p w14:paraId="249326FA"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3C4B1764" w14:textId="2F4006D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The wholesale and distribution of cannabis was government operated in every Canadian province and territory except Saskatchewan.</w:t>
      </w:r>
      <w:r w:rsidRPr="001268A8">
        <w:rPr>
          <w:rFonts w:ascii="Times New Roman" w:eastAsia="Times New Roman" w:hAnsi="Times New Roman" w:cs="Times New Roman"/>
          <w:vertAlign w:val="superscript"/>
          <w:lang w:val="en-GB"/>
        </w:rPr>
        <w:endnoteReference w:id="30"/>
      </w:r>
      <w:r w:rsidRPr="001268A8">
        <w:rPr>
          <w:rFonts w:ascii="Times New Roman" w:eastAsia="Times New Roman" w:hAnsi="Times New Roman" w:cs="Times New Roman"/>
          <w:lang w:val="en-GB"/>
        </w:rPr>
        <w:t xml:space="preserve"> Retailers could choose which cannabis products they wished to purchase and sell; however, the government acted as an intermediary between the retailers and licensed producers. </w:t>
      </w:r>
      <w:r w:rsidR="00D4639E" w:rsidRPr="00D4639E">
        <w:rPr>
          <w:rFonts w:ascii="Times New Roman" w:eastAsia="Times New Roman" w:hAnsi="Times New Roman" w:cs="Times New Roman"/>
          <w:lang w:val="en-GB"/>
        </w:rPr>
        <w:t xml:space="preserve">In order to prevent </w:t>
      </w:r>
      <w:r w:rsidR="00D4639E">
        <w:rPr>
          <w:rFonts w:ascii="Times New Roman" w:eastAsia="Times New Roman" w:hAnsi="Times New Roman" w:cs="Times New Roman"/>
          <w:lang w:val="en-GB"/>
        </w:rPr>
        <w:t xml:space="preserve">cannabis </w:t>
      </w:r>
      <w:r w:rsidR="00D4639E" w:rsidRPr="00D4639E">
        <w:rPr>
          <w:rFonts w:ascii="Times New Roman" w:eastAsia="Times New Roman" w:hAnsi="Times New Roman" w:cs="Times New Roman"/>
          <w:lang w:val="en-GB"/>
        </w:rPr>
        <w:t>producers from giving preferential treatment to specific retailers, the government ensured that all retailers paid the same wholesale prices for cannabis.</w:t>
      </w:r>
      <w:r w:rsidR="00D4639E">
        <w:rPr>
          <w:rFonts w:ascii="Times New Roman" w:eastAsia="Times New Roman" w:hAnsi="Times New Roman" w:cs="Times New Roman"/>
          <w:lang w:val="en-GB"/>
        </w:rPr>
        <w:t xml:space="preserve"> </w:t>
      </w:r>
      <w:r w:rsidRPr="001268A8">
        <w:rPr>
          <w:rFonts w:ascii="Times New Roman" w:eastAsia="Times New Roman" w:hAnsi="Times New Roman" w:cs="Times New Roman"/>
          <w:lang w:val="en-GB"/>
        </w:rPr>
        <w:t>The arrangement also allowed governments to monitor the amount of legal cannabis sold. Lastly, governments earned income when marking up cannabis prices for sale to retailers.</w:t>
      </w:r>
    </w:p>
    <w:p w14:paraId="27CD379D"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06DB452D"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24F9793C"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Retail</w:t>
      </w:r>
    </w:p>
    <w:p w14:paraId="11ACBAE2"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2A8A198A" w14:textId="7F50C08B"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Most Canadian provinces and territories allowed private retailing of cannabis; the exceptions were New Brunswick, Nova Scotia, Prince Edward Island, Quebec, and Yukon, where retail was government operated.</w:t>
      </w:r>
      <w:r w:rsidRPr="001268A8">
        <w:rPr>
          <w:rFonts w:ascii="Times New Roman" w:eastAsia="Times New Roman" w:hAnsi="Times New Roman" w:cs="Times New Roman"/>
          <w:vertAlign w:val="superscript"/>
          <w:lang w:val="en-GB"/>
        </w:rPr>
        <w:endnoteReference w:id="31"/>
      </w:r>
      <w:r w:rsidRPr="001268A8">
        <w:rPr>
          <w:rFonts w:ascii="Times New Roman" w:eastAsia="Times New Roman" w:hAnsi="Times New Roman" w:cs="Times New Roman"/>
          <w:lang w:val="en-GB"/>
        </w:rPr>
        <w:t xml:space="preserve"> Each province had different procedures and timelines for obtaining cannabis retail licences. Moreover, in British Columbia and Ontario, licensed cannabis producers were restricted in the percentage of any single cannabis retail store they owned; the maximum was 20 per cent in British Columbia and 25 per cent in Ontario.</w:t>
      </w:r>
      <w:r w:rsidRPr="001268A8">
        <w:rPr>
          <w:rFonts w:ascii="Times New Roman" w:eastAsia="Times New Roman" w:hAnsi="Times New Roman" w:cs="Times New Roman"/>
          <w:vertAlign w:val="superscript"/>
          <w:lang w:val="en-GB"/>
        </w:rPr>
        <w:endnoteReference w:id="32"/>
      </w:r>
    </w:p>
    <w:p w14:paraId="0F0287C5"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6F1F52BA"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To reduce regulatory risk, Delta 9 decided to open its first retail locations in the company’s home province of Manitoba. Immediately following legalization, Delta 9 began retailing cannabis out of its flagship store in Winnipeg (St. Vital). Over the next year and a half, Delta 9 opened three additional retail locations in Manitoba (see Exhibit 3).</w:t>
      </w:r>
    </w:p>
    <w:p w14:paraId="1FB59253"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13BB2B3C"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0E764F4D"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Business to Business—An Accidental Business Segment</w:t>
      </w:r>
    </w:p>
    <w:p w14:paraId="6BCD00C8"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32A3E142"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As individuals and organizations learned about Delta 9 through facility tours and social media, the company began to receive purchase inquiries for grow pods. Initially, Delta 9 was concerned about selling its competitive advantage to rivals. However, Delta 9 reasoned that if it did not sell grow pods, potential customers would just purchase the necessary equipment elsewhere. Moreover, Delta 9 recognized that selling grow pods had many benefits.</w:t>
      </w:r>
    </w:p>
    <w:p w14:paraId="54056A55"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6ECD120C"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 xml:space="preserve">First, producing more grow pods would allow Delta 9 to improve its manufacturing capabilities. Second, selling grow pods would allow the company to diversify its revenue streams. Third, selling grow pods </w:t>
      </w:r>
      <w:r w:rsidRPr="001268A8">
        <w:rPr>
          <w:rFonts w:ascii="Times New Roman" w:eastAsia="Times New Roman" w:hAnsi="Times New Roman" w:cs="Times New Roman"/>
          <w:lang w:val="en-GB"/>
        </w:rPr>
        <w:lastRenderedPageBreak/>
        <w:t>would also allow Delta 9 to foster valuable partnerships with different cannabis companies. Delta 9 could purchase high-quality cannabis from these partners for resale throughout Delta 9’s distribution channels. Further, these partnerships could lead to revenues from sales of additional equipment, consulting services, and cannabis genetics.</w:t>
      </w:r>
    </w:p>
    <w:p w14:paraId="4C3A4806"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72E9FD25" w14:textId="146E18BE"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Delta 9 received its first order for grow pods in 2018. By 2019, business to business (B2B) was Delta 9’s highest margin segment</w:t>
      </w:r>
      <w:r w:rsidR="00C82F77">
        <w:rPr>
          <w:rFonts w:ascii="Times New Roman" w:eastAsia="Times New Roman" w:hAnsi="Times New Roman" w:cs="Times New Roman"/>
          <w:lang w:val="en-GB"/>
        </w:rPr>
        <w:t>,</w:t>
      </w:r>
      <w:r w:rsidRPr="001268A8">
        <w:rPr>
          <w:rFonts w:ascii="Times New Roman" w:eastAsia="Times New Roman" w:hAnsi="Times New Roman" w:cs="Times New Roman"/>
          <w:lang w:val="en-GB"/>
        </w:rPr>
        <w:t xml:space="preserve"> with 90 per cent of the revenue in this segment derived from selling grow pods. So far, Delta 9 had focused primarily on selling grow pods to companies based in Canada.</w:t>
      </w:r>
    </w:p>
    <w:p w14:paraId="15A17505"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6E130EF7" w14:textId="3A1FDBB9"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 xml:space="preserve">For those who held a micro-cultivation licence, grow pods offered a turnkey solution for growing cannabis on a small-scale basis in accordance with their licence. Twenty-eight companies held this licence in March 2020, up from just two in July 2019. Delta 9 had already received orders from 12 companies who were pursuing or had been granted micro-cultivation licences. At that time, Health Canada was awarding a new micro-cultivation licence every </w:t>
      </w:r>
      <w:r w:rsidR="00C82F77">
        <w:rPr>
          <w:rFonts w:ascii="Times New Roman" w:eastAsia="Times New Roman" w:hAnsi="Times New Roman" w:cs="Times New Roman"/>
          <w:lang w:val="en-GB"/>
        </w:rPr>
        <w:t>five to seven</w:t>
      </w:r>
      <w:r w:rsidRPr="001268A8">
        <w:rPr>
          <w:rFonts w:ascii="Times New Roman" w:eastAsia="Times New Roman" w:hAnsi="Times New Roman" w:cs="Times New Roman"/>
          <w:lang w:val="en-GB"/>
        </w:rPr>
        <w:t xml:space="preserve"> days, a trend that was expected to continue throughout 2020.</w:t>
      </w:r>
      <w:r w:rsidRPr="001268A8">
        <w:rPr>
          <w:rFonts w:ascii="Times New Roman" w:eastAsia="Times New Roman" w:hAnsi="Times New Roman" w:cs="Times New Roman"/>
          <w:vertAlign w:val="superscript"/>
          <w:lang w:val="en-GB"/>
        </w:rPr>
        <w:endnoteReference w:id="33"/>
      </w:r>
    </w:p>
    <w:p w14:paraId="6C3204E0"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55F1FBFC" w14:textId="7C4F4BE2"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Despite this Canadian growth opportunity, exporting grow pods could be yet more lucrative. Many countries were beginning to open medical or recreational cannabis distribution programs. Opening these programs would take years of planning. In that time, Delta 9 could sell equipment and consulting services to foreign companies. Various experts considered selling equipment and consulting services to be a preferred growth opportunity over simply exporting cannabis abroad</w:t>
      </w:r>
      <w:r w:rsidR="00C82F77">
        <w:rPr>
          <w:rFonts w:ascii="Times New Roman" w:eastAsia="Times New Roman" w:hAnsi="Times New Roman" w:cs="Times New Roman"/>
          <w:lang w:val="en-GB"/>
        </w:rPr>
        <w:t>,</w:t>
      </w:r>
      <w:r w:rsidRPr="001268A8">
        <w:rPr>
          <w:rFonts w:ascii="Times New Roman" w:eastAsia="Times New Roman" w:hAnsi="Times New Roman" w:cs="Times New Roman"/>
          <w:lang w:val="en-GB"/>
        </w:rPr>
        <w:t xml:space="preserve"> because protectionist policies and international drug treaties limited the prospect of international trade for non-medical cannabis.</w:t>
      </w:r>
      <w:r w:rsidRPr="001268A8">
        <w:rPr>
          <w:rFonts w:ascii="Times New Roman" w:eastAsia="Times New Roman" w:hAnsi="Times New Roman" w:cs="Times New Roman"/>
          <w:vertAlign w:val="superscript"/>
          <w:lang w:val="en-GB"/>
        </w:rPr>
        <w:endnoteReference w:id="34"/>
      </w:r>
      <w:r w:rsidRPr="001268A8">
        <w:rPr>
          <w:rFonts w:ascii="Times New Roman" w:eastAsia="Times New Roman" w:hAnsi="Times New Roman" w:cs="Times New Roman"/>
          <w:lang w:val="en-GB"/>
        </w:rPr>
        <w:t xml:space="preserve"> In fact, these policies benefited Delta 9 because they insulated the company from international competitors aiming to import cannabis into Canada. In tropical countries, cannabis could grow outdoors, year-round, for as little as $0.11 per gram, albeit at a lower quality.</w:t>
      </w:r>
      <w:r w:rsidRPr="001268A8">
        <w:rPr>
          <w:rFonts w:ascii="Times New Roman" w:eastAsia="Times New Roman" w:hAnsi="Times New Roman" w:cs="Times New Roman"/>
          <w:vertAlign w:val="superscript"/>
          <w:lang w:val="en-GB"/>
        </w:rPr>
        <w:endnoteReference w:id="35"/>
      </w:r>
    </w:p>
    <w:p w14:paraId="3F5CE111"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69331FF1" w14:textId="34D6B5AA"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In the near future, Delta 9 believed that its primary markets for grow pods would be in Canada and the United States. Long term, Delta 9 saw grow pods as a solution for indoor farming in industries other than cannabis. In many cases, grow pods offered a solution to growing food locally at lower costs</w:t>
      </w:r>
      <w:r w:rsidR="00C82F77">
        <w:rPr>
          <w:rFonts w:ascii="Times New Roman" w:eastAsia="Times New Roman" w:hAnsi="Times New Roman" w:cs="Times New Roman"/>
          <w:lang w:val="en-GB"/>
        </w:rPr>
        <w:t>,</w:t>
      </w:r>
      <w:r w:rsidRPr="001268A8">
        <w:rPr>
          <w:rFonts w:ascii="Times New Roman" w:eastAsia="Times New Roman" w:hAnsi="Times New Roman" w:cs="Times New Roman"/>
          <w:lang w:val="en-GB"/>
        </w:rPr>
        <w:t xml:space="preserve"> for example, in remote locations such as Nunavut where </w:t>
      </w:r>
      <w:r w:rsidR="004B0F00" w:rsidRPr="004B0F00">
        <w:rPr>
          <w:rFonts w:ascii="Times New Roman" w:eastAsia="Times New Roman" w:hAnsi="Times New Roman" w:cs="Times New Roman"/>
        </w:rPr>
        <w:t xml:space="preserve">shipping costs </w:t>
      </w:r>
      <w:r w:rsidR="004B0F00">
        <w:rPr>
          <w:rFonts w:ascii="Times New Roman" w:eastAsia="Times New Roman" w:hAnsi="Times New Roman" w:cs="Times New Roman"/>
        </w:rPr>
        <w:t>we</w:t>
      </w:r>
      <w:r w:rsidR="004B0F00" w:rsidRPr="004B0F00">
        <w:rPr>
          <w:rFonts w:ascii="Times New Roman" w:eastAsia="Times New Roman" w:hAnsi="Times New Roman" w:cs="Times New Roman"/>
        </w:rPr>
        <w:t>re very high</w:t>
      </w:r>
      <w:r w:rsidRPr="001268A8">
        <w:rPr>
          <w:rFonts w:ascii="Times New Roman" w:eastAsia="Times New Roman" w:hAnsi="Times New Roman" w:cs="Times New Roman"/>
          <w:lang w:val="en-GB"/>
        </w:rPr>
        <w:t>.</w:t>
      </w:r>
    </w:p>
    <w:p w14:paraId="695D476D"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3A8A097F"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5C9B325D"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Industry Troubles Post-Legalization</w:t>
      </w:r>
    </w:p>
    <w:p w14:paraId="48E802D6"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07C1988C" w14:textId="186D99F9"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Canada’s cannabis industry initially faced an undersupply of cannabis, prices that were not competitive with the black market, and a slow rollout of retail stores. In addition, the federal government did not legalize cannabis edibles, extracts, or topicals until October 2019.</w:t>
      </w:r>
      <w:r w:rsidRPr="001268A8">
        <w:rPr>
          <w:rFonts w:ascii="Times New Roman" w:eastAsia="Times New Roman" w:hAnsi="Times New Roman" w:cs="Times New Roman"/>
          <w:vertAlign w:val="superscript"/>
          <w:lang w:val="en-GB"/>
        </w:rPr>
        <w:endnoteReference w:id="36"/>
      </w:r>
      <w:r w:rsidRPr="001268A8">
        <w:rPr>
          <w:rFonts w:ascii="Times New Roman" w:eastAsia="Times New Roman" w:hAnsi="Times New Roman" w:cs="Times New Roman"/>
          <w:lang w:val="en-GB"/>
        </w:rPr>
        <w:t xml:space="preserve"> Revenue from and growth of the cannabis industry was thus much lower than initially expected. Moreover, many large companies focused too heavily on expanding production and capturing market share as opposed to competing on quality and distribution. By 2019, the market was flooded with cannabis. To compound problems, scandals, downsizing announcements, and large write-downs from some of Canada’s largest cannabis companies </w:t>
      </w:r>
      <w:r w:rsidR="00991198">
        <w:rPr>
          <w:rFonts w:ascii="Times New Roman" w:eastAsia="Times New Roman" w:hAnsi="Times New Roman" w:cs="Times New Roman"/>
          <w:lang w:val="en-GB"/>
        </w:rPr>
        <w:t xml:space="preserve">were </w:t>
      </w:r>
      <w:r w:rsidRPr="001268A8">
        <w:rPr>
          <w:rFonts w:ascii="Times New Roman" w:eastAsia="Times New Roman" w:hAnsi="Times New Roman" w:cs="Times New Roman"/>
          <w:lang w:val="en-GB"/>
        </w:rPr>
        <w:t>caus</w:t>
      </w:r>
      <w:r w:rsidR="00991198">
        <w:rPr>
          <w:rFonts w:ascii="Times New Roman" w:eastAsia="Times New Roman" w:hAnsi="Times New Roman" w:cs="Times New Roman"/>
          <w:lang w:val="en-GB"/>
        </w:rPr>
        <w:t>ing</w:t>
      </w:r>
      <w:r w:rsidRPr="001268A8">
        <w:rPr>
          <w:rFonts w:ascii="Times New Roman" w:eastAsia="Times New Roman" w:hAnsi="Times New Roman" w:cs="Times New Roman"/>
          <w:lang w:val="en-GB"/>
        </w:rPr>
        <w:t xml:space="preserve"> industry-wide concerns.</w:t>
      </w:r>
      <w:r w:rsidRPr="001268A8">
        <w:rPr>
          <w:rFonts w:ascii="Times New Roman" w:eastAsia="Times New Roman" w:hAnsi="Times New Roman" w:cs="Times New Roman"/>
          <w:vertAlign w:val="superscript"/>
          <w:lang w:val="en-GB"/>
        </w:rPr>
        <w:endnoteReference w:id="37"/>
      </w:r>
    </w:p>
    <w:p w14:paraId="2905ED4E"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636D96E3" w14:textId="77777777" w:rsidR="001268A8" w:rsidRPr="00B558E0" w:rsidRDefault="001268A8" w:rsidP="001268A8">
      <w:pPr>
        <w:spacing w:after="0" w:line="240" w:lineRule="auto"/>
        <w:jc w:val="both"/>
        <w:rPr>
          <w:rFonts w:ascii="Times New Roman" w:eastAsia="Times New Roman" w:hAnsi="Times New Roman" w:cs="Times New Roman"/>
          <w:spacing w:val="-4"/>
          <w:lang w:val="en-GB"/>
        </w:rPr>
      </w:pPr>
      <w:r w:rsidRPr="00B558E0">
        <w:rPr>
          <w:rFonts w:ascii="Times New Roman" w:eastAsia="Times New Roman" w:hAnsi="Times New Roman" w:cs="Times New Roman"/>
          <w:spacing w:val="-4"/>
          <w:lang w:val="en-GB"/>
        </w:rPr>
        <w:t>In April 2019, the cannabis stock bubble burst.</w:t>
      </w:r>
      <w:r w:rsidRPr="00B558E0">
        <w:rPr>
          <w:rFonts w:ascii="Times New Roman" w:eastAsia="Times New Roman" w:hAnsi="Times New Roman" w:cs="Times New Roman"/>
          <w:spacing w:val="-4"/>
          <w:vertAlign w:val="superscript"/>
          <w:lang w:val="en-GB"/>
        </w:rPr>
        <w:endnoteReference w:id="38"/>
      </w:r>
      <w:r w:rsidRPr="00B558E0">
        <w:rPr>
          <w:rFonts w:ascii="Times New Roman" w:eastAsia="Times New Roman" w:hAnsi="Times New Roman" w:cs="Times New Roman"/>
          <w:spacing w:val="-4"/>
          <w:lang w:val="en-GB"/>
        </w:rPr>
        <w:t xml:space="preserve"> Although Delta 9 had improved its financial performance almost every quarter since going public, the company’s share price also plummeted. To worsen matters, in March 2020, a global pandemic prompted Canadian public health authorities to implement lockdowns to prevent the spread of SARS</w:t>
      </w:r>
      <w:r w:rsidRPr="00B558E0">
        <w:rPr>
          <w:rFonts w:ascii="Times New Roman" w:eastAsia="Times New Roman" w:hAnsi="Times New Roman" w:cs="Times New Roman"/>
          <w:spacing w:val="-4"/>
          <w:lang w:val="en-GB"/>
        </w:rPr>
        <w:noBreakHyphen/>
        <w:t>CoV</w:t>
      </w:r>
      <w:r w:rsidRPr="00B558E0">
        <w:rPr>
          <w:rFonts w:ascii="Times New Roman" w:eastAsia="Times New Roman" w:hAnsi="Times New Roman" w:cs="Times New Roman"/>
          <w:spacing w:val="-4"/>
          <w:lang w:val="en-GB"/>
        </w:rPr>
        <w:noBreakHyphen/>
        <w:t>2 (COVID-19). These lockdowns upended the entire Canadian retail industry.</w:t>
      </w:r>
    </w:p>
    <w:p w14:paraId="7E425C3A"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52D90E23"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 xml:space="preserve">With the market facing an oversupply of cannabis and a reduced retail sales outlook, it was expected that wholesale prices would drop. Moreover, it was expected that some producers would struggle to sell their inventory. Although cannabis did not have a defined shelf life, consumer sentiment was that fresher was </w:t>
      </w:r>
      <w:r w:rsidRPr="001268A8">
        <w:rPr>
          <w:rFonts w:ascii="Times New Roman" w:eastAsia="Times New Roman" w:hAnsi="Times New Roman" w:cs="Times New Roman"/>
          <w:lang w:val="en-GB"/>
        </w:rPr>
        <w:lastRenderedPageBreak/>
        <w:t>better; therefore, many retailers tried to sell off inventory that was older than 60 days.</w:t>
      </w:r>
      <w:r w:rsidRPr="001268A8">
        <w:rPr>
          <w:rFonts w:ascii="Times New Roman" w:eastAsia="Times New Roman" w:hAnsi="Times New Roman" w:cs="Times New Roman"/>
          <w:vertAlign w:val="superscript"/>
          <w:lang w:val="en-GB"/>
        </w:rPr>
        <w:endnoteReference w:id="39"/>
      </w:r>
      <w:r w:rsidRPr="001268A8">
        <w:rPr>
          <w:rFonts w:ascii="Times New Roman" w:eastAsia="Times New Roman" w:hAnsi="Times New Roman" w:cs="Times New Roman"/>
          <w:lang w:val="en-GB"/>
        </w:rPr>
        <w:t xml:space="preserve"> Some experts warned that some companies would be forced to destroy cannabis.</w:t>
      </w:r>
      <w:r w:rsidRPr="001268A8">
        <w:rPr>
          <w:rFonts w:ascii="Times New Roman" w:eastAsia="Times New Roman" w:hAnsi="Times New Roman" w:cs="Times New Roman"/>
          <w:vertAlign w:val="superscript"/>
          <w:lang w:val="en-GB"/>
        </w:rPr>
        <w:endnoteReference w:id="40"/>
      </w:r>
      <w:r w:rsidRPr="001268A8">
        <w:rPr>
          <w:rFonts w:ascii="Times New Roman" w:eastAsia="Times New Roman" w:hAnsi="Times New Roman" w:cs="Times New Roman"/>
          <w:lang w:val="en-GB"/>
        </w:rPr>
        <w:t xml:space="preserve"> These issues caused cannabis stocks to fall even further. By March 2020, Delta 9’s share price reached an all-time low (see Exhibit 4).</w:t>
      </w:r>
    </w:p>
    <w:p w14:paraId="6C00324C"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5E9688CA"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500A9EE6" w14:textId="77777777" w:rsidR="001268A8" w:rsidRPr="001268A8" w:rsidRDefault="001268A8" w:rsidP="001268A8">
      <w:pPr>
        <w:keepNext/>
        <w:spacing w:after="0" w:line="240" w:lineRule="auto"/>
        <w:jc w:val="both"/>
        <w:rPr>
          <w:rFonts w:ascii="Arial" w:eastAsia="Times New Roman" w:hAnsi="Arial" w:cs="Arial"/>
          <w:b/>
          <w:caps/>
          <w:sz w:val="20"/>
          <w:szCs w:val="20"/>
          <w:lang w:val="en-GB"/>
        </w:rPr>
      </w:pPr>
      <w:r w:rsidRPr="001268A8">
        <w:rPr>
          <w:rFonts w:ascii="Arial" w:eastAsia="Times New Roman" w:hAnsi="Arial" w:cs="Arial"/>
          <w:b/>
          <w:caps/>
          <w:sz w:val="20"/>
          <w:szCs w:val="20"/>
          <w:lang w:val="en-GB"/>
        </w:rPr>
        <w:t>Delta 9’s Business Segments</w:t>
      </w:r>
    </w:p>
    <w:p w14:paraId="427EBE83"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135F8315"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Wholesale</w:t>
      </w:r>
    </w:p>
    <w:p w14:paraId="523467C9"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3F7E7BD6"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While it was expected that some producers would struggle to sell their inventory in 2020, Delta 9’s management was confident that the company would face no such issue. Many of Delta 9’s largest competitors struggled to grow cannabis of a similar quality, and some had been plagued by widespread crop failure.</w:t>
      </w:r>
      <w:r w:rsidRPr="001268A8">
        <w:rPr>
          <w:rFonts w:ascii="Times New Roman" w:eastAsia="Times New Roman" w:hAnsi="Times New Roman" w:cs="Times New Roman"/>
          <w:vertAlign w:val="superscript"/>
          <w:lang w:val="en-GB"/>
        </w:rPr>
        <w:endnoteReference w:id="41"/>
      </w:r>
      <w:r w:rsidRPr="001268A8">
        <w:rPr>
          <w:rFonts w:ascii="Times New Roman" w:eastAsia="Times New Roman" w:hAnsi="Times New Roman" w:cs="Times New Roman"/>
          <w:lang w:val="en-GB"/>
        </w:rPr>
        <w:t xml:space="preserve"> Moreover, given Delta 9’s low cost of production, the company often exercised its ability to undercut market wholesale prices (see Exhibit 5). By undercutting the competition, Delta 9 aimed to increase its market share and brand recognition. In the long term, however, the company intended to raise its wholesale prices.</w:t>
      </w:r>
    </w:p>
    <w:p w14:paraId="72619735"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24F2BD9F" w14:textId="77777777" w:rsidR="001268A8" w:rsidRPr="00B558E0" w:rsidRDefault="001268A8" w:rsidP="001268A8">
      <w:pPr>
        <w:spacing w:after="0" w:line="240" w:lineRule="auto"/>
        <w:jc w:val="both"/>
        <w:rPr>
          <w:rFonts w:ascii="Times New Roman" w:eastAsia="Times New Roman" w:hAnsi="Times New Roman" w:cs="Times New Roman"/>
          <w:spacing w:val="-2"/>
          <w:lang w:val="en-GB"/>
        </w:rPr>
      </w:pPr>
      <w:r w:rsidRPr="00B558E0">
        <w:rPr>
          <w:rFonts w:ascii="Times New Roman" w:eastAsia="Times New Roman" w:hAnsi="Times New Roman" w:cs="Times New Roman"/>
          <w:spacing w:val="-2"/>
          <w:lang w:val="en-GB"/>
        </w:rPr>
        <w:t>As Delta 9 matured as a company, its cost of production trended downward (see Exhibits 6 and 7). By increasing production levels without increasing labour in the same proportion, Delta 9’s management believed that its cost of production per gram of cannabis could fall even further. Delta 9 had just recently invested in automating the bottling, packaging, capping, and labelling of its consumer-packaged dried cannabis products.</w:t>
      </w:r>
    </w:p>
    <w:p w14:paraId="0F614FDC"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23416F42"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As of March 2020, Delta 9 operated 257 flowering units, giving the company an annual production capacity of 8,325 kilograms of cannabis. In the company’s current facility, production capacity could reach 11,975 kilograms per year. For every 11 new flowering units, the company would need to install one support unit.</w:t>
      </w:r>
    </w:p>
    <w:p w14:paraId="205603A1"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(See Exhibit 8 for the costs associated with expanding wholesale production, projections for the price and cost per gram of cannabis.) Delta 9 had a corporate tax rate of 27 per cent and a weighted average cost of capital (WACC) of 12.5 per cent.</w:t>
      </w:r>
    </w:p>
    <w:p w14:paraId="1ED60A5C"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14584138" w14:textId="77777777" w:rsidR="001268A8" w:rsidRPr="00B558E0" w:rsidRDefault="001268A8" w:rsidP="001268A8">
      <w:pPr>
        <w:spacing w:after="0" w:line="240" w:lineRule="auto"/>
        <w:jc w:val="both"/>
        <w:rPr>
          <w:rFonts w:ascii="Times New Roman" w:eastAsia="Times New Roman" w:hAnsi="Times New Roman" w:cs="Times New Roman"/>
          <w:spacing w:val="-2"/>
          <w:lang w:val="en-GB"/>
        </w:rPr>
      </w:pPr>
      <w:r w:rsidRPr="00B558E0">
        <w:rPr>
          <w:rFonts w:ascii="Times New Roman" w:eastAsia="Times New Roman" w:hAnsi="Times New Roman" w:cs="Times New Roman"/>
          <w:spacing w:val="-2"/>
          <w:lang w:val="en-GB"/>
        </w:rPr>
        <w:t>To grow beyond the production capacity of 11,975 kilograms, Delta 9 would have to expand into a second production facility. The second facility would hold 400 grow pods, bringing Delta 9’s total production capacity to 23,495 kilograms per year. The total, all-inclusive cost of this project was estimated at $35 million.</w:t>
      </w:r>
    </w:p>
    <w:p w14:paraId="18CAB3FF"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33680F62"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3A2302F6"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Retail</w:t>
      </w:r>
    </w:p>
    <w:p w14:paraId="6C356178"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56E92B15" w14:textId="3AA0EC11" w:rsidR="001268A8" w:rsidRPr="004B0F00" w:rsidRDefault="001268A8" w:rsidP="001268A8">
      <w:pPr>
        <w:spacing w:after="0" w:line="240" w:lineRule="auto"/>
        <w:jc w:val="both"/>
        <w:rPr>
          <w:rFonts w:ascii="Times New Roman" w:eastAsia="Times New Roman" w:hAnsi="Times New Roman" w:cs="Times New Roman"/>
          <w:spacing w:val="-4"/>
          <w:kern w:val="22"/>
          <w:lang w:val="en-GB"/>
        </w:rPr>
      </w:pPr>
      <w:r w:rsidRPr="004B0F00">
        <w:rPr>
          <w:rFonts w:ascii="Times New Roman" w:eastAsia="Times New Roman" w:hAnsi="Times New Roman" w:cs="Times New Roman"/>
          <w:spacing w:val="-4"/>
          <w:kern w:val="22"/>
          <w:lang w:val="en-GB"/>
        </w:rPr>
        <w:t>As of March 2020, Delta 9 controlled 30 per cent of cannabis revenues in Manitoba, and the company was looking to expand its retail presence in other provinces. The black market was expected to lose significant market share as the number of stores in each province continued to increase</w:t>
      </w:r>
      <w:r w:rsidR="001C1AF4" w:rsidRPr="004B0F00">
        <w:rPr>
          <w:rFonts w:ascii="Times New Roman" w:eastAsia="Times New Roman" w:hAnsi="Times New Roman" w:cs="Times New Roman"/>
          <w:spacing w:val="-4"/>
          <w:kern w:val="22"/>
          <w:lang w:val="en-GB"/>
        </w:rPr>
        <w:t>,</w:t>
      </w:r>
      <w:r w:rsidRPr="004B0F00">
        <w:rPr>
          <w:rFonts w:ascii="Times New Roman" w:eastAsia="Times New Roman" w:hAnsi="Times New Roman" w:cs="Times New Roman"/>
          <w:spacing w:val="-4"/>
          <w:kern w:val="22"/>
          <w:lang w:val="en-GB"/>
        </w:rPr>
        <w:t xml:space="preserve"> </w:t>
      </w:r>
      <w:r w:rsidR="001C1AF4" w:rsidRPr="004B0F00">
        <w:rPr>
          <w:rFonts w:ascii="Times New Roman" w:eastAsia="Times New Roman" w:hAnsi="Times New Roman" w:cs="Times New Roman"/>
          <w:spacing w:val="-4"/>
          <w:kern w:val="22"/>
          <w:lang w:val="en-GB"/>
        </w:rPr>
        <w:t>but</w:t>
      </w:r>
      <w:r w:rsidRPr="004B0F00">
        <w:rPr>
          <w:rFonts w:ascii="Times New Roman" w:eastAsia="Times New Roman" w:hAnsi="Times New Roman" w:cs="Times New Roman"/>
          <w:spacing w:val="-4"/>
          <w:kern w:val="22"/>
          <w:lang w:val="en-GB"/>
        </w:rPr>
        <w:t xml:space="preserve"> the number of customers per store would decline. Industry experts estimated the following: a mature market could accommodate one cannabis retail location for every 10,000</w:t>
      </w:r>
      <w:r w:rsidR="001C1AF4" w:rsidRPr="004B0F00">
        <w:rPr>
          <w:rFonts w:ascii="Times New Roman" w:eastAsia="Times New Roman" w:hAnsi="Times New Roman" w:cs="Times New Roman"/>
          <w:spacing w:val="-4"/>
          <w:kern w:val="22"/>
          <w:lang w:val="en-GB"/>
        </w:rPr>
        <w:sym w:font="Symbol" w:char="F02D"/>
      </w:r>
      <w:r w:rsidR="00711510" w:rsidRPr="004B0F00">
        <w:rPr>
          <w:rFonts w:ascii="Times New Roman" w:eastAsia="Times New Roman" w:hAnsi="Times New Roman" w:cs="Times New Roman"/>
          <w:spacing w:val="-4"/>
          <w:kern w:val="22"/>
          <w:lang w:val="en-GB"/>
        </w:rPr>
        <w:t>20,000</w:t>
      </w:r>
      <w:r w:rsidRPr="004B0F00">
        <w:rPr>
          <w:rFonts w:ascii="Times New Roman" w:eastAsia="Times New Roman" w:hAnsi="Times New Roman" w:cs="Times New Roman"/>
          <w:spacing w:val="-4"/>
          <w:kern w:val="22"/>
          <w:lang w:val="en-GB"/>
        </w:rPr>
        <w:t xml:space="preserve"> residents</w:t>
      </w:r>
      <w:r w:rsidR="00711510" w:rsidRPr="004B0F00">
        <w:rPr>
          <w:rFonts w:ascii="Times New Roman" w:eastAsia="Times New Roman" w:hAnsi="Times New Roman" w:cs="Times New Roman"/>
          <w:spacing w:val="-4"/>
          <w:kern w:val="22"/>
          <w:lang w:val="en-GB"/>
        </w:rPr>
        <w:t xml:space="preserve"> (Delta-9’s board, however, believe</w:t>
      </w:r>
      <w:r w:rsidR="001C1AF4" w:rsidRPr="004B0F00">
        <w:rPr>
          <w:rFonts w:ascii="Times New Roman" w:eastAsia="Times New Roman" w:hAnsi="Times New Roman" w:cs="Times New Roman"/>
          <w:spacing w:val="-4"/>
          <w:kern w:val="22"/>
          <w:lang w:val="en-GB"/>
        </w:rPr>
        <w:t>d</w:t>
      </w:r>
      <w:r w:rsidR="00711510" w:rsidRPr="004B0F00">
        <w:rPr>
          <w:rFonts w:ascii="Times New Roman" w:eastAsia="Times New Roman" w:hAnsi="Times New Roman" w:cs="Times New Roman"/>
          <w:spacing w:val="-4"/>
          <w:kern w:val="22"/>
          <w:lang w:val="en-GB"/>
        </w:rPr>
        <w:t xml:space="preserve"> that the Canadian market c</w:t>
      </w:r>
      <w:r w:rsidR="001C1AF4" w:rsidRPr="004B0F00">
        <w:rPr>
          <w:rFonts w:ascii="Times New Roman" w:eastAsia="Times New Roman" w:hAnsi="Times New Roman" w:cs="Times New Roman"/>
          <w:spacing w:val="-4"/>
          <w:kern w:val="22"/>
          <w:lang w:val="en-GB"/>
        </w:rPr>
        <w:t>ould</w:t>
      </w:r>
      <w:r w:rsidR="00711510" w:rsidRPr="004B0F00">
        <w:rPr>
          <w:rFonts w:ascii="Times New Roman" w:eastAsia="Times New Roman" w:hAnsi="Times New Roman" w:cs="Times New Roman"/>
          <w:spacing w:val="-4"/>
          <w:kern w:val="22"/>
          <w:lang w:val="en-GB"/>
        </w:rPr>
        <w:t xml:space="preserve"> support one store for every 10,000 residents)</w:t>
      </w:r>
      <w:r w:rsidRPr="004B0F00">
        <w:rPr>
          <w:rFonts w:ascii="Times New Roman" w:eastAsia="Times New Roman" w:hAnsi="Times New Roman" w:cs="Times New Roman"/>
          <w:spacing w:val="-4"/>
          <w:kern w:val="22"/>
          <w:lang w:val="en-GB"/>
        </w:rPr>
        <w:t>; 18 per cent of Canadians used cannabis; and an average cannabis user could be expected to spend $1,200 on cannabis per year.</w:t>
      </w:r>
      <w:r w:rsidRPr="004B0F00">
        <w:rPr>
          <w:rFonts w:ascii="Times New Roman" w:eastAsia="Times New Roman" w:hAnsi="Times New Roman" w:cs="Times New Roman"/>
          <w:spacing w:val="-4"/>
          <w:kern w:val="22"/>
          <w:vertAlign w:val="superscript"/>
          <w:lang w:val="en-GB"/>
        </w:rPr>
        <w:endnoteReference w:id="42"/>
      </w:r>
      <w:r w:rsidRPr="004B0F00">
        <w:rPr>
          <w:rFonts w:ascii="Times New Roman" w:eastAsia="Times New Roman" w:hAnsi="Times New Roman" w:cs="Times New Roman"/>
          <w:spacing w:val="-4"/>
          <w:kern w:val="22"/>
          <w:lang w:val="en-GB"/>
        </w:rPr>
        <w:t xml:space="preserve"> </w:t>
      </w:r>
      <w:proofErr w:type="gramStart"/>
      <w:r w:rsidRPr="004B0F00">
        <w:rPr>
          <w:rFonts w:ascii="Times New Roman" w:eastAsia="Times New Roman" w:hAnsi="Times New Roman" w:cs="Times New Roman"/>
          <w:spacing w:val="-4"/>
          <w:kern w:val="22"/>
          <w:lang w:val="en-GB"/>
        </w:rPr>
        <w:t>This implied revenues</w:t>
      </w:r>
      <w:proofErr w:type="gramEnd"/>
      <w:r w:rsidRPr="004B0F00">
        <w:rPr>
          <w:rFonts w:ascii="Times New Roman" w:eastAsia="Times New Roman" w:hAnsi="Times New Roman" w:cs="Times New Roman"/>
          <w:spacing w:val="-4"/>
          <w:kern w:val="22"/>
          <w:lang w:val="en-GB"/>
        </w:rPr>
        <w:t xml:space="preserve"> of $2.16 million per store. However, Alberta was the only province approaching this level of saturation (see Exhibit 9).</w:t>
      </w:r>
    </w:p>
    <w:p w14:paraId="4A26B373"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49BF0F0E" w14:textId="7A39A7B8"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 xml:space="preserve">Due to the rapidly evolving and increasingly competitive cannabis retail landscape, revenue projections for cannabis retail stores was uncertain. Delta 9 estimated that new retail locations would achieve an average of $2.5 million in annual sales. Although all of Delta 9’s Manitoba locations were on pace to comfortably exceed this sales figure, analysts for similar cannabis retailers estimated a range of between $2 </w:t>
      </w:r>
      <w:r w:rsidR="001C1AF4">
        <w:rPr>
          <w:rFonts w:ascii="Times New Roman" w:eastAsia="Times New Roman" w:hAnsi="Times New Roman" w:cs="Times New Roman"/>
          <w:lang w:val="en-GB"/>
        </w:rPr>
        <w:t xml:space="preserve">million </w:t>
      </w:r>
      <w:r w:rsidRPr="001268A8">
        <w:rPr>
          <w:rFonts w:ascii="Times New Roman" w:eastAsia="Times New Roman" w:hAnsi="Times New Roman" w:cs="Times New Roman"/>
          <w:lang w:val="en-GB"/>
        </w:rPr>
        <w:t>and $3 million in annual sales for new retail locations (see Exhibit 10).</w:t>
      </w:r>
      <w:r w:rsidRPr="001268A8">
        <w:rPr>
          <w:rFonts w:ascii="Times New Roman" w:eastAsia="Times New Roman" w:hAnsi="Times New Roman" w:cs="Times New Roman"/>
          <w:vertAlign w:val="superscript"/>
          <w:lang w:val="en-GB"/>
        </w:rPr>
        <w:endnoteReference w:id="43"/>
      </w:r>
    </w:p>
    <w:p w14:paraId="4D1BCCB8"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lastRenderedPageBreak/>
        <w:t>Each new store would require a manager and assistant manager. All equipment and leasehold improvements would need to be replaced after five years.</w:t>
      </w:r>
    </w:p>
    <w:p w14:paraId="3E8985FC"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3CE5F7E7"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5D642D36" w14:textId="77777777" w:rsidR="001268A8" w:rsidRPr="001268A8" w:rsidRDefault="001268A8" w:rsidP="001268A8">
      <w:pPr>
        <w:keepNext/>
        <w:spacing w:after="0" w:line="240" w:lineRule="auto"/>
        <w:jc w:val="both"/>
        <w:rPr>
          <w:rFonts w:ascii="Arial" w:eastAsia="Times New Roman" w:hAnsi="Arial" w:cs="Arial"/>
          <w:b/>
          <w:sz w:val="20"/>
          <w:szCs w:val="20"/>
          <w:lang w:val="en-GB"/>
        </w:rPr>
      </w:pPr>
      <w:r w:rsidRPr="001268A8">
        <w:rPr>
          <w:rFonts w:ascii="Arial" w:eastAsia="Times New Roman" w:hAnsi="Arial" w:cs="Arial"/>
          <w:b/>
          <w:sz w:val="20"/>
          <w:szCs w:val="20"/>
          <w:lang w:val="en-GB"/>
        </w:rPr>
        <w:t>B2B</w:t>
      </w:r>
    </w:p>
    <w:p w14:paraId="672757B7"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6B5D0548" w14:textId="77777777"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By increasing the company’s sales efforts on grow pods, Delta 9 estimated that it could receive between 45 and 90 grow pod orders each quarter over the next year. Delta 9 could produce five grow pods per week, which it sold at an average price of $64,000 per pod.</w:t>
      </w:r>
      <w:r w:rsidRPr="001268A8">
        <w:rPr>
          <w:rFonts w:ascii="Times New Roman" w:eastAsia="Times New Roman" w:hAnsi="Times New Roman" w:cs="Times New Roman"/>
          <w:vertAlign w:val="superscript"/>
          <w:lang w:val="en-GB"/>
        </w:rPr>
        <w:endnoteReference w:id="44"/>
      </w:r>
      <w:r w:rsidRPr="001268A8">
        <w:rPr>
          <w:rFonts w:ascii="Times New Roman" w:eastAsia="Times New Roman" w:hAnsi="Times New Roman" w:cs="Times New Roman"/>
          <w:lang w:val="en-GB"/>
        </w:rPr>
        <w:t xml:space="preserve"> Due to the unpredictable nature of sales, Delta 9 kept an inventory of 12 grow pods on hand. Customers paid a 75 per cent deposit on order and paid the balance within 30 days of delivery.</w:t>
      </w:r>
    </w:p>
    <w:p w14:paraId="6AA09A62"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2E4F8BED"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3CB7D345" w14:textId="77777777" w:rsidR="001268A8" w:rsidRPr="001268A8" w:rsidRDefault="001268A8" w:rsidP="001268A8">
      <w:pPr>
        <w:keepNext/>
        <w:spacing w:after="0" w:line="240" w:lineRule="auto"/>
        <w:jc w:val="both"/>
        <w:rPr>
          <w:rFonts w:ascii="Arial" w:eastAsia="Times New Roman" w:hAnsi="Arial" w:cs="Arial"/>
          <w:b/>
          <w:caps/>
          <w:sz w:val="20"/>
          <w:szCs w:val="20"/>
          <w:lang w:val="en-GB"/>
        </w:rPr>
      </w:pPr>
      <w:r w:rsidRPr="001268A8">
        <w:rPr>
          <w:rFonts w:ascii="Arial" w:eastAsia="Times New Roman" w:hAnsi="Arial" w:cs="Arial"/>
          <w:b/>
          <w:caps/>
          <w:sz w:val="20"/>
          <w:szCs w:val="20"/>
          <w:lang w:val="en-GB"/>
        </w:rPr>
        <w:t>Decision</w:t>
      </w:r>
    </w:p>
    <w:p w14:paraId="7330E58A"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35E2D96B" w14:textId="4A8D10C8" w:rsidR="001268A8" w:rsidRPr="00B558E0" w:rsidRDefault="001268A8" w:rsidP="001268A8">
      <w:pPr>
        <w:spacing w:after="0" w:line="240" w:lineRule="auto"/>
        <w:jc w:val="both"/>
        <w:rPr>
          <w:rFonts w:ascii="Times New Roman" w:eastAsia="Times New Roman" w:hAnsi="Times New Roman" w:cs="Times New Roman"/>
          <w:spacing w:val="-2"/>
          <w:lang w:val="en-GB"/>
        </w:rPr>
      </w:pPr>
      <w:r w:rsidRPr="00B558E0">
        <w:rPr>
          <w:rFonts w:ascii="Times New Roman" w:eastAsia="Times New Roman" w:hAnsi="Times New Roman" w:cs="Times New Roman"/>
          <w:spacing w:val="-2"/>
          <w:lang w:val="en-GB"/>
        </w:rPr>
        <w:t>Prior to the pandemic, Delta 9</w:t>
      </w:r>
      <w:r w:rsidR="001C1AF4" w:rsidRPr="00B558E0">
        <w:rPr>
          <w:rFonts w:ascii="Times New Roman" w:eastAsia="Times New Roman" w:hAnsi="Times New Roman" w:cs="Times New Roman"/>
          <w:spacing w:val="-2"/>
          <w:lang w:val="en-GB"/>
        </w:rPr>
        <w:t xml:space="preserve"> had</w:t>
      </w:r>
      <w:r w:rsidRPr="00B558E0">
        <w:rPr>
          <w:rFonts w:ascii="Times New Roman" w:eastAsia="Times New Roman" w:hAnsi="Times New Roman" w:cs="Times New Roman"/>
          <w:spacing w:val="-2"/>
          <w:lang w:val="en-GB"/>
        </w:rPr>
        <w:t xml:space="preserve"> intended to use its cash flow from operations and cash on hand ($5.32 million) to maximize the production capacity in its current facilities and open new retail locations. Further expanding production capacity would necessitate construction of an additional building, which would require raising tens of millions of dollars in capital. Prior to the pandemic, capital was allocated to business segments roughly in proportion </w:t>
      </w:r>
      <w:r w:rsidR="001C1AF4" w:rsidRPr="00B558E0">
        <w:rPr>
          <w:rFonts w:ascii="Times New Roman" w:eastAsia="Times New Roman" w:hAnsi="Times New Roman" w:cs="Times New Roman"/>
          <w:spacing w:val="-2"/>
          <w:lang w:val="en-GB"/>
        </w:rPr>
        <w:t>to</w:t>
      </w:r>
      <w:r w:rsidRPr="00B558E0">
        <w:rPr>
          <w:rFonts w:ascii="Times New Roman" w:eastAsia="Times New Roman" w:hAnsi="Times New Roman" w:cs="Times New Roman"/>
          <w:spacing w:val="-2"/>
          <w:lang w:val="en-GB"/>
        </w:rPr>
        <w:t xml:space="preserve"> their contribution to Delta 9’s gross margin. This strategy was successful in allowing the company to grow while sustaining its strategy of vertical integration. But with the pandemic and stock price crash of 2020, it appeared that a re-evaluation of Delta 9’s capital allocation plan was needed.</w:t>
      </w:r>
    </w:p>
    <w:p w14:paraId="5ABBA221"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6B47B808" w14:textId="520BF69C" w:rsidR="001268A8" w:rsidRPr="001268A8" w:rsidRDefault="001268A8" w:rsidP="001268A8">
      <w:pPr>
        <w:spacing w:after="0" w:line="240" w:lineRule="auto"/>
        <w:jc w:val="both"/>
        <w:rPr>
          <w:rFonts w:ascii="Times New Roman" w:eastAsia="Times New Roman" w:hAnsi="Times New Roman" w:cs="Times New Roman"/>
          <w:lang w:val="en-GB"/>
        </w:rPr>
      </w:pPr>
      <w:r w:rsidRPr="001268A8">
        <w:rPr>
          <w:rFonts w:ascii="Times New Roman" w:eastAsia="Times New Roman" w:hAnsi="Times New Roman" w:cs="Times New Roman"/>
          <w:lang w:val="en-GB"/>
        </w:rPr>
        <w:t xml:space="preserve">As Arbuthnot logged on to his computer, he took a moment to reflect on his journey with Delta 9. Just eight years </w:t>
      </w:r>
      <w:r w:rsidR="001C1AF4">
        <w:rPr>
          <w:rFonts w:ascii="Times New Roman" w:eastAsia="Times New Roman" w:hAnsi="Times New Roman" w:cs="Times New Roman"/>
          <w:lang w:val="en-GB"/>
        </w:rPr>
        <w:t>prior</w:t>
      </w:r>
      <w:r w:rsidRPr="001268A8">
        <w:rPr>
          <w:rFonts w:ascii="Times New Roman" w:eastAsia="Times New Roman" w:hAnsi="Times New Roman" w:cs="Times New Roman"/>
          <w:lang w:val="en-GB"/>
        </w:rPr>
        <w:t xml:space="preserve">, many people thought that he was </w:t>
      </w:r>
      <w:r w:rsidR="004B0F00">
        <w:rPr>
          <w:rFonts w:ascii="Times New Roman" w:eastAsia="Times New Roman" w:hAnsi="Times New Roman" w:cs="Times New Roman"/>
          <w:lang w:val="en-GB"/>
        </w:rPr>
        <w:t>foolish</w:t>
      </w:r>
      <w:r w:rsidRPr="001268A8">
        <w:rPr>
          <w:rFonts w:ascii="Times New Roman" w:eastAsia="Times New Roman" w:hAnsi="Times New Roman" w:cs="Times New Roman"/>
          <w:lang w:val="en-GB"/>
        </w:rPr>
        <w:t xml:space="preserve"> for entering the cannabis space. Today, he was the CEO of one of Manitoba’s most interesting businesses. Arbuthnot was happy to have turned his vision into a reality, but there was still a lot of game left to play.</w:t>
      </w:r>
    </w:p>
    <w:p w14:paraId="396C0843"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0085C7D6" w14:textId="77777777" w:rsidR="001268A8" w:rsidRPr="001268A8" w:rsidRDefault="001268A8" w:rsidP="001268A8">
      <w:pPr>
        <w:spacing w:after="0" w:line="240" w:lineRule="auto"/>
        <w:jc w:val="both"/>
        <w:rPr>
          <w:rFonts w:ascii="Times New Roman" w:eastAsia="Times New Roman" w:hAnsi="Times New Roman" w:cs="Times New Roman"/>
          <w:lang w:val="en-GB"/>
        </w:rPr>
      </w:pPr>
    </w:p>
    <w:p w14:paraId="275019E3" w14:textId="77777777" w:rsidR="001268A8" w:rsidRPr="001268A8" w:rsidRDefault="001268A8" w:rsidP="001268A8">
      <w:pPr>
        <w:spacing w:after="200" w:line="276" w:lineRule="auto"/>
        <w:rPr>
          <w:rFonts w:ascii="Times New Roman" w:eastAsia="Times New Roman" w:hAnsi="Times New Roman" w:cs="Times New Roman"/>
          <w:sz w:val="24"/>
          <w:szCs w:val="24"/>
          <w:lang w:val="en-GB"/>
        </w:rPr>
      </w:pPr>
      <w:r w:rsidRPr="001268A8">
        <w:rPr>
          <w:rFonts w:ascii="Times New Roman" w:eastAsia="Times New Roman" w:hAnsi="Times New Roman" w:cs="Times New Roman"/>
          <w:sz w:val="24"/>
          <w:szCs w:val="24"/>
          <w:lang w:val="en-GB"/>
        </w:rPr>
        <w:br w:type="page"/>
      </w:r>
    </w:p>
    <w:p w14:paraId="46FDD555" w14:textId="57F79BAA" w:rsidR="001268A8" w:rsidRPr="001268A8" w:rsidRDefault="001268A8" w:rsidP="001268A8">
      <w:pPr>
        <w:keepNext/>
        <w:spacing w:after="0" w:line="240" w:lineRule="auto"/>
        <w:jc w:val="center"/>
        <w:rPr>
          <w:rFonts w:ascii="Arial" w:eastAsia="SimSun" w:hAnsi="Arial" w:cs="Arial"/>
          <w:b/>
          <w:caps/>
          <w:sz w:val="20"/>
          <w:szCs w:val="20"/>
          <w:lang w:val="en-GB"/>
        </w:rPr>
      </w:pPr>
      <w:r w:rsidRPr="001268A8">
        <w:rPr>
          <w:rFonts w:ascii="Arial" w:eastAsia="SimSun" w:hAnsi="Arial" w:cs="Arial"/>
          <w:b/>
          <w:caps/>
          <w:sz w:val="20"/>
          <w:szCs w:val="20"/>
          <w:lang w:val="en-GB"/>
        </w:rPr>
        <w:lastRenderedPageBreak/>
        <w:t>Exhibit 1: Legal Retail Cannabis Sales by Month (CA$)</w:t>
      </w:r>
    </w:p>
    <w:p w14:paraId="12EE083E" w14:textId="77777777" w:rsidR="001268A8" w:rsidRPr="001268A8" w:rsidRDefault="001268A8" w:rsidP="001268A8">
      <w:pPr>
        <w:spacing w:after="0" w:line="240" w:lineRule="auto"/>
        <w:jc w:val="both"/>
        <w:rPr>
          <w:rFonts w:ascii="Arial" w:eastAsia="Times New Roman" w:hAnsi="Arial" w:cs="Arial"/>
          <w:sz w:val="20"/>
          <w:szCs w:val="20"/>
          <w:lang w:val="en-GB"/>
        </w:rPr>
      </w:pPr>
    </w:p>
    <w:p w14:paraId="50BEF2F6" w14:textId="77777777" w:rsidR="001268A8" w:rsidRPr="001268A8" w:rsidRDefault="001268A8" w:rsidP="001268A8">
      <w:pPr>
        <w:spacing w:after="0" w:line="240" w:lineRule="auto"/>
        <w:jc w:val="both"/>
        <w:rPr>
          <w:rFonts w:ascii="Arial" w:eastAsia="Times New Roman" w:hAnsi="Arial" w:cs="Arial"/>
          <w:sz w:val="20"/>
          <w:szCs w:val="20"/>
          <w:lang w:val="en-GB"/>
        </w:rPr>
      </w:pPr>
      <w:r w:rsidRPr="001268A8">
        <w:rPr>
          <w:rFonts w:ascii="Arial" w:eastAsia="Times New Roman" w:hAnsi="Arial" w:cs="Arial"/>
          <w:noProof/>
          <w:sz w:val="20"/>
          <w:szCs w:val="20"/>
          <w:lang w:eastAsia="en-CA"/>
        </w:rPr>
        <w:drawing>
          <wp:inline distT="0" distB="0" distL="0" distR="0" wp14:anchorId="7CC8012D" wp14:editId="1FE20A65">
            <wp:extent cx="5943600" cy="2926080"/>
            <wp:effectExtent l="0" t="0" r="12700" b="7620"/>
            <wp:docPr id="6" name="Chart 6">
              <a:extLst xmlns:a="http://schemas.openxmlformats.org/drawingml/2006/main">
                <a:ext uri="{FF2B5EF4-FFF2-40B4-BE49-F238E27FC236}">
                  <a16:creationId xmlns:a16="http://schemas.microsoft.com/office/drawing/2014/main" id="{D2EF5A58-BAB5-4A61-BFF7-DD798437B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7BA94C" w14:textId="77777777" w:rsidR="001268A8" w:rsidRPr="001268A8" w:rsidRDefault="001268A8" w:rsidP="001268A8">
      <w:pPr>
        <w:spacing w:after="0" w:line="240" w:lineRule="auto"/>
        <w:jc w:val="both"/>
        <w:rPr>
          <w:rFonts w:ascii="Arial" w:eastAsia="SimSun" w:hAnsi="Arial" w:cs="Arial"/>
          <w:sz w:val="20"/>
          <w:szCs w:val="20"/>
          <w:lang w:val="en-GB"/>
        </w:rPr>
      </w:pPr>
    </w:p>
    <w:p w14:paraId="4B1AB1F5" w14:textId="77777777" w:rsidR="001268A8" w:rsidRPr="001268A8" w:rsidRDefault="001268A8" w:rsidP="001268A8">
      <w:pPr>
        <w:spacing w:after="0" w:line="240" w:lineRule="auto"/>
        <w:jc w:val="both"/>
        <w:rPr>
          <w:rFonts w:ascii="Arial" w:eastAsia="Times New Roman" w:hAnsi="Arial" w:cs="Arial"/>
          <w:sz w:val="17"/>
          <w:szCs w:val="17"/>
          <w:lang w:val="en-GB"/>
        </w:rPr>
      </w:pPr>
      <w:r w:rsidRPr="001268A8">
        <w:rPr>
          <w:rFonts w:ascii="Arial" w:eastAsia="SimSun" w:hAnsi="Arial" w:cs="Arial"/>
          <w:sz w:val="17"/>
          <w:szCs w:val="17"/>
          <w:lang w:val="en-GB"/>
        </w:rPr>
        <w:t xml:space="preserve">Source: </w:t>
      </w:r>
      <w:r w:rsidRPr="001268A8">
        <w:rPr>
          <w:rFonts w:ascii="Arial" w:eastAsia="Times New Roman" w:hAnsi="Arial" w:cs="Arial"/>
          <w:sz w:val="17"/>
          <w:szCs w:val="17"/>
          <w:lang w:val="en-GB"/>
        </w:rPr>
        <w:t>Statistics Canada</w:t>
      </w:r>
      <w:r w:rsidRPr="001268A8">
        <w:rPr>
          <w:rFonts w:ascii="Arial" w:eastAsia="Times New Roman" w:hAnsi="Arial" w:cs="Arial"/>
          <w:i/>
          <w:iCs/>
          <w:sz w:val="17"/>
          <w:szCs w:val="17"/>
          <w:lang w:val="en-GB"/>
        </w:rPr>
        <w:t xml:space="preserve">, </w:t>
      </w:r>
      <w:r w:rsidRPr="001268A8">
        <w:rPr>
          <w:rFonts w:ascii="Arial" w:eastAsia="Times New Roman" w:hAnsi="Arial" w:cs="Arial"/>
          <w:sz w:val="17"/>
          <w:szCs w:val="17"/>
          <w:lang w:val="en-GB"/>
        </w:rPr>
        <w:t>“Table 20-10-0008-01: Retail Trade Sales by Province and Territory,” September 24, 2020, accessed September 24, 2020, https://www150.statcan.gc.ca.</w:t>
      </w:r>
    </w:p>
    <w:p w14:paraId="5A29ECAD" w14:textId="77777777" w:rsidR="001268A8" w:rsidRPr="001268A8" w:rsidRDefault="001268A8" w:rsidP="001268A8">
      <w:pPr>
        <w:spacing w:after="0" w:line="240" w:lineRule="auto"/>
        <w:jc w:val="both"/>
        <w:rPr>
          <w:rFonts w:ascii="Arial" w:eastAsia="SimSun" w:hAnsi="Arial" w:cs="Arial"/>
          <w:sz w:val="20"/>
          <w:szCs w:val="20"/>
          <w:lang w:val="en-GB"/>
        </w:rPr>
      </w:pPr>
    </w:p>
    <w:p w14:paraId="15699F89" w14:textId="77777777" w:rsidR="001268A8" w:rsidRPr="001268A8" w:rsidRDefault="001268A8" w:rsidP="001268A8">
      <w:pPr>
        <w:spacing w:after="0" w:line="240" w:lineRule="auto"/>
        <w:jc w:val="both"/>
        <w:rPr>
          <w:rFonts w:ascii="Arial" w:eastAsia="SimSun" w:hAnsi="Arial" w:cs="Arial"/>
          <w:sz w:val="20"/>
          <w:szCs w:val="20"/>
          <w:lang w:val="en-GB"/>
        </w:rPr>
      </w:pPr>
    </w:p>
    <w:p w14:paraId="101A19D2" w14:textId="77777777" w:rsidR="001268A8" w:rsidRPr="001268A8" w:rsidRDefault="001268A8" w:rsidP="001268A8">
      <w:pPr>
        <w:keepNext/>
        <w:spacing w:after="0" w:line="240" w:lineRule="auto"/>
        <w:jc w:val="center"/>
        <w:rPr>
          <w:rFonts w:ascii="Arial" w:eastAsia="SimSun" w:hAnsi="Arial" w:cs="Arial"/>
          <w:b/>
          <w:caps/>
          <w:sz w:val="20"/>
          <w:szCs w:val="20"/>
          <w:lang w:val="en-GB"/>
        </w:rPr>
      </w:pPr>
      <w:r w:rsidRPr="001268A8">
        <w:rPr>
          <w:rFonts w:ascii="Arial" w:eastAsia="SimSun" w:hAnsi="Arial" w:cs="Arial"/>
          <w:b/>
          <w:caps/>
          <w:sz w:val="20"/>
          <w:szCs w:val="20"/>
          <w:lang w:val="en-GB"/>
        </w:rPr>
        <w:t>Exhibit 2: Delta 9’s Grow Pods</w:t>
      </w:r>
    </w:p>
    <w:p w14:paraId="545D58F7" w14:textId="77777777" w:rsidR="001268A8" w:rsidRPr="001268A8" w:rsidRDefault="001268A8" w:rsidP="001268A8">
      <w:pPr>
        <w:spacing w:after="0" w:line="240" w:lineRule="auto"/>
        <w:jc w:val="both"/>
        <w:rPr>
          <w:rFonts w:ascii="Arial" w:eastAsia="Times New Roman" w:hAnsi="Arial" w:cs="Arial"/>
          <w:sz w:val="20"/>
          <w:szCs w:val="20"/>
          <w:lang w:val="en-GB"/>
        </w:rPr>
      </w:pPr>
    </w:p>
    <w:p w14:paraId="1C2AE71B" w14:textId="77777777" w:rsidR="001268A8" w:rsidRPr="001268A8" w:rsidRDefault="001268A8" w:rsidP="001268A8">
      <w:pPr>
        <w:spacing w:after="0" w:line="240" w:lineRule="auto"/>
        <w:jc w:val="both"/>
        <w:rPr>
          <w:rFonts w:ascii="Arial" w:eastAsia="Times New Roman" w:hAnsi="Arial" w:cs="Arial"/>
          <w:sz w:val="20"/>
          <w:szCs w:val="20"/>
          <w:lang w:val="en-GB"/>
        </w:rPr>
      </w:pPr>
      <w:r w:rsidRPr="001268A8">
        <w:rPr>
          <w:rFonts w:ascii="Arial" w:eastAsia="Times New Roman" w:hAnsi="Arial" w:cs="Arial"/>
          <w:noProof/>
          <w:sz w:val="20"/>
          <w:szCs w:val="20"/>
          <w:lang w:eastAsia="en-CA"/>
        </w:rPr>
        <w:drawing>
          <wp:inline distT="0" distB="0" distL="0" distR="0" wp14:anchorId="3DB57FA9" wp14:editId="76EF4E5B">
            <wp:extent cx="2952750" cy="182793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65" r="1978"/>
                    <a:stretch/>
                  </pic:blipFill>
                  <pic:spPr bwMode="auto">
                    <a:xfrm>
                      <a:off x="0" y="0"/>
                      <a:ext cx="2953125" cy="1828165"/>
                    </a:xfrm>
                    <a:prstGeom prst="rect">
                      <a:avLst/>
                    </a:prstGeom>
                    <a:noFill/>
                    <a:ln>
                      <a:noFill/>
                    </a:ln>
                    <a:extLst>
                      <a:ext uri="{53640926-AAD7-44D8-BBD7-CCE9431645EC}">
                        <a14:shadowObscured xmlns:a14="http://schemas.microsoft.com/office/drawing/2010/main"/>
                      </a:ext>
                    </a:extLst>
                  </pic:spPr>
                </pic:pic>
              </a:graphicData>
            </a:graphic>
          </wp:inline>
        </w:drawing>
      </w:r>
      <w:r w:rsidRPr="001268A8">
        <w:rPr>
          <w:rFonts w:ascii="Arial" w:eastAsia="Times New Roman" w:hAnsi="Arial" w:cs="Arial"/>
          <w:noProof/>
          <w:sz w:val="20"/>
          <w:szCs w:val="20"/>
          <w:lang w:eastAsia="en-CA"/>
        </w:rPr>
        <w:drawing>
          <wp:inline distT="0" distB="0" distL="0" distR="0" wp14:anchorId="559E02B3" wp14:editId="29DA80CB">
            <wp:extent cx="2990850" cy="1828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1737" cy="1847045"/>
                    </a:xfrm>
                    <a:prstGeom prst="rect">
                      <a:avLst/>
                    </a:prstGeom>
                    <a:noFill/>
                    <a:ln>
                      <a:noFill/>
                    </a:ln>
                  </pic:spPr>
                </pic:pic>
              </a:graphicData>
            </a:graphic>
          </wp:inline>
        </w:drawing>
      </w:r>
    </w:p>
    <w:p w14:paraId="34F0B573" w14:textId="77777777" w:rsidR="001268A8" w:rsidRPr="001268A8" w:rsidRDefault="001268A8" w:rsidP="001268A8">
      <w:pPr>
        <w:spacing w:after="0" w:line="240" w:lineRule="auto"/>
        <w:jc w:val="both"/>
        <w:rPr>
          <w:rFonts w:ascii="Arial" w:eastAsia="Times New Roman" w:hAnsi="Arial" w:cs="Arial"/>
          <w:sz w:val="20"/>
          <w:szCs w:val="20"/>
          <w:lang w:val="en-GB"/>
        </w:rPr>
      </w:pPr>
    </w:p>
    <w:p w14:paraId="116DD0ED" w14:textId="727A1329" w:rsidR="001268A8" w:rsidRPr="001268A8" w:rsidRDefault="001268A8" w:rsidP="001268A8">
      <w:pPr>
        <w:spacing w:after="0" w:line="240" w:lineRule="auto"/>
        <w:jc w:val="both"/>
        <w:rPr>
          <w:rFonts w:ascii="Arial" w:eastAsia="Times New Roman" w:hAnsi="Arial" w:cs="Arial"/>
          <w:sz w:val="17"/>
          <w:szCs w:val="17"/>
          <w:lang w:val="en-GB"/>
        </w:rPr>
      </w:pPr>
      <w:r w:rsidRPr="001268A8">
        <w:rPr>
          <w:rFonts w:ascii="Arial" w:eastAsia="Times New Roman" w:hAnsi="Arial" w:cs="Arial"/>
          <w:sz w:val="17"/>
          <w:szCs w:val="17"/>
          <w:lang w:val="en-GB"/>
        </w:rPr>
        <w:t xml:space="preserve">Source: Delta 9 Cannabis Inc., </w:t>
      </w:r>
      <w:r w:rsidRPr="001268A8">
        <w:rPr>
          <w:rFonts w:ascii="Arial" w:eastAsia="Times New Roman" w:hAnsi="Arial" w:cs="Arial"/>
          <w:i/>
          <w:iCs/>
          <w:sz w:val="17"/>
          <w:szCs w:val="17"/>
          <w:lang w:val="en-GB"/>
        </w:rPr>
        <w:t>D9_INVEST_large.jpg</w:t>
      </w:r>
      <w:r w:rsidRPr="001268A8">
        <w:rPr>
          <w:rFonts w:ascii="Arial" w:eastAsia="Times New Roman" w:hAnsi="Arial" w:cs="Arial"/>
          <w:sz w:val="17"/>
          <w:szCs w:val="17"/>
          <w:lang w:val="en-GB"/>
        </w:rPr>
        <w:t xml:space="preserve">, March 31, 2020, accessed September 24, 2020, https://cdn.shopify.com/s/files/1/0090/6438/2521/files/D9_INVEST_large.jpg?v=1550789432; Delta 9 Cannabis Inc., </w:t>
      </w:r>
      <w:r w:rsidRPr="001268A8">
        <w:rPr>
          <w:rFonts w:ascii="Arial" w:eastAsia="Times New Roman" w:hAnsi="Arial" w:cs="Arial"/>
          <w:i/>
          <w:iCs/>
          <w:sz w:val="17"/>
          <w:szCs w:val="17"/>
          <w:lang w:val="en-GB"/>
        </w:rPr>
        <w:t>Delta9-Grow.jpg</w:t>
      </w:r>
      <w:r w:rsidRPr="001268A8">
        <w:rPr>
          <w:rFonts w:ascii="Arial" w:eastAsia="Times New Roman" w:hAnsi="Arial" w:cs="Arial"/>
          <w:sz w:val="17"/>
          <w:szCs w:val="17"/>
          <w:lang w:val="en-GB"/>
        </w:rPr>
        <w:t xml:space="preserve">, March 31, 2020, accessed September 24, 2020, https://s29296.pcdn.co/wp-content/uploads/2017/11/Delta9-Grow.jpg; “A Detailed Look into the Delta 9 Biotech Facility,” YouTube video, 14:34, posted by </w:t>
      </w:r>
      <w:r w:rsidR="00991198">
        <w:rPr>
          <w:rFonts w:ascii="Arial" w:eastAsia="Times New Roman" w:hAnsi="Arial" w:cs="Arial"/>
          <w:sz w:val="17"/>
          <w:szCs w:val="17"/>
          <w:lang w:val="en-GB"/>
        </w:rPr>
        <w:t>“</w:t>
      </w:r>
      <w:r w:rsidRPr="001268A8">
        <w:rPr>
          <w:rFonts w:ascii="Arial" w:eastAsia="Times New Roman" w:hAnsi="Arial" w:cs="Arial"/>
          <w:sz w:val="17"/>
          <w:szCs w:val="17"/>
          <w:lang w:val="en-GB"/>
        </w:rPr>
        <w:t>FTMIG,</w:t>
      </w:r>
      <w:r w:rsidR="00991198">
        <w:rPr>
          <w:rFonts w:ascii="Arial" w:eastAsia="Times New Roman" w:hAnsi="Arial" w:cs="Arial"/>
          <w:sz w:val="17"/>
          <w:szCs w:val="17"/>
          <w:lang w:val="en-GB"/>
        </w:rPr>
        <w:t>”</w:t>
      </w:r>
      <w:r w:rsidRPr="001268A8">
        <w:rPr>
          <w:rFonts w:ascii="Arial" w:eastAsia="Times New Roman" w:hAnsi="Arial" w:cs="Arial"/>
          <w:sz w:val="17"/>
          <w:szCs w:val="17"/>
          <w:lang w:val="en-GB"/>
        </w:rPr>
        <w:t xml:space="preserve"> November 13, 2019, accessed September 4, 2020, https://youtu.be/CAYMx0cJj2k.</w:t>
      </w:r>
      <w:r w:rsidRPr="001268A8">
        <w:rPr>
          <w:rFonts w:ascii="Arial" w:eastAsia="Times New Roman" w:hAnsi="Arial" w:cs="Arial"/>
          <w:color w:val="0000FF"/>
          <w:sz w:val="24"/>
          <w:szCs w:val="24"/>
          <w:lang w:val="en-GB"/>
        </w:rPr>
        <w:t xml:space="preserve"> </w:t>
      </w:r>
      <w:r w:rsidRPr="001268A8">
        <w:rPr>
          <w:rFonts w:ascii="Arial" w:eastAsia="Times New Roman" w:hAnsi="Arial" w:cs="Arial"/>
          <w:sz w:val="17"/>
          <w:szCs w:val="24"/>
          <w:lang w:val="en-GB"/>
        </w:rPr>
        <w:br w:type="page"/>
      </w:r>
    </w:p>
    <w:p w14:paraId="3CF4C6E6" w14:textId="503DF70B" w:rsidR="001268A8" w:rsidRPr="001268A8" w:rsidRDefault="001268A8" w:rsidP="001268A8">
      <w:pPr>
        <w:keepNext/>
        <w:spacing w:after="0" w:line="240" w:lineRule="auto"/>
        <w:jc w:val="center"/>
        <w:rPr>
          <w:rFonts w:ascii="Arial" w:eastAsia="SimSun" w:hAnsi="Arial" w:cs="Arial"/>
          <w:b/>
          <w:caps/>
          <w:sz w:val="20"/>
          <w:szCs w:val="20"/>
          <w:lang w:val="en-GB"/>
        </w:rPr>
      </w:pPr>
      <w:r w:rsidRPr="001268A8">
        <w:rPr>
          <w:rFonts w:ascii="Arial" w:eastAsia="SimSun" w:hAnsi="Arial" w:cs="Arial"/>
          <w:b/>
          <w:caps/>
          <w:sz w:val="20"/>
          <w:szCs w:val="20"/>
          <w:lang w:val="en-GB"/>
        </w:rPr>
        <w:lastRenderedPageBreak/>
        <w:t>Exhibit 3: Select Retail Metrics</w:t>
      </w:r>
    </w:p>
    <w:p w14:paraId="157F453E" w14:textId="77777777" w:rsidR="001268A8" w:rsidRPr="004B0F00" w:rsidRDefault="001268A8" w:rsidP="001268A8">
      <w:pPr>
        <w:spacing w:after="0" w:line="240" w:lineRule="auto"/>
        <w:jc w:val="both"/>
        <w:rPr>
          <w:rFonts w:ascii="Arial" w:eastAsia="Times New Roman" w:hAnsi="Arial" w:cs="Arial"/>
          <w:sz w:val="12"/>
          <w:szCs w:val="12"/>
          <w:lang w:val="en-GB"/>
        </w:rPr>
      </w:pPr>
    </w:p>
    <w:tbl>
      <w:tblPr>
        <w:tblStyle w:val="TableGrid2"/>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gridCol w:w="1872"/>
        <w:gridCol w:w="1872"/>
        <w:gridCol w:w="1872"/>
        <w:gridCol w:w="1872"/>
      </w:tblGrid>
      <w:tr w:rsidR="001268A8" w:rsidRPr="004B0F00" w14:paraId="20373BB2" w14:textId="77777777" w:rsidTr="0060066F">
        <w:trPr>
          <w:trHeight w:val="290"/>
          <w:jc w:val="center"/>
        </w:trPr>
        <w:tc>
          <w:tcPr>
            <w:tcW w:w="1870" w:type="dxa"/>
            <w:tcBorders>
              <w:top w:val="single" w:sz="4" w:space="0" w:color="auto"/>
              <w:bottom w:val="single" w:sz="4" w:space="0" w:color="auto"/>
            </w:tcBorders>
            <w:noWrap/>
            <w:vAlign w:val="center"/>
            <w:hideMark/>
          </w:tcPr>
          <w:p w14:paraId="4E900D46" w14:textId="77777777" w:rsidR="001268A8" w:rsidRPr="004B0F00" w:rsidRDefault="001268A8" w:rsidP="001268A8">
            <w:pPr>
              <w:jc w:val="both"/>
              <w:rPr>
                <w:rFonts w:ascii="Arial" w:eastAsia="Times New Roman" w:hAnsi="Arial" w:cs="Arial"/>
                <w:b/>
                <w:bCs/>
                <w:sz w:val="17"/>
                <w:szCs w:val="17"/>
                <w:lang w:val="en-GB"/>
              </w:rPr>
            </w:pPr>
            <w:r w:rsidRPr="004B0F00">
              <w:rPr>
                <w:rFonts w:ascii="Arial" w:eastAsia="Times New Roman" w:hAnsi="Arial" w:cs="Arial"/>
                <w:b/>
                <w:bCs/>
                <w:sz w:val="17"/>
                <w:szCs w:val="17"/>
                <w:lang w:val="en-GB"/>
              </w:rPr>
              <w:t>Store Name</w:t>
            </w:r>
          </w:p>
        </w:tc>
        <w:tc>
          <w:tcPr>
            <w:tcW w:w="1870" w:type="dxa"/>
            <w:tcBorders>
              <w:top w:val="single" w:sz="4" w:space="0" w:color="auto"/>
              <w:bottom w:val="single" w:sz="4" w:space="0" w:color="auto"/>
            </w:tcBorders>
            <w:noWrap/>
            <w:vAlign w:val="center"/>
            <w:hideMark/>
          </w:tcPr>
          <w:p w14:paraId="075A27A6" w14:textId="77777777" w:rsidR="001268A8" w:rsidRPr="004B0F00" w:rsidRDefault="001268A8" w:rsidP="001268A8">
            <w:pPr>
              <w:jc w:val="center"/>
              <w:rPr>
                <w:rFonts w:ascii="Arial" w:eastAsia="Times New Roman" w:hAnsi="Arial" w:cs="Arial"/>
                <w:b/>
                <w:bCs/>
                <w:sz w:val="17"/>
                <w:szCs w:val="17"/>
                <w:lang w:val="en-GB"/>
              </w:rPr>
            </w:pPr>
            <w:r w:rsidRPr="004B0F00">
              <w:rPr>
                <w:rFonts w:ascii="Arial" w:eastAsia="Times New Roman" w:hAnsi="Arial" w:cs="Arial"/>
                <w:b/>
                <w:bCs/>
                <w:sz w:val="17"/>
                <w:szCs w:val="17"/>
                <w:lang w:val="en-GB"/>
              </w:rPr>
              <w:t>Date Opened</w:t>
            </w:r>
          </w:p>
        </w:tc>
        <w:tc>
          <w:tcPr>
            <w:tcW w:w="1870" w:type="dxa"/>
            <w:tcBorders>
              <w:top w:val="single" w:sz="4" w:space="0" w:color="auto"/>
              <w:bottom w:val="single" w:sz="4" w:space="0" w:color="auto"/>
            </w:tcBorders>
            <w:noWrap/>
            <w:vAlign w:val="center"/>
            <w:hideMark/>
          </w:tcPr>
          <w:p w14:paraId="28AFD064" w14:textId="77777777" w:rsidR="001268A8" w:rsidRPr="004B0F00" w:rsidRDefault="001268A8" w:rsidP="001268A8">
            <w:pPr>
              <w:jc w:val="center"/>
              <w:rPr>
                <w:rFonts w:ascii="Arial" w:eastAsia="Times New Roman" w:hAnsi="Arial" w:cs="Arial"/>
                <w:b/>
                <w:bCs/>
                <w:sz w:val="17"/>
                <w:szCs w:val="17"/>
                <w:lang w:val="en-GB"/>
              </w:rPr>
            </w:pPr>
            <w:r w:rsidRPr="004B0F00">
              <w:rPr>
                <w:rFonts w:ascii="Arial" w:eastAsia="Times New Roman" w:hAnsi="Arial" w:cs="Arial"/>
                <w:b/>
                <w:bCs/>
                <w:sz w:val="17"/>
                <w:szCs w:val="17"/>
                <w:lang w:val="en-GB"/>
              </w:rPr>
              <w:t>Capital Expenditure (CA$)</w:t>
            </w:r>
          </w:p>
        </w:tc>
        <w:tc>
          <w:tcPr>
            <w:tcW w:w="1870" w:type="dxa"/>
            <w:tcBorders>
              <w:top w:val="single" w:sz="4" w:space="0" w:color="auto"/>
              <w:bottom w:val="single" w:sz="4" w:space="0" w:color="auto"/>
            </w:tcBorders>
            <w:noWrap/>
            <w:vAlign w:val="center"/>
            <w:hideMark/>
          </w:tcPr>
          <w:p w14:paraId="7BDA51EF" w14:textId="77777777" w:rsidR="001268A8" w:rsidRPr="004B0F00" w:rsidRDefault="001268A8" w:rsidP="001268A8">
            <w:pPr>
              <w:jc w:val="center"/>
              <w:rPr>
                <w:rFonts w:ascii="Arial" w:eastAsia="Times New Roman" w:hAnsi="Arial" w:cs="Arial"/>
                <w:b/>
                <w:bCs/>
                <w:sz w:val="17"/>
                <w:szCs w:val="17"/>
                <w:lang w:val="en-GB"/>
              </w:rPr>
            </w:pPr>
            <w:r w:rsidRPr="004B0F00">
              <w:rPr>
                <w:rFonts w:ascii="Arial" w:eastAsia="Times New Roman" w:hAnsi="Arial" w:cs="Arial"/>
                <w:b/>
                <w:bCs/>
                <w:sz w:val="17"/>
                <w:szCs w:val="17"/>
                <w:lang w:val="en-GB"/>
              </w:rPr>
              <w:t>Average Monthly Sales (CA$)</w:t>
            </w:r>
          </w:p>
        </w:tc>
        <w:tc>
          <w:tcPr>
            <w:tcW w:w="1870" w:type="dxa"/>
            <w:tcBorders>
              <w:top w:val="single" w:sz="4" w:space="0" w:color="auto"/>
              <w:bottom w:val="single" w:sz="4" w:space="0" w:color="auto"/>
            </w:tcBorders>
            <w:vAlign w:val="center"/>
          </w:tcPr>
          <w:p w14:paraId="01863437" w14:textId="77777777" w:rsidR="001268A8" w:rsidRPr="004B0F00" w:rsidRDefault="001268A8" w:rsidP="001268A8">
            <w:pPr>
              <w:jc w:val="center"/>
              <w:rPr>
                <w:rFonts w:ascii="Arial" w:eastAsia="Times New Roman" w:hAnsi="Arial" w:cs="Arial"/>
                <w:b/>
                <w:bCs/>
                <w:sz w:val="17"/>
                <w:szCs w:val="17"/>
                <w:lang w:val="en-GB"/>
              </w:rPr>
            </w:pPr>
            <w:r w:rsidRPr="004B0F00">
              <w:rPr>
                <w:rFonts w:ascii="Arial" w:eastAsia="Times New Roman" w:hAnsi="Arial" w:cs="Arial"/>
                <w:b/>
                <w:bCs/>
                <w:sz w:val="17"/>
                <w:szCs w:val="17"/>
                <w:lang w:val="en-GB"/>
              </w:rPr>
              <w:t>Store Size</w:t>
            </w:r>
          </w:p>
          <w:p w14:paraId="148DD529" w14:textId="77777777" w:rsidR="001268A8" w:rsidRPr="004B0F00" w:rsidRDefault="001268A8" w:rsidP="001268A8">
            <w:pPr>
              <w:jc w:val="center"/>
              <w:rPr>
                <w:rFonts w:ascii="Arial" w:eastAsia="Times New Roman" w:hAnsi="Arial" w:cs="Arial"/>
                <w:b/>
                <w:bCs/>
                <w:sz w:val="17"/>
                <w:szCs w:val="17"/>
                <w:lang w:val="en-GB"/>
              </w:rPr>
            </w:pPr>
            <w:r w:rsidRPr="004B0F00">
              <w:rPr>
                <w:rFonts w:ascii="Arial" w:eastAsia="Times New Roman" w:hAnsi="Arial" w:cs="Arial"/>
                <w:b/>
                <w:bCs/>
                <w:sz w:val="17"/>
                <w:szCs w:val="17"/>
                <w:lang w:val="en-GB"/>
              </w:rPr>
              <w:t>(Square Feet)</w:t>
            </w:r>
          </w:p>
        </w:tc>
      </w:tr>
      <w:tr w:rsidR="001268A8" w:rsidRPr="004B0F00" w14:paraId="789866D3" w14:textId="77777777" w:rsidTr="001172E1">
        <w:trPr>
          <w:trHeight w:val="54"/>
          <w:jc w:val="center"/>
        </w:trPr>
        <w:tc>
          <w:tcPr>
            <w:tcW w:w="1870" w:type="dxa"/>
            <w:tcBorders>
              <w:top w:val="single" w:sz="4" w:space="0" w:color="auto"/>
            </w:tcBorders>
            <w:noWrap/>
            <w:vAlign w:val="center"/>
            <w:hideMark/>
          </w:tcPr>
          <w:p w14:paraId="01F9EAAE" w14:textId="77777777" w:rsidR="001268A8" w:rsidRPr="004B0F00" w:rsidRDefault="001268A8" w:rsidP="001268A8">
            <w:pPr>
              <w:jc w:val="both"/>
              <w:rPr>
                <w:rFonts w:ascii="Arial" w:eastAsia="Times New Roman" w:hAnsi="Arial" w:cs="Arial"/>
                <w:sz w:val="17"/>
                <w:szCs w:val="17"/>
                <w:lang w:val="en-GB"/>
              </w:rPr>
            </w:pPr>
            <w:r w:rsidRPr="004B0F00">
              <w:rPr>
                <w:rFonts w:ascii="Arial" w:eastAsia="Times New Roman" w:hAnsi="Arial" w:cs="Arial"/>
                <w:sz w:val="17"/>
                <w:szCs w:val="17"/>
                <w:lang w:val="en-GB"/>
              </w:rPr>
              <w:t>St. Vital</w:t>
            </w:r>
          </w:p>
        </w:tc>
        <w:tc>
          <w:tcPr>
            <w:tcW w:w="1870" w:type="dxa"/>
            <w:tcBorders>
              <w:top w:val="single" w:sz="4" w:space="0" w:color="auto"/>
            </w:tcBorders>
            <w:noWrap/>
            <w:vAlign w:val="center"/>
            <w:hideMark/>
          </w:tcPr>
          <w:p w14:paraId="6BACCA38" w14:textId="77777777" w:rsidR="001268A8" w:rsidRPr="004B0F00" w:rsidRDefault="001268A8" w:rsidP="001268A8">
            <w:pPr>
              <w:jc w:val="center"/>
              <w:rPr>
                <w:rFonts w:ascii="Arial" w:eastAsia="Times New Roman" w:hAnsi="Arial" w:cs="Arial"/>
                <w:sz w:val="17"/>
                <w:szCs w:val="17"/>
                <w:lang w:val="en-GB"/>
              </w:rPr>
            </w:pPr>
            <w:r w:rsidRPr="004B0F00">
              <w:rPr>
                <w:rFonts w:ascii="Arial" w:eastAsia="Times New Roman" w:hAnsi="Arial" w:cs="Arial"/>
                <w:sz w:val="17"/>
                <w:szCs w:val="17"/>
                <w:lang w:val="en-GB"/>
              </w:rPr>
              <w:t>October 2018</w:t>
            </w:r>
          </w:p>
        </w:tc>
        <w:tc>
          <w:tcPr>
            <w:tcW w:w="1870" w:type="dxa"/>
            <w:tcBorders>
              <w:top w:val="single" w:sz="4" w:space="0" w:color="auto"/>
            </w:tcBorders>
            <w:noWrap/>
            <w:vAlign w:val="center"/>
            <w:hideMark/>
          </w:tcPr>
          <w:p w14:paraId="5ED6C6F5" w14:textId="77777777" w:rsidR="001268A8" w:rsidRPr="004B0F00" w:rsidRDefault="001268A8" w:rsidP="001268A8">
            <w:pPr>
              <w:jc w:val="right"/>
              <w:rPr>
                <w:rFonts w:ascii="Arial" w:eastAsia="Times New Roman" w:hAnsi="Arial" w:cs="Arial"/>
                <w:sz w:val="17"/>
                <w:szCs w:val="17"/>
                <w:lang w:val="en-GB"/>
              </w:rPr>
            </w:pPr>
            <w:r w:rsidRPr="004B0F00">
              <w:rPr>
                <w:rFonts w:ascii="Arial" w:eastAsia="Times New Roman" w:hAnsi="Arial" w:cs="Arial"/>
                <w:sz w:val="17"/>
                <w:szCs w:val="17"/>
                <w:lang w:val="en-GB"/>
              </w:rPr>
              <w:t>375,000</w:t>
            </w:r>
          </w:p>
        </w:tc>
        <w:tc>
          <w:tcPr>
            <w:tcW w:w="1870" w:type="dxa"/>
            <w:tcBorders>
              <w:top w:val="single" w:sz="4" w:space="0" w:color="auto"/>
            </w:tcBorders>
            <w:noWrap/>
            <w:vAlign w:val="center"/>
            <w:hideMark/>
          </w:tcPr>
          <w:p w14:paraId="709BA0DC" w14:textId="77777777" w:rsidR="001268A8" w:rsidRPr="004B0F00" w:rsidRDefault="001268A8" w:rsidP="001268A8">
            <w:pPr>
              <w:jc w:val="right"/>
              <w:rPr>
                <w:rFonts w:ascii="Arial" w:eastAsia="Times New Roman" w:hAnsi="Arial" w:cs="Arial"/>
                <w:sz w:val="17"/>
                <w:szCs w:val="17"/>
                <w:lang w:val="en-GB"/>
              </w:rPr>
            </w:pPr>
            <w:r w:rsidRPr="004B0F00">
              <w:rPr>
                <w:rFonts w:ascii="Arial" w:eastAsia="Times New Roman" w:hAnsi="Arial" w:cs="Arial"/>
                <w:sz w:val="17"/>
                <w:szCs w:val="17"/>
                <w:lang w:val="en-GB"/>
              </w:rPr>
              <w:t>845,000</w:t>
            </w:r>
          </w:p>
        </w:tc>
        <w:tc>
          <w:tcPr>
            <w:tcW w:w="1870" w:type="dxa"/>
            <w:tcBorders>
              <w:top w:val="single" w:sz="4" w:space="0" w:color="auto"/>
            </w:tcBorders>
            <w:vAlign w:val="center"/>
          </w:tcPr>
          <w:p w14:paraId="1D76FB6E" w14:textId="77777777" w:rsidR="001268A8" w:rsidRPr="004B0F00" w:rsidRDefault="001268A8" w:rsidP="001268A8">
            <w:pPr>
              <w:jc w:val="right"/>
              <w:rPr>
                <w:rFonts w:ascii="Arial" w:eastAsia="Times New Roman" w:hAnsi="Arial" w:cs="Arial"/>
                <w:sz w:val="17"/>
                <w:szCs w:val="17"/>
                <w:lang w:val="en-GB"/>
              </w:rPr>
            </w:pPr>
            <w:r w:rsidRPr="004B0F00">
              <w:rPr>
                <w:rFonts w:ascii="Arial" w:eastAsia="Times New Roman" w:hAnsi="Arial" w:cs="Arial"/>
                <w:sz w:val="17"/>
                <w:szCs w:val="17"/>
                <w:lang w:val="en-GB"/>
              </w:rPr>
              <w:t>3,500</w:t>
            </w:r>
          </w:p>
        </w:tc>
      </w:tr>
      <w:tr w:rsidR="001268A8" w:rsidRPr="004B0F00" w14:paraId="75F50138" w14:textId="77777777" w:rsidTr="001172E1">
        <w:trPr>
          <w:trHeight w:val="64"/>
          <w:jc w:val="center"/>
        </w:trPr>
        <w:tc>
          <w:tcPr>
            <w:tcW w:w="1870" w:type="dxa"/>
            <w:noWrap/>
            <w:vAlign w:val="center"/>
            <w:hideMark/>
          </w:tcPr>
          <w:p w14:paraId="09ADB1E1" w14:textId="77777777" w:rsidR="001268A8" w:rsidRPr="004B0F00" w:rsidRDefault="001268A8" w:rsidP="001268A8">
            <w:pPr>
              <w:jc w:val="both"/>
              <w:rPr>
                <w:rFonts w:ascii="Arial" w:eastAsia="Times New Roman" w:hAnsi="Arial" w:cs="Arial"/>
                <w:sz w:val="17"/>
                <w:szCs w:val="17"/>
                <w:lang w:val="en-GB"/>
              </w:rPr>
            </w:pPr>
            <w:r w:rsidRPr="004B0F00">
              <w:rPr>
                <w:rFonts w:ascii="Arial" w:eastAsia="Times New Roman" w:hAnsi="Arial" w:cs="Arial"/>
                <w:sz w:val="17"/>
                <w:szCs w:val="17"/>
                <w:lang w:val="en-GB"/>
              </w:rPr>
              <w:t>Osborne Village</w:t>
            </w:r>
          </w:p>
        </w:tc>
        <w:tc>
          <w:tcPr>
            <w:tcW w:w="1870" w:type="dxa"/>
            <w:noWrap/>
            <w:vAlign w:val="center"/>
            <w:hideMark/>
          </w:tcPr>
          <w:p w14:paraId="678DB6B7" w14:textId="77777777" w:rsidR="001268A8" w:rsidRPr="004B0F00" w:rsidRDefault="001268A8" w:rsidP="001268A8">
            <w:pPr>
              <w:jc w:val="center"/>
              <w:rPr>
                <w:rFonts w:ascii="Arial" w:eastAsia="Times New Roman" w:hAnsi="Arial" w:cs="Arial"/>
                <w:sz w:val="17"/>
                <w:szCs w:val="17"/>
                <w:lang w:val="en-GB"/>
              </w:rPr>
            </w:pPr>
            <w:r w:rsidRPr="004B0F00">
              <w:rPr>
                <w:rFonts w:ascii="Arial" w:eastAsia="Times New Roman" w:hAnsi="Arial" w:cs="Arial"/>
                <w:sz w:val="17"/>
                <w:szCs w:val="17"/>
                <w:lang w:val="en-GB"/>
              </w:rPr>
              <w:t>March 2019</w:t>
            </w:r>
          </w:p>
        </w:tc>
        <w:tc>
          <w:tcPr>
            <w:tcW w:w="1870" w:type="dxa"/>
            <w:noWrap/>
            <w:vAlign w:val="center"/>
            <w:hideMark/>
          </w:tcPr>
          <w:p w14:paraId="42A76A3D" w14:textId="77777777" w:rsidR="001268A8" w:rsidRPr="004B0F00" w:rsidRDefault="001268A8" w:rsidP="001268A8">
            <w:pPr>
              <w:jc w:val="right"/>
              <w:rPr>
                <w:rFonts w:ascii="Arial" w:eastAsia="Times New Roman" w:hAnsi="Arial" w:cs="Arial"/>
                <w:sz w:val="17"/>
                <w:szCs w:val="17"/>
                <w:lang w:val="en-GB"/>
              </w:rPr>
            </w:pPr>
            <w:r w:rsidRPr="004B0F00">
              <w:rPr>
                <w:rFonts w:ascii="Arial" w:eastAsia="Times New Roman" w:hAnsi="Arial" w:cs="Arial"/>
                <w:sz w:val="17"/>
                <w:szCs w:val="17"/>
                <w:lang w:val="en-GB"/>
              </w:rPr>
              <w:t>900,000</w:t>
            </w:r>
          </w:p>
        </w:tc>
        <w:tc>
          <w:tcPr>
            <w:tcW w:w="1870" w:type="dxa"/>
            <w:noWrap/>
            <w:vAlign w:val="center"/>
            <w:hideMark/>
          </w:tcPr>
          <w:p w14:paraId="2BA3853F" w14:textId="77777777" w:rsidR="001268A8" w:rsidRPr="004B0F00" w:rsidRDefault="001268A8" w:rsidP="001268A8">
            <w:pPr>
              <w:jc w:val="right"/>
              <w:rPr>
                <w:rFonts w:ascii="Arial" w:eastAsia="Times New Roman" w:hAnsi="Arial" w:cs="Arial"/>
                <w:sz w:val="17"/>
                <w:szCs w:val="17"/>
                <w:lang w:val="en-GB"/>
              </w:rPr>
            </w:pPr>
            <w:r w:rsidRPr="004B0F00">
              <w:rPr>
                <w:rFonts w:ascii="Arial" w:eastAsia="Times New Roman" w:hAnsi="Arial" w:cs="Arial"/>
                <w:sz w:val="17"/>
                <w:szCs w:val="17"/>
                <w:lang w:val="en-GB"/>
              </w:rPr>
              <w:t>319,000</w:t>
            </w:r>
          </w:p>
        </w:tc>
        <w:tc>
          <w:tcPr>
            <w:tcW w:w="1870" w:type="dxa"/>
            <w:vAlign w:val="center"/>
          </w:tcPr>
          <w:p w14:paraId="3B3B889F" w14:textId="77777777" w:rsidR="001268A8" w:rsidRPr="004B0F00" w:rsidRDefault="001268A8" w:rsidP="001268A8">
            <w:pPr>
              <w:jc w:val="right"/>
              <w:rPr>
                <w:rFonts w:ascii="Arial" w:eastAsia="Times New Roman" w:hAnsi="Arial" w:cs="Arial"/>
                <w:sz w:val="17"/>
                <w:szCs w:val="17"/>
                <w:lang w:val="en-GB"/>
              </w:rPr>
            </w:pPr>
            <w:r w:rsidRPr="004B0F00">
              <w:rPr>
                <w:rFonts w:ascii="Arial" w:eastAsia="Times New Roman" w:hAnsi="Arial" w:cs="Arial"/>
                <w:sz w:val="17"/>
                <w:szCs w:val="17"/>
                <w:lang w:val="en-GB"/>
              </w:rPr>
              <w:t>2,500</w:t>
            </w:r>
          </w:p>
        </w:tc>
      </w:tr>
      <w:tr w:rsidR="001268A8" w:rsidRPr="004B0F00" w14:paraId="0A86C904" w14:textId="77777777" w:rsidTr="001172E1">
        <w:trPr>
          <w:trHeight w:val="64"/>
          <w:jc w:val="center"/>
        </w:trPr>
        <w:tc>
          <w:tcPr>
            <w:tcW w:w="1870" w:type="dxa"/>
            <w:noWrap/>
            <w:vAlign w:val="center"/>
            <w:hideMark/>
          </w:tcPr>
          <w:p w14:paraId="533CA9CB" w14:textId="77777777" w:rsidR="001268A8" w:rsidRPr="004B0F00" w:rsidRDefault="001268A8" w:rsidP="001268A8">
            <w:pPr>
              <w:jc w:val="both"/>
              <w:rPr>
                <w:rFonts w:ascii="Arial" w:eastAsia="Times New Roman" w:hAnsi="Arial" w:cs="Arial"/>
                <w:sz w:val="17"/>
                <w:szCs w:val="17"/>
                <w:lang w:val="en-GB"/>
              </w:rPr>
            </w:pPr>
            <w:r w:rsidRPr="004B0F00">
              <w:rPr>
                <w:rFonts w:ascii="Arial" w:eastAsia="Times New Roman" w:hAnsi="Arial" w:cs="Arial"/>
                <w:sz w:val="17"/>
                <w:szCs w:val="17"/>
                <w:lang w:val="en-GB"/>
              </w:rPr>
              <w:t>Brandon</w:t>
            </w:r>
          </w:p>
        </w:tc>
        <w:tc>
          <w:tcPr>
            <w:tcW w:w="1870" w:type="dxa"/>
            <w:noWrap/>
            <w:vAlign w:val="center"/>
            <w:hideMark/>
          </w:tcPr>
          <w:p w14:paraId="594AB2AD" w14:textId="77777777" w:rsidR="001268A8" w:rsidRPr="004B0F00" w:rsidRDefault="001268A8" w:rsidP="001268A8">
            <w:pPr>
              <w:jc w:val="center"/>
              <w:rPr>
                <w:rFonts w:ascii="Arial" w:eastAsia="Times New Roman" w:hAnsi="Arial" w:cs="Arial"/>
                <w:sz w:val="17"/>
                <w:szCs w:val="17"/>
                <w:lang w:val="en-GB"/>
              </w:rPr>
            </w:pPr>
            <w:r w:rsidRPr="004B0F00">
              <w:rPr>
                <w:rFonts w:ascii="Arial" w:eastAsia="Times New Roman" w:hAnsi="Arial" w:cs="Arial"/>
                <w:sz w:val="17"/>
                <w:szCs w:val="17"/>
                <w:lang w:val="en-GB"/>
              </w:rPr>
              <w:t>April 2019</w:t>
            </w:r>
          </w:p>
        </w:tc>
        <w:tc>
          <w:tcPr>
            <w:tcW w:w="1870" w:type="dxa"/>
            <w:noWrap/>
            <w:vAlign w:val="center"/>
            <w:hideMark/>
          </w:tcPr>
          <w:p w14:paraId="21B58033" w14:textId="77777777" w:rsidR="001268A8" w:rsidRPr="004B0F00" w:rsidRDefault="001268A8" w:rsidP="001268A8">
            <w:pPr>
              <w:jc w:val="right"/>
              <w:rPr>
                <w:rFonts w:ascii="Arial" w:eastAsia="Times New Roman" w:hAnsi="Arial" w:cs="Arial"/>
                <w:sz w:val="17"/>
                <w:szCs w:val="17"/>
                <w:lang w:val="en-GB"/>
              </w:rPr>
            </w:pPr>
            <w:r w:rsidRPr="004B0F00">
              <w:rPr>
                <w:rFonts w:ascii="Arial" w:eastAsia="Times New Roman" w:hAnsi="Arial" w:cs="Arial"/>
                <w:sz w:val="17"/>
                <w:szCs w:val="17"/>
                <w:lang w:val="en-GB"/>
              </w:rPr>
              <w:t>600,000</w:t>
            </w:r>
          </w:p>
        </w:tc>
        <w:tc>
          <w:tcPr>
            <w:tcW w:w="1870" w:type="dxa"/>
            <w:noWrap/>
            <w:vAlign w:val="center"/>
            <w:hideMark/>
          </w:tcPr>
          <w:p w14:paraId="4B03E6D7" w14:textId="77777777" w:rsidR="001268A8" w:rsidRPr="004B0F00" w:rsidRDefault="001268A8" w:rsidP="001268A8">
            <w:pPr>
              <w:jc w:val="right"/>
              <w:rPr>
                <w:rFonts w:ascii="Arial" w:eastAsia="Times New Roman" w:hAnsi="Arial" w:cs="Arial"/>
                <w:sz w:val="17"/>
                <w:szCs w:val="17"/>
                <w:lang w:val="en-GB"/>
              </w:rPr>
            </w:pPr>
            <w:r w:rsidRPr="004B0F00">
              <w:rPr>
                <w:rFonts w:ascii="Arial" w:eastAsia="Times New Roman" w:hAnsi="Arial" w:cs="Arial"/>
                <w:sz w:val="17"/>
                <w:szCs w:val="17"/>
                <w:lang w:val="en-GB"/>
              </w:rPr>
              <w:t>292,000</w:t>
            </w:r>
          </w:p>
        </w:tc>
        <w:tc>
          <w:tcPr>
            <w:tcW w:w="1870" w:type="dxa"/>
            <w:vAlign w:val="center"/>
          </w:tcPr>
          <w:p w14:paraId="6FBB966D" w14:textId="77777777" w:rsidR="001268A8" w:rsidRPr="004B0F00" w:rsidRDefault="001268A8" w:rsidP="001268A8">
            <w:pPr>
              <w:jc w:val="right"/>
              <w:rPr>
                <w:rFonts w:ascii="Arial" w:eastAsia="Times New Roman" w:hAnsi="Arial" w:cs="Arial"/>
                <w:sz w:val="17"/>
                <w:szCs w:val="17"/>
                <w:lang w:val="en-GB"/>
              </w:rPr>
            </w:pPr>
            <w:r w:rsidRPr="004B0F00">
              <w:rPr>
                <w:rFonts w:ascii="Arial" w:eastAsia="Times New Roman" w:hAnsi="Arial" w:cs="Arial"/>
                <w:sz w:val="17"/>
                <w:szCs w:val="17"/>
                <w:lang w:val="en-GB"/>
              </w:rPr>
              <w:t>4,500</w:t>
            </w:r>
          </w:p>
        </w:tc>
      </w:tr>
      <w:tr w:rsidR="001268A8" w:rsidRPr="004B0F00" w14:paraId="37E81456" w14:textId="77777777" w:rsidTr="001172E1">
        <w:trPr>
          <w:trHeight w:val="64"/>
          <w:jc w:val="center"/>
        </w:trPr>
        <w:tc>
          <w:tcPr>
            <w:tcW w:w="1870" w:type="dxa"/>
            <w:noWrap/>
            <w:vAlign w:val="center"/>
            <w:hideMark/>
          </w:tcPr>
          <w:p w14:paraId="6FDA43D7" w14:textId="77777777" w:rsidR="001268A8" w:rsidRPr="004B0F00" w:rsidRDefault="001268A8" w:rsidP="001268A8">
            <w:pPr>
              <w:jc w:val="both"/>
              <w:rPr>
                <w:rFonts w:ascii="Arial" w:eastAsia="Times New Roman" w:hAnsi="Arial" w:cs="Arial"/>
                <w:sz w:val="17"/>
                <w:szCs w:val="17"/>
                <w:lang w:val="en-GB"/>
              </w:rPr>
            </w:pPr>
            <w:r w:rsidRPr="004B0F00">
              <w:rPr>
                <w:rFonts w:ascii="Arial" w:eastAsia="Times New Roman" w:hAnsi="Arial" w:cs="Arial"/>
                <w:sz w:val="17"/>
                <w:szCs w:val="17"/>
                <w:lang w:val="en-GB"/>
              </w:rPr>
              <w:t>Thompson</w:t>
            </w:r>
          </w:p>
        </w:tc>
        <w:tc>
          <w:tcPr>
            <w:tcW w:w="1870" w:type="dxa"/>
            <w:noWrap/>
            <w:vAlign w:val="center"/>
            <w:hideMark/>
          </w:tcPr>
          <w:p w14:paraId="23698173" w14:textId="77777777" w:rsidR="001268A8" w:rsidRPr="004B0F00" w:rsidRDefault="001268A8" w:rsidP="001268A8">
            <w:pPr>
              <w:jc w:val="center"/>
              <w:rPr>
                <w:rFonts w:ascii="Arial" w:eastAsia="Times New Roman" w:hAnsi="Arial" w:cs="Arial"/>
                <w:sz w:val="17"/>
                <w:szCs w:val="17"/>
                <w:lang w:val="en-GB"/>
              </w:rPr>
            </w:pPr>
            <w:r w:rsidRPr="004B0F00">
              <w:rPr>
                <w:rFonts w:ascii="Arial" w:eastAsia="Times New Roman" w:hAnsi="Arial" w:cs="Arial"/>
                <w:sz w:val="17"/>
                <w:szCs w:val="17"/>
                <w:lang w:val="en-GB"/>
              </w:rPr>
              <w:t>September 2019</w:t>
            </w:r>
          </w:p>
        </w:tc>
        <w:tc>
          <w:tcPr>
            <w:tcW w:w="1870" w:type="dxa"/>
            <w:noWrap/>
            <w:vAlign w:val="center"/>
            <w:hideMark/>
          </w:tcPr>
          <w:p w14:paraId="2197D373" w14:textId="77777777" w:rsidR="001268A8" w:rsidRPr="004B0F00" w:rsidRDefault="001268A8" w:rsidP="001268A8">
            <w:pPr>
              <w:jc w:val="right"/>
              <w:rPr>
                <w:rFonts w:ascii="Arial" w:eastAsia="Times New Roman" w:hAnsi="Arial" w:cs="Arial"/>
                <w:sz w:val="17"/>
                <w:szCs w:val="17"/>
                <w:lang w:val="en-GB"/>
              </w:rPr>
            </w:pPr>
            <w:r w:rsidRPr="004B0F00">
              <w:rPr>
                <w:rFonts w:ascii="Arial" w:eastAsia="Times New Roman" w:hAnsi="Arial" w:cs="Arial"/>
                <w:sz w:val="17"/>
                <w:szCs w:val="17"/>
                <w:lang w:val="en-GB"/>
              </w:rPr>
              <w:t>600,000</w:t>
            </w:r>
          </w:p>
        </w:tc>
        <w:tc>
          <w:tcPr>
            <w:tcW w:w="1870" w:type="dxa"/>
            <w:noWrap/>
            <w:vAlign w:val="center"/>
            <w:hideMark/>
          </w:tcPr>
          <w:p w14:paraId="58979EDE" w14:textId="77777777" w:rsidR="001268A8" w:rsidRPr="004B0F00" w:rsidRDefault="001268A8" w:rsidP="001268A8">
            <w:pPr>
              <w:jc w:val="right"/>
              <w:rPr>
                <w:rFonts w:ascii="Arial" w:eastAsia="Times New Roman" w:hAnsi="Arial" w:cs="Arial"/>
                <w:sz w:val="17"/>
                <w:szCs w:val="17"/>
                <w:lang w:val="en-GB"/>
              </w:rPr>
            </w:pPr>
            <w:r w:rsidRPr="004B0F00">
              <w:rPr>
                <w:rFonts w:ascii="Arial" w:eastAsia="Times New Roman" w:hAnsi="Arial" w:cs="Arial"/>
                <w:sz w:val="17"/>
                <w:szCs w:val="17"/>
                <w:lang w:val="en-GB"/>
              </w:rPr>
              <w:t>276,000</w:t>
            </w:r>
          </w:p>
        </w:tc>
        <w:tc>
          <w:tcPr>
            <w:tcW w:w="1870" w:type="dxa"/>
            <w:vAlign w:val="center"/>
          </w:tcPr>
          <w:p w14:paraId="4BB69E6A" w14:textId="77777777" w:rsidR="001268A8" w:rsidRPr="004B0F00" w:rsidRDefault="001268A8" w:rsidP="001268A8">
            <w:pPr>
              <w:jc w:val="right"/>
              <w:rPr>
                <w:rFonts w:ascii="Arial" w:eastAsia="Times New Roman" w:hAnsi="Arial" w:cs="Arial"/>
                <w:sz w:val="17"/>
                <w:szCs w:val="17"/>
                <w:lang w:val="en-GB"/>
              </w:rPr>
            </w:pPr>
            <w:r w:rsidRPr="004B0F00">
              <w:rPr>
                <w:rFonts w:ascii="Arial" w:eastAsia="Times New Roman" w:hAnsi="Arial" w:cs="Arial"/>
                <w:sz w:val="17"/>
                <w:szCs w:val="17"/>
                <w:lang w:val="en-GB"/>
              </w:rPr>
              <w:t>2,500</w:t>
            </w:r>
          </w:p>
        </w:tc>
      </w:tr>
    </w:tbl>
    <w:p w14:paraId="5D60FA30" w14:textId="77777777" w:rsidR="001268A8" w:rsidRPr="004B0F00" w:rsidRDefault="001268A8" w:rsidP="001268A8">
      <w:pPr>
        <w:spacing w:after="0" w:line="240" w:lineRule="auto"/>
        <w:jc w:val="both"/>
        <w:rPr>
          <w:rFonts w:ascii="Arial" w:eastAsia="SimSun" w:hAnsi="Arial" w:cs="Arial"/>
          <w:sz w:val="12"/>
          <w:szCs w:val="12"/>
          <w:lang w:val="en-GB"/>
        </w:rPr>
      </w:pPr>
    </w:p>
    <w:p w14:paraId="6C6AE032" w14:textId="77777777" w:rsidR="001268A8" w:rsidRPr="001268A8" w:rsidRDefault="001268A8" w:rsidP="001268A8">
      <w:pPr>
        <w:spacing w:after="0" w:line="240" w:lineRule="auto"/>
        <w:jc w:val="both"/>
        <w:rPr>
          <w:rFonts w:ascii="Arial" w:eastAsia="Times New Roman" w:hAnsi="Arial" w:cs="Arial"/>
          <w:sz w:val="17"/>
          <w:szCs w:val="17"/>
          <w:lang w:val="en-GB"/>
        </w:rPr>
      </w:pPr>
      <w:r w:rsidRPr="001268A8">
        <w:rPr>
          <w:rFonts w:ascii="Arial" w:eastAsia="SimSun" w:hAnsi="Arial" w:cs="Arial"/>
          <w:sz w:val="17"/>
          <w:szCs w:val="17"/>
          <w:lang w:val="en-GB"/>
        </w:rPr>
        <w:t xml:space="preserve">Source: </w:t>
      </w:r>
      <w:r w:rsidRPr="001268A8">
        <w:rPr>
          <w:rFonts w:ascii="Arial" w:eastAsia="Times New Roman" w:hAnsi="Arial" w:cs="Arial"/>
          <w:sz w:val="17"/>
          <w:szCs w:val="17"/>
          <w:lang w:val="en-GB"/>
        </w:rPr>
        <w:t>Delta 9 Cannabis Inc., “Investor Presentation Q2 2020,” March 2020, accessed September 24, 2020, https://cdn.shopify.com/s/files/1/0067/7596/3703/files/Delta_9_Investor_Presentation_Q2_2020.pdf?v=1589997898.</w:t>
      </w:r>
    </w:p>
    <w:p w14:paraId="5B27D96B" w14:textId="77777777" w:rsidR="001268A8" w:rsidRPr="004B0F00" w:rsidRDefault="001268A8" w:rsidP="001268A8">
      <w:pPr>
        <w:spacing w:after="0" w:line="240" w:lineRule="auto"/>
        <w:jc w:val="both"/>
        <w:rPr>
          <w:rFonts w:ascii="Arial" w:eastAsia="SimSun" w:hAnsi="Arial" w:cs="Arial"/>
          <w:sz w:val="12"/>
          <w:szCs w:val="12"/>
          <w:lang w:val="en-GB"/>
        </w:rPr>
      </w:pPr>
    </w:p>
    <w:p w14:paraId="22CCD66F" w14:textId="77777777" w:rsidR="001268A8" w:rsidRPr="004B0F00" w:rsidRDefault="001268A8" w:rsidP="001268A8">
      <w:pPr>
        <w:spacing w:after="0" w:line="240" w:lineRule="auto"/>
        <w:jc w:val="both"/>
        <w:rPr>
          <w:rFonts w:ascii="Arial" w:eastAsia="SimSun" w:hAnsi="Arial" w:cs="Arial"/>
          <w:sz w:val="12"/>
          <w:szCs w:val="12"/>
          <w:lang w:val="en-GB"/>
        </w:rPr>
      </w:pPr>
    </w:p>
    <w:p w14:paraId="274B1DC4" w14:textId="511BBCAC" w:rsidR="001268A8" w:rsidRPr="001268A8" w:rsidRDefault="001268A8" w:rsidP="001268A8">
      <w:pPr>
        <w:keepNext/>
        <w:spacing w:after="0" w:line="240" w:lineRule="auto"/>
        <w:jc w:val="center"/>
        <w:rPr>
          <w:rFonts w:ascii="Arial" w:eastAsia="SimSun" w:hAnsi="Arial" w:cs="Arial"/>
          <w:b/>
          <w:caps/>
          <w:sz w:val="20"/>
          <w:szCs w:val="20"/>
          <w:lang w:val="en-GB"/>
        </w:rPr>
      </w:pPr>
      <w:r w:rsidRPr="001268A8">
        <w:rPr>
          <w:rFonts w:ascii="Arial" w:eastAsia="SimSun" w:hAnsi="Arial" w:cs="Arial"/>
          <w:b/>
          <w:caps/>
          <w:sz w:val="20"/>
          <w:szCs w:val="20"/>
          <w:lang w:val="en-GB"/>
        </w:rPr>
        <w:t>Exhibit 4: Delta 9 Share Price (CA$)</w:t>
      </w:r>
    </w:p>
    <w:p w14:paraId="07C1BFF3" w14:textId="77777777" w:rsidR="001268A8" w:rsidRPr="004B0F00" w:rsidRDefault="001268A8" w:rsidP="001268A8">
      <w:pPr>
        <w:spacing w:after="0" w:line="240" w:lineRule="auto"/>
        <w:jc w:val="both"/>
        <w:rPr>
          <w:rFonts w:ascii="Arial" w:eastAsia="SimSun" w:hAnsi="Arial" w:cs="Arial"/>
          <w:sz w:val="12"/>
          <w:szCs w:val="12"/>
          <w:lang w:val="en-GB"/>
        </w:rPr>
      </w:pPr>
    </w:p>
    <w:p w14:paraId="2EED754A" w14:textId="77777777" w:rsidR="001268A8" w:rsidRPr="001268A8" w:rsidRDefault="001268A8" w:rsidP="001268A8">
      <w:pPr>
        <w:spacing w:after="0" w:line="240" w:lineRule="auto"/>
        <w:jc w:val="both"/>
        <w:rPr>
          <w:rFonts w:ascii="Arial" w:eastAsia="Times New Roman" w:hAnsi="Arial" w:cs="Arial"/>
          <w:sz w:val="24"/>
          <w:szCs w:val="24"/>
          <w:lang w:val="en-GB"/>
        </w:rPr>
      </w:pPr>
      <w:r w:rsidRPr="001268A8">
        <w:rPr>
          <w:rFonts w:ascii="Arial" w:eastAsia="Times New Roman" w:hAnsi="Arial" w:cs="Arial"/>
          <w:noProof/>
          <w:sz w:val="20"/>
          <w:szCs w:val="20"/>
          <w:lang w:eastAsia="en-CA"/>
        </w:rPr>
        <w:drawing>
          <wp:inline distT="0" distB="0" distL="0" distR="0" wp14:anchorId="3E8BB793" wp14:editId="6E0E2A6D">
            <wp:extent cx="5728855" cy="2570018"/>
            <wp:effectExtent l="0" t="0" r="5715" b="1905"/>
            <wp:docPr id="1" name="Chart 1">
              <a:extLst xmlns:a="http://schemas.openxmlformats.org/drawingml/2006/main">
                <a:ext uri="{FF2B5EF4-FFF2-40B4-BE49-F238E27FC236}">
                  <a16:creationId xmlns:a16="http://schemas.microsoft.com/office/drawing/2014/main" id="{286F7A24-3F4C-4B3D-BBDB-0B3C61DD4F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B97192" w14:textId="77777777" w:rsidR="001268A8" w:rsidRPr="004B0F00" w:rsidRDefault="001268A8" w:rsidP="001268A8">
      <w:pPr>
        <w:spacing w:after="0" w:line="240" w:lineRule="auto"/>
        <w:jc w:val="both"/>
        <w:rPr>
          <w:rFonts w:ascii="Arial" w:eastAsia="SimSun" w:hAnsi="Arial" w:cs="Arial"/>
          <w:sz w:val="12"/>
          <w:szCs w:val="12"/>
          <w:lang w:val="en-GB"/>
        </w:rPr>
      </w:pPr>
    </w:p>
    <w:p w14:paraId="7346D822" w14:textId="5ED9E0F8" w:rsidR="001268A8" w:rsidRPr="00D46D49" w:rsidRDefault="001268A8" w:rsidP="001268A8">
      <w:pPr>
        <w:spacing w:after="0" w:line="240" w:lineRule="auto"/>
        <w:jc w:val="both"/>
        <w:rPr>
          <w:rStyle w:val="FootnoteChar"/>
          <w:rFonts w:eastAsiaTheme="minorHAnsi"/>
        </w:rPr>
      </w:pPr>
      <w:r w:rsidRPr="001268A8">
        <w:rPr>
          <w:rFonts w:ascii="Arial" w:eastAsia="SimSun" w:hAnsi="Arial" w:cs="Arial"/>
          <w:sz w:val="17"/>
          <w:szCs w:val="17"/>
          <w:lang w:val="en-GB"/>
        </w:rPr>
        <w:t xml:space="preserve">Source: </w:t>
      </w:r>
      <w:r w:rsidRPr="001268A8">
        <w:rPr>
          <w:rFonts w:ascii="Arial" w:eastAsia="Times New Roman" w:hAnsi="Arial" w:cs="Arial"/>
          <w:sz w:val="17"/>
          <w:szCs w:val="17"/>
          <w:lang w:val="en-GB"/>
        </w:rPr>
        <w:t xml:space="preserve">“Delta 9 Cannabis Inc. (DN.TO) Historical Data,” Yahoo Finance, March 31, 2020, </w:t>
      </w:r>
      <w:r w:rsidRPr="00D46D49">
        <w:rPr>
          <w:rStyle w:val="FootnoteChar"/>
          <w:rFonts w:eastAsiaTheme="minorHAnsi"/>
        </w:rPr>
        <w:t>accessed September 24, 2020, https://ca.finance.yahoo.com/quote/DN.TO/chart?p=DN.TO.</w:t>
      </w:r>
    </w:p>
    <w:p w14:paraId="19875BE3" w14:textId="6175EE58" w:rsidR="001268A8" w:rsidRPr="004B0F00" w:rsidRDefault="001268A8" w:rsidP="004B0F00">
      <w:pPr>
        <w:pStyle w:val="ExhibitText"/>
        <w:rPr>
          <w:rFonts w:eastAsia="SimSun"/>
          <w:sz w:val="12"/>
          <w:szCs w:val="12"/>
        </w:rPr>
      </w:pPr>
    </w:p>
    <w:p w14:paraId="04458415" w14:textId="77777777" w:rsidR="004B0F00" w:rsidRPr="004B0F00" w:rsidRDefault="004B0F00" w:rsidP="004B0F00">
      <w:pPr>
        <w:pStyle w:val="ExhibitText"/>
        <w:rPr>
          <w:rFonts w:eastAsia="SimSun"/>
          <w:sz w:val="12"/>
          <w:szCs w:val="12"/>
        </w:rPr>
      </w:pPr>
    </w:p>
    <w:p w14:paraId="78DCC6F0" w14:textId="77777777" w:rsidR="001268A8" w:rsidRPr="001268A8" w:rsidRDefault="001268A8" w:rsidP="001268A8">
      <w:pPr>
        <w:keepNext/>
        <w:spacing w:after="0" w:line="240" w:lineRule="auto"/>
        <w:jc w:val="center"/>
        <w:rPr>
          <w:rFonts w:ascii="Arial" w:eastAsia="Times New Roman" w:hAnsi="Arial" w:cs="Arial"/>
          <w:b/>
          <w:caps/>
          <w:sz w:val="20"/>
          <w:szCs w:val="20"/>
          <w:lang w:val="en-GB"/>
        </w:rPr>
      </w:pPr>
      <w:r w:rsidRPr="001268A8">
        <w:rPr>
          <w:rFonts w:ascii="Arial" w:eastAsia="Times New Roman" w:hAnsi="Arial" w:cs="Arial"/>
          <w:b/>
          <w:caps/>
          <w:sz w:val="20"/>
          <w:szCs w:val="20"/>
          <w:lang w:val="en-GB"/>
        </w:rPr>
        <w:t>Exhibit 5: Cost of Production Per Gram</w:t>
      </w:r>
    </w:p>
    <w:p w14:paraId="48C8DD39" w14:textId="77777777" w:rsidR="001268A8" w:rsidRPr="004B0F00" w:rsidRDefault="001268A8" w:rsidP="001268A8">
      <w:pPr>
        <w:spacing w:after="0" w:line="240" w:lineRule="auto"/>
        <w:jc w:val="both"/>
        <w:rPr>
          <w:rFonts w:ascii="Arial" w:eastAsia="Times New Roman" w:hAnsi="Arial" w:cs="Arial"/>
          <w:sz w:val="12"/>
          <w:szCs w:val="12"/>
          <w:lang w:val="en-GB"/>
        </w:rPr>
      </w:pPr>
    </w:p>
    <w:tbl>
      <w:tblPr>
        <w:tblStyle w:val="TableGrid2"/>
        <w:tblW w:w="3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4"/>
        <w:gridCol w:w="2952"/>
      </w:tblGrid>
      <w:tr w:rsidR="001268A8" w:rsidRPr="001172E1" w14:paraId="6BCA843B" w14:textId="77777777" w:rsidTr="001172E1">
        <w:trPr>
          <w:trHeight w:val="124"/>
          <w:jc w:val="center"/>
        </w:trPr>
        <w:tc>
          <w:tcPr>
            <w:tcW w:w="0" w:type="auto"/>
            <w:tcBorders>
              <w:top w:val="single" w:sz="4" w:space="0" w:color="auto"/>
              <w:bottom w:val="single" w:sz="4" w:space="0" w:color="auto"/>
            </w:tcBorders>
            <w:noWrap/>
            <w:vAlign w:val="center"/>
            <w:hideMark/>
          </w:tcPr>
          <w:p w14:paraId="5CDBAD3F" w14:textId="77777777" w:rsidR="001268A8" w:rsidRPr="001172E1" w:rsidRDefault="001268A8" w:rsidP="001268A8">
            <w:pPr>
              <w:jc w:val="both"/>
              <w:rPr>
                <w:rFonts w:ascii="Arial" w:eastAsia="Times New Roman" w:hAnsi="Arial" w:cs="Arial"/>
                <w:b/>
                <w:bCs/>
                <w:sz w:val="17"/>
                <w:szCs w:val="17"/>
                <w:lang w:val="en-GB"/>
              </w:rPr>
            </w:pPr>
            <w:r w:rsidRPr="001172E1">
              <w:rPr>
                <w:rFonts w:ascii="Arial" w:eastAsia="Times New Roman" w:hAnsi="Arial" w:cs="Arial"/>
                <w:b/>
                <w:bCs/>
                <w:sz w:val="17"/>
                <w:szCs w:val="17"/>
                <w:lang w:val="en-GB"/>
              </w:rPr>
              <w:t>Company</w:t>
            </w:r>
          </w:p>
        </w:tc>
        <w:tc>
          <w:tcPr>
            <w:tcW w:w="0" w:type="auto"/>
            <w:tcBorders>
              <w:top w:val="single" w:sz="4" w:space="0" w:color="auto"/>
              <w:bottom w:val="single" w:sz="4" w:space="0" w:color="auto"/>
            </w:tcBorders>
            <w:noWrap/>
            <w:vAlign w:val="center"/>
            <w:hideMark/>
          </w:tcPr>
          <w:p w14:paraId="7292260C" w14:textId="743B313E" w:rsidR="001268A8" w:rsidRPr="001172E1" w:rsidRDefault="001268A8">
            <w:pPr>
              <w:jc w:val="right"/>
              <w:rPr>
                <w:rFonts w:ascii="Arial" w:eastAsia="Times New Roman" w:hAnsi="Arial" w:cs="Arial"/>
                <w:b/>
                <w:bCs/>
                <w:sz w:val="17"/>
                <w:szCs w:val="17"/>
                <w:lang w:val="en-GB"/>
              </w:rPr>
            </w:pPr>
            <w:r w:rsidRPr="001172E1">
              <w:rPr>
                <w:rFonts w:ascii="Arial" w:eastAsia="Times New Roman" w:hAnsi="Arial" w:cs="Arial"/>
                <w:b/>
                <w:bCs/>
                <w:sz w:val="17"/>
                <w:szCs w:val="17"/>
                <w:lang w:val="en-GB"/>
              </w:rPr>
              <w:t xml:space="preserve">Cost </w:t>
            </w:r>
            <w:r w:rsidR="00991198" w:rsidRPr="001172E1">
              <w:rPr>
                <w:rFonts w:ascii="Arial" w:eastAsia="Times New Roman" w:hAnsi="Arial" w:cs="Arial"/>
                <w:b/>
                <w:bCs/>
                <w:sz w:val="17"/>
                <w:szCs w:val="17"/>
                <w:lang w:val="en-GB"/>
              </w:rPr>
              <w:t>p</w:t>
            </w:r>
            <w:r w:rsidRPr="001172E1">
              <w:rPr>
                <w:rFonts w:ascii="Arial" w:eastAsia="Times New Roman" w:hAnsi="Arial" w:cs="Arial"/>
                <w:b/>
                <w:bCs/>
                <w:sz w:val="17"/>
                <w:szCs w:val="17"/>
                <w:lang w:val="en-GB"/>
              </w:rPr>
              <w:t>er Gram (</w:t>
            </w:r>
            <w:r w:rsidR="001F4CD2" w:rsidRPr="001172E1">
              <w:rPr>
                <w:rFonts w:ascii="Arial" w:eastAsia="Times New Roman" w:hAnsi="Arial" w:cs="Arial"/>
                <w:b/>
                <w:bCs/>
                <w:sz w:val="17"/>
                <w:szCs w:val="17"/>
                <w:lang w:val="en-GB"/>
              </w:rPr>
              <w:t>CA</w:t>
            </w:r>
            <w:r w:rsidRPr="001172E1">
              <w:rPr>
                <w:rFonts w:ascii="Arial" w:eastAsia="Times New Roman" w:hAnsi="Arial" w:cs="Arial"/>
                <w:b/>
                <w:bCs/>
                <w:sz w:val="17"/>
                <w:szCs w:val="17"/>
                <w:lang w:val="en-GB"/>
              </w:rPr>
              <w:t>$)</w:t>
            </w:r>
          </w:p>
        </w:tc>
      </w:tr>
      <w:tr w:rsidR="001268A8" w:rsidRPr="001172E1" w14:paraId="7606ADBF" w14:textId="77777777" w:rsidTr="001172E1">
        <w:trPr>
          <w:trHeight w:val="56"/>
          <w:jc w:val="center"/>
        </w:trPr>
        <w:tc>
          <w:tcPr>
            <w:tcW w:w="0" w:type="auto"/>
            <w:tcBorders>
              <w:top w:val="single" w:sz="4" w:space="0" w:color="auto"/>
            </w:tcBorders>
            <w:noWrap/>
            <w:vAlign w:val="center"/>
            <w:hideMark/>
          </w:tcPr>
          <w:p w14:paraId="533FBE99" w14:textId="77777777" w:rsidR="001268A8" w:rsidRPr="001172E1" w:rsidRDefault="001268A8" w:rsidP="001268A8">
            <w:pPr>
              <w:jc w:val="both"/>
              <w:rPr>
                <w:rFonts w:ascii="Arial" w:eastAsia="Times New Roman" w:hAnsi="Arial" w:cs="Arial"/>
                <w:sz w:val="17"/>
                <w:szCs w:val="17"/>
                <w:lang w:val="en-GB"/>
              </w:rPr>
            </w:pPr>
            <w:r w:rsidRPr="001172E1">
              <w:rPr>
                <w:rFonts w:ascii="Arial" w:eastAsia="Times New Roman" w:hAnsi="Arial" w:cs="Arial"/>
                <w:sz w:val="17"/>
                <w:szCs w:val="17"/>
                <w:lang w:val="en-GB"/>
              </w:rPr>
              <w:t>Organigram Holdings Inc.</w:t>
            </w:r>
          </w:p>
        </w:tc>
        <w:tc>
          <w:tcPr>
            <w:tcW w:w="0" w:type="auto"/>
            <w:tcBorders>
              <w:top w:val="single" w:sz="4" w:space="0" w:color="auto"/>
            </w:tcBorders>
            <w:noWrap/>
            <w:vAlign w:val="center"/>
            <w:hideMark/>
          </w:tcPr>
          <w:p w14:paraId="4F7FD477" w14:textId="77777777" w:rsidR="001268A8" w:rsidRPr="001172E1" w:rsidRDefault="001268A8" w:rsidP="001268A8">
            <w:pPr>
              <w:tabs>
                <w:tab w:val="decimal" w:pos="1440"/>
              </w:tabs>
              <w:jc w:val="right"/>
              <w:rPr>
                <w:rFonts w:ascii="Arial" w:eastAsia="Times New Roman" w:hAnsi="Arial" w:cs="Arial"/>
                <w:sz w:val="17"/>
                <w:szCs w:val="17"/>
                <w:lang w:val="en-GB"/>
              </w:rPr>
            </w:pPr>
            <w:r w:rsidRPr="001172E1">
              <w:rPr>
                <w:rFonts w:ascii="Arial" w:eastAsia="Times New Roman" w:hAnsi="Arial" w:cs="Arial"/>
                <w:sz w:val="17"/>
                <w:szCs w:val="17"/>
                <w:lang w:val="en-GB"/>
              </w:rPr>
              <w:t>0.75</w:t>
            </w:r>
            <w:r w:rsidRPr="001172E1">
              <w:rPr>
                <w:rFonts w:ascii="Arial" w:eastAsia="Times New Roman" w:hAnsi="Arial" w:cs="Arial"/>
                <w:sz w:val="17"/>
                <w:szCs w:val="17"/>
                <w:lang w:val="en-GB"/>
              </w:rPr>
              <w:tab/>
            </w:r>
          </w:p>
        </w:tc>
      </w:tr>
      <w:tr w:rsidR="001268A8" w:rsidRPr="001172E1" w14:paraId="65E36C80" w14:textId="77777777" w:rsidTr="001172E1">
        <w:trPr>
          <w:trHeight w:val="154"/>
          <w:jc w:val="center"/>
        </w:trPr>
        <w:tc>
          <w:tcPr>
            <w:tcW w:w="0" w:type="auto"/>
            <w:noWrap/>
            <w:vAlign w:val="center"/>
            <w:hideMark/>
          </w:tcPr>
          <w:p w14:paraId="79447464" w14:textId="77777777" w:rsidR="001268A8" w:rsidRPr="001172E1" w:rsidRDefault="001268A8" w:rsidP="001268A8">
            <w:pPr>
              <w:jc w:val="both"/>
              <w:rPr>
                <w:rFonts w:ascii="Arial" w:eastAsia="Times New Roman" w:hAnsi="Arial" w:cs="Arial"/>
                <w:sz w:val="17"/>
                <w:szCs w:val="17"/>
                <w:lang w:val="en-GB"/>
              </w:rPr>
            </w:pPr>
            <w:r w:rsidRPr="001172E1">
              <w:rPr>
                <w:rFonts w:ascii="Arial" w:eastAsia="Times New Roman" w:hAnsi="Arial" w:cs="Arial"/>
                <w:sz w:val="17"/>
                <w:szCs w:val="17"/>
                <w:lang w:val="en-GB"/>
              </w:rPr>
              <w:t>Aurora Cannabis Inc.</w:t>
            </w:r>
          </w:p>
        </w:tc>
        <w:tc>
          <w:tcPr>
            <w:tcW w:w="0" w:type="auto"/>
            <w:noWrap/>
            <w:vAlign w:val="center"/>
            <w:hideMark/>
          </w:tcPr>
          <w:p w14:paraId="523211D8" w14:textId="77777777" w:rsidR="001268A8" w:rsidRPr="001172E1" w:rsidRDefault="001268A8" w:rsidP="001268A8">
            <w:pPr>
              <w:tabs>
                <w:tab w:val="decimal" w:pos="1440"/>
              </w:tabs>
              <w:jc w:val="right"/>
              <w:rPr>
                <w:rFonts w:ascii="Arial" w:eastAsia="Times New Roman" w:hAnsi="Arial" w:cs="Arial"/>
                <w:sz w:val="17"/>
                <w:szCs w:val="17"/>
                <w:lang w:val="en-GB"/>
              </w:rPr>
            </w:pPr>
            <w:r w:rsidRPr="001172E1">
              <w:rPr>
                <w:rFonts w:ascii="Arial" w:eastAsia="Times New Roman" w:hAnsi="Arial" w:cs="Arial"/>
                <w:sz w:val="17"/>
                <w:szCs w:val="17"/>
                <w:lang w:val="en-GB"/>
              </w:rPr>
              <w:t>0.85</w:t>
            </w:r>
            <w:r w:rsidRPr="001172E1">
              <w:rPr>
                <w:rFonts w:ascii="Arial" w:eastAsia="Times New Roman" w:hAnsi="Arial" w:cs="Arial"/>
                <w:sz w:val="17"/>
                <w:szCs w:val="17"/>
                <w:lang w:val="en-GB"/>
              </w:rPr>
              <w:tab/>
            </w:r>
          </w:p>
        </w:tc>
      </w:tr>
      <w:tr w:rsidR="001268A8" w:rsidRPr="001172E1" w14:paraId="6B7F019B" w14:textId="77777777" w:rsidTr="001172E1">
        <w:trPr>
          <w:trHeight w:val="64"/>
          <w:jc w:val="center"/>
        </w:trPr>
        <w:tc>
          <w:tcPr>
            <w:tcW w:w="0" w:type="auto"/>
            <w:noWrap/>
            <w:vAlign w:val="center"/>
          </w:tcPr>
          <w:p w14:paraId="60C64CF4" w14:textId="77777777" w:rsidR="001268A8" w:rsidRPr="001172E1" w:rsidRDefault="001268A8" w:rsidP="001268A8">
            <w:pPr>
              <w:jc w:val="both"/>
              <w:rPr>
                <w:rFonts w:ascii="Arial" w:eastAsia="Times New Roman" w:hAnsi="Arial" w:cs="Arial"/>
                <w:sz w:val="17"/>
                <w:szCs w:val="17"/>
                <w:lang w:val="en-GB"/>
              </w:rPr>
            </w:pPr>
            <w:r w:rsidRPr="001172E1">
              <w:rPr>
                <w:rFonts w:ascii="Arial" w:eastAsia="Times New Roman" w:hAnsi="Arial" w:cs="Arial"/>
                <w:sz w:val="17"/>
                <w:szCs w:val="17"/>
                <w:lang w:val="en-GB"/>
              </w:rPr>
              <w:t>Delta 9 Cannabis Inc.</w:t>
            </w:r>
          </w:p>
        </w:tc>
        <w:tc>
          <w:tcPr>
            <w:tcW w:w="0" w:type="auto"/>
            <w:noWrap/>
            <w:vAlign w:val="center"/>
          </w:tcPr>
          <w:p w14:paraId="32832068" w14:textId="77777777" w:rsidR="001268A8" w:rsidRPr="001172E1" w:rsidRDefault="001268A8" w:rsidP="001268A8">
            <w:pPr>
              <w:tabs>
                <w:tab w:val="decimal" w:pos="1440"/>
              </w:tabs>
              <w:jc w:val="right"/>
              <w:rPr>
                <w:rFonts w:ascii="Arial" w:eastAsia="Times New Roman" w:hAnsi="Arial" w:cs="Arial"/>
                <w:sz w:val="17"/>
                <w:szCs w:val="17"/>
                <w:lang w:val="en-GB"/>
              </w:rPr>
            </w:pPr>
            <w:r w:rsidRPr="001172E1">
              <w:rPr>
                <w:rFonts w:ascii="Arial" w:eastAsia="Times New Roman" w:hAnsi="Arial" w:cs="Arial"/>
                <w:sz w:val="17"/>
                <w:szCs w:val="17"/>
                <w:lang w:val="en-GB"/>
              </w:rPr>
              <w:t>0.98</w:t>
            </w:r>
            <w:r w:rsidRPr="001172E1">
              <w:rPr>
                <w:rFonts w:ascii="Arial" w:eastAsia="Times New Roman" w:hAnsi="Arial" w:cs="Arial"/>
                <w:sz w:val="17"/>
                <w:szCs w:val="17"/>
                <w:lang w:val="en-GB"/>
              </w:rPr>
              <w:tab/>
            </w:r>
          </w:p>
        </w:tc>
      </w:tr>
      <w:tr w:rsidR="001268A8" w:rsidRPr="001172E1" w14:paraId="1F2E0BAA" w14:textId="77777777" w:rsidTr="001172E1">
        <w:trPr>
          <w:trHeight w:val="64"/>
          <w:jc w:val="center"/>
        </w:trPr>
        <w:tc>
          <w:tcPr>
            <w:tcW w:w="0" w:type="auto"/>
            <w:noWrap/>
            <w:vAlign w:val="center"/>
            <w:hideMark/>
          </w:tcPr>
          <w:p w14:paraId="026D909F" w14:textId="77777777" w:rsidR="001268A8" w:rsidRPr="001172E1" w:rsidRDefault="001268A8" w:rsidP="001268A8">
            <w:pPr>
              <w:jc w:val="both"/>
              <w:rPr>
                <w:rFonts w:ascii="Arial" w:eastAsia="Times New Roman" w:hAnsi="Arial" w:cs="Arial"/>
                <w:sz w:val="17"/>
                <w:szCs w:val="17"/>
                <w:lang w:val="en-GB"/>
              </w:rPr>
            </w:pPr>
            <w:proofErr w:type="spellStart"/>
            <w:r w:rsidRPr="001172E1">
              <w:rPr>
                <w:rFonts w:ascii="Arial" w:eastAsia="Times New Roman" w:hAnsi="Arial" w:cs="Arial"/>
                <w:sz w:val="17"/>
                <w:szCs w:val="17"/>
                <w:lang w:val="en-GB"/>
              </w:rPr>
              <w:t>Aphria</w:t>
            </w:r>
            <w:proofErr w:type="spellEnd"/>
            <w:r w:rsidRPr="001172E1">
              <w:rPr>
                <w:rFonts w:ascii="Arial" w:eastAsia="Times New Roman" w:hAnsi="Arial" w:cs="Arial"/>
                <w:sz w:val="17"/>
                <w:szCs w:val="17"/>
                <w:lang w:val="en-GB"/>
              </w:rPr>
              <w:t xml:space="preserve"> Inc.</w:t>
            </w:r>
          </w:p>
        </w:tc>
        <w:tc>
          <w:tcPr>
            <w:tcW w:w="0" w:type="auto"/>
            <w:noWrap/>
            <w:vAlign w:val="center"/>
            <w:hideMark/>
          </w:tcPr>
          <w:p w14:paraId="4051DA3C" w14:textId="77777777" w:rsidR="001268A8" w:rsidRPr="001172E1" w:rsidRDefault="001268A8" w:rsidP="001268A8">
            <w:pPr>
              <w:tabs>
                <w:tab w:val="decimal" w:pos="1440"/>
              </w:tabs>
              <w:jc w:val="right"/>
              <w:rPr>
                <w:rFonts w:ascii="Arial" w:eastAsia="Times New Roman" w:hAnsi="Arial" w:cs="Arial"/>
                <w:sz w:val="17"/>
                <w:szCs w:val="17"/>
                <w:lang w:val="en-GB"/>
              </w:rPr>
            </w:pPr>
            <w:r w:rsidRPr="001172E1">
              <w:rPr>
                <w:rFonts w:ascii="Arial" w:eastAsia="Times New Roman" w:hAnsi="Arial" w:cs="Arial"/>
                <w:sz w:val="17"/>
                <w:szCs w:val="17"/>
                <w:lang w:val="en-GB"/>
              </w:rPr>
              <w:t>1.43</w:t>
            </w:r>
            <w:r w:rsidRPr="001172E1">
              <w:rPr>
                <w:rFonts w:ascii="Arial" w:eastAsia="Times New Roman" w:hAnsi="Arial" w:cs="Arial"/>
                <w:sz w:val="17"/>
                <w:szCs w:val="17"/>
                <w:lang w:val="en-GB"/>
              </w:rPr>
              <w:tab/>
            </w:r>
          </w:p>
        </w:tc>
      </w:tr>
      <w:tr w:rsidR="001268A8" w:rsidRPr="001172E1" w14:paraId="167135B2" w14:textId="77777777" w:rsidTr="001172E1">
        <w:trPr>
          <w:trHeight w:val="64"/>
          <w:jc w:val="center"/>
        </w:trPr>
        <w:tc>
          <w:tcPr>
            <w:tcW w:w="0" w:type="auto"/>
            <w:noWrap/>
            <w:vAlign w:val="center"/>
            <w:hideMark/>
          </w:tcPr>
          <w:p w14:paraId="44823766" w14:textId="77777777" w:rsidR="001268A8" w:rsidRPr="001172E1" w:rsidRDefault="001268A8" w:rsidP="001268A8">
            <w:pPr>
              <w:jc w:val="both"/>
              <w:rPr>
                <w:rFonts w:ascii="Arial" w:eastAsia="Times New Roman" w:hAnsi="Arial" w:cs="Arial"/>
                <w:sz w:val="17"/>
                <w:szCs w:val="17"/>
                <w:lang w:val="en-GB"/>
              </w:rPr>
            </w:pPr>
            <w:r w:rsidRPr="001172E1">
              <w:rPr>
                <w:rFonts w:ascii="Arial" w:eastAsia="Times New Roman" w:hAnsi="Arial" w:cs="Arial"/>
                <w:sz w:val="17"/>
                <w:szCs w:val="17"/>
                <w:lang w:val="en-GB"/>
              </w:rPr>
              <w:t>Canopy Growth Corp.</w:t>
            </w:r>
          </w:p>
        </w:tc>
        <w:tc>
          <w:tcPr>
            <w:tcW w:w="0" w:type="auto"/>
            <w:noWrap/>
            <w:vAlign w:val="center"/>
            <w:hideMark/>
          </w:tcPr>
          <w:p w14:paraId="52941833" w14:textId="77777777" w:rsidR="001268A8" w:rsidRPr="001172E1" w:rsidRDefault="001268A8" w:rsidP="001268A8">
            <w:pPr>
              <w:tabs>
                <w:tab w:val="decimal" w:pos="1440"/>
              </w:tabs>
              <w:jc w:val="right"/>
              <w:rPr>
                <w:rFonts w:ascii="Arial" w:eastAsia="Times New Roman" w:hAnsi="Arial" w:cs="Arial"/>
                <w:sz w:val="17"/>
                <w:szCs w:val="17"/>
                <w:lang w:val="en-GB"/>
              </w:rPr>
            </w:pPr>
            <w:r w:rsidRPr="001172E1">
              <w:rPr>
                <w:rFonts w:ascii="Arial" w:eastAsia="Times New Roman" w:hAnsi="Arial" w:cs="Arial"/>
                <w:sz w:val="17"/>
                <w:szCs w:val="17"/>
                <w:lang w:val="en-GB"/>
              </w:rPr>
              <w:t>2.12*</w:t>
            </w:r>
            <w:r w:rsidRPr="001172E1">
              <w:rPr>
                <w:rFonts w:ascii="Arial" w:eastAsia="Times New Roman" w:hAnsi="Arial" w:cs="Arial"/>
                <w:sz w:val="17"/>
                <w:szCs w:val="17"/>
                <w:lang w:val="en-GB"/>
              </w:rPr>
              <w:tab/>
            </w:r>
          </w:p>
        </w:tc>
      </w:tr>
      <w:tr w:rsidR="001268A8" w:rsidRPr="001172E1" w14:paraId="52A7E99C" w14:textId="77777777" w:rsidTr="001172E1">
        <w:trPr>
          <w:trHeight w:val="64"/>
          <w:jc w:val="center"/>
        </w:trPr>
        <w:tc>
          <w:tcPr>
            <w:tcW w:w="0" w:type="auto"/>
            <w:noWrap/>
            <w:vAlign w:val="center"/>
          </w:tcPr>
          <w:p w14:paraId="1025A6FD" w14:textId="77777777" w:rsidR="001268A8" w:rsidRPr="001172E1" w:rsidRDefault="001268A8" w:rsidP="001268A8">
            <w:pPr>
              <w:jc w:val="both"/>
              <w:rPr>
                <w:rFonts w:ascii="Arial" w:eastAsia="Times New Roman" w:hAnsi="Arial" w:cs="Arial"/>
                <w:sz w:val="17"/>
                <w:szCs w:val="17"/>
                <w:lang w:val="en-GB"/>
              </w:rPr>
            </w:pPr>
            <w:r w:rsidRPr="001172E1">
              <w:rPr>
                <w:rFonts w:ascii="Arial" w:eastAsia="Times New Roman" w:hAnsi="Arial" w:cs="Arial"/>
                <w:sz w:val="17"/>
                <w:szCs w:val="17"/>
                <w:lang w:val="en-GB"/>
              </w:rPr>
              <w:t>Cronos Group Inc.</w:t>
            </w:r>
          </w:p>
        </w:tc>
        <w:tc>
          <w:tcPr>
            <w:tcW w:w="0" w:type="auto"/>
            <w:noWrap/>
            <w:vAlign w:val="center"/>
          </w:tcPr>
          <w:p w14:paraId="0F83E9AA" w14:textId="77777777" w:rsidR="001268A8" w:rsidRPr="001172E1" w:rsidRDefault="001268A8" w:rsidP="001268A8">
            <w:pPr>
              <w:tabs>
                <w:tab w:val="decimal" w:pos="1440"/>
              </w:tabs>
              <w:jc w:val="right"/>
              <w:rPr>
                <w:rFonts w:ascii="Arial" w:eastAsia="Times New Roman" w:hAnsi="Arial" w:cs="Arial"/>
                <w:sz w:val="17"/>
                <w:szCs w:val="17"/>
                <w:lang w:val="en-GB"/>
              </w:rPr>
            </w:pPr>
            <w:r w:rsidRPr="001172E1">
              <w:rPr>
                <w:rFonts w:ascii="Arial" w:eastAsia="Times New Roman" w:hAnsi="Arial" w:cs="Arial"/>
                <w:sz w:val="17"/>
                <w:szCs w:val="17"/>
                <w:lang w:val="en-GB"/>
              </w:rPr>
              <w:t>3.01*</w:t>
            </w:r>
            <w:r w:rsidRPr="001172E1">
              <w:rPr>
                <w:rFonts w:ascii="Arial" w:eastAsia="Times New Roman" w:hAnsi="Arial" w:cs="Arial"/>
                <w:sz w:val="17"/>
                <w:szCs w:val="17"/>
                <w:lang w:val="en-GB"/>
              </w:rPr>
              <w:tab/>
            </w:r>
          </w:p>
        </w:tc>
      </w:tr>
      <w:tr w:rsidR="001268A8" w:rsidRPr="001172E1" w14:paraId="2C28F609" w14:textId="77777777" w:rsidTr="001172E1">
        <w:trPr>
          <w:trHeight w:val="64"/>
          <w:jc w:val="center"/>
        </w:trPr>
        <w:tc>
          <w:tcPr>
            <w:tcW w:w="0" w:type="auto"/>
            <w:noWrap/>
            <w:vAlign w:val="center"/>
            <w:hideMark/>
          </w:tcPr>
          <w:p w14:paraId="0EB9F11F" w14:textId="77777777" w:rsidR="001268A8" w:rsidRPr="001172E1" w:rsidRDefault="001268A8" w:rsidP="001268A8">
            <w:pPr>
              <w:jc w:val="both"/>
              <w:rPr>
                <w:rFonts w:ascii="Arial" w:eastAsia="Times New Roman" w:hAnsi="Arial" w:cs="Arial"/>
                <w:sz w:val="17"/>
                <w:szCs w:val="17"/>
                <w:lang w:val="en-GB"/>
              </w:rPr>
            </w:pPr>
            <w:proofErr w:type="spellStart"/>
            <w:r w:rsidRPr="001172E1">
              <w:rPr>
                <w:rFonts w:ascii="Arial" w:eastAsia="Times New Roman" w:hAnsi="Arial" w:cs="Arial"/>
                <w:sz w:val="17"/>
                <w:szCs w:val="17"/>
                <w:lang w:val="en-GB"/>
              </w:rPr>
              <w:t>Tilray</w:t>
            </w:r>
            <w:proofErr w:type="spellEnd"/>
            <w:r w:rsidRPr="001172E1">
              <w:rPr>
                <w:rFonts w:ascii="Arial" w:eastAsia="Times New Roman" w:hAnsi="Arial" w:cs="Arial"/>
                <w:sz w:val="17"/>
                <w:szCs w:val="17"/>
                <w:lang w:val="en-GB"/>
              </w:rPr>
              <w:t xml:space="preserve"> Inc.</w:t>
            </w:r>
          </w:p>
        </w:tc>
        <w:tc>
          <w:tcPr>
            <w:tcW w:w="0" w:type="auto"/>
            <w:noWrap/>
            <w:vAlign w:val="center"/>
            <w:hideMark/>
          </w:tcPr>
          <w:p w14:paraId="0E63F7E0" w14:textId="77777777" w:rsidR="001268A8" w:rsidRPr="001172E1" w:rsidRDefault="001268A8" w:rsidP="001268A8">
            <w:pPr>
              <w:tabs>
                <w:tab w:val="decimal" w:pos="1440"/>
              </w:tabs>
              <w:jc w:val="right"/>
              <w:rPr>
                <w:rFonts w:ascii="Arial" w:eastAsia="Times New Roman" w:hAnsi="Arial" w:cs="Arial"/>
                <w:sz w:val="17"/>
                <w:szCs w:val="17"/>
                <w:lang w:val="en-GB"/>
              </w:rPr>
            </w:pPr>
            <w:r w:rsidRPr="001172E1">
              <w:rPr>
                <w:rFonts w:ascii="Arial" w:eastAsia="Times New Roman" w:hAnsi="Arial" w:cs="Arial"/>
                <w:sz w:val="17"/>
                <w:szCs w:val="17"/>
                <w:lang w:val="en-GB"/>
              </w:rPr>
              <w:t>3.97</w:t>
            </w:r>
            <w:r w:rsidRPr="001172E1">
              <w:rPr>
                <w:rFonts w:ascii="Arial" w:eastAsia="Times New Roman" w:hAnsi="Arial" w:cs="Arial"/>
                <w:sz w:val="17"/>
                <w:szCs w:val="17"/>
                <w:lang w:val="en-GB"/>
              </w:rPr>
              <w:tab/>
            </w:r>
          </w:p>
        </w:tc>
      </w:tr>
    </w:tbl>
    <w:p w14:paraId="3A7390CF" w14:textId="77777777" w:rsidR="001268A8" w:rsidRPr="004B0F00" w:rsidRDefault="001268A8" w:rsidP="001268A8">
      <w:pPr>
        <w:spacing w:after="0" w:line="240" w:lineRule="auto"/>
        <w:jc w:val="both"/>
        <w:rPr>
          <w:rFonts w:ascii="Arial" w:eastAsia="Times New Roman" w:hAnsi="Arial" w:cs="Arial"/>
          <w:sz w:val="12"/>
          <w:szCs w:val="12"/>
          <w:lang w:val="en-GB"/>
        </w:rPr>
      </w:pPr>
    </w:p>
    <w:p w14:paraId="7E87315C" w14:textId="77777777" w:rsidR="001268A8" w:rsidRPr="001268A8" w:rsidRDefault="001268A8" w:rsidP="001268A8">
      <w:pPr>
        <w:spacing w:after="0" w:line="240" w:lineRule="auto"/>
        <w:jc w:val="both"/>
        <w:rPr>
          <w:rFonts w:ascii="Arial" w:eastAsia="Times New Roman" w:hAnsi="Arial" w:cs="Arial"/>
          <w:sz w:val="17"/>
          <w:szCs w:val="17"/>
          <w:lang w:val="en-GB"/>
        </w:rPr>
      </w:pPr>
      <w:r w:rsidRPr="001268A8">
        <w:rPr>
          <w:rFonts w:ascii="Arial" w:eastAsia="Times New Roman" w:hAnsi="Arial" w:cs="Arial"/>
          <w:sz w:val="17"/>
          <w:szCs w:val="17"/>
          <w:lang w:val="en-GB"/>
        </w:rPr>
        <w:t>Note: *Estimated.</w:t>
      </w:r>
    </w:p>
    <w:p w14:paraId="237D804C" w14:textId="452600C4" w:rsidR="001268A8" w:rsidRPr="001268A8" w:rsidRDefault="001268A8" w:rsidP="001268A8">
      <w:pPr>
        <w:spacing w:after="0" w:line="240" w:lineRule="auto"/>
        <w:jc w:val="both"/>
        <w:rPr>
          <w:rFonts w:ascii="Arial" w:eastAsia="Times New Roman" w:hAnsi="Arial" w:cs="Arial"/>
          <w:sz w:val="17"/>
          <w:szCs w:val="17"/>
          <w:lang w:val="en-GB"/>
        </w:rPr>
      </w:pPr>
      <w:r w:rsidRPr="001268A8">
        <w:rPr>
          <w:rFonts w:ascii="Arial" w:eastAsia="Times New Roman" w:hAnsi="Arial" w:cs="Arial"/>
          <w:sz w:val="17"/>
          <w:szCs w:val="17"/>
          <w:lang w:val="en-GB"/>
        </w:rPr>
        <w:t xml:space="preserve">Source: Organigram Holdings Inc., “Management’s Discussion and Analysis of Financial Condition and Results of Operations (“MD&amp;A”) for the Three and Six months Ended February 29, 2020 and February 28, 2019,” February 29, 2020, accessed September 24, 2020, https://investors.organigram.ca/sites/default/files/documents/mda-q2-2020-final.pdf; Mark </w:t>
      </w:r>
      <w:proofErr w:type="spellStart"/>
      <w:r w:rsidRPr="001268A8">
        <w:rPr>
          <w:rFonts w:ascii="Arial" w:eastAsia="Times New Roman" w:hAnsi="Arial" w:cs="Arial"/>
          <w:sz w:val="17"/>
          <w:szCs w:val="17"/>
          <w:lang w:val="en-GB"/>
        </w:rPr>
        <w:t>Prvulovic</w:t>
      </w:r>
      <w:proofErr w:type="spellEnd"/>
      <w:r w:rsidRPr="001268A8">
        <w:rPr>
          <w:rFonts w:ascii="Arial" w:eastAsia="Times New Roman" w:hAnsi="Arial" w:cs="Arial"/>
          <w:sz w:val="17"/>
          <w:szCs w:val="17"/>
          <w:lang w:val="en-GB"/>
        </w:rPr>
        <w:t xml:space="preserve">, “Is </w:t>
      </w:r>
      <w:proofErr w:type="spellStart"/>
      <w:r w:rsidRPr="001268A8">
        <w:rPr>
          <w:rFonts w:ascii="Arial" w:eastAsia="Times New Roman" w:hAnsi="Arial" w:cs="Arial"/>
          <w:sz w:val="17"/>
          <w:szCs w:val="17"/>
          <w:lang w:val="en-GB"/>
        </w:rPr>
        <w:t>Aphria</w:t>
      </w:r>
      <w:proofErr w:type="spellEnd"/>
      <w:r w:rsidRPr="001268A8">
        <w:rPr>
          <w:rFonts w:ascii="Arial" w:eastAsia="Times New Roman" w:hAnsi="Arial" w:cs="Arial"/>
          <w:sz w:val="17"/>
          <w:szCs w:val="17"/>
          <w:lang w:val="en-GB"/>
        </w:rPr>
        <w:t xml:space="preserve"> the Best Large-Cap Cannabis Stock Right Now?</w:t>
      </w:r>
      <w:r w:rsidR="001C1AF4">
        <w:rPr>
          <w:rFonts w:ascii="Arial" w:eastAsia="Times New Roman" w:hAnsi="Arial" w:cs="Arial"/>
          <w:sz w:val="17"/>
          <w:szCs w:val="17"/>
          <w:lang w:val="en-GB"/>
        </w:rPr>
        <w:t>,</w:t>
      </w:r>
      <w:r w:rsidRPr="001268A8">
        <w:rPr>
          <w:rFonts w:ascii="Arial" w:eastAsia="Times New Roman" w:hAnsi="Arial" w:cs="Arial"/>
          <w:sz w:val="17"/>
          <w:szCs w:val="17"/>
          <w:lang w:val="en-GB"/>
        </w:rPr>
        <w:t>” Motley Fool, November 25, 2019, accessed September 24, 2020, https://www.fool.com/investing/2019/11/25/is-aphria-the-best-large-cap-cannabis-stock-right.aspx; Delta 9 Cannabis Inc., “Management's Discussion and Analysis (for the Three-Month Period Ending March 31, 2020),” March 31, 2020, accessed September 24, 2020, https://cdn.shopify.com/s/files/1/0067/7596/3703/files/2020_1ST_QTR_MD_A.pdf?v=1589913748; Debra Ray, “Cronos Group (TSX:CRON) May Beat This #1 Pot Stock!</w:t>
      </w:r>
      <w:r w:rsidR="001C1AF4">
        <w:rPr>
          <w:rFonts w:ascii="Arial" w:eastAsia="Times New Roman" w:hAnsi="Arial" w:cs="Arial"/>
          <w:sz w:val="17"/>
          <w:szCs w:val="17"/>
          <w:lang w:val="en-GB"/>
        </w:rPr>
        <w:t>,</w:t>
      </w:r>
      <w:r w:rsidRPr="001268A8">
        <w:rPr>
          <w:rFonts w:ascii="Arial" w:eastAsia="Times New Roman" w:hAnsi="Arial" w:cs="Arial"/>
          <w:sz w:val="17"/>
          <w:szCs w:val="17"/>
          <w:lang w:val="en-GB"/>
        </w:rPr>
        <w:t xml:space="preserve">” Motley Fool, September 29, 2019, accessed September 24, 2020, https://www.fool.ca/2019/09/29/cronos-group-tsxcron-may-beat-this-1-pot-stock; </w:t>
      </w:r>
      <w:proofErr w:type="spellStart"/>
      <w:r w:rsidRPr="001268A8">
        <w:rPr>
          <w:rFonts w:ascii="Arial" w:eastAsia="Times New Roman" w:hAnsi="Arial" w:cs="Arial"/>
          <w:sz w:val="17"/>
          <w:szCs w:val="17"/>
          <w:lang w:val="en-GB"/>
        </w:rPr>
        <w:t>Tilray</w:t>
      </w:r>
      <w:proofErr w:type="spellEnd"/>
      <w:r w:rsidRPr="001268A8">
        <w:rPr>
          <w:rFonts w:ascii="Arial" w:eastAsia="Times New Roman" w:hAnsi="Arial" w:cs="Arial"/>
          <w:sz w:val="17"/>
          <w:szCs w:val="17"/>
          <w:lang w:val="en-GB"/>
        </w:rPr>
        <w:t xml:space="preserve"> Inc., “</w:t>
      </w:r>
      <w:proofErr w:type="spellStart"/>
      <w:r w:rsidRPr="001268A8">
        <w:rPr>
          <w:rFonts w:ascii="Arial" w:eastAsia="Times New Roman" w:hAnsi="Arial" w:cs="Arial"/>
          <w:sz w:val="17"/>
          <w:szCs w:val="17"/>
          <w:lang w:val="en-GB"/>
        </w:rPr>
        <w:t>Tilray</w:t>
      </w:r>
      <w:proofErr w:type="spellEnd"/>
      <w:r w:rsidRPr="001268A8">
        <w:rPr>
          <w:rFonts w:ascii="Arial" w:eastAsia="Times New Roman" w:hAnsi="Arial" w:cs="Arial"/>
          <w:sz w:val="17"/>
          <w:szCs w:val="17"/>
          <w:lang w:val="en-GB"/>
        </w:rPr>
        <w:t>, Inc. Reports 2020 Second Quarter Results,” press release, August 10, 2020, accessed September 24, 2020, https://ir.tilray.com/node/8351/pdf.</w:t>
      </w:r>
    </w:p>
    <w:p w14:paraId="20AFB06A" w14:textId="77777777" w:rsidR="001268A8" w:rsidRPr="001268A8" w:rsidRDefault="001268A8" w:rsidP="001268A8">
      <w:pPr>
        <w:spacing w:after="0" w:line="240" w:lineRule="auto"/>
        <w:jc w:val="both"/>
        <w:rPr>
          <w:rFonts w:ascii="Arial" w:eastAsia="Times New Roman" w:hAnsi="Arial" w:cs="Arial"/>
          <w:sz w:val="20"/>
          <w:szCs w:val="20"/>
          <w:lang w:val="en-GB"/>
        </w:rPr>
      </w:pPr>
    </w:p>
    <w:p w14:paraId="0F0F8CF5" w14:textId="77777777" w:rsidR="001268A8" w:rsidRPr="001268A8" w:rsidRDefault="001268A8" w:rsidP="001268A8">
      <w:pPr>
        <w:spacing w:after="0" w:line="240" w:lineRule="auto"/>
        <w:jc w:val="both"/>
        <w:rPr>
          <w:rFonts w:ascii="Arial" w:eastAsia="SimSun" w:hAnsi="Arial" w:cs="Arial"/>
          <w:sz w:val="20"/>
          <w:szCs w:val="20"/>
          <w:lang w:val="en-GB"/>
        </w:rPr>
      </w:pPr>
    </w:p>
    <w:p w14:paraId="629F3A31" w14:textId="77777777" w:rsidR="001268A8" w:rsidRPr="001268A8" w:rsidRDefault="001268A8" w:rsidP="001268A8">
      <w:pPr>
        <w:keepNext/>
        <w:spacing w:after="0" w:line="240" w:lineRule="auto"/>
        <w:jc w:val="center"/>
        <w:rPr>
          <w:rFonts w:ascii="Arial" w:eastAsia="SimSun" w:hAnsi="Arial" w:cs="Arial"/>
          <w:b/>
          <w:caps/>
          <w:sz w:val="20"/>
          <w:szCs w:val="20"/>
          <w:lang w:val="en-GB"/>
        </w:rPr>
      </w:pPr>
      <w:r w:rsidRPr="001268A8">
        <w:rPr>
          <w:rFonts w:ascii="Arial" w:eastAsia="SimSun" w:hAnsi="Arial" w:cs="Arial"/>
          <w:b/>
          <w:caps/>
          <w:sz w:val="20"/>
          <w:szCs w:val="20"/>
          <w:lang w:val="en-GB"/>
        </w:rPr>
        <w:lastRenderedPageBreak/>
        <w:t>Exhibit 6: Price and Cost Per Gram for Delta 9 (CA$)</w:t>
      </w:r>
    </w:p>
    <w:p w14:paraId="11884391" w14:textId="77777777" w:rsidR="001268A8" w:rsidRPr="001172E1" w:rsidRDefault="001268A8" w:rsidP="001268A8">
      <w:pPr>
        <w:spacing w:after="0" w:line="240" w:lineRule="auto"/>
        <w:jc w:val="both"/>
        <w:rPr>
          <w:rFonts w:ascii="Arial" w:eastAsia="Times New Roman" w:hAnsi="Arial" w:cs="Arial"/>
          <w:sz w:val="12"/>
          <w:szCs w:val="12"/>
          <w:lang w:val="en-GB"/>
        </w:rPr>
      </w:pPr>
    </w:p>
    <w:tbl>
      <w:tblPr>
        <w:tblStyle w:val="TableGrid2"/>
        <w:tblW w:w="93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476"/>
        <w:gridCol w:w="1476"/>
        <w:gridCol w:w="1476"/>
        <w:gridCol w:w="1475"/>
        <w:gridCol w:w="1387"/>
      </w:tblGrid>
      <w:tr w:rsidR="001268A8" w:rsidRPr="001268A8" w14:paraId="2539F937" w14:textId="77777777" w:rsidTr="00B558E0">
        <w:trPr>
          <w:trHeight w:val="288"/>
          <w:jc w:val="center"/>
        </w:trPr>
        <w:tc>
          <w:tcPr>
            <w:tcW w:w="1105" w:type="pct"/>
            <w:tcBorders>
              <w:top w:val="single" w:sz="4" w:space="0" w:color="auto"/>
              <w:bottom w:val="single" w:sz="4" w:space="0" w:color="auto"/>
            </w:tcBorders>
            <w:vAlign w:val="center"/>
          </w:tcPr>
          <w:p w14:paraId="3394DC61" w14:textId="77777777" w:rsidR="001268A8" w:rsidRPr="001268A8" w:rsidRDefault="001268A8" w:rsidP="001268A8">
            <w:pPr>
              <w:jc w:val="both"/>
              <w:rPr>
                <w:rFonts w:ascii="Arial" w:eastAsia="Times New Roman" w:hAnsi="Arial" w:cs="Arial"/>
                <w:sz w:val="18"/>
                <w:szCs w:val="18"/>
                <w:lang w:val="en-GB"/>
              </w:rPr>
            </w:pPr>
          </w:p>
        </w:tc>
        <w:tc>
          <w:tcPr>
            <w:tcW w:w="788" w:type="pct"/>
            <w:tcBorders>
              <w:top w:val="single" w:sz="4" w:space="0" w:color="auto"/>
              <w:bottom w:val="single" w:sz="4" w:space="0" w:color="auto"/>
            </w:tcBorders>
            <w:vAlign w:val="center"/>
          </w:tcPr>
          <w:p w14:paraId="70D752BF" w14:textId="77777777"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March 2019</w:t>
            </w:r>
          </w:p>
        </w:tc>
        <w:tc>
          <w:tcPr>
            <w:tcW w:w="788" w:type="pct"/>
            <w:tcBorders>
              <w:top w:val="single" w:sz="4" w:space="0" w:color="auto"/>
              <w:bottom w:val="single" w:sz="4" w:space="0" w:color="auto"/>
            </w:tcBorders>
            <w:vAlign w:val="center"/>
          </w:tcPr>
          <w:p w14:paraId="0F8E5D9B" w14:textId="77777777"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June 2019</w:t>
            </w:r>
          </w:p>
        </w:tc>
        <w:tc>
          <w:tcPr>
            <w:tcW w:w="788" w:type="pct"/>
            <w:tcBorders>
              <w:top w:val="single" w:sz="4" w:space="0" w:color="auto"/>
              <w:bottom w:val="single" w:sz="4" w:space="0" w:color="auto"/>
            </w:tcBorders>
            <w:vAlign w:val="center"/>
          </w:tcPr>
          <w:p w14:paraId="63A9AC4B" w14:textId="77777777"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September 2019</w:t>
            </w:r>
          </w:p>
        </w:tc>
        <w:tc>
          <w:tcPr>
            <w:tcW w:w="788" w:type="pct"/>
            <w:tcBorders>
              <w:top w:val="single" w:sz="4" w:space="0" w:color="auto"/>
              <w:bottom w:val="single" w:sz="4" w:space="0" w:color="auto"/>
            </w:tcBorders>
            <w:vAlign w:val="center"/>
          </w:tcPr>
          <w:p w14:paraId="7F43A0CB" w14:textId="77777777"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December 2019</w:t>
            </w:r>
          </w:p>
        </w:tc>
        <w:tc>
          <w:tcPr>
            <w:tcW w:w="741" w:type="pct"/>
            <w:tcBorders>
              <w:top w:val="single" w:sz="4" w:space="0" w:color="auto"/>
              <w:bottom w:val="single" w:sz="4" w:space="0" w:color="auto"/>
            </w:tcBorders>
            <w:vAlign w:val="center"/>
          </w:tcPr>
          <w:p w14:paraId="607C8CFF" w14:textId="77777777"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March 2020</w:t>
            </w:r>
          </w:p>
        </w:tc>
      </w:tr>
      <w:tr w:rsidR="001268A8" w:rsidRPr="001268A8" w14:paraId="67130E57" w14:textId="77777777" w:rsidTr="00B558E0">
        <w:trPr>
          <w:trHeight w:val="288"/>
          <w:jc w:val="center"/>
        </w:trPr>
        <w:tc>
          <w:tcPr>
            <w:tcW w:w="1105" w:type="pct"/>
            <w:tcBorders>
              <w:top w:val="single" w:sz="4" w:space="0" w:color="auto"/>
            </w:tcBorders>
            <w:vAlign w:val="center"/>
          </w:tcPr>
          <w:p w14:paraId="3C1A8002" w14:textId="77777777" w:rsidR="001268A8" w:rsidRPr="00B558E0" w:rsidRDefault="001268A8" w:rsidP="001268A8">
            <w:pPr>
              <w:jc w:val="both"/>
              <w:rPr>
                <w:rFonts w:ascii="Arial" w:eastAsia="Times New Roman" w:hAnsi="Arial" w:cs="Arial"/>
                <w:b/>
                <w:sz w:val="18"/>
                <w:szCs w:val="18"/>
                <w:lang w:val="en-GB"/>
              </w:rPr>
            </w:pPr>
            <w:r w:rsidRPr="00B558E0">
              <w:rPr>
                <w:rFonts w:ascii="Arial" w:eastAsia="Times New Roman" w:hAnsi="Arial" w:cs="Arial"/>
                <w:b/>
                <w:sz w:val="18"/>
                <w:szCs w:val="18"/>
                <w:lang w:val="en-GB"/>
              </w:rPr>
              <w:t>Direct costs/gram</w:t>
            </w:r>
          </w:p>
        </w:tc>
        <w:tc>
          <w:tcPr>
            <w:tcW w:w="788" w:type="pct"/>
            <w:tcBorders>
              <w:top w:val="single" w:sz="4" w:space="0" w:color="auto"/>
            </w:tcBorders>
            <w:vAlign w:val="center"/>
          </w:tcPr>
          <w:p w14:paraId="5FAD9C13"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$1.44</w:t>
            </w:r>
          </w:p>
        </w:tc>
        <w:tc>
          <w:tcPr>
            <w:tcW w:w="788" w:type="pct"/>
            <w:tcBorders>
              <w:top w:val="single" w:sz="4" w:space="0" w:color="auto"/>
            </w:tcBorders>
            <w:vAlign w:val="center"/>
          </w:tcPr>
          <w:p w14:paraId="22496C75"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$1.05</w:t>
            </w:r>
          </w:p>
        </w:tc>
        <w:tc>
          <w:tcPr>
            <w:tcW w:w="788" w:type="pct"/>
            <w:tcBorders>
              <w:top w:val="single" w:sz="4" w:space="0" w:color="auto"/>
            </w:tcBorders>
            <w:vAlign w:val="center"/>
          </w:tcPr>
          <w:p w14:paraId="75D27907"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$1.08</w:t>
            </w:r>
          </w:p>
        </w:tc>
        <w:tc>
          <w:tcPr>
            <w:tcW w:w="788" w:type="pct"/>
            <w:tcBorders>
              <w:top w:val="single" w:sz="4" w:space="0" w:color="auto"/>
            </w:tcBorders>
            <w:vAlign w:val="center"/>
          </w:tcPr>
          <w:p w14:paraId="2679E80C"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$0.91</w:t>
            </w:r>
          </w:p>
        </w:tc>
        <w:tc>
          <w:tcPr>
            <w:tcW w:w="741" w:type="pct"/>
            <w:tcBorders>
              <w:top w:val="single" w:sz="4" w:space="0" w:color="auto"/>
            </w:tcBorders>
            <w:vAlign w:val="center"/>
          </w:tcPr>
          <w:p w14:paraId="2DC7DA6B"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$0.98</w:t>
            </w:r>
          </w:p>
        </w:tc>
      </w:tr>
      <w:tr w:rsidR="001268A8" w:rsidRPr="001268A8" w14:paraId="46B09FDF" w14:textId="77777777" w:rsidTr="00B558E0">
        <w:trPr>
          <w:trHeight w:val="288"/>
          <w:jc w:val="center"/>
        </w:trPr>
        <w:tc>
          <w:tcPr>
            <w:tcW w:w="1105" w:type="pct"/>
            <w:vAlign w:val="center"/>
          </w:tcPr>
          <w:p w14:paraId="611A06C8" w14:textId="77777777" w:rsidR="001268A8" w:rsidRPr="00B558E0" w:rsidRDefault="001268A8" w:rsidP="001268A8">
            <w:pPr>
              <w:jc w:val="both"/>
              <w:rPr>
                <w:rFonts w:ascii="Arial" w:eastAsia="Times New Roman" w:hAnsi="Arial" w:cs="Arial"/>
                <w:b/>
                <w:sz w:val="18"/>
                <w:szCs w:val="18"/>
                <w:lang w:val="en-GB"/>
              </w:rPr>
            </w:pPr>
            <w:r w:rsidRPr="00B558E0">
              <w:rPr>
                <w:rFonts w:ascii="Arial" w:eastAsia="Times New Roman" w:hAnsi="Arial" w:cs="Arial"/>
                <w:b/>
                <w:sz w:val="18"/>
                <w:szCs w:val="18"/>
                <w:lang w:val="en-GB"/>
              </w:rPr>
              <w:t>Wholesale price/gram</w:t>
            </w:r>
          </w:p>
        </w:tc>
        <w:tc>
          <w:tcPr>
            <w:tcW w:w="788" w:type="pct"/>
            <w:vAlign w:val="center"/>
          </w:tcPr>
          <w:p w14:paraId="3E830511"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$7.58</w:t>
            </w:r>
          </w:p>
        </w:tc>
        <w:tc>
          <w:tcPr>
            <w:tcW w:w="788" w:type="pct"/>
            <w:vAlign w:val="center"/>
          </w:tcPr>
          <w:p w14:paraId="436631EB"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$5.63</w:t>
            </w:r>
          </w:p>
        </w:tc>
        <w:tc>
          <w:tcPr>
            <w:tcW w:w="788" w:type="pct"/>
            <w:vAlign w:val="center"/>
          </w:tcPr>
          <w:p w14:paraId="4295EEEB"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$4.19</w:t>
            </w:r>
          </w:p>
        </w:tc>
        <w:tc>
          <w:tcPr>
            <w:tcW w:w="788" w:type="pct"/>
            <w:vAlign w:val="center"/>
          </w:tcPr>
          <w:p w14:paraId="0CFB9274"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$3.59</w:t>
            </w:r>
          </w:p>
        </w:tc>
        <w:tc>
          <w:tcPr>
            <w:tcW w:w="741" w:type="pct"/>
            <w:vAlign w:val="center"/>
          </w:tcPr>
          <w:p w14:paraId="2A2E20E4"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$4.50</w:t>
            </w:r>
          </w:p>
        </w:tc>
      </w:tr>
    </w:tbl>
    <w:p w14:paraId="00F20E13" w14:textId="77777777" w:rsidR="001268A8" w:rsidRPr="001172E1" w:rsidRDefault="001268A8" w:rsidP="001268A8">
      <w:pPr>
        <w:spacing w:after="0" w:line="240" w:lineRule="auto"/>
        <w:jc w:val="both"/>
        <w:rPr>
          <w:rFonts w:ascii="Arial" w:eastAsia="SimSun" w:hAnsi="Arial" w:cs="Arial"/>
          <w:sz w:val="12"/>
          <w:szCs w:val="12"/>
          <w:lang w:val="en-GB"/>
        </w:rPr>
      </w:pPr>
    </w:p>
    <w:p w14:paraId="61129D22" w14:textId="77777777" w:rsidR="001268A8" w:rsidRPr="001268A8" w:rsidRDefault="001268A8" w:rsidP="001268A8">
      <w:pPr>
        <w:spacing w:after="0" w:line="240" w:lineRule="auto"/>
        <w:jc w:val="both"/>
        <w:rPr>
          <w:rFonts w:ascii="Arial" w:eastAsia="SimSun" w:hAnsi="Arial" w:cs="Arial"/>
          <w:sz w:val="17"/>
          <w:szCs w:val="17"/>
          <w:lang w:val="en-GB"/>
        </w:rPr>
      </w:pPr>
      <w:r w:rsidRPr="001268A8">
        <w:rPr>
          <w:rFonts w:ascii="Arial" w:eastAsia="SimSun" w:hAnsi="Arial" w:cs="Arial"/>
          <w:sz w:val="17"/>
          <w:szCs w:val="17"/>
          <w:lang w:val="en-GB"/>
        </w:rPr>
        <w:t xml:space="preserve">Source: </w:t>
      </w:r>
      <w:r w:rsidRPr="001268A8">
        <w:rPr>
          <w:rFonts w:ascii="Arial" w:eastAsia="Times New Roman" w:hAnsi="Arial" w:cs="Arial"/>
          <w:sz w:val="17"/>
          <w:szCs w:val="17"/>
          <w:lang w:val="en-GB"/>
        </w:rPr>
        <w:t>Delta 9 Cannabis Inc., “Investor Presentation Q2 2020,” March 2020, accessed September 24, 2020, https://cdn.shopify.com/s/files/1/0067/7596/3703/files/Delta_9_Investor_Presentation_Q2_2020.pdf?v=1589997898.</w:t>
      </w:r>
    </w:p>
    <w:p w14:paraId="2222FDF7" w14:textId="77777777" w:rsidR="001268A8" w:rsidRPr="001172E1" w:rsidRDefault="001268A8" w:rsidP="001268A8">
      <w:pPr>
        <w:spacing w:after="0" w:line="240" w:lineRule="auto"/>
        <w:jc w:val="both"/>
        <w:rPr>
          <w:rFonts w:ascii="Arial" w:eastAsia="SimSun" w:hAnsi="Arial" w:cs="Arial"/>
          <w:sz w:val="12"/>
          <w:szCs w:val="12"/>
          <w:lang w:val="en-GB"/>
        </w:rPr>
      </w:pPr>
    </w:p>
    <w:p w14:paraId="3375BF27" w14:textId="77777777" w:rsidR="001268A8" w:rsidRPr="001172E1" w:rsidRDefault="001268A8" w:rsidP="001268A8">
      <w:pPr>
        <w:spacing w:after="0" w:line="240" w:lineRule="auto"/>
        <w:jc w:val="both"/>
        <w:rPr>
          <w:rFonts w:ascii="Arial" w:eastAsia="SimSun" w:hAnsi="Arial" w:cs="Arial"/>
          <w:sz w:val="12"/>
          <w:szCs w:val="12"/>
          <w:lang w:val="en-GB"/>
        </w:rPr>
      </w:pPr>
    </w:p>
    <w:p w14:paraId="47330D84" w14:textId="20711DF5" w:rsidR="001268A8" w:rsidRPr="001268A8" w:rsidRDefault="001268A8" w:rsidP="001268A8">
      <w:pPr>
        <w:keepNext/>
        <w:spacing w:after="0" w:line="240" w:lineRule="auto"/>
        <w:jc w:val="center"/>
        <w:rPr>
          <w:rFonts w:ascii="Arial" w:eastAsia="SimSun" w:hAnsi="Arial" w:cs="Arial"/>
          <w:b/>
          <w:caps/>
          <w:sz w:val="20"/>
          <w:szCs w:val="20"/>
          <w:lang w:val="en-GB"/>
        </w:rPr>
      </w:pPr>
      <w:r w:rsidRPr="001268A8">
        <w:rPr>
          <w:rFonts w:ascii="Arial" w:eastAsia="SimSun" w:hAnsi="Arial" w:cs="Arial"/>
          <w:b/>
          <w:caps/>
          <w:sz w:val="20"/>
          <w:szCs w:val="20"/>
          <w:lang w:val="en-GB"/>
        </w:rPr>
        <w:t>Exhibit 7: Breakdown of Cost Per Gram for Delta 9 (CA$)</w:t>
      </w:r>
    </w:p>
    <w:p w14:paraId="0C9A4C56" w14:textId="77777777" w:rsidR="001268A8" w:rsidRPr="001172E1" w:rsidRDefault="001268A8" w:rsidP="001268A8">
      <w:pPr>
        <w:spacing w:after="0" w:line="240" w:lineRule="auto"/>
        <w:jc w:val="both"/>
        <w:rPr>
          <w:rFonts w:ascii="Arial" w:eastAsia="Times New Roman" w:hAnsi="Arial" w:cs="Arial"/>
          <w:sz w:val="12"/>
          <w:szCs w:val="12"/>
          <w:lang w:val="en-GB"/>
        </w:rPr>
      </w:pPr>
    </w:p>
    <w:tbl>
      <w:tblPr>
        <w:tblStyle w:val="TableGrid2"/>
        <w:tblW w:w="25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560"/>
        <w:gridCol w:w="1561"/>
      </w:tblGrid>
      <w:tr w:rsidR="001268A8" w:rsidRPr="001268A8" w14:paraId="4C7DBD36" w14:textId="77777777" w:rsidTr="0060066F">
        <w:trPr>
          <w:trHeight w:val="288"/>
          <w:jc w:val="center"/>
        </w:trPr>
        <w:tc>
          <w:tcPr>
            <w:tcW w:w="1558" w:type="dxa"/>
            <w:tcBorders>
              <w:top w:val="single" w:sz="4" w:space="0" w:color="auto"/>
              <w:bottom w:val="single" w:sz="4" w:space="0" w:color="auto"/>
            </w:tcBorders>
            <w:vAlign w:val="center"/>
          </w:tcPr>
          <w:p w14:paraId="166F2861" w14:textId="77777777" w:rsidR="001268A8" w:rsidRPr="001268A8" w:rsidRDefault="001268A8" w:rsidP="001268A8">
            <w:pPr>
              <w:jc w:val="both"/>
              <w:rPr>
                <w:rFonts w:ascii="Arial" w:eastAsia="Times New Roman" w:hAnsi="Arial" w:cs="Arial"/>
                <w:sz w:val="18"/>
                <w:szCs w:val="18"/>
                <w:lang w:val="en-GB"/>
              </w:rPr>
            </w:pPr>
          </w:p>
        </w:tc>
        <w:tc>
          <w:tcPr>
            <w:tcW w:w="1558" w:type="dxa"/>
            <w:tcBorders>
              <w:top w:val="single" w:sz="4" w:space="0" w:color="auto"/>
              <w:bottom w:val="single" w:sz="4" w:space="0" w:color="auto"/>
            </w:tcBorders>
            <w:vAlign w:val="center"/>
          </w:tcPr>
          <w:p w14:paraId="416CE05D" w14:textId="77777777"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December 2019</w:t>
            </w:r>
          </w:p>
        </w:tc>
        <w:tc>
          <w:tcPr>
            <w:tcW w:w="1559" w:type="dxa"/>
            <w:tcBorders>
              <w:top w:val="single" w:sz="4" w:space="0" w:color="auto"/>
              <w:bottom w:val="single" w:sz="4" w:space="0" w:color="auto"/>
            </w:tcBorders>
            <w:vAlign w:val="center"/>
          </w:tcPr>
          <w:p w14:paraId="08E8226F" w14:textId="77777777"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March 2020</w:t>
            </w:r>
          </w:p>
        </w:tc>
      </w:tr>
      <w:tr w:rsidR="001268A8" w:rsidRPr="001268A8" w14:paraId="5F42E72F" w14:textId="77777777" w:rsidTr="0060066F">
        <w:trPr>
          <w:trHeight w:val="288"/>
          <w:jc w:val="center"/>
        </w:trPr>
        <w:tc>
          <w:tcPr>
            <w:tcW w:w="1558" w:type="dxa"/>
            <w:tcBorders>
              <w:top w:val="single" w:sz="4" w:space="0" w:color="auto"/>
            </w:tcBorders>
            <w:vAlign w:val="center"/>
          </w:tcPr>
          <w:p w14:paraId="0ED0A600" w14:textId="77777777" w:rsidR="001268A8" w:rsidRPr="00B558E0" w:rsidRDefault="001268A8" w:rsidP="001268A8">
            <w:pPr>
              <w:jc w:val="both"/>
              <w:rPr>
                <w:rFonts w:ascii="Arial" w:eastAsia="Times New Roman" w:hAnsi="Arial" w:cs="Arial"/>
                <w:b/>
                <w:sz w:val="18"/>
                <w:szCs w:val="18"/>
                <w:lang w:val="en-GB"/>
              </w:rPr>
            </w:pPr>
            <w:r w:rsidRPr="00B558E0">
              <w:rPr>
                <w:rFonts w:ascii="Arial" w:eastAsia="Times New Roman" w:hAnsi="Arial" w:cs="Arial"/>
                <w:b/>
                <w:sz w:val="18"/>
                <w:szCs w:val="18"/>
                <w:lang w:val="en-GB"/>
              </w:rPr>
              <w:t>Labour/gram</w:t>
            </w:r>
          </w:p>
        </w:tc>
        <w:tc>
          <w:tcPr>
            <w:tcW w:w="1558" w:type="dxa"/>
            <w:tcBorders>
              <w:top w:val="single" w:sz="4" w:space="0" w:color="auto"/>
            </w:tcBorders>
            <w:vAlign w:val="center"/>
          </w:tcPr>
          <w:p w14:paraId="757CF842"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 xml:space="preserve">$0.59 </w:t>
            </w:r>
          </w:p>
        </w:tc>
        <w:tc>
          <w:tcPr>
            <w:tcW w:w="1559" w:type="dxa"/>
            <w:tcBorders>
              <w:top w:val="single" w:sz="4" w:space="0" w:color="auto"/>
            </w:tcBorders>
            <w:vAlign w:val="center"/>
          </w:tcPr>
          <w:p w14:paraId="564CE6E6"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$0.64</w:t>
            </w:r>
          </w:p>
        </w:tc>
      </w:tr>
      <w:tr w:rsidR="001268A8" w:rsidRPr="001268A8" w14:paraId="1645D189" w14:textId="77777777" w:rsidTr="0060066F">
        <w:trPr>
          <w:trHeight w:val="288"/>
          <w:jc w:val="center"/>
        </w:trPr>
        <w:tc>
          <w:tcPr>
            <w:tcW w:w="1558" w:type="dxa"/>
            <w:vAlign w:val="center"/>
          </w:tcPr>
          <w:p w14:paraId="24ABE9EA" w14:textId="77777777" w:rsidR="001268A8" w:rsidRPr="00B558E0" w:rsidRDefault="001268A8" w:rsidP="001268A8">
            <w:pPr>
              <w:jc w:val="both"/>
              <w:rPr>
                <w:rFonts w:ascii="Arial" w:eastAsia="Times New Roman" w:hAnsi="Arial" w:cs="Arial"/>
                <w:b/>
                <w:sz w:val="18"/>
                <w:szCs w:val="18"/>
                <w:lang w:val="en-GB"/>
              </w:rPr>
            </w:pPr>
            <w:r w:rsidRPr="00B558E0">
              <w:rPr>
                <w:rFonts w:ascii="Arial" w:eastAsia="Times New Roman" w:hAnsi="Arial" w:cs="Arial"/>
                <w:b/>
                <w:sz w:val="18"/>
                <w:szCs w:val="18"/>
                <w:lang w:val="en-GB"/>
              </w:rPr>
              <w:t>Utilities/gram</w:t>
            </w:r>
          </w:p>
        </w:tc>
        <w:tc>
          <w:tcPr>
            <w:tcW w:w="1558" w:type="dxa"/>
            <w:vAlign w:val="center"/>
          </w:tcPr>
          <w:p w14:paraId="723988CD"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$0.15</w:t>
            </w:r>
          </w:p>
        </w:tc>
        <w:tc>
          <w:tcPr>
            <w:tcW w:w="1559" w:type="dxa"/>
            <w:vAlign w:val="center"/>
          </w:tcPr>
          <w:p w14:paraId="244215AA"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$0.16</w:t>
            </w:r>
          </w:p>
        </w:tc>
      </w:tr>
      <w:tr w:rsidR="001268A8" w:rsidRPr="001268A8" w14:paraId="0E70D5EC" w14:textId="77777777" w:rsidTr="0060066F">
        <w:trPr>
          <w:trHeight w:val="288"/>
          <w:jc w:val="center"/>
        </w:trPr>
        <w:tc>
          <w:tcPr>
            <w:tcW w:w="1558" w:type="dxa"/>
            <w:vAlign w:val="center"/>
          </w:tcPr>
          <w:p w14:paraId="0F841FC8" w14:textId="77777777" w:rsidR="001268A8" w:rsidRPr="00B558E0" w:rsidRDefault="001268A8" w:rsidP="001268A8">
            <w:pPr>
              <w:jc w:val="both"/>
              <w:rPr>
                <w:rFonts w:ascii="Arial" w:eastAsia="Times New Roman" w:hAnsi="Arial" w:cs="Arial"/>
                <w:b/>
                <w:sz w:val="18"/>
                <w:szCs w:val="18"/>
                <w:lang w:val="en-GB"/>
              </w:rPr>
            </w:pPr>
            <w:r w:rsidRPr="00B558E0">
              <w:rPr>
                <w:rFonts w:ascii="Arial" w:eastAsia="Times New Roman" w:hAnsi="Arial" w:cs="Arial"/>
                <w:b/>
                <w:sz w:val="18"/>
                <w:szCs w:val="18"/>
                <w:lang w:val="en-GB"/>
              </w:rPr>
              <w:t>Nutrients/gram</w:t>
            </w:r>
          </w:p>
        </w:tc>
        <w:tc>
          <w:tcPr>
            <w:tcW w:w="1558" w:type="dxa"/>
            <w:vAlign w:val="center"/>
          </w:tcPr>
          <w:p w14:paraId="5AC3F92C"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 xml:space="preserve">$0.16 </w:t>
            </w:r>
          </w:p>
        </w:tc>
        <w:tc>
          <w:tcPr>
            <w:tcW w:w="1559" w:type="dxa"/>
            <w:vAlign w:val="center"/>
          </w:tcPr>
          <w:p w14:paraId="2B3AEBB2"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$0.18</w:t>
            </w:r>
          </w:p>
        </w:tc>
      </w:tr>
    </w:tbl>
    <w:p w14:paraId="19CB7270" w14:textId="77777777" w:rsidR="001268A8" w:rsidRPr="001172E1" w:rsidRDefault="001268A8" w:rsidP="001268A8">
      <w:pPr>
        <w:spacing w:after="0" w:line="240" w:lineRule="auto"/>
        <w:jc w:val="both"/>
        <w:rPr>
          <w:rFonts w:ascii="Arial" w:eastAsia="Times New Roman" w:hAnsi="Arial" w:cs="Arial"/>
          <w:sz w:val="12"/>
          <w:szCs w:val="12"/>
          <w:lang w:val="en-GB"/>
        </w:rPr>
      </w:pPr>
    </w:p>
    <w:p w14:paraId="2CF1F2E7" w14:textId="77777777" w:rsidR="001268A8" w:rsidRPr="001268A8" w:rsidRDefault="001268A8" w:rsidP="001268A8">
      <w:pPr>
        <w:spacing w:after="0" w:line="240" w:lineRule="auto"/>
        <w:jc w:val="both"/>
        <w:rPr>
          <w:rFonts w:ascii="Arial" w:eastAsia="Times New Roman" w:hAnsi="Arial" w:cs="Arial"/>
          <w:sz w:val="17"/>
          <w:szCs w:val="17"/>
          <w:lang w:val="en-GB"/>
        </w:rPr>
      </w:pPr>
      <w:r w:rsidRPr="001268A8">
        <w:rPr>
          <w:rFonts w:ascii="Arial" w:eastAsia="Times New Roman" w:hAnsi="Arial" w:cs="Arial"/>
          <w:sz w:val="17"/>
          <w:szCs w:val="17"/>
          <w:lang w:val="en-GB"/>
        </w:rPr>
        <w:t>Source: Jim Lawson (chief financial officer, Delta 9 Cannabis Inc.), interview by author, August 26, 2020.</w:t>
      </w:r>
    </w:p>
    <w:p w14:paraId="590054F1" w14:textId="6E913FBA" w:rsidR="001268A8" w:rsidRPr="001172E1" w:rsidRDefault="001268A8" w:rsidP="001172E1">
      <w:pPr>
        <w:pStyle w:val="ExhibitText"/>
        <w:rPr>
          <w:sz w:val="12"/>
          <w:szCs w:val="12"/>
        </w:rPr>
      </w:pPr>
    </w:p>
    <w:p w14:paraId="5546C206" w14:textId="77777777" w:rsidR="001172E1" w:rsidRPr="001172E1" w:rsidRDefault="001172E1" w:rsidP="001172E1">
      <w:pPr>
        <w:pStyle w:val="ExhibitText"/>
        <w:rPr>
          <w:sz w:val="12"/>
          <w:szCs w:val="12"/>
        </w:rPr>
      </w:pPr>
    </w:p>
    <w:p w14:paraId="7CC79742" w14:textId="2E96F727" w:rsidR="001268A8" w:rsidRPr="001268A8" w:rsidRDefault="001268A8" w:rsidP="001268A8">
      <w:pPr>
        <w:keepNext/>
        <w:spacing w:after="0" w:line="240" w:lineRule="auto"/>
        <w:jc w:val="center"/>
        <w:rPr>
          <w:rFonts w:ascii="Arial" w:eastAsia="SimSun" w:hAnsi="Arial" w:cs="Arial"/>
          <w:b/>
          <w:caps/>
          <w:sz w:val="20"/>
          <w:szCs w:val="20"/>
          <w:vertAlign w:val="superscript"/>
          <w:lang w:val="en-GB"/>
        </w:rPr>
      </w:pPr>
      <w:r w:rsidRPr="001268A8">
        <w:rPr>
          <w:rFonts w:ascii="Arial" w:eastAsia="SimSun" w:hAnsi="Arial" w:cs="Arial"/>
          <w:b/>
          <w:caps/>
          <w:sz w:val="20"/>
          <w:szCs w:val="20"/>
          <w:lang w:val="en-GB"/>
        </w:rPr>
        <w:t xml:space="preserve">Exhibit 8: Relevant Costs, Prices, Projections, and Notes for </w:t>
      </w:r>
      <w:r w:rsidR="00B046BC">
        <w:rPr>
          <w:rFonts w:ascii="Arial" w:eastAsia="SimSun" w:hAnsi="Arial" w:cs="Arial"/>
          <w:b/>
          <w:caps/>
          <w:sz w:val="20"/>
          <w:szCs w:val="20"/>
          <w:lang w:val="en-GB"/>
        </w:rPr>
        <w:t>wholesale production</w:t>
      </w:r>
    </w:p>
    <w:p w14:paraId="1002CCE5" w14:textId="77777777" w:rsidR="001268A8" w:rsidRPr="001172E1" w:rsidRDefault="001268A8" w:rsidP="001268A8">
      <w:pPr>
        <w:spacing w:after="0" w:line="240" w:lineRule="auto"/>
        <w:jc w:val="both"/>
        <w:rPr>
          <w:rFonts w:ascii="Arial" w:eastAsia="Times New Roman" w:hAnsi="Arial" w:cs="Arial"/>
          <w:sz w:val="12"/>
          <w:szCs w:val="12"/>
          <w:lang w:val="en-GB"/>
        </w:rPr>
      </w:pPr>
    </w:p>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1800"/>
        <w:gridCol w:w="3420"/>
      </w:tblGrid>
      <w:tr w:rsidR="001268A8" w:rsidRPr="001268A8" w14:paraId="5DD07A2F" w14:textId="77777777" w:rsidTr="0060066F">
        <w:trPr>
          <w:trHeight w:val="288"/>
          <w:jc w:val="center"/>
        </w:trPr>
        <w:tc>
          <w:tcPr>
            <w:tcW w:w="4140" w:type="dxa"/>
            <w:tcBorders>
              <w:top w:val="single" w:sz="4" w:space="0" w:color="auto"/>
              <w:bottom w:val="single" w:sz="4" w:space="0" w:color="auto"/>
            </w:tcBorders>
            <w:vAlign w:val="center"/>
          </w:tcPr>
          <w:p w14:paraId="567B21DD" w14:textId="77777777" w:rsidR="001268A8" w:rsidRPr="001268A8" w:rsidRDefault="001268A8" w:rsidP="001268A8">
            <w:pPr>
              <w:rPr>
                <w:rFonts w:ascii="Arial" w:eastAsia="Times New Roman" w:hAnsi="Arial" w:cs="Arial"/>
                <w:b/>
                <w:bCs/>
                <w:sz w:val="18"/>
                <w:szCs w:val="18"/>
                <w:lang w:val="en-GB"/>
              </w:rPr>
            </w:pPr>
            <w:r w:rsidRPr="001268A8">
              <w:rPr>
                <w:rFonts w:ascii="Arial" w:eastAsia="Times New Roman" w:hAnsi="Arial" w:cs="Arial"/>
                <w:b/>
                <w:bCs/>
                <w:sz w:val="18"/>
                <w:szCs w:val="18"/>
                <w:lang w:val="en-GB"/>
              </w:rPr>
              <w:t>Item</w:t>
            </w:r>
          </w:p>
        </w:tc>
        <w:tc>
          <w:tcPr>
            <w:tcW w:w="1800" w:type="dxa"/>
            <w:tcBorders>
              <w:top w:val="single" w:sz="4" w:space="0" w:color="auto"/>
              <w:bottom w:val="single" w:sz="4" w:space="0" w:color="auto"/>
            </w:tcBorders>
            <w:vAlign w:val="center"/>
          </w:tcPr>
          <w:p w14:paraId="4CCF0FB9" w14:textId="70946104"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Amount (CA$)</w:t>
            </w:r>
          </w:p>
        </w:tc>
        <w:tc>
          <w:tcPr>
            <w:tcW w:w="3420" w:type="dxa"/>
            <w:tcBorders>
              <w:top w:val="single" w:sz="4" w:space="0" w:color="auto"/>
              <w:bottom w:val="single" w:sz="4" w:space="0" w:color="auto"/>
            </w:tcBorders>
            <w:vAlign w:val="center"/>
          </w:tcPr>
          <w:p w14:paraId="3E9B1063" w14:textId="77777777"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Notes</w:t>
            </w:r>
          </w:p>
        </w:tc>
      </w:tr>
      <w:tr w:rsidR="001268A8" w:rsidRPr="001268A8" w14:paraId="5A996F47" w14:textId="77777777" w:rsidTr="0060066F">
        <w:trPr>
          <w:trHeight w:val="288"/>
          <w:jc w:val="center"/>
        </w:trPr>
        <w:tc>
          <w:tcPr>
            <w:tcW w:w="4140" w:type="dxa"/>
            <w:tcBorders>
              <w:top w:val="single" w:sz="4" w:space="0" w:color="auto"/>
            </w:tcBorders>
            <w:vAlign w:val="center"/>
          </w:tcPr>
          <w:p w14:paraId="21EC3D36"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Pod production</w:t>
            </w:r>
          </w:p>
        </w:tc>
        <w:tc>
          <w:tcPr>
            <w:tcW w:w="1800" w:type="dxa"/>
            <w:tcBorders>
              <w:top w:val="single" w:sz="4" w:space="0" w:color="auto"/>
            </w:tcBorders>
            <w:vAlign w:val="center"/>
          </w:tcPr>
          <w:p w14:paraId="7EF4F5D0" w14:textId="77777777" w:rsidR="001268A8" w:rsidRPr="001268A8" w:rsidRDefault="001268A8" w:rsidP="001268A8">
            <w:pPr>
              <w:jc w:val="center"/>
              <w:rPr>
                <w:rFonts w:ascii="Arial" w:eastAsia="Times New Roman" w:hAnsi="Arial" w:cs="Arial"/>
                <w:sz w:val="18"/>
                <w:szCs w:val="18"/>
                <w:lang w:val="en-GB"/>
              </w:rPr>
            </w:pPr>
            <w:r w:rsidRPr="001268A8">
              <w:rPr>
                <w:rFonts w:ascii="Arial" w:eastAsia="Times New Roman" w:hAnsi="Arial" w:cs="Arial"/>
                <w:sz w:val="18"/>
                <w:szCs w:val="18"/>
                <w:lang w:val="en-GB"/>
              </w:rPr>
              <w:t>$22,000 per pod</w:t>
            </w:r>
          </w:p>
        </w:tc>
        <w:tc>
          <w:tcPr>
            <w:tcW w:w="3420" w:type="dxa"/>
            <w:tcBorders>
              <w:top w:val="single" w:sz="4" w:space="0" w:color="auto"/>
            </w:tcBorders>
            <w:vAlign w:val="center"/>
          </w:tcPr>
          <w:p w14:paraId="16872B6B"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10-year useful life</w:t>
            </w:r>
          </w:p>
        </w:tc>
      </w:tr>
      <w:tr w:rsidR="001268A8" w:rsidRPr="001268A8" w14:paraId="1E087983" w14:textId="77777777" w:rsidTr="0060066F">
        <w:trPr>
          <w:trHeight w:val="288"/>
          <w:jc w:val="center"/>
        </w:trPr>
        <w:tc>
          <w:tcPr>
            <w:tcW w:w="4140" w:type="dxa"/>
            <w:vAlign w:val="center"/>
          </w:tcPr>
          <w:p w14:paraId="4B4ED49A"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Pod lighting and other fixtures</w:t>
            </w:r>
          </w:p>
        </w:tc>
        <w:tc>
          <w:tcPr>
            <w:tcW w:w="1800" w:type="dxa"/>
            <w:vAlign w:val="center"/>
          </w:tcPr>
          <w:p w14:paraId="2A3F01AC" w14:textId="77777777" w:rsidR="001268A8" w:rsidRPr="001268A8" w:rsidRDefault="001268A8" w:rsidP="001268A8">
            <w:pPr>
              <w:jc w:val="center"/>
              <w:rPr>
                <w:rFonts w:ascii="Arial" w:eastAsia="Times New Roman" w:hAnsi="Arial" w:cs="Arial"/>
                <w:sz w:val="18"/>
                <w:szCs w:val="18"/>
                <w:lang w:val="en-GB"/>
              </w:rPr>
            </w:pPr>
            <w:r w:rsidRPr="001268A8">
              <w:rPr>
                <w:rFonts w:ascii="Arial" w:eastAsia="Times New Roman" w:hAnsi="Arial" w:cs="Arial"/>
                <w:sz w:val="18"/>
                <w:szCs w:val="18"/>
                <w:lang w:val="en-GB"/>
              </w:rPr>
              <w:t>$10,000 per pod</w:t>
            </w:r>
          </w:p>
        </w:tc>
        <w:tc>
          <w:tcPr>
            <w:tcW w:w="3420" w:type="dxa"/>
            <w:vAlign w:val="center"/>
          </w:tcPr>
          <w:p w14:paraId="4E2FE246"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5-year useful life</w:t>
            </w:r>
          </w:p>
        </w:tc>
      </w:tr>
      <w:tr w:rsidR="001268A8" w:rsidRPr="001268A8" w14:paraId="2708159F" w14:textId="77777777" w:rsidTr="0060066F">
        <w:trPr>
          <w:trHeight w:val="288"/>
          <w:jc w:val="center"/>
        </w:trPr>
        <w:tc>
          <w:tcPr>
            <w:tcW w:w="4140" w:type="dxa"/>
            <w:vAlign w:val="center"/>
          </w:tcPr>
          <w:p w14:paraId="462A6783"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Miscellaneous costs (overhead, installation, etc.)</w:t>
            </w:r>
          </w:p>
        </w:tc>
        <w:tc>
          <w:tcPr>
            <w:tcW w:w="1800" w:type="dxa"/>
            <w:vAlign w:val="center"/>
          </w:tcPr>
          <w:p w14:paraId="63D1ED05" w14:textId="77777777" w:rsidR="001268A8" w:rsidRPr="001268A8" w:rsidRDefault="001268A8" w:rsidP="001268A8">
            <w:pPr>
              <w:jc w:val="center"/>
              <w:rPr>
                <w:rFonts w:ascii="Arial" w:eastAsia="Times New Roman" w:hAnsi="Arial" w:cs="Arial"/>
                <w:sz w:val="18"/>
                <w:szCs w:val="18"/>
                <w:lang w:val="en-GB"/>
              </w:rPr>
            </w:pPr>
            <w:r w:rsidRPr="001268A8">
              <w:rPr>
                <w:rFonts w:ascii="Arial" w:eastAsia="Times New Roman" w:hAnsi="Arial" w:cs="Arial"/>
                <w:sz w:val="18"/>
                <w:szCs w:val="18"/>
                <w:lang w:val="en-GB"/>
              </w:rPr>
              <w:t>$20,845 per pod</w:t>
            </w:r>
          </w:p>
        </w:tc>
        <w:tc>
          <w:tcPr>
            <w:tcW w:w="3420" w:type="dxa"/>
            <w:vAlign w:val="center"/>
          </w:tcPr>
          <w:p w14:paraId="077ED042"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Not incurred by Delta 9 for B2B sales</w:t>
            </w:r>
          </w:p>
        </w:tc>
      </w:tr>
      <w:tr w:rsidR="001268A8" w:rsidRPr="001268A8" w14:paraId="24D6D674" w14:textId="77777777" w:rsidTr="0060066F">
        <w:trPr>
          <w:trHeight w:val="288"/>
          <w:jc w:val="center"/>
        </w:trPr>
        <w:tc>
          <w:tcPr>
            <w:tcW w:w="4140" w:type="dxa"/>
            <w:vAlign w:val="center"/>
          </w:tcPr>
          <w:p w14:paraId="7C323D97"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Cost of production per gram</w:t>
            </w:r>
          </w:p>
        </w:tc>
        <w:tc>
          <w:tcPr>
            <w:tcW w:w="1800" w:type="dxa"/>
            <w:vAlign w:val="center"/>
          </w:tcPr>
          <w:p w14:paraId="2E71B8FA" w14:textId="77777777" w:rsidR="001268A8" w:rsidRPr="001268A8" w:rsidRDefault="001268A8" w:rsidP="001268A8">
            <w:pPr>
              <w:jc w:val="center"/>
              <w:rPr>
                <w:rFonts w:ascii="Arial" w:eastAsia="Times New Roman" w:hAnsi="Arial" w:cs="Arial"/>
                <w:sz w:val="18"/>
                <w:szCs w:val="18"/>
                <w:lang w:val="en-GB"/>
              </w:rPr>
            </w:pPr>
            <w:r w:rsidRPr="001268A8">
              <w:rPr>
                <w:rFonts w:ascii="Arial" w:eastAsia="Times New Roman" w:hAnsi="Arial" w:cs="Arial"/>
                <w:sz w:val="18"/>
                <w:szCs w:val="18"/>
                <w:lang w:val="en-GB"/>
              </w:rPr>
              <w:t>$0.95</w:t>
            </w:r>
          </w:p>
        </w:tc>
        <w:tc>
          <w:tcPr>
            <w:tcW w:w="3420" w:type="dxa"/>
            <w:vAlign w:val="center"/>
          </w:tcPr>
          <w:p w14:paraId="5BD210AE"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Long-term projection: $0.75–$0.80</w:t>
            </w:r>
          </w:p>
        </w:tc>
      </w:tr>
      <w:tr w:rsidR="001268A8" w:rsidRPr="001268A8" w14:paraId="40D21367" w14:textId="77777777" w:rsidTr="0060066F">
        <w:trPr>
          <w:trHeight w:val="288"/>
          <w:jc w:val="center"/>
        </w:trPr>
        <w:tc>
          <w:tcPr>
            <w:tcW w:w="4140" w:type="dxa"/>
            <w:vAlign w:val="center"/>
          </w:tcPr>
          <w:p w14:paraId="60EDE18D"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Wholesale price per gram</w:t>
            </w:r>
          </w:p>
        </w:tc>
        <w:tc>
          <w:tcPr>
            <w:tcW w:w="1800" w:type="dxa"/>
            <w:vAlign w:val="center"/>
          </w:tcPr>
          <w:p w14:paraId="20F2CE05" w14:textId="77777777" w:rsidR="001268A8" w:rsidRPr="001268A8" w:rsidRDefault="001268A8" w:rsidP="001268A8">
            <w:pPr>
              <w:jc w:val="center"/>
              <w:rPr>
                <w:rFonts w:ascii="Arial" w:eastAsia="Times New Roman" w:hAnsi="Arial" w:cs="Arial"/>
                <w:sz w:val="18"/>
                <w:szCs w:val="18"/>
                <w:lang w:val="en-GB"/>
              </w:rPr>
            </w:pPr>
            <w:r w:rsidRPr="001268A8">
              <w:rPr>
                <w:rFonts w:ascii="Arial" w:eastAsia="Times New Roman" w:hAnsi="Arial" w:cs="Arial"/>
                <w:sz w:val="18"/>
                <w:szCs w:val="18"/>
                <w:lang w:val="en-GB"/>
              </w:rPr>
              <w:t>$3.75</w:t>
            </w:r>
          </w:p>
        </w:tc>
        <w:tc>
          <w:tcPr>
            <w:tcW w:w="3420" w:type="dxa"/>
            <w:vAlign w:val="center"/>
          </w:tcPr>
          <w:p w14:paraId="1DD64998"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Long-term projection: $4.00–$5.00</w:t>
            </w:r>
          </w:p>
        </w:tc>
      </w:tr>
      <w:tr w:rsidR="001268A8" w:rsidRPr="001268A8" w14:paraId="5823EF10" w14:textId="77777777" w:rsidTr="0060066F">
        <w:trPr>
          <w:trHeight w:val="288"/>
          <w:jc w:val="center"/>
        </w:trPr>
        <w:tc>
          <w:tcPr>
            <w:tcW w:w="4140" w:type="dxa"/>
            <w:vAlign w:val="center"/>
          </w:tcPr>
          <w:p w14:paraId="563F1F52"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Excise tax</w:t>
            </w:r>
          </w:p>
        </w:tc>
        <w:tc>
          <w:tcPr>
            <w:tcW w:w="1800" w:type="dxa"/>
            <w:vAlign w:val="center"/>
          </w:tcPr>
          <w:p w14:paraId="4EA182E0" w14:textId="77777777" w:rsidR="001268A8" w:rsidRPr="001268A8" w:rsidRDefault="001268A8" w:rsidP="001268A8">
            <w:pPr>
              <w:jc w:val="center"/>
              <w:rPr>
                <w:rFonts w:ascii="Arial" w:eastAsia="Times New Roman" w:hAnsi="Arial" w:cs="Arial"/>
                <w:sz w:val="18"/>
                <w:szCs w:val="18"/>
                <w:lang w:val="en-GB"/>
              </w:rPr>
            </w:pPr>
            <w:r w:rsidRPr="001268A8">
              <w:rPr>
                <w:rFonts w:ascii="Arial" w:eastAsia="Times New Roman" w:hAnsi="Arial" w:cs="Arial"/>
                <w:sz w:val="18"/>
                <w:szCs w:val="18"/>
                <w:lang w:val="en-GB"/>
              </w:rPr>
              <w:t>$1.00 per gram</w:t>
            </w:r>
          </w:p>
        </w:tc>
        <w:tc>
          <w:tcPr>
            <w:tcW w:w="3420" w:type="dxa"/>
            <w:vAlign w:val="center"/>
          </w:tcPr>
          <w:p w14:paraId="2526AF68"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Paid in addition to corporate tax</w:t>
            </w:r>
          </w:p>
        </w:tc>
      </w:tr>
    </w:tbl>
    <w:p w14:paraId="7597212F" w14:textId="77777777" w:rsidR="001268A8" w:rsidRPr="001172E1" w:rsidRDefault="001268A8" w:rsidP="001268A8">
      <w:pPr>
        <w:spacing w:after="0" w:line="240" w:lineRule="auto"/>
        <w:jc w:val="both"/>
        <w:rPr>
          <w:rFonts w:ascii="Arial" w:eastAsia="SimSun" w:hAnsi="Arial" w:cs="Arial"/>
          <w:sz w:val="12"/>
          <w:szCs w:val="12"/>
          <w:lang w:val="en-GB"/>
        </w:rPr>
      </w:pPr>
    </w:p>
    <w:p w14:paraId="41E10940" w14:textId="77777777" w:rsidR="001268A8" w:rsidRPr="00B558E0" w:rsidRDefault="001268A8" w:rsidP="001268A8">
      <w:pPr>
        <w:spacing w:after="0" w:line="240" w:lineRule="auto"/>
        <w:jc w:val="both"/>
        <w:rPr>
          <w:rFonts w:ascii="Arial" w:eastAsia="SimSun" w:hAnsi="Arial" w:cs="Arial"/>
          <w:spacing w:val="-4"/>
          <w:sz w:val="17"/>
          <w:szCs w:val="17"/>
          <w:lang w:val="en-GB"/>
        </w:rPr>
      </w:pPr>
      <w:r w:rsidRPr="00B558E0">
        <w:rPr>
          <w:rFonts w:ascii="Arial" w:eastAsia="SimSun" w:hAnsi="Arial" w:cs="Arial"/>
          <w:spacing w:val="-4"/>
          <w:sz w:val="17"/>
          <w:szCs w:val="17"/>
          <w:lang w:val="en-GB"/>
        </w:rPr>
        <w:t xml:space="preserve">Source: </w:t>
      </w:r>
      <w:r w:rsidRPr="00B558E0">
        <w:rPr>
          <w:rFonts w:ascii="Arial" w:eastAsia="Times New Roman" w:hAnsi="Arial" w:cs="Arial"/>
          <w:spacing w:val="-4"/>
          <w:sz w:val="17"/>
          <w:szCs w:val="17"/>
          <w:lang w:val="en-GB"/>
        </w:rPr>
        <w:t>Jim Lawson (chief financial officer, Delta 9 Cannabis Inc.), interview by author, August 26, 2020; Delta 9 Cannabis Inc., “Investor Presentation Q2 2020,” March 2020, accessed September 24, 2020, https://cdn.shopify.com/s/files/1/0067/7596/3703/files/Delta_9_Investor_Presentation_Q2_2020.pdf?v=1589997898; Delta 9 Cannabis Inc., “Consolidated Interim Financial Statements (Unaudited),” June 30, 2020, accessed September 24, 2020, https://cdn.shopify.com/s/files/1/0067/7596/3703/files/2020_Delta_9_Financial_Statements_and_Notes_Q2.pdf?v=1600283043.</w:t>
      </w:r>
    </w:p>
    <w:p w14:paraId="712CBBC8" w14:textId="77777777" w:rsidR="001268A8" w:rsidRPr="001172E1" w:rsidRDefault="001268A8" w:rsidP="001268A8">
      <w:pPr>
        <w:spacing w:after="0" w:line="240" w:lineRule="auto"/>
        <w:jc w:val="both"/>
        <w:rPr>
          <w:rFonts w:ascii="Arial" w:eastAsia="SimSun" w:hAnsi="Arial" w:cs="Arial"/>
          <w:sz w:val="12"/>
          <w:szCs w:val="12"/>
          <w:lang w:val="en-GB"/>
        </w:rPr>
      </w:pPr>
    </w:p>
    <w:p w14:paraId="5C2CD832" w14:textId="77777777" w:rsidR="001268A8" w:rsidRPr="001172E1" w:rsidRDefault="001268A8" w:rsidP="001268A8">
      <w:pPr>
        <w:spacing w:after="0" w:line="240" w:lineRule="auto"/>
        <w:jc w:val="both"/>
        <w:rPr>
          <w:rFonts w:ascii="Arial" w:eastAsia="SimSun" w:hAnsi="Arial" w:cs="Arial"/>
          <w:sz w:val="12"/>
          <w:szCs w:val="12"/>
          <w:lang w:val="en-GB"/>
        </w:rPr>
      </w:pPr>
    </w:p>
    <w:p w14:paraId="3F6EEFC6" w14:textId="77777777" w:rsidR="001268A8" w:rsidRPr="001268A8" w:rsidRDefault="001268A8" w:rsidP="001268A8">
      <w:pPr>
        <w:keepNext/>
        <w:spacing w:after="0" w:line="240" w:lineRule="auto"/>
        <w:jc w:val="center"/>
        <w:rPr>
          <w:rFonts w:ascii="Arial" w:eastAsia="SimSun" w:hAnsi="Arial" w:cs="Arial"/>
          <w:b/>
          <w:caps/>
          <w:sz w:val="20"/>
          <w:szCs w:val="20"/>
          <w:lang w:val="en-GB"/>
        </w:rPr>
      </w:pPr>
      <w:r w:rsidRPr="001268A8">
        <w:rPr>
          <w:rFonts w:ascii="Arial" w:eastAsia="SimSun" w:hAnsi="Arial" w:cs="Arial"/>
          <w:b/>
          <w:caps/>
          <w:sz w:val="20"/>
          <w:szCs w:val="20"/>
          <w:lang w:val="en-GB"/>
        </w:rPr>
        <w:t>Exhibit 9: Cannabis Retail Saturation Indicators (March 2020)</w:t>
      </w:r>
    </w:p>
    <w:p w14:paraId="1DF15134" w14:textId="77777777" w:rsidR="001268A8" w:rsidRPr="001172E1" w:rsidRDefault="001268A8" w:rsidP="001268A8">
      <w:pPr>
        <w:spacing w:after="0" w:line="240" w:lineRule="auto"/>
        <w:jc w:val="both"/>
        <w:rPr>
          <w:rFonts w:ascii="Arial" w:eastAsia="Times New Roman" w:hAnsi="Arial" w:cs="Arial"/>
          <w:sz w:val="12"/>
          <w:szCs w:val="12"/>
          <w:lang w:val="en-GB"/>
        </w:rPr>
      </w:pPr>
    </w:p>
    <w:tbl>
      <w:tblPr>
        <w:tblStyle w:val="TableGrid2"/>
        <w:tblW w:w="5000"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7"/>
        <w:gridCol w:w="1710"/>
        <w:gridCol w:w="1711"/>
        <w:gridCol w:w="1711"/>
        <w:gridCol w:w="1711"/>
      </w:tblGrid>
      <w:tr w:rsidR="001268A8" w:rsidRPr="001268A8" w14:paraId="3BADF3E3" w14:textId="77777777" w:rsidTr="0060066F">
        <w:trPr>
          <w:trHeight w:val="288"/>
        </w:trPr>
        <w:tc>
          <w:tcPr>
            <w:tcW w:w="2515" w:type="dxa"/>
            <w:tcBorders>
              <w:top w:val="single" w:sz="4" w:space="0" w:color="auto"/>
              <w:bottom w:val="single" w:sz="4" w:space="0" w:color="auto"/>
            </w:tcBorders>
            <w:noWrap/>
            <w:vAlign w:val="center"/>
            <w:hideMark/>
          </w:tcPr>
          <w:p w14:paraId="4DC4FC4D" w14:textId="77777777" w:rsidR="001268A8" w:rsidRPr="001268A8" w:rsidRDefault="001268A8" w:rsidP="001268A8">
            <w:pPr>
              <w:jc w:val="both"/>
              <w:rPr>
                <w:rFonts w:ascii="Arial" w:eastAsia="Times New Roman" w:hAnsi="Arial" w:cs="Arial"/>
                <w:b/>
                <w:bCs/>
                <w:sz w:val="18"/>
                <w:szCs w:val="18"/>
                <w:lang w:val="en-GB"/>
              </w:rPr>
            </w:pPr>
            <w:r w:rsidRPr="001268A8">
              <w:rPr>
                <w:rFonts w:ascii="Arial" w:eastAsia="Times New Roman" w:hAnsi="Arial" w:cs="Arial"/>
                <w:b/>
                <w:bCs/>
                <w:sz w:val="18"/>
                <w:szCs w:val="18"/>
                <w:lang w:val="en-GB"/>
              </w:rPr>
              <w:t>Province</w:t>
            </w:r>
          </w:p>
        </w:tc>
        <w:tc>
          <w:tcPr>
            <w:tcW w:w="1708" w:type="dxa"/>
            <w:tcBorders>
              <w:top w:val="single" w:sz="4" w:space="0" w:color="auto"/>
              <w:bottom w:val="single" w:sz="4" w:space="0" w:color="auto"/>
            </w:tcBorders>
            <w:noWrap/>
            <w:vAlign w:val="center"/>
            <w:hideMark/>
          </w:tcPr>
          <w:p w14:paraId="190FE998" w14:textId="075ACC18"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Retail Sales for Month (CA$</w:t>
            </w:r>
            <w:r w:rsidR="00711510">
              <w:rPr>
                <w:rFonts w:ascii="Arial" w:eastAsia="Times New Roman" w:hAnsi="Arial" w:cs="Arial"/>
                <w:b/>
                <w:bCs/>
                <w:sz w:val="18"/>
                <w:szCs w:val="18"/>
                <w:lang w:val="en-GB"/>
              </w:rPr>
              <w:t xml:space="preserve"> </w:t>
            </w:r>
            <w:r w:rsidRPr="001268A8">
              <w:rPr>
                <w:rFonts w:ascii="Arial" w:eastAsia="Times New Roman" w:hAnsi="Arial" w:cs="Arial"/>
                <w:b/>
                <w:bCs/>
                <w:sz w:val="18"/>
                <w:szCs w:val="18"/>
                <w:lang w:val="en-GB"/>
              </w:rPr>
              <w:t>000</w:t>
            </w:r>
            <w:r w:rsidR="00711510">
              <w:rPr>
                <w:rFonts w:ascii="Arial" w:eastAsia="Times New Roman" w:hAnsi="Arial" w:cs="Arial"/>
                <w:b/>
                <w:bCs/>
                <w:sz w:val="18"/>
                <w:szCs w:val="18"/>
                <w:lang w:val="en-GB"/>
              </w:rPr>
              <w:t>s</w:t>
            </w:r>
            <w:r w:rsidRPr="001268A8">
              <w:rPr>
                <w:rFonts w:ascii="Arial" w:eastAsia="Times New Roman" w:hAnsi="Arial" w:cs="Arial"/>
                <w:b/>
                <w:bCs/>
                <w:sz w:val="18"/>
                <w:szCs w:val="18"/>
                <w:lang w:val="en-GB"/>
              </w:rPr>
              <w:t>)</w:t>
            </w:r>
          </w:p>
        </w:tc>
        <w:tc>
          <w:tcPr>
            <w:tcW w:w="1709" w:type="dxa"/>
            <w:tcBorders>
              <w:top w:val="single" w:sz="4" w:space="0" w:color="auto"/>
              <w:bottom w:val="single" w:sz="4" w:space="0" w:color="auto"/>
            </w:tcBorders>
            <w:noWrap/>
            <w:vAlign w:val="center"/>
            <w:hideMark/>
          </w:tcPr>
          <w:p w14:paraId="12813AF9" w14:textId="77777777"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Population</w:t>
            </w:r>
          </w:p>
        </w:tc>
        <w:tc>
          <w:tcPr>
            <w:tcW w:w="1709" w:type="dxa"/>
            <w:tcBorders>
              <w:top w:val="single" w:sz="4" w:space="0" w:color="auto"/>
              <w:bottom w:val="single" w:sz="4" w:space="0" w:color="auto"/>
            </w:tcBorders>
            <w:noWrap/>
            <w:vAlign w:val="center"/>
            <w:hideMark/>
          </w:tcPr>
          <w:p w14:paraId="02C01244" w14:textId="77777777"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Retail Stores (#)</w:t>
            </w:r>
          </w:p>
        </w:tc>
        <w:tc>
          <w:tcPr>
            <w:tcW w:w="1709" w:type="dxa"/>
            <w:tcBorders>
              <w:top w:val="single" w:sz="4" w:space="0" w:color="auto"/>
              <w:bottom w:val="single" w:sz="4" w:space="0" w:color="auto"/>
            </w:tcBorders>
            <w:noWrap/>
            <w:vAlign w:val="center"/>
            <w:hideMark/>
          </w:tcPr>
          <w:p w14:paraId="1D8969D6" w14:textId="77777777" w:rsidR="001268A8" w:rsidRPr="001268A8" w:rsidRDefault="001268A8" w:rsidP="001268A8">
            <w:pPr>
              <w:jc w:val="center"/>
              <w:rPr>
                <w:rFonts w:ascii="Arial" w:eastAsia="Times New Roman" w:hAnsi="Arial" w:cs="Arial"/>
                <w:b/>
                <w:bCs/>
                <w:sz w:val="18"/>
                <w:szCs w:val="18"/>
                <w:lang w:val="en-GB"/>
              </w:rPr>
            </w:pPr>
            <w:r w:rsidRPr="001268A8">
              <w:rPr>
                <w:rFonts w:ascii="Arial" w:eastAsia="Times New Roman" w:hAnsi="Arial" w:cs="Arial"/>
                <w:b/>
                <w:bCs/>
                <w:sz w:val="18"/>
                <w:szCs w:val="18"/>
                <w:lang w:val="en-GB"/>
              </w:rPr>
              <w:t>Population per Store</w:t>
            </w:r>
          </w:p>
        </w:tc>
      </w:tr>
      <w:tr w:rsidR="001268A8" w:rsidRPr="001268A8" w14:paraId="754E57C9" w14:textId="77777777" w:rsidTr="0060066F">
        <w:trPr>
          <w:trHeight w:val="288"/>
        </w:trPr>
        <w:tc>
          <w:tcPr>
            <w:tcW w:w="2515" w:type="dxa"/>
            <w:tcBorders>
              <w:top w:val="single" w:sz="4" w:space="0" w:color="auto"/>
            </w:tcBorders>
            <w:noWrap/>
            <w:vAlign w:val="center"/>
            <w:hideMark/>
          </w:tcPr>
          <w:p w14:paraId="1B721E57" w14:textId="77777777" w:rsidR="001268A8" w:rsidRPr="001268A8" w:rsidRDefault="001268A8" w:rsidP="001268A8">
            <w:pPr>
              <w:jc w:val="both"/>
              <w:rPr>
                <w:rFonts w:ascii="Arial" w:eastAsia="Times New Roman" w:hAnsi="Arial" w:cs="Arial"/>
                <w:sz w:val="18"/>
                <w:szCs w:val="18"/>
                <w:lang w:val="en-GB"/>
              </w:rPr>
            </w:pPr>
            <w:r w:rsidRPr="001268A8">
              <w:rPr>
                <w:rFonts w:ascii="Arial" w:eastAsia="Times New Roman" w:hAnsi="Arial" w:cs="Arial"/>
                <w:sz w:val="18"/>
                <w:szCs w:val="18"/>
                <w:lang w:val="en-GB"/>
              </w:rPr>
              <w:t>Newfoundland and Labrador</w:t>
            </w:r>
          </w:p>
        </w:tc>
        <w:tc>
          <w:tcPr>
            <w:tcW w:w="1708" w:type="dxa"/>
            <w:tcBorders>
              <w:top w:val="single" w:sz="4" w:space="0" w:color="auto"/>
            </w:tcBorders>
            <w:noWrap/>
            <w:vAlign w:val="center"/>
            <w:hideMark/>
          </w:tcPr>
          <w:p w14:paraId="04029F0A"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3,039</w:t>
            </w:r>
          </w:p>
        </w:tc>
        <w:tc>
          <w:tcPr>
            <w:tcW w:w="1709" w:type="dxa"/>
            <w:tcBorders>
              <w:top w:val="single" w:sz="4" w:space="0" w:color="auto"/>
            </w:tcBorders>
            <w:noWrap/>
            <w:vAlign w:val="center"/>
            <w:hideMark/>
          </w:tcPr>
          <w:p w14:paraId="739BF548"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521,542</w:t>
            </w:r>
          </w:p>
        </w:tc>
        <w:tc>
          <w:tcPr>
            <w:tcW w:w="1709" w:type="dxa"/>
            <w:tcBorders>
              <w:top w:val="single" w:sz="4" w:space="0" w:color="auto"/>
            </w:tcBorders>
            <w:noWrap/>
            <w:vAlign w:val="center"/>
            <w:hideMark/>
          </w:tcPr>
          <w:p w14:paraId="411DC344"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26</w:t>
            </w:r>
          </w:p>
        </w:tc>
        <w:tc>
          <w:tcPr>
            <w:tcW w:w="1709" w:type="dxa"/>
            <w:tcBorders>
              <w:top w:val="single" w:sz="4" w:space="0" w:color="auto"/>
            </w:tcBorders>
            <w:noWrap/>
            <w:vAlign w:val="center"/>
            <w:hideMark/>
          </w:tcPr>
          <w:p w14:paraId="2DD8E823"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20,060</w:t>
            </w:r>
          </w:p>
        </w:tc>
      </w:tr>
      <w:tr w:rsidR="001268A8" w:rsidRPr="001268A8" w14:paraId="66D8DB8F" w14:textId="77777777" w:rsidTr="0060066F">
        <w:trPr>
          <w:trHeight w:val="288"/>
        </w:trPr>
        <w:tc>
          <w:tcPr>
            <w:tcW w:w="2515" w:type="dxa"/>
            <w:noWrap/>
            <w:vAlign w:val="center"/>
            <w:hideMark/>
          </w:tcPr>
          <w:p w14:paraId="598AA863" w14:textId="77777777" w:rsidR="001268A8" w:rsidRPr="001268A8" w:rsidRDefault="001268A8" w:rsidP="001268A8">
            <w:pPr>
              <w:jc w:val="both"/>
              <w:rPr>
                <w:rFonts w:ascii="Arial" w:eastAsia="Times New Roman" w:hAnsi="Arial" w:cs="Arial"/>
                <w:sz w:val="18"/>
                <w:szCs w:val="18"/>
                <w:lang w:val="en-GB"/>
              </w:rPr>
            </w:pPr>
            <w:r w:rsidRPr="001268A8">
              <w:rPr>
                <w:rFonts w:ascii="Arial" w:eastAsia="Times New Roman" w:hAnsi="Arial" w:cs="Arial"/>
                <w:sz w:val="18"/>
                <w:szCs w:val="18"/>
                <w:lang w:val="en-GB"/>
              </w:rPr>
              <w:t>Ontario*</w:t>
            </w:r>
          </w:p>
        </w:tc>
        <w:tc>
          <w:tcPr>
            <w:tcW w:w="1708" w:type="dxa"/>
            <w:noWrap/>
            <w:vAlign w:val="center"/>
            <w:hideMark/>
          </w:tcPr>
          <w:p w14:paraId="376ACD3C"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47,304</w:t>
            </w:r>
          </w:p>
        </w:tc>
        <w:tc>
          <w:tcPr>
            <w:tcW w:w="1709" w:type="dxa"/>
            <w:noWrap/>
            <w:vAlign w:val="center"/>
            <w:hideMark/>
          </w:tcPr>
          <w:p w14:paraId="17504686"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14,566,547</w:t>
            </w:r>
          </w:p>
        </w:tc>
        <w:tc>
          <w:tcPr>
            <w:tcW w:w="1709" w:type="dxa"/>
            <w:noWrap/>
            <w:vAlign w:val="center"/>
            <w:hideMark/>
          </w:tcPr>
          <w:p w14:paraId="7DAE4058"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47</w:t>
            </w:r>
          </w:p>
        </w:tc>
        <w:tc>
          <w:tcPr>
            <w:tcW w:w="1709" w:type="dxa"/>
            <w:noWrap/>
            <w:vAlign w:val="center"/>
            <w:hideMark/>
          </w:tcPr>
          <w:p w14:paraId="20E75C9E"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309,927</w:t>
            </w:r>
          </w:p>
        </w:tc>
      </w:tr>
      <w:tr w:rsidR="001268A8" w:rsidRPr="001268A8" w14:paraId="09B8288C" w14:textId="77777777" w:rsidTr="0060066F">
        <w:trPr>
          <w:trHeight w:val="288"/>
        </w:trPr>
        <w:tc>
          <w:tcPr>
            <w:tcW w:w="2515" w:type="dxa"/>
            <w:noWrap/>
            <w:vAlign w:val="center"/>
            <w:hideMark/>
          </w:tcPr>
          <w:p w14:paraId="286BE5B3" w14:textId="77777777" w:rsidR="001268A8" w:rsidRPr="001268A8" w:rsidRDefault="001268A8" w:rsidP="001268A8">
            <w:pPr>
              <w:jc w:val="both"/>
              <w:rPr>
                <w:rFonts w:ascii="Arial" w:eastAsia="Times New Roman" w:hAnsi="Arial" w:cs="Arial"/>
                <w:sz w:val="18"/>
                <w:szCs w:val="18"/>
                <w:lang w:val="en-GB"/>
              </w:rPr>
            </w:pPr>
            <w:r w:rsidRPr="001268A8">
              <w:rPr>
                <w:rFonts w:ascii="Arial" w:eastAsia="Times New Roman" w:hAnsi="Arial" w:cs="Arial"/>
                <w:sz w:val="18"/>
                <w:szCs w:val="18"/>
                <w:lang w:val="en-GB"/>
              </w:rPr>
              <w:t>Manitoba</w:t>
            </w:r>
          </w:p>
        </w:tc>
        <w:tc>
          <w:tcPr>
            <w:tcW w:w="1708" w:type="dxa"/>
            <w:noWrap/>
            <w:vAlign w:val="center"/>
            <w:hideMark/>
          </w:tcPr>
          <w:p w14:paraId="4E57DB51"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6,849</w:t>
            </w:r>
          </w:p>
        </w:tc>
        <w:tc>
          <w:tcPr>
            <w:tcW w:w="1709" w:type="dxa"/>
            <w:noWrap/>
            <w:vAlign w:val="center"/>
            <w:hideMark/>
          </w:tcPr>
          <w:p w14:paraId="1B85A3B8"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1,369,465</w:t>
            </w:r>
          </w:p>
        </w:tc>
        <w:tc>
          <w:tcPr>
            <w:tcW w:w="1709" w:type="dxa"/>
            <w:noWrap/>
            <w:vAlign w:val="center"/>
            <w:hideMark/>
          </w:tcPr>
          <w:p w14:paraId="70E695E5"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34</w:t>
            </w:r>
          </w:p>
        </w:tc>
        <w:tc>
          <w:tcPr>
            <w:tcW w:w="1709" w:type="dxa"/>
            <w:noWrap/>
            <w:vAlign w:val="center"/>
            <w:hideMark/>
          </w:tcPr>
          <w:p w14:paraId="59115A0A"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40,279</w:t>
            </w:r>
          </w:p>
        </w:tc>
      </w:tr>
      <w:tr w:rsidR="001268A8" w:rsidRPr="001268A8" w14:paraId="18BB0332" w14:textId="77777777" w:rsidTr="0060066F">
        <w:trPr>
          <w:trHeight w:val="288"/>
        </w:trPr>
        <w:tc>
          <w:tcPr>
            <w:tcW w:w="2515" w:type="dxa"/>
            <w:noWrap/>
            <w:vAlign w:val="center"/>
            <w:hideMark/>
          </w:tcPr>
          <w:p w14:paraId="78F84073" w14:textId="77777777" w:rsidR="001268A8" w:rsidRPr="001268A8" w:rsidRDefault="001268A8" w:rsidP="001268A8">
            <w:pPr>
              <w:jc w:val="both"/>
              <w:rPr>
                <w:rFonts w:ascii="Arial" w:eastAsia="Times New Roman" w:hAnsi="Arial" w:cs="Arial"/>
                <w:sz w:val="18"/>
                <w:szCs w:val="18"/>
                <w:lang w:val="en-GB"/>
              </w:rPr>
            </w:pPr>
            <w:r w:rsidRPr="001268A8">
              <w:rPr>
                <w:rFonts w:ascii="Arial" w:eastAsia="Times New Roman" w:hAnsi="Arial" w:cs="Arial"/>
                <w:sz w:val="18"/>
                <w:szCs w:val="18"/>
                <w:lang w:val="en-GB"/>
              </w:rPr>
              <w:t>Saskatchewan</w:t>
            </w:r>
          </w:p>
        </w:tc>
        <w:tc>
          <w:tcPr>
            <w:tcW w:w="1708" w:type="dxa"/>
            <w:noWrap/>
            <w:vAlign w:val="center"/>
            <w:hideMark/>
          </w:tcPr>
          <w:p w14:paraId="66CD6174"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8,811</w:t>
            </w:r>
          </w:p>
        </w:tc>
        <w:tc>
          <w:tcPr>
            <w:tcW w:w="1709" w:type="dxa"/>
            <w:noWrap/>
            <w:vAlign w:val="center"/>
            <w:hideMark/>
          </w:tcPr>
          <w:p w14:paraId="70208BB6"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1,174,462</w:t>
            </w:r>
          </w:p>
        </w:tc>
        <w:tc>
          <w:tcPr>
            <w:tcW w:w="1709" w:type="dxa"/>
            <w:noWrap/>
            <w:vAlign w:val="center"/>
            <w:hideMark/>
          </w:tcPr>
          <w:p w14:paraId="2B9CA687"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44</w:t>
            </w:r>
          </w:p>
        </w:tc>
        <w:tc>
          <w:tcPr>
            <w:tcW w:w="1709" w:type="dxa"/>
            <w:noWrap/>
            <w:vAlign w:val="center"/>
            <w:hideMark/>
          </w:tcPr>
          <w:p w14:paraId="33AD419D"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26,693</w:t>
            </w:r>
          </w:p>
        </w:tc>
      </w:tr>
      <w:tr w:rsidR="001268A8" w:rsidRPr="001268A8" w14:paraId="0C7D1E17" w14:textId="77777777" w:rsidTr="0060066F">
        <w:trPr>
          <w:trHeight w:val="288"/>
        </w:trPr>
        <w:tc>
          <w:tcPr>
            <w:tcW w:w="2515" w:type="dxa"/>
            <w:noWrap/>
            <w:vAlign w:val="center"/>
            <w:hideMark/>
          </w:tcPr>
          <w:p w14:paraId="597662DD" w14:textId="77777777" w:rsidR="001268A8" w:rsidRPr="001268A8" w:rsidRDefault="001268A8" w:rsidP="001268A8">
            <w:pPr>
              <w:jc w:val="both"/>
              <w:rPr>
                <w:rFonts w:ascii="Arial" w:eastAsia="Times New Roman" w:hAnsi="Arial" w:cs="Arial"/>
                <w:sz w:val="18"/>
                <w:szCs w:val="18"/>
                <w:lang w:val="en-GB"/>
              </w:rPr>
            </w:pPr>
            <w:r w:rsidRPr="001268A8">
              <w:rPr>
                <w:rFonts w:ascii="Arial" w:eastAsia="Times New Roman" w:hAnsi="Arial" w:cs="Arial"/>
                <w:sz w:val="18"/>
                <w:szCs w:val="18"/>
                <w:lang w:val="en-GB"/>
              </w:rPr>
              <w:t>Alberta</w:t>
            </w:r>
          </w:p>
        </w:tc>
        <w:tc>
          <w:tcPr>
            <w:tcW w:w="1708" w:type="dxa"/>
            <w:noWrap/>
            <w:vAlign w:val="center"/>
            <w:hideMark/>
          </w:tcPr>
          <w:p w14:paraId="2DBB9FFD"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40,310</w:t>
            </w:r>
          </w:p>
        </w:tc>
        <w:tc>
          <w:tcPr>
            <w:tcW w:w="1709" w:type="dxa"/>
            <w:noWrap/>
            <w:vAlign w:val="center"/>
            <w:hideMark/>
          </w:tcPr>
          <w:p w14:paraId="11F56F60"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4,371,316</w:t>
            </w:r>
          </w:p>
        </w:tc>
        <w:tc>
          <w:tcPr>
            <w:tcW w:w="1709" w:type="dxa"/>
            <w:noWrap/>
            <w:vAlign w:val="center"/>
            <w:hideMark/>
          </w:tcPr>
          <w:p w14:paraId="0FBE6DC6"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426</w:t>
            </w:r>
          </w:p>
        </w:tc>
        <w:tc>
          <w:tcPr>
            <w:tcW w:w="1709" w:type="dxa"/>
            <w:noWrap/>
            <w:vAlign w:val="center"/>
            <w:hideMark/>
          </w:tcPr>
          <w:p w14:paraId="17860BBD"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10,262</w:t>
            </w:r>
          </w:p>
        </w:tc>
      </w:tr>
      <w:tr w:rsidR="001268A8" w:rsidRPr="001268A8" w14:paraId="2161EC1A" w14:textId="77777777" w:rsidTr="0060066F">
        <w:trPr>
          <w:trHeight w:val="288"/>
        </w:trPr>
        <w:tc>
          <w:tcPr>
            <w:tcW w:w="2515" w:type="dxa"/>
            <w:noWrap/>
            <w:vAlign w:val="center"/>
            <w:hideMark/>
          </w:tcPr>
          <w:p w14:paraId="36F81652" w14:textId="77777777" w:rsidR="001268A8" w:rsidRPr="001268A8" w:rsidRDefault="001268A8" w:rsidP="001268A8">
            <w:pPr>
              <w:jc w:val="both"/>
              <w:rPr>
                <w:rFonts w:ascii="Arial" w:eastAsia="Times New Roman" w:hAnsi="Arial" w:cs="Arial"/>
                <w:sz w:val="18"/>
                <w:szCs w:val="18"/>
                <w:lang w:val="en-GB"/>
              </w:rPr>
            </w:pPr>
            <w:r w:rsidRPr="001268A8">
              <w:rPr>
                <w:rFonts w:ascii="Arial" w:eastAsia="Times New Roman" w:hAnsi="Arial" w:cs="Arial"/>
                <w:sz w:val="18"/>
                <w:szCs w:val="18"/>
                <w:lang w:val="en-GB"/>
              </w:rPr>
              <w:t>British Columbia</w:t>
            </w:r>
          </w:p>
        </w:tc>
        <w:tc>
          <w:tcPr>
            <w:tcW w:w="1708" w:type="dxa"/>
            <w:noWrap/>
            <w:vAlign w:val="center"/>
            <w:hideMark/>
          </w:tcPr>
          <w:p w14:paraId="667D29F1"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23,699</w:t>
            </w:r>
          </w:p>
        </w:tc>
        <w:tc>
          <w:tcPr>
            <w:tcW w:w="1709" w:type="dxa"/>
            <w:noWrap/>
            <w:vAlign w:val="center"/>
            <w:hideMark/>
          </w:tcPr>
          <w:p w14:paraId="6ABF00CD"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5,071,336</w:t>
            </w:r>
          </w:p>
        </w:tc>
        <w:tc>
          <w:tcPr>
            <w:tcW w:w="1709" w:type="dxa"/>
            <w:noWrap/>
            <w:vAlign w:val="center"/>
            <w:hideMark/>
          </w:tcPr>
          <w:p w14:paraId="3C8EBB26"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248</w:t>
            </w:r>
          </w:p>
        </w:tc>
        <w:tc>
          <w:tcPr>
            <w:tcW w:w="1709" w:type="dxa"/>
            <w:noWrap/>
            <w:vAlign w:val="center"/>
            <w:hideMark/>
          </w:tcPr>
          <w:p w14:paraId="4AAE7240" w14:textId="77777777" w:rsidR="001268A8" w:rsidRPr="001268A8" w:rsidRDefault="001268A8" w:rsidP="001268A8">
            <w:pPr>
              <w:jc w:val="right"/>
              <w:rPr>
                <w:rFonts w:ascii="Arial" w:eastAsia="Times New Roman" w:hAnsi="Arial" w:cs="Arial"/>
                <w:sz w:val="18"/>
                <w:szCs w:val="18"/>
                <w:lang w:val="en-GB"/>
              </w:rPr>
            </w:pPr>
            <w:r w:rsidRPr="001268A8">
              <w:rPr>
                <w:rFonts w:ascii="Arial" w:eastAsia="Times New Roman" w:hAnsi="Arial" w:cs="Arial"/>
                <w:sz w:val="18"/>
                <w:szCs w:val="18"/>
                <w:lang w:val="en-GB"/>
              </w:rPr>
              <w:t>20,449</w:t>
            </w:r>
          </w:p>
        </w:tc>
      </w:tr>
    </w:tbl>
    <w:p w14:paraId="44AB55AC" w14:textId="77777777" w:rsidR="001268A8" w:rsidRPr="001172E1" w:rsidRDefault="001268A8" w:rsidP="001268A8">
      <w:pPr>
        <w:spacing w:after="0" w:line="240" w:lineRule="auto"/>
        <w:jc w:val="both"/>
        <w:rPr>
          <w:rFonts w:ascii="Arial" w:eastAsia="Times New Roman" w:hAnsi="Arial" w:cs="Arial"/>
          <w:sz w:val="12"/>
          <w:szCs w:val="12"/>
          <w:lang w:val="en-GB"/>
        </w:rPr>
      </w:pPr>
    </w:p>
    <w:p w14:paraId="7C02721C" w14:textId="77777777" w:rsidR="001268A8" w:rsidRPr="001268A8" w:rsidRDefault="001268A8" w:rsidP="001268A8">
      <w:pPr>
        <w:spacing w:after="0" w:line="240" w:lineRule="auto"/>
        <w:jc w:val="both"/>
        <w:rPr>
          <w:rFonts w:ascii="Arial" w:eastAsia="Times New Roman" w:hAnsi="Arial" w:cs="Arial"/>
          <w:sz w:val="17"/>
          <w:szCs w:val="17"/>
          <w:lang w:val="en-GB"/>
        </w:rPr>
      </w:pPr>
      <w:r w:rsidRPr="001268A8">
        <w:rPr>
          <w:rFonts w:ascii="Arial" w:eastAsia="Times New Roman" w:hAnsi="Arial" w:cs="Arial"/>
          <w:sz w:val="17"/>
          <w:szCs w:val="17"/>
          <w:lang w:val="en-GB"/>
        </w:rPr>
        <w:t>Note: *A slow rollout of stores in Ontario stemmed from major changes in legislation regarding private retail of cannabis.</w:t>
      </w:r>
    </w:p>
    <w:p w14:paraId="04E09915" w14:textId="77777777" w:rsidR="001268A8" w:rsidRPr="001268A8" w:rsidRDefault="001268A8" w:rsidP="001268A8">
      <w:pPr>
        <w:spacing w:after="0" w:line="240" w:lineRule="auto"/>
        <w:jc w:val="both"/>
        <w:rPr>
          <w:rFonts w:ascii="Arial" w:eastAsia="Times New Roman" w:hAnsi="Arial" w:cs="Arial"/>
          <w:sz w:val="17"/>
          <w:szCs w:val="17"/>
          <w:lang w:val="en-GB"/>
        </w:rPr>
      </w:pPr>
      <w:r w:rsidRPr="001268A8">
        <w:rPr>
          <w:rFonts w:ascii="Arial" w:eastAsia="Times New Roman" w:hAnsi="Arial" w:cs="Arial"/>
          <w:sz w:val="17"/>
          <w:szCs w:val="17"/>
          <w:lang w:val="en-GB"/>
        </w:rPr>
        <w:t>Source: Statistics Canada, “The Retail Cannabis Market in Canada: A Portrait of the First Year,” December 12, 2019, accessed September 24, 2020, https://www150.statcan.gc.ca/n1/pub/11-621-m/11-621-m2019005-eng.htm.</w:t>
      </w:r>
    </w:p>
    <w:p w14:paraId="375D6650" w14:textId="77777777" w:rsidR="001268A8" w:rsidRPr="001268A8" w:rsidRDefault="001268A8" w:rsidP="001268A8">
      <w:pPr>
        <w:spacing w:after="0" w:line="240" w:lineRule="auto"/>
        <w:jc w:val="both"/>
        <w:rPr>
          <w:rFonts w:ascii="Arial" w:eastAsia="Times New Roman" w:hAnsi="Arial" w:cs="Arial"/>
          <w:sz w:val="17"/>
          <w:szCs w:val="17"/>
          <w:lang w:val="en-GB"/>
        </w:rPr>
      </w:pPr>
      <w:r w:rsidRPr="001268A8">
        <w:rPr>
          <w:rFonts w:ascii="Arial" w:eastAsia="Times New Roman" w:hAnsi="Arial" w:cs="Arial"/>
          <w:sz w:val="17"/>
          <w:szCs w:val="17"/>
          <w:lang w:val="en-GB"/>
        </w:rPr>
        <w:br w:type="page"/>
      </w:r>
    </w:p>
    <w:p w14:paraId="152AE0EF" w14:textId="41546F17" w:rsidR="001268A8" w:rsidRPr="001268A8" w:rsidRDefault="001268A8" w:rsidP="001268A8">
      <w:pPr>
        <w:keepNext/>
        <w:spacing w:after="0" w:line="240" w:lineRule="auto"/>
        <w:jc w:val="center"/>
        <w:rPr>
          <w:rFonts w:ascii="Arial" w:eastAsia="Times New Roman" w:hAnsi="Arial" w:cs="Arial"/>
          <w:b/>
          <w:caps/>
          <w:sz w:val="20"/>
          <w:szCs w:val="20"/>
          <w:lang w:val="en-GB"/>
        </w:rPr>
      </w:pPr>
      <w:r w:rsidRPr="001268A8">
        <w:rPr>
          <w:rFonts w:ascii="Arial" w:eastAsia="Times New Roman" w:hAnsi="Arial" w:cs="Arial"/>
          <w:b/>
          <w:caps/>
          <w:sz w:val="20"/>
          <w:szCs w:val="20"/>
          <w:lang w:val="en-GB"/>
        </w:rPr>
        <w:lastRenderedPageBreak/>
        <w:t>Exhibit 10: Retail Expansion Projections* (CA$)</w:t>
      </w:r>
    </w:p>
    <w:p w14:paraId="2903EA72" w14:textId="77777777" w:rsidR="001268A8" w:rsidRPr="001268A8" w:rsidRDefault="001268A8" w:rsidP="001268A8">
      <w:pPr>
        <w:spacing w:after="0" w:line="240" w:lineRule="auto"/>
        <w:jc w:val="both"/>
        <w:rPr>
          <w:rFonts w:ascii="Arial" w:eastAsia="Times New Roman" w:hAnsi="Arial" w:cs="Arial"/>
          <w:sz w:val="20"/>
          <w:szCs w:val="20"/>
          <w:lang w:val="en-GB"/>
        </w:rPr>
      </w:pPr>
    </w:p>
    <w:tbl>
      <w:tblPr>
        <w:tblStyle w:val="TableGrid2"/>
        <w:tblW w:w="4057" w:type="pct"/>
        <w:jc w:val="center"/>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5577"/>
        <w:gridCol w:w="2018"/>
      </w:tblGrid>
      <w:tr w:rsidR="001268A8" w:rsidRPr="001268A8" w14:paraId="038589BC" w14:textId="77777777" w:rsidTr="00B558E0">
        <w:trPr>
          <w:trHeight w:val="290"/>
          <w:jc w:val="center"/>
        </w:trPr>
        <w:tc>
          <w:tcPr>
            <w:tcW w:w="3673" w:type="pct"/>
            <w:noWrap/>
            <w:vAlign w:val="center"/>
            <w:hideMark/>
          </w:tcPr>
          <w:p w14:paraId="1645E50B"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Annual sales projection</w:t>
            </w:r>
          </w:p>
        </w:tc>
        <w:tc>
          <w:tcPr>
            <w:tcW w:w="1327" w:type="pct"/>
            <w:noWrap/>
            <w:vAlign w:val="center"/>
            <w:hideMark/>
          </w:tcPr>
          <w:p w14:paraId="1270915E"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$2,000,000–3,000,000</w:t>
            </w:r>
          </w:p>
        </w:tc>
      </w:tr>
      <w:tr w:rsidR="001268A8" w:rsidRPr="001268A8" w14:paraId="3B59706E" w14:textId="77777777" w:rsidTr="00B558E0">
        <w:trPr>
          <w:trHeight w:val="290"/>
          <w:jc w:val="center"/>
        </w:trPr>
        <w:tc>
          <w:tcPr>
            <w:tcW w:w="3673" w:type="pct"/>
            <w:noWrap/>
            <w:vAlign w:val="center"/>
          </w:tcPr>
          <w:p w14:paraId="3501A8D2"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Gross margin **</w:t>
            </w:r>
          </w:p>
        </w:tc>
        <w:tc>
          <w:tcPr>
            <w:tcW w:w="1327" w:type="pct"/>
            <w:noWrap/>
            <w:vAlign w:val="center"/>
          </w:tcPr>
          <w:p w14:paraId="1BB64A9F"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50%</w:t>
            </w:r>
          </w:p>
        </w:tc>
      </w:tr>
      <w:tr w:rsidR="001268A8" w:rsidRPr="001268A8" w14:paraId="2F090555" w14:textId="77777777" w:rsidTr="00B558E0">
        <w:trPr>
          <w:trHeight w:val="290"/>
          <w:jc w:val="center"/>
        </w:trPr>
        <w:tc>
          <w:tcPr>
            <w:tcW w:w="3673" w:type="pct"/>
            <w:noWrap/>
            <w:vAlign w:val="center"/>
          </w:tcPr>
          <w:p w14:paraId="713B0E6A"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Days of inventory</w:t>
            </w:r>
          </w:p>
        </w:tc>
        <w:tc>
          <w:tcPr>
            <w:tcW w:w="1327" w:type="pct"/>
            <w:noWrap/>
            <w:vAlign w:val="center"/>
          </w:tcPr>
          <w:p w14:paraId="01A4EC47"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45</w:t>
            </w:r>
          </w:p>
        </w:tc>
      </w:tr>
      <w:tr w:rsidR="001268A8" w:rsidRPr="001268A8" w14:paraId="128E7A63" w14:textId="77777777" w:rsidTr="00B558E0">
        <w:trPr>
          <w:trHeight w:val="290"/>
          <w:jc w:val="center"/>
        </w:trPr>
        <w:tc>
          <w:tcPr>
            <w:tcW w:w="3673" w:type="pct"/>
            <w:noWrap/>
            <w:vAlign w:val="center"/>
            <w:hideMark/>
          </w:tcPr>
          <w:p w14:paraId="081E67CC"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Store size (square feet)</w:t>
            </w:r>
          </w:p>
        </w:tc>
        <w:tc>
          <w:tcPr>
            <w:tcW w:w="1327" w:type="pct"/>
            <w:noWrap/>
            <w:vAlign w:val="center"/>
            <w:hideMark/>
          </w:tcPr>
          <w:p w14:paraId="1180BAE4"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1,500 – 2,000</w:t>
            </w:r>
          </w:p>
        </w:tc>
      </w:tr>
      <w:tr w:rsidR="001268A8" w:rsidRPr="001268A8" w14:paraId="2E94806F" w14:textId="77777777" w:rsidTr="00B558E0">
        <w:trPr>
          <w:trHeight w:val="290"/>
          <w:jc w:val="center"/>
        </w:trPr>
        <w:tc>
          <w:tcPr>
            <w:tcW w:w="3673" w:type="pct"/>
            <w:noWrap/>
            <w:vAlign w:val="center"/>
          </w:tcPr>
          <w:p w14:paraId="7EF9D09C"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Leasehold improvements/square foot</w:t>
            </w:r>
          </w:p>
        </w:tc>
        <w:tc>
          <w:tcPr>
            <w:tcW w:w="1327" w:type="pct"/>
            <w:noWrap/>
            <w:vAlign w:val="center"/>
          </w:tcPr>
          <w:p w14:paraId="50C4F269"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$220–280</w:t>
            </w:r>
          </w:p>
        </w:tc>
      </w:tr>
      <w:tr w:rsidR="001268A8" w:rsidRPr="001268A8" w14:paraId="238E7CBE" w14:textId="77777777" w:rsidTr="00B558E0">
        <w:trPr>
          <w:trHeight w:val="290"/>
          <w:jc w:val="center"/>
        </w:trPr>
        <w:tc>
          <w:tcPr>
            <w:tcW w:w="3673" w:type="pct"/>
            <w:noWrap/>
            <w:vAlign w:val="center"/>
            <w:hideMark/>
          </w:tcPr>
          <w:p w14:paraId="120FF772"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Rent/square foot/month</w:t>
            </w:r>
          </w:p>
        </w:tc>
        <w:tc>
          <w:tcPr>
            <w:tcW w:w="1327" w:type="pct"/>
            <w:noWrap/>
            <w:vAlign w:val="center"/>
            <w:hideMark/>
          </w:tcPr>
          <w:p w14:paraId="09949115"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$21–25</w:t>
            </w:r>
          </w:p>
        </w:tc>
      </w:tr>
      <w:tr w:rsidR="001268A8" w:rsidRPr="001268A8" w14:paraId="10B8C8C9" w14:textId="77777777" w:rsidTr="00B558E0">
        <w:trPr>
          <w:trHeight w:val="290"/>
          <w:jc w:val="center"/>
        </w:trPr>
        <w:tc>
          <w:tcPr>
            <w:tcW w:w="3673" w:type="pct"/>
            <w:noWrap/>
            <w:vAlign w:val="center"/>
            <w:hideMark/>
          </w:tcPr>
          <w:p w14:paraId="2C543BA6"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Utilities, insurance, and other/square foot/month</w:t>
            </w:r>
          </w:p>
        </w:tc>
        <w:tc>
          <w:tcPr>
            <w:tcW w:w="1327" w:type="pct"/>
            <w:noWrap/>
            <w:vAlign w:val="center"/>
            <w:hideMark/>
          </w:tcPr>
          <w:p w14:paraId="368112BE"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$2.20–2.50</w:t>
            </w:r>
          </w:p>
        </w:tc>
      </w:tr>
      <w:tr w:rsidR="001268A8" w:rsidRPr="001268A8" w14:paraId="08993D94" w14:textId="77777777" w:rsidTr="00B558E0">
        <w:trPr>
          <w:trHeight w:val="290"/>
          <w:jc w:val="center"/>
        </w:trPr>
        <w:tc>
          <w:tcPr>
            <w:tcW w:w="3673" w:type="pct"/>
            <w:noWrap/>
            <w:vAlign w:val="center"/>
            <w:hideMark/>
          </w:tcPr>
          <w:p w14:paraId="1BFB7E9E"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Assistant manager salary (annual)</w:t>
            </w:r>
          </w:p>
        </w:tc>
        <w:tc>
          <w:tcPr>
            <w:tcW w:w="1327" w:type="pct"/>
            <w:noWrap/>
            <w:vAlign w:val="center"/>
            <w:hideMark/>
          </w:tcPr>
          <w:p w14:paraId="1A3544B3"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$65,000</w:t>
            </w:r>
          </w:p>
        </w:tc>
      </w:tr>
      <w:tr w:rsidR="001268A8" w:rsidRPr="001268A8" w14:paraId="026C0096" w14:textId="77777777" w:rsidTr="00B558E0">
        <w:trPr>
          <w:trHeight w:val="290"/>
          <w:jc w:val="center"/>
        </w:trPr>
        <w:tc>
          <w:tcPr>
            <w:tcW w:w="3673" w:type="pct"/>
            <w:noWrap/>
            <w:vAlign w:val="center"/>
            <w:hideMark/>
          </w:tcPr>
          <w:p w14:paraId="79DC133B"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Manager salary (annual)</w:t>
            </w:r>
          </w:p>
        </w:tc>
        <w:tc>
          <w:tcPr>
            <w:tcW w:w="1327" w:type="pct"/>
            <w:noWrap/>
            <w:vAlign w:val="center"/>
            <w:hideMark/>
          </w:tcPr>
          <w:p w14:paraId="0ADAAEAE"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$75,000</w:t>
            </w:r>
          </w:p>
        </w:tc>
      </w:tr>
      <w:tr w:rsidR="001268A8" w:rsidRPr="001268A8" w14:paraId="70430C93" w14:textId="77777777" w:rsidTr="00B558E0">
        <w:trPr>
          <w:trHeight w:val="290"/>
          <w:jc w:val="center"/>
        </w:trPr>
        <w:tc>
          <w:tcPr>
            <w:tcW w:w="3673" w:type="pct"/>
            <w:noWrap/>
            <w:vAlign w:val="center"/>
            <w:hideMark/>
          </w:tcPr>
          <w:p w14:paraId="045F36E3"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Employee wage (hourly)</w:t>
            </w:r>
          </w:p>
        </w:tc>
        <w:tc>
          <w:tcPr>
            <w:tcW w:w="1327" w:type="pct"/>
            <w:noWrap/>
            <w:vAlign w:val="center"/>
            <w:hideMark/>
          </w:tcPr>
          <w:p w14:paraId="53C96561"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$15</w:t>
            </w:r>
          </w:p>
        </w:tc>
      </w:tr>
      <w:tr w:rsidR="001268A8" w:rsidRPr="001268A8" w14:paraId="281AB9B9" w14:textId="77777777" w:rsidTr="00B558E0">
        <w:trPr>
          <w:trHeight w:val="290"/>
          <w:jc w:val="center"/>
        </w:trPr>
        <w:tc>
          <w:tcPr>
            <w:tcW w:w="3673" w:type="pct"/>
            <w:noWrap/>
            <w:vAlign w:val="center"/>
          </w:tcPr>
          <w:p w14:paraId="574645DB"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Employee benefits (% of salary and wages)</w:t>
            </w:r>
          </w:p>
        </w:tc>
        <w:tc>
          <w:tcPr>
            <w:tcW w:w="1327" w:type="pct"/>
            <w:noWrap/>
            <w:vAlign w:val="center"/>
          </w:tcPr>
          <w:p w14:paraId="3DF2D679"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15%</w:t>
            </w:r>
          </w:p>
        </w:tc>
      </w:tr>
      <w:tr w:rsidR="001268A8" w:rsidRPr="001268A8" w14:paraId="2FB1EC62" w14:textId="77777777" w:rsidTr="00B558E0">
        <w:trPr>
          <w:trHeight w:val="290"/>
          <w:jc w:val="center"/>
        </w:trPr>
        <w:tc>
          <w:tcPr>
            <w:tcW w:w="3673" w:type="pct"/>
            <w:noWrap/>
            <w:vAlign w:val="center"/>
          </w:tcPr>
          <w:p w14:paraId="2453B8EA"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Busy store hours/day</w:t>
            </w:r>
          </w:p>
        </w:tc>
        <w:tc>
          <w:tcPr>
            <w:tcW w:w="1327" w:type="pct"/>
            <w:noWrap/>
            <w:vAlign w:val="center"/>
          </w:tcPr>
          <w:p w14:paraId="3AE9A028"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2</w:t>
            </w:r>
          </w:p>
        </w:tc>
      </w:tr>
      <w:tr w:rsidR="001268A8" w:rsidRPr="001268A8" w14:paraId="694C2D03" w14:textId="77777777" w:rsidTr="00B558E0">
        <w:trPr>
          <w:trHeight w:val="290"/>
          <w:jc w:val="center"/>
        </w:trPr>
        <w:tc>
          <w:tcPr>
            <w:tcW w:w="3673" w:type="pct"/>
            <w:noWrap/>
            <w:vAlign w:val="center"/>
          </w:tcPr>
          <w:p w14:paraId="57C63AE0"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Slow store hours/day</w:t>
            </w:r>
          </w:p>
        </w:tc>
        <w:tc>
          <w:tcPr>
            <w:tcW w:w="1327" w:type="pct"/>
            <w:noWrap/>
            <w:vAlign w:val="center"/>
          </w:tcPr>
          <w:p w14:paraId="6ACD83F5"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10</w:t>
            </w:r>
          </w:p>
        </w:tc>
      </w:tr>
      <w:tr w:rsidR="001268A8" w:rsidRPr="001268A8" w14:paraId="3E6460CF" w14:textId="77777777" w:rsidTr="00B558E0">
        <w:trPr>
          <w:trHeight w:val="290"/>
          <w:jc w:val="center"/>
        </w:trPr>
        <w:tc>
          <w:tcPr>
            <w:tcW w:w="3673" w:type="pct"/>
            <w:noWrap/>
            <w:vAlign w:val="center"/>
          </w:tcPr>
          <w:p w14:paraId="2A67B238"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Number of non-management employees at store during slow hours</w:t>
            </w:r>
          </w:p>
        </w:tc>
        <w:tc>
          <w:tcPr>
            <w:tcW w:w="1327" w:type="pct"/>
            <w:noWrap/>
            <w:vAlign w:val="center"/>
          </w:tcPr>
          <w:p w14:paraId="672CD7EC"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3</w:t>
            </w:r>
          </w:p>
        </w:tc>
      </w:tr>
      <w:tr w:rsidR="001268A8" w:rsidRPr="001268A8" w14:paraId="547236FF" w14:textId="77777777" w:rsidTr="00B558E0">
        <w:trPr>
          <w:trHeight w:val="290"/>
          <w:jc w:val="center"/>
        </w:trPr>
        <w:tc>
          <w:tcPr>
            <w:tcW w:w="3673" w:type="pct"/>
            <w:noWrap/>
            <w:vAlign w:val="center"/>
          </w:tcPr>
          <w:p w14:paraId="2BE2CA81" w14:textId="77777777" w:rsidR="001268A8" w:rsidRPr="001268A8" w:rsidRDefault="001268A8" w:rsidP="001268A8">
            <w:pPr>
              <w:rPr>
                <w:rFonts w:ascii="Arial" w:eastAsia="Times New Roman" w:hAnsi="Arial" w:cs="Arial"/>
                <w:sz w:val="18"/>
                <w:szCs w:val="18"/>
                <w:lang w:val="en-GB"/>
              </w:rPr>
            </w:pPr>
            <w:r w:rsidRPr="001268A8">
              <w:rPr>
                <w:rFonts w:ascii="Arial" w:eastAsia="Times New Roman" w:hAnsi="Arial" w:cs="Arial"/>
                <w:sz w:val="18"/>
                <w:szCs w:val="18"/>
                <w:lang w:val="en-GB"/>
              </w:rPr>
              <w:t>Number of non-management employees at store during busy hours</w:t>
            </w:r>
          </w:p>
        </w:tc>
        <w:tc>
          <w:tcPr>
            <w:tcW w:w="1327" w:type="pct"/>
            <w:noWrap/>
            <w:vAlign w:val="center"/>
          </w:tcPr>
          <w:p w14:paraId="367F8085" w14:textId="77777777" w:rsidR="001268A8" w:rsidRPr="001268A8" w:rsidRDefault="001268A8" w:rsidP="009617E6">
            <w:pPr>
              <w:jc w:val="right"/>
              <w:rPr>
                <w:rFonts w:ascii="Arial" w:eastAsia="Times New Roman" w:hAnsi="Arial" w:cs="Arial"/>
                <w:sz w:val="18"/>
                <w:szCs w:val="18"/>
                <w:lang w:val="en-GB"/>
              </w:rPr>
            </w:pPr>
            <w:r w:rsidRPr="001268A8">
              <w:rPr>
                <w:rFonts w:ascii="Arial" w:eastAsia="Times New Roman" w:hAnsi="Arial" w:cs="Arial"/>
                <w:sz w:val="18"/>
                <w:szCs w:val="18"/>
                <w:lang w:val="en-GB"/>
              </w:rPr>
              <w:t>5</w:t>
            </w:r>
          </w:p>
        </w:tc>
      </w:tr>
    </w:tbl>
    <w:p w14:paraId="3CB4B5D2" w14:textId="77777777" w:rsidR="001268A8" w:rsidRPr="001268A8" w:rsidRDefault="001268A8" w:rsidP="001268A8">
      <w:pPr>
        <w:spacing w:after="0" w:line="240" w:lineRule="auto"/>
        <w:jc w:val="both"/>
        <w:rPr>
          <w:rFonts w:ascii="Arial" w:eastAsia="Times New Roman" w:hAnsi="Arial" w:cs="Arial"/>
          <w:sz w:val="20"/>
          <w:szCs w:val="20"/>
          <w:lang w:val="en-GB"/>
        </w:rPr>
      </w:pPr>
    </w:p>
    <w:p w14:paraId="7BB00351" w14:textId="77777777" w:rsidR="001268A8" w:rsidRPr="001268A8" w:rsidRDefault="001268A8" w:rsidP="001268A8">
      <w:pPr>
        <w:spacing w:after="0" w:line="240" w:lineRule="auto"/>
        <w:jc w:val="both"/>
        <w:rPr>
          <w:rFonts w:ascii="Arial" w:eastAsia="Times New Roman" w:hAnsi="Arial" w:cs="Arial"/>
          <w:sz w:val="17"/>
          <w:szCs w:val="17"/>
          <w:lang w:val="en-GB"/>
        </w:rPr>
      </w:pPr>
      <w:r w:rsidRPr="001268A8">
        <w:rPr>
          <w:rFonts w:ascii="Arial" w:eastAsia="Times New Roman" w:hAnsi="Arial" w:cs="Arial"/>
          <w:sz w:val="17"/>
          <w:szCs w:val="17"/>
          <w:lang w:val="en-GB"/>
        </w:rPr>
        <w:t>Note: *Delta 9’s management expected recurring revenues and expenses to grow at the rate of inflation; **Estimated from most recently available data of producer and consumer prices per gram of cannabis from Statistics Canada.</w:t>
      </w:r>
    </w:p>
    <w:p w14:paraId="2A7C25F3" w14:textId="77777777" w:rsidR="001268A8" w:rsidRPr="001268A8" w:rsidRDefault="001268A8" w:rsidP="001268A8">
      <w:pPr>
        <w:spacing w:after="0" w:line="240" w:lineRule="auto"/>
        <w:jc w:val="both"/>
        <w:rPr>
          <w:rFonts w:ascii="Arial" w:eastAsia="Times New Roman" w:hAnsi="Arial" w:cs="Arial"/>
          <w:sz w:val="17"/>
          <w:szCs w:val="17"/>
          <w:lang w:val="en-GB"/>
        </w:rPr>
      </w:pPr>
      <w:r w:rsidRPr="001268A8">
        <w:rPr>
          <w:rFonts w:ascii="Arial" w:eastAsia="Times New Roman" w:hAnsi="Arial" w:cs="Arial"/>
          <w:sz w:val="17"/>
          <w:szCs w:val="17"/>
          <w:lang w:val="en-GB"/>
        </w:rPr>
        <w:t xml:space="preserve">Source: Statistics Canada, “Average Quarterly Price of Cannabis,” Table 1 in </w:t>
      </w:r>
      <w:r w:rsidRPr="001268A8">
        <w:rPr>
          <w:rFonts w:ascii="Arial" w:eastAsia="Times New Roman" w:hAnsi="Arial" w:cs="Arial"/>
          <w:i/>
          <w:iCs/>
          <w:sz w:val="17"/>
          <w:szCs w:val="17"/>
          <w:lang w:val="en-GB"/>
        </w:rPr>
        <w:t>Stats Cannabis Data Availability: Crowdsourced Cannabis Prices, Fourth Quarter 2019</w:t>
      </w:r>
      <w:r w:rsidRPr="001268A8">
        <w:rPr>
          <w:rFonts w:ascii="Arial" w:eastAsia="Times New Roman" w:hAnsi="Arial" w:cs="Arial"/>
          <w:sz w:val="17"/>
          <w:szCs w:val="17"/>
          <w:lang w:val="en-GB"/>
        </w:rPr>
        <w:t>, January 23, 2020, accessed September 25, 2020, https://www150.statcan.gc.ca/n1/daily-quotidien/200123/t001c-eng.htm; Statistics Canada, “Table 36-10-0598-01: Cannabis Consumer and Producer Prices,” September 25, 2020, accessed September 25, 2020, https://www150.statcan.gc.ca/t1/tbl1/en/tv.action?pid=3610059801.</w:t>
      </w:r>
    </w:p>
    <w:p w14:paraId="77C8A7ED" w14:textId="77777777" w:rsidR="001268A8" w:rsidRPr="001268A8" w:rsidRDefault="001268A8" w:rsidP="001268A8">
      <w:pPr>
        <w:spacing w:after="0" w:line="240" w:lineRule="auto"/>
        <w:jc w:val="both"/>
        <w:rPr>
          <w:rFonts w:ascii="Arial" w:eastAsia="Times New Roman" w:hAnsi="Arial" w:cs="Arial"/>
          <w:sz w:val="20"/>
          <w:szCs w:val="20"/>
          <w:lang w:val="en-GB"/>
        </w:rPr>
      </w:pPr>
    </w:p>
    <w:p w14:paraId="67DF2854" w14:textId="77777777" w:rsidR="001268A8" w:rsidRPr="001268A8" w:rsidRDefault="001268A8" w:rsidP="001268A8">
      <w:pPr>
        <w:spacing w:after="0" w:line="240" w:lineRule="auto"/>
        <w:jc w:val="both"/>
        <w:rPr>
          <w:rFonts w:ascii="Arial" w:eastAsia="Times New Roman" w:hAnsi="Arial" w:cs="Arial"/>
          <w:sz w:val="20"/>
          <w:szCs w:val="20"/>
          <w:lang w:val="en-GB"/>
        </w:rPr>
      </w:pPr>
    </w:p>
    <w:p w14:paraId="771B1AD2" w14:textId="77777777" w:rsidR="001268A8" w:rsidRPr="001268A8" w:rsidRDefault="001268A8" w:rsidP="001268A8">
      <w:pPr>
        <w:spacing w:after="0" w:line="240" w:lineRule="auto"/>
        <w:jc w:val="both"/>
        <w:rPr>
          <w:rFonts w:ascii="Arial" w:eastAsia="Times New Roman" w:hAnsi="Arial" w:cs="Arial"/>
          <w:sz w:val="17"/>
          <w:szCs w:val="17"/>
          <w:lang w:val="en-GB"/>
        </w:rPr>
      </w:pPr>
      <w:r w:rsidRPr="001268A8">
        <w:rPr>
          <w:rFonts w:ascii="Arial" w:eastAsia="Times New Roman" w:hAnsi="Arial" w:cs="Arial"/>
          <w:sz w:val="24"/>
          <w:szCs w:val="24"/>
          <w:lang w:val="en-GB"/>
        </w:rPr>
        <w:br w:type="page"/>
      </w:r>
    </w:p>
    <w:p w14:paraId="65E0D13D" w14:textId="77777777" w:rsidR="001268A8" w:rsidRPr="001268A8" w:rsidRDefault="001268A8" w:rsidP="001268A8">
      <w:pPr>
        <w:keepNext/>
        <w:spacing w:after="0" w:line="240" w:lineRule="auto"/>
        <w:rPr>
          <w:rFonts w:ascii="Arial" w:eastAsia="Times New Roman" w:hAnsi="Arial" w:cs="Arial"/>
          <w:b/>
          <w:caps/>
          <w:sz w:val="20"/>
          <w:szCs w:val="20"/>
          <w:lang w:val="en-GB"/>
        </w:rPr>
      </w:pPr>
      <w:r w:rsidRPr="001268A8">
        <w:rPr>
          <w:rFonts w:ascii="Arial" w:eastAsia="Times New Roman" w:hAnsi="Arial" w:cs="Arial"/>
          <w:b/>
          <w:caps/>
          <w:sz w:val="20"/>
          <w:szCs w:val="20"/>
          <w:lang w:val="en-GB"/>
        </w:rPr>
        <w:lastRenderedPageBreak/>
        <w:t>ENDNOTES</w:t>
      </w:r>
    </w:p>
    <w:sectPr w:rsidR="001268A8" w:rsidRPr="001268A8" w:rsidSect="0060066F">
      <w:headerReference w:type="default" r:id="rId16"/>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AF4CB" w14:textId="77777777" w:rsidR="002A506F" w:rsidRDefault="002A506F" w:rsidP="001268A8">
      <w:pPr>
        <w:spacing w:after="0" w:line="240" w:lineRule="auto"/>
      </w:pPr>
      <w:r>
        <w:separator/>
      </w:r>
    </w:p>
  </w:endnote>
  <w:endnote w:type="continuationSeparator" w:id="0">
    <w:p w14:paraId="4FFF8C86" w14:textId="77777777" w:rsidR="002A506F" w:rsidRDefault="002A506F" w:rsidP="001268A8">
      <w:pPr>
        <w:spacing w:after="0" w:line="240" w:lineRule="auto"/>
      </w:pPr>
      <w:r>
        <w:continuationSeparator/>
      </w:r>
    </w:p>
  </w:endnote>
  <w:endnote w:id="1">
    <w:p w14:paraId="435BB979" w14:textId="776F74C8" w:rsidR="0060066F" w:rsidRPr="00A045C6" w:rsidRDefault="0060066F" w:rsidP="00A045C6">
      <w:pPr>
        <w:pStyle w:val="Footnote"/>
      </w:pPr>
      <w:r w:rsidRPr="00A045C6">
        <w:rPr>
          <w:rStyle w:val="EndnoteReference"/>
        </w:rPr>
        <w:endnoteRef/>
      </w:r>
      <w:r w:rsidRPr="00A045C6">
        <w:t xml:space="preserve"> The term “marijuana” or “marihuana,” interchangeable with the term “cannabis,” had fallen out of favour. Alex Halperin, “Marijuana: Is It Time to Stop Using a Word with Racist Roots?,” </w:t>
      </w:r>
      <w:r w:rsidR="001C1AF4" w:rsidRPr="00A045C6">
        <w:rPr>
          <w:i/>
        </w:rPr>
        <w:t xml:space="preserve">The </w:t>
      </w:r>
      <w:r w:rsidRPr="00A045C6">
        <w:rPr>
          <w:i/>
          <w:iCs/>
        </w:rPr>
        <w:t>Guardian</w:t>
      </w:r>
      <w:r w:rsidRPr="00A045C6">
        <w:t>, January 29, 2018, accessed September 24, 2020, https://www.theguardian.com/society/2018/jan/29/marijuana-name-cannabis-racism.</w:t>
      </w:r>
    </w:p>
  </w:endnote>
  <w:endnote w:id="2">
    <w:p w14:paraId="30E73D03" w14:textId="418C3791" w:rsidR="0060066F" w:rsidRPr="00A045C6" w:rsidRDefault="0060066F" w:rsidP="00A045C6">
      <w:pPr>
        <w:pStyle w:val="Footnote"/>
      </w:pPr>
      <w:r w:rsidRPr="00A045C6">
        <w:rPr>
          <w:rStyle w:val="EndnoteReference"/>
        </w:rPr>
        <w:endnoteRef/>
      </w:r>
      <w:r w:rsidRPr="00A045C6">
        <w:t xml:space="preserve"> Karl Hillig and Paul Mahlberg, </w:t>
      </w:r>
      <w:r w:rsidR="001C1AF4" w:rsidRPr="00A045C6">
        <w:t>“</w:t>
      </w:r>
      <w:r w:rsidRPr="00A045C6">
        <w:t>A Chemotaxonomic Analysis of Cannabinoid Variation in Cannabis (Cannabaceae),</w:t>
      </w:r>
      <w:r w:rsidR="001C1AF4" w:rsidRPr="00A045C6">
        <w:t>”</w:t>
      </w:r>
      <w:r w:rsidRPr="00A045C6">
        <w:t xml:space="preserve"> </w:t>
      </w:r>
      <w:r w:rsidRPr="00A045C6">
        <w:rPr>
          <w:i/>
          <w:iCs/>
        </w:rPr>
        <w:t>American Journal of Botany</w:t>
      </w:r>
      <w:r w:rsidRPr="00A045C6">
        <w:t xml:space="preserve"> 91, no. 6 (June 2004): 966–975, accessed September 24, 2020, https://bsapubs.onlinelibrary.wiley.com/doi/full/10.3732/ajb.91.6.966.</w:t>
      </w:r>
    </w:p>
  </w:endnote>
  <w:endnote w:id="3">
    <w:p w14:paraId="321C5EB4" w14:textId="77777777" w:rsidR="0060066F" w:rsidRPr="00A045C6" w:rsidRDefault="0060066F" w:rsidP="00A045C6">
      <w:pPr>
        <w:pStyle w:val="Footnote"/>
      </w:pPr>
      <w:r w:rsidRPr="00A045C6">
        <w:rPr>
          <w:rStyle w:val="EndnoteReference"/>
        </w:rPr>
        <w:endnoteRef/>
      </w:r>
      <w:r w:rsidRPr="00A045C6">
        <w:t xml:space="preserve"> Ramasastry Chandrasekhar and Allison Johnson, </w:t>
      </w:r>
      <w:r w:rsidRPr="00A045C6">
        <w:rPr>
          <w:i/>
          <w:iCs/>
        </w:rPr>
        <w:t>Canopy Growth Corp.: Product Messaging for Recreational Cannabis</w:t>
      </w:r>
      <w:r w:rsidRPr="00A045C6">
        <w:t xml:space="preserve"> (London, ON: Ivey Publishing, 2016), 2–3. Available from Ivey Publishing, product no. 9B16A067.</w:t>
      </w:r>
    </w:p>
  </w:endnote>
  <w:endnote w:id="4">
    <w:p w14:paraId="0569E53A" w14:textId="76DCDB69" w:rsidR="0060066F" w:rsidRPr="00A045C6" w:rsidRDefault="0060066F" w:rsidP="00A045C6">
      <w:pPr>
        <w:pStyle w:val="Footnote"/>
      </w:pPr>
      <w:r w:rsidRPr="00A045C6">
        <w:rPr>
          <w:rStyle w:val="EndnoteReference"/>
        </w:rPr>
        <w:endnoteRef/>
      </w:r>
      <w:r w:rsidRPr="00A045C6">
        <w:t xml:space="preserve"> </w:t>
      </w:r>
      <w:r w:rsidRPr="001172E1">
        <w:rPr>
          <w:spacing w:val="-6"/>
          <w:kern w:val="17"/>
        </w:rPr>
        <w:t xml:space="preserve">Health Canada, </w:t>
      </w:r>
      <w:r w:rsidRPr="001172E1">
        <w:rPr>
          <w:i/>
          <w:iCs/>
          <w:spacing w:val="-6"/>
          <w:kern w:val="17"/>
        </w:rPr>
        <w:t>Consumer Information—Cannabis (Marihuana, Marijuana)</w:t>
      </w:r>
      <w:r w:rsidRPr="001172E1">
        <w:rPr>
          <w:spacing w:val="-6"/>
          <w:kern w:val="17"/>
        </w:rPr>
        <w:t>, Government of Canada, July 2016, accessed September</w:t>
      </w:r>
      <w:r w:rsidR="001172E1" w:rsidRPr="001172E1">
        <w:rPr>
          <w:spacing w:val="-6"/>
          <w:kern w:val="17"/>
        </w:rPr>
        <w:t> </w:t>
      </w:r>
      <w:r w:rsidRPr="001172E1">
        <w:rPr>
          <w:spacing w:val="-6"/>
          <w:kern w:val="17"/>
        </w:rPr>
        <w:t>24,</w:t>
      </w:r>
      <w:r w:rsidR="001172E1" w:rsidRPr="001172E1">
        <w:rPr>
          <w:spacing w:val="-6"/>
          <w:kern w:val="17"/>
        </w:rPr>
        <w:t> </w:t>
      </w:r>
      <w:r w:rsidRPr="001172E1">
        <w:rPr>
          <w:spacing w:val="-6"/>
          <w:kern w:val="17"/>
        </w:rPr>
        <w:t>2020,</w:t>
      </w:r>
      <w:r w:rsidR="001172E1" w:rsidRPr="001172E1">
        <w:rPr>
          <w:spacing w:val="-6"/>
          <w:kern w:val="17"/>
        </w:rPr>
        <w:t> https://www.canada.ca/content/dam/hc-sc/migration/hc-sc/dhp-mps/alt_formats/pdf/marihuana/info/con</w:t>
      </w:r>
      <w:r w:rsidR="001172E1" w:rsidRPr="001172E1">
        <w:rPr>
          <w:spacing w:val="-6"/>
          <w:kern w:val="17"/>
        </w:rPr>
        <w:t>s-eng</w:t>
      </w:r>
      <w:r w:rsidR="001172E1" w:rsidRPr="001172E1">
        <w:rPr>
          <w:spacing w:val="-6"/>
          <w:kern w:val="17"/>
        </w:rPr>
        <w:t>.</w:t>
      </w:r>
      <w:r w:rsidRPr="00A045C6">
        <w:t>pdf.</w:t>
      </w:r>
    </w:p>
  </w:endnote>
  <w:endnote w:id="5">
    <w:p w14:paraId="4A8BA0A3" w14:textId="77777777" w:rsidR="0060066F" w:rsidRPr="00A045C6" w:rsidRDefault="0060066F" w:rsidP="00A045C6">
      <w:pPr>
        <w:pStyle w:val="Footnote"/>
      </w:pPr>
      <w:r w:rsidRPr="00A045C6">
        <w:rPr>
          <w:rStyle w:val="EndnoteReference"/>
        </w:rPr>
        <w:endnoteRef/>
      </w:r>
      <w:r w:rsidRPr="00A045C6">
        <w:t xml:space="preserve"> Nicole Keller, “The Legalization of Industrial Hemp and What It Could Mean for Indiana's Biofuel Industry,” </w:t>
      </w:r>
      <w:r w:rsidRPr="00A045C6">
        <w:rPr>
          <w:i/>
          <w:iCs/>
        </w:rPr>
        <w:t>Indiana International &amp; Comparative Law Review</w:t>
      </w:r>
      <w:r w:rsidRPr="00A045C6">
        <w:t xml:space="preserve"> 23, no. 3 (2013): 555–589, accessed September 24, 2020, https://mckinneylaw.iu.edu/iiclr/pdf/vol23p555.pdf.</w:t>
      </w:r>
    </w:p>
  </w:endnote>
  <w:endnote w:id="6">
    <w:p w14:paraId="699E5A64" w14:textId="77777777" w:rsidR="0060066F" w:rsidRPr="00A045C6" w:rsidRDefault="0060066F" w:rsidP="00A045C6">
      <w:pPr>
        <w:pStyle w:val="Footnote"/>
      </w:pPr>
      <w:r w:rsidRPr="00A045C6">
        <w:rPr>
          <w:rStyle w:val="EndnoteReference"/>
        </w:rPr>
        <w:endnoteRef/>
      </w:r>
      <w:r w:rsidRPr="00A045C6">
        <w:t xml:space="preserve"> Canadian Press, “A Timeline of Some Significant Events in the History of Medical Marijuana in Canada,” CTV News, March 31, 2014, accessed September 24, 2020, https://www.ctvnews.ca/politics/marijuana-key-dates-in-the-evolution-of-canadian-attitudes-laws-1.1753702.</w:t>
      </w:r>
    </w:p>
  </w:endnote>
  <w:endnote w:id="7">
    <w:p w14:paraId="7AFE8B9C" w14:textId="77777777" w:rsidR="0060066F" w:rsidRPr="00A045C6" w:rsidRDefault="0060066F" w:rsidP="00A045C6">
      <w:pPr>
        <w:pStyle w:val="Footnote"/>
      </w:pPr>
      <w:r w:rsidRPr="00A045C6">
        <w:rPr>
          <w:rStyle w:val="EndnoteReference"/>
        </w:rPr>
        <w:endnoteRef/>
      </w:r>
      <w:r w:rsidRPr="00A045C6">
        <w:t xml:space="preserve"> Office of Medical Cannabis, “Annual Compliance and Enforcement Report 2014-2015,” Government of Canada, December 22, 2015, accessed September 24, 2020, https://www.canada.ca/en/health-canada/services/drugs-medication/cannabis/compliance-enforcement/annual-compliance-enforcement-report-2014-2015.html.</w:t>
      </w:r>
    </w:p>
  </w:endnote>
  <w:endnote w:id="8">
    <w:p w14:paraId="123EE559" w14:textId="77777777" w:rsidR="0060066F" w:rsidRPr="00A045C6" w:rsidRDefault="0060066F" w:rsidP="00A045C6">
      <w:pPr>
        <w:pStyle w:val="Footnote"/>
      </w:pPr>
      <w:r w:rsidRPr="00A045C6">
        <w:rPr>
          <w:rStyle w:val="EndnoteReference"/>
        </w:rPr>
        <w:endnoteRef/>
      </w:r>
      <w:r w:rsidRPr="00A045C6">
        <w:t xml:space="preserve"> “Marijuana's Journey to Legal Health Treatment: The Canadian Experience,” CBC News</w:t>
      </w:r>
      <w:r w:rsidRPr="00A045C6">
        <w:rPr>
          <w:i/>
          <w:iCs/>
        </w:rPr>
        <w:t>,</w:t>
      </w:r>
      <w:r w:rsidRPr="00A045C6">
        <w:t xml:space="preserve"> August 17, 2009, accessed September 24, 2020, https://www.cbc.ca/news/health/marijuana-s-journey-to-legal-health-treatment-the-canadian-experience-1.799488.</w:t>
      </w:r>
    </w:p>
  </w:endnote>
  <w:endnote w:id="9">
    <w:p w14:paraId="11F13C9C" w14:textId="77777777" w:rsidR="0060066F" w:rsidRPr="00A045C6" w:rsidRDefault="0060066F" w:rsidP="00A045C6">
      <w:pPr>
        <w:pStyle w:val="Footnote"/>
      </w:pPr>
      <w:r w:rsidRPr="00A045C6">
        <w:rPr>
          <w:rStyle w:val="EndnoteReference"/>
        </w:rPr>
        <w:endnoteRef/>
      </w:r>
      <w:r w:rsidRPr="00A045C6">
        <w:t xml:space="preserve"> Ian Vandaelle, “Majority of Canadians Support Legalizing or Decriminalizing Marijuana, New Poll Suggests,” </w:t>
      </w:r>
      <w:r w:rsidRPr="00A045C6">
        <w:rPr>
          <w:i/>
          <w:iCs/>
        </w:rPr>
        <w:t>National Post,</w:t>
      </w:r>
      <w:r w:rsidRPr="00A045C6">
        <w:t xml:space="preserve"> January 17, 2012, accessed September 24, 2020, https://nationalpost.com/news/canada/majority-of-canadians-support-legalizing-or-decriminalizing-marijuana-new-poll-suggests.</w:t>
      </w:r>
    </w:p>
  </w:endnote>
  <w:endnote w:id="10">
    <w:p w14:paraId="6EAEE5C4" w14:textId="0375C6A0" w:rsidR="0060066F" w:rsidRPr="00A045C6" w:rsidRDefault="0060066F" w:rsidP="00A045C6">
      <w:pPr>
        <w:pStyle w:val="Footnote"/>
      </w:pPr>
      <w:r w:rsidRPr="00A045C6">
        <w:rPr>
          <w:rStyle w:val="EndnoteReference"/>
        </w:rPr>
        <w:endnoteRef/>
      </w:r>
      <w:r w:rsidRPr="00A045C6">
        <w:t xml:space="preserve"> Canadian Press, op. cit.</w:t>
      </w:r>
    </w:p>
  </w:endnote>
  <w:endnote w:id="11">
    <w:p w14:paraId="46B179C7" w14:textId="77777777" w:rsidR="0060066F" w:rsidRPr="00A045C6" w:rsidRDefault="0060066F" w:rsidP="00A045C6">
      <w:pPr>
        <w:pStyle w:val="Footnote"/>
      </w:pPr>
      <w:r w:rsidRPr="00A045C6">
        <w:rPr>
          <w:rStyle w:val="EndnoteReference"/>
        </w:rPr>
        <w:endnoteRef/>
      </w:r>
      <w:r w:rsidRPr="00A045C6">
        <w:t xml:space="preserve"> Lee Berthiaume and Jason Fekete, “Liberal Delegates Vote Yes to Legalizing Marijuana, No to Cutting off Monarchy,” </w:t>
      </w:r>
      <w:r w:rsidRPr="00A045C6">
        <w:rPr>
          <w:i/>
          <w:iCs/>
        </w:rPr>
        <w:t>National Post</w:t>
      </w:r>
      <w:r w:rsidRPr="00A045C6">
        <w:t>, January 15, 2012, accessed September 24, 2020, https://nationalpost.com/news/canada/liberal-delegates-vote-yes-to-legalizing-marijuana-no-to-cutting-off-monarchy.</w:t>
      </w:r>
    </w:p>
  </w:endnote>
  <w:endnote w:id="12">
    <w:p w14:paraId="21999E96" w14:textId="77777777" w:rsidR="0060066F" w:rsidRPr="00A045C6" w:rsidRDefault="0060066F" w:rsidP="00A045C6">
      <w:pPr>
        <w:pStyle w:val="Footnote"/>
      </w:pPr>
      <w:r w:rsidRPr="00A045C6">
        <w:rPr>
          <w:rStyle w:val="EndnoteReference"/>
        </w:rPr>
        <w:endnoteRef/>
      </w:r>
      <w:r w:rsidRPr="00A045C6">
        <w:t xml:space="preserve"> Jon Tattrie and Eli Yarhi, “Cannabis Legalization in Canada,” </w:t>
      </w:r>
      <w:r w:rsidRPr="00A045C6">
        <w:rPr>
          <w:i/>
          <w:iCs/>
        </w:rPr>
        <w:t xml:space="preserve">Canadian Encyclopedia, </w:t>
      </w:r>
      <w:r w:rsidRPr="00A045C6">
        <w:t>November 29, 2016, ed. October 17, 2019, accessed September 24, 2020, https://www.thecanadianencyclopedia.ca/en/article/marijuana-legalization-in-canada.</w:t>
      </w:r>
    </w:p>
  </w:endnote>
  <w:endnote w:id="13">
    <w:p w14:paraId="1D65AB6C" w14:textId="77777777" w:rsidR="0060066F" w:rsidRPr="00A045C6" w:rsidRDefault="0060066F" w:rsidP="00A045C6">
      <w:pPr>
        <w:pStyle w:val="Footnote"/>
      </w:pPr>
      <w:r w:rsidRPr="00A045C6">
        <w:rPr>
          <w:rStyle w:val="EndnoteReference"/>
        </w:rPr>
        <w:endnoteRef/>
      </w:r>
      <w:r w:rsidRPr="00A045C6">
        <w:t xml:space="preserve"> Department of Justice, “Cannabis Legalization and Regulation,” Government of Canada, October 17, 2019, accessed November 25, 2020, https://www.justice.gc.ca/eng/cj-jp/cannabis.</w:t>
      </w:r>
    </w:p>
  </w:endnote>
  <w:endnote w:id="14">
    <w:p w14:paraId="606E1A49" w14:textId="77777777" w:rsidR="0060066F" w:rsidRPr="00A045C6" w:rsidRDefault="0060066F" w:rsidP="00A045C6">
      <w:pPr>
        <w:pStyle w:val="Footnote"/>
      </w:pPr>
      <w:r w:rsidRPr="00A045C6">
        <w:rPr>
          <w:rStyle w:val="EndnoteReference"/>
        </w:rPr>
        <w:endnoteRef/>
      </w:r>
      <w:r w:rsidRPr="00A045C6">
        <w:t xml:space="preserve"> Rosalie Pacula and Rosanna Smart, "Medical Marijuana and Marijuana Legalization," </w:t>
      </w:r>
      <w:r w:rsidRPr="00A045C6">
        <w:rPr>
          <w:i/>
          <w:iCs/>
        </w:rPr>
        <w:t>Annual Review of Clinical Psychology</w:t>
      </w:r>
      <w:r w:rsidRPr="00A045C6">
        <w:t xml:space="preserve"> 13 (2017): 397–419.</w:t>
      </w:r>
    </w:p>
  </w:endnote>
  <w:endnote w:id="15">
    <w:p w14:paraId="7AF34A5E" w14:textId="77777777" w:rsidR="0060066F" w:rsidRPr="00A045C6" w:rsidRDefault="0060066F" w:rsidP="00A045C6">
      <w:pPr>
        <w:pStyle w:val="Footnote"/>
      </w:pPr>
      <w:r w:rsidRPr="00A045C6">
        <w:rPr>
          <w:rStyle w:val="EndnoteReference"/>
        </w:rPr>
        <w:endnoteRef/>
      </w:r>
      <w:r w:rsidRPr="00A045C6">
        <w:t xml:space="preserve"> German Lopez, “Marijuana Has Been Legalized in 11 States and Washington, DC,” VOX</w:t>
      </w:r>
      <w:r w:rsidRPr="00A045C6">
        <w:rPr>
          <w:i/>
          <w:iCs/>
        </w:rPr>
        <w:t xml:space="preserve">, </w:t>
      </w:r>
      <w:r w:rsidRPr="00A045C6">
        <w:t>June 25, 2019, accessed September 24, 2020, https://www.vox.com/identities/2018/8/20/17938336/marijuana-legalization-states-map.</w:t>
      </w:r>
    </w:p>
  </w:endnote>
  <w:endnote w:id="16">
    <w:p w14:paraId="3A9C0581" w14:textId="77777777" w:rsidR="00126808" w:rsidRPr="00A045C6" w:rsidRDefault="00126808" w:rsidP="00A045C6">
      <w:pPr>
        <w:pStyle w:val="Footnote"/>
      </w:pPr>
      <w:r w:rsidRPr="00A045C6">
        <w:rPr>
          <w:rStyle w:val="EndnoteReference"/>
        </w:rPr>
        <w:endnoteRef/>
      </w:r>
      <w:r w:rsidRPr="00A045C6">
        <w:t xml:space="preserve"> All dollar amounts are in Canadian dollars unless otherwise specified.</w:t>
      </w:r>
    </w:p>
  </w:endnote>
  <w:endnote w:id="17">
    <w:p w14:paraId="547236BC" w14:textId="77777777" w:rsidR="0060066F" w:rsidRPr="00A045C6" w:rsidRDefault="0060066F" w:rsidP="00A045C6">
      <w:pPr>
        <w:pStyle w:val="Footnote"/>
      </w:pPr>
      <w:r w:rsidRPr="00A045C6">
        <w:rPr>
          <w:rStyle w:val="EndnoteReference"/>
        </w:rPr>
        <w:endnoteRef/>
      </w:r>
      <w:r w:rsidRPr="00A045C6">
        <w:t xml:space="preserve"> Statistics Canada</w:t>
      </w:r>
      <w:r w:rsidRPr="00A045C6">
        <w:rPr>
          <w:i/>
          <w:iCs/>
        </w:rPr>
        <w:t xml:space="preserve">, </w:t>
      </w:r>
      <w:r w:rsidRPr="00A045C6">
        <w:t>“Table 20-10-0008-01: Retail Trade Sales by Province and Territory,” September 24, 2020, accessed September 24, 2020, https://www150.statcan.gc.ca.</w:t>
      </w:r>
    </w:p>
  </w:endnote>
  <w:endnote w:id="18">
    <w:p w14:paraId="3CAABF2F" w14:textId="77777777" w:rsidR="0060066F" w:rsidRPr="00A045C6" w:rsidRDefault="0060066F" w:rsidP="00A045C6">
      <w:pPr>
        <w:pStyle w:val="Footnote"/>
        <w:rPr>
          <w:i/>
          <w:iCs/>
        </w:rPr>
      </w:pPr>
      <w:r w:rsidRPr="00A045C6">
        <w:rPr>
          <w:rStyle w:val="EndnoteReference"/>
        </w:rPr>
        <w:endnoteRef/>
      </w:r>
      <w:r w:rsidRPr="00A045C6">
        <w:t xml:space="preserve"> Statistics Canada, “Number and Percentage of Current Consumers Who Access Cannabis from Each Source (Exclusively or Not), by Gender, Canada, First Half of 2019,” Table 9 in “National Cannabis Survey, Second Quarter 2019,” </w:t>
      </w:r>
      <w:r w:rsidRPr="00A045C6">
        <w:rPr>
          <w:i/>
          <w:iCs/>
        </w:rPr>
        <w:t>The Daily</w:t>
      </w:r>
      <w:r w:rsidRPr="00A045C6">
        <w:t>, August 15, 2019,</w:t>
      </w:r>
      <w:r w:rsidRPr="00A045C6">
        <w:rPr>
          <w:i/>
          <w:iCs/>
        </w:rPr>
        <w:t xml:space="preserve"> </w:t>
      </w:r>
      <w:r w:rsidRPr="00A045C6">
        <w:t>accessed September 24, 2020, https://www150.statcan.gc.ca/n1/daily-quotidien/190815/t009a-eng.htm.</w:t>
      </w:r>
    </w:p>
  </w:endnote>
  <w:endnote w:id="19">
    <w:p w14:paraId="7D7555B2" w14:textId="5851990D" w:rsidR="0060066F" w:rsidRPr="00A045C6" w:rsidRDefault="0060066F" w:rsidP="00A045C6">
      <w:pPr>
        <w:pStyle w:val="Footnote"/>
      </w:pPr>
      <w:r w:rsidRPr="00A045C6">
        <w:rPr>
          <w:rStyle w:val="EndnoteReference"/>
        </w:rPr>
        <w:endnoteRef/>
      </w:r>
      <w:r w:rsidRPr="00A045C6">
        <w:t xml:space="preserve"> Shai Wallach (content creator, The Busy Budtender), in discussion with the author, September 10, 2020. The quality of cannabis could be difficult to ascertain. Akin to wine, various attributes could signify quality, including unique colours, scents, cannabinoid content, terpene content, and trichrome clarity, among other characteristics.</w:t>
      </w:r>
    </w:p>
  </w:endnote>
  <w:endnote w:id="20">
    <w:p w14:paraId="196595E3" w14:textId="0F36CB99" w:rsidR="0060066F" w:rsidRPr="00A045C6" w:rsidRDefault="0060066F" w:rsidP="00A045C6">
      <w:pPr>
        <w:pStyle w:val="Footnote"/>
      </w:pPr>
      <w:r w:rsidRPr="00A045C6">
        <w:rPr>
          <w:rStyle w:val="EndnoteReference"/>
        </w:rPr>
        <w:endnoteRef/>
      </w:r>
      <w:r w:rsidRPr="00A045C6">
        <w:t xml:space="preserve"> “Canadian Bank Slashes Cannabis Sales Forecast to CA$2.5 Billion for 2020,” Marijuana Business Daily</w:t>
      </w:r>
      <w:r w:rsidRPr="00A045C6">
        <w:rPr>
          <w:i/>
          <w:iCs/>
        </w:rPr>
        <w:t xml:space="preserve">, </w:t>
      </w:r>
      <w:r w:rsidRPr="00A045C6">
        <w:t>April 27, 2020, accessed September 24, 2020</w:t>
      </w:r>
      <w:r w:rsidR="001C1AF4" w:rsidRPr="00A045C6">
        <w:t>,</w:t>
      </w:r>
      <w:r w:rsidRPr="00A045C6">
        <w:t xml:space="preserve"> https://mjbizdaily.com/canadian-bank-slashes-cannabis-sales-forecast-to-ca2-5-billion-for-2020; and Emily Mertz, “Alberta, Ontario to Lead Canada’s Legal Pot Market by 2024: Report,” Global News</w:t>
      </w:r>
      <w:r w:rsidRPr="00A045C6">
        <w:rPr>
          <w:i/>
          <w:iCs/>
        </w:rPr>
        <w:t>,</w:t>
      </w:r>
      <w:r w:rsidRPr="00A045C6">
        <w:t xml:space="preserve"> April 9, 2019, accessed September 24, 2020, https://globalnews.ca/news/5146862/alberta-ontario-lead-legal-pot-market-2024-report.</w:t>
      </w:r>
    </w:p>
  </w:endnote>
  <w:endnote w:id="21">
    <w:p w14:paraId="695E20ED" w14:textId="040584EF" w:rsidR="0060066F" w:rsidRPr="00B558E0" w:rsidRDefault="0060066F" w:rsidP="00B558E0">
      <w:pPr>
        <w:pStyle w:val="EndnoteText"/>
        <w:jc w:val="both"/>
        <w:rPr>
          <w:rFonts w:ascii="Arial" w:hAnsi="Arial" w:cs="Arial"/>
          <w:sz w:val="17"/>
          <w:szCs w:val="17"/>
          <w:lang w:val="en-US"/>
        </w:rPr>
      </w:pPr>
      <w:r w:rsidRPr="00B558E0">
        <w:rPr>
          <w:rStyle w:val="EndnoteReference"/>
          <w:rFonts w:ascii="Arial" w:hAnsi="Arial" w:cs="Arial"/>
          <w:sz w:val="17"/>
          <w:szCs w:val="17"/>
        </w:rPr>
        <w:endnoteRef/>
      </w:r>
      <w:r w:rsidRPr="00B558E0">
        <w:rPr>
          <w:rFonts w:ascii="Arial" w:hAnsi="Arial" w:cs="Arial"/>
          <w:sz w:val="17"/>
          <w:szCs w:val="17"/>
        </w:rPr>
        <w:t xml:space="preserve"> </w:t>
      </w:r>
      <w:r w:rsidRPr="00A045C6">
        <w:rPr>
          <w:rFonts w:ascii="Arial" w:hAnsi="Arial" w:cs="Arial"/>
          <w:sz w:val="17"/>
          <w:szCs w:val="17"/>
        </w:rPr>
        <w:t>“2019 Was A Big Year For Legal Cannabis,” BDS Analytics, February 4, 2020, accessed December 31, 2020, https://www.benzinga.com/markets/cannabis/20/02/15246573/2019-was-a-big-year-for-legal-cannabis.</w:t>
      </w:r>
    </w:p>
  </w:endnote>
  <w:endnote w:id="22">
    <w:p w14:paraId="6933E1A1" w14:textId="77777777" w:rsidR="0060066F" w:rsidRPr="00A045C6" w:rsidRDefault="0060066F" w:rsidP="00A045C6">
      <w:pPr>
        <w:pStyle w:val="Footnote"/>
      </w:pPr>
      <w:r w:rsidRPr="00A045C6">
        <w:rPr>
          <w:rStyle w:val="EndnoteReference"/>
        </w:rPr>
        <w:endnoteRef/>
      </w:r>
      <w:r w:rsidRPr="00A045C6">
        <w:t xml:space="preserve"> “Legal Marijuana Market Size, Share &amp; Trends Analysis Report b</w:t>
      </w:r>
      <w:r w:rsidRPr="009D2055">
        <w:t xml:space="preserve">y Marijuana Type (Medical, Adult Use), by Product Type, </w:t>
      </w:r>
      <w:r w:rsidRPr="00A045C6">
        <w:t>by Medical Application (Cancer, Mental Disorders), and Segment Forecasts, 2020–2027,” Grand View Research</w:t>
      </w:r>
      <w:r w:rsidRPr="00A045C6">
        <w:rPr>
          <w:i/>
          <w:iCs/>
        </w:rPr>
        <w:t xml:space="preserve">, </w:t>
      </w:r>
      <w:r w:rsidRPr="00A045C6">
        <w:t>February 2020, accessed September 24, 2020, https://www.grandviewresearch.com/industry-analysis/legal-marijuana-market.</w:t>
      </w:r>
    </w:p>
  </w:endnote>
  <w:endnote w:id="23">
    <w:p w14:paraId="0663D83A" w14:textId="77777777" w:rsidR="0060066F" w:rsidRPr="00A045C6" w:rsidRDefault="0060066F" w:rsidP="00A045C6">
      <w:pPr>
        <w:pStyle w:val="Footnote"/>
      </w:pPr>
      <w:r w:rsidRPr="00A045C6">
        <w:rPr>
          <w:rStyle w:val="EndnoteReference"/>
        </w:rPr>
        <w:endnoteRef/>
      </w:r>
      <w:r w:rsidRPr="00A045C6">
        <w:t xml:space="preserve"> “Licensed Cultivators, Processors and Sellers of Cannabis under the </w:t>
      </w:r>
      <w:r w:rsidRPr="009D2055">
        <w:rPr>
          <w:i/>
          <w:iCs/>
        </w:rPr>
        <w:t>Cannabis Act</w:t>
      </w:r>
      <w:r w:rsidRPr="009D2055">
        <w:t>,” Health Canada</w:t>
      </w:r>
      <w:r w:rsidRPr="009D2055">
        <w:rPr>
          <w:i/>
          <w:iCs/>
        </w:rPr>
        <w:t xml:space="preserve">, </w:t>
      </w:r>
      <w:r w:rsidRPr="009D2055">
        <w:t>September 11, 2020, accessed Sep</w:t>
      </w:r>
      <w:r w:rsidRPr="00A045C6">
        <w:t>tember 24, 2020, https://www.canada.ca/en/health-canada/services/drugs-medication/cannabis/industry-licensees-applicants/licensed-cultivators-processors-sellers.html.</w:t>
      </w:r>
    </w:p>
  </w:endnote>
  <w:endnote w:id="24">
    <w:p w14:paraId="3F6ACA6A" w14:textId="77777777" w:rsidR="0060066F" w:rsidRPr="009D2055" w:rsidRDefault="0060066F" w:rsidP="00A045C6">
      <w:pPr>
        <w:pStyle w:val="Footnote"/>
      </w:pPr>
      <w:r w:rsidRPr="00A045C6">
        <w:rPr>
          <w:rStyle w:val="EndnoteReference"/>
        </w:rPr>
        <w:endnoteRef/>
      </w:r>
      <w:r w:rsidRPr="00A045C6">
        <w:t xml:space="preserve"> Jim Lawson (chief financial officer, </w:t>
      </w:r>
      <w:r w:rsidRPr="009D2055">
        <w:t>Delta 9 Cannabis Inc.), in discussion with the author, August 26, 2020.</w:t>
      </w:r>
    </w:p>
  </w:endnote>
  <w:endnote w:id="25">
    <w:p w14:paraId="7EE417D3" w14:textId="2C4796B5" w:rsidR="0060066F" w:rsidRPr="00A045C6" w:rsidRDefault="0060066F" w:rsidP="00A045C6">
      <w:pPr>
        <w:pStyle w:val="Footnote"/>
      </w:pPr>
      <w:r w:rsidRPr="00A045C6">
        <w:rPr>
          <w:rStyle w:val="EndnoteReference"/>
        </w:rPr>
        <w:endnoteRef/>
      </w:r>
      <w:r w:rsidRPr="00A045C6">
        <w:t xml:space="preserve"> Ibid.</w:t>
      </w:r>
    </w:p>
  </w:endnote>
  <w:endnote w:id="26">
    <w:p w14:paraId="0F72F942" w14:textId="77777777" w:rsidR="0060066F" w:rsidRPr="00A045C6" w:rsidRDefault="0060066F" w:rsidP="00A045C6">
      <w:pPr>
        <w:pStyle w:val="Footnote"/>
      </w:pPr>
      <w:r w:rsidRPr="00A045C6">
        <w:rPr>
          <w:rStyle w:val="EndnoteReference"/>
        </w:rPr>
        <w:endnoteRef/>
      </w:r>
      <w:r w:rsidRPr="00A045C6">
        <w:t xml:space="preserve"> Legalizing the recreational use of cannabis was a campaign promise from the Liberal Party of Canada, the winning party of the 2015 federal election; Josh Elliott, “Liberals ‘Committed’ to Legalizing Marijuana: Trudeau,” CTV News</w:t>
      </w:r>
      <w:r w:rsidRPr="00A045C6">
        <w:rPr>
          <w:i/>
          <w:iCs/>
        </w:rPr>
        <w:t>,</w:t>
      </w:r>
      <w:r w:rsidRPr="00A045C6">
        <w:t xml:space="preserve"> September 30, 2015, accessed September 24, 2020 https://www.ctvnews.ca/politics/election/liberals-committed-to-legalizing-marijuana-trudeau-1.2588260.</w:t>
      </w:r>
    </w:p>
  </w:endnote>
  <w:endnote w:id="27">
    <w:p w14:paraId="65676A4B" w14:textId="77777777" w:rsidR="00D433B2" w:rsidRPr="009D2055" w:rsidRDefault="00D433B2" w:rsidP="00D433B2">
      <w:pPr>
        <w:pStyle w:val="Footnote"/>
      </w:pPr>
      <w:r w:rsidRPr="00A045C6">
        <w:rPr>
          <w:rStyle w:val="EndnoteReference"/>
        </w:rPr>
        <w:endnoteRef/>
      </w:r>
      <w:r w:rsidRPr="00A045C6">
        <w:t xml:space="preserve"> John Arbuthnot (chief executive officer, Delta 9 </w:t>
      </w:r>
      <w:r w:rsidRPr="009D2055">
        <w:t>Cannabis Inc.), in discussion with the author, July 5, 2020.</w:t>
      </w:r>
    </w:p>
  </w:endnote>
  <w:endnote w:id="28">
    <w:p w14:paraId="18C5F992" w14:textId="1A2C7D9C" w:rsidR="0060066F" w:rsidRPr="00A045C6" w:rsidRDefault="0060066F" w:rsidP="009D2055">
      <w:pPr>
        <w:pStyle w:val="Footnote"/>
      </w:pPr>
      <w:r w:rsidRPr="00A045C6">
        <w:rPr>
          <w:rStyle w:val="EndnoteReference"/>
        </w:rPr>
        <w:endnoteRef/>
      </w:r>
      <w:r w:rsidRPr="00A045C6">
        <w:t xml:space="preserve"> Ibid</w:t>
      </w:r>
      <w:r w:rsidR="00CD7682" w:rsidRPr="00A045C6">
        <w:t>.</w:t>
      </w:r>
    </w:p>
  </w:endnote>
  <w:endnote w:id="29">
    <w:p w14:paraId="7E041D24" w14:textId="77777777" w:rsidR="0060066F" w:rsidRPr="009D2055" w:rsidRDefault="0060066F" w:rsidP="009D2055">
      <w:pPr>
        <w:pStyle w:val="Footnote"/>
      </w:pPr>
      <w:r w:rsidRPr="00A045C6">
        <w:rPr>
          <w:rStyle w:val="EndnoteReference"/>
        </w:rPr>
        <w:endnoteRef/>
      </w:r>
      <w:r w:rsidRPr="00A045C6">
        <w:t xml:space="preserve"> “Overview of the Cannabis Adult-Use Regulation in Canada,” Osler</w:t>
      </w:r>
      <w:r w:rsidRPr="00A045C6">
        <w:rPr>
          <w:i/>
          <w:iCs/>
        </w:rPr>
        <w:t xml:space="preserve">, </w:t>
      </w:r>
      <w:r w:rsidRPr="009D2055">
        <w:t>May 29, 2019, accessed September 24, 2020, https://www.osler.com/en/resources/in-focus/overview-of-the-cannabis-adult-use-regulation-in-canada.</w:t>
      </w:r>
    </w:p>
  </w:endnote>
  <w:endnote w:id="30">
    <w:p w14:paraId="7EDEFCBD" w14:textId="77777777" w:rsidR="0060066F" w:rsidRPr="00A045C6" w:rsidRDefault="0060066F" w:rsidP="009D2055">
      <w:pPr>
        <w:pStyle w:val="Footnote"/>
      </w:pPr>
      <w:r w:rsidRPr="00A045C6">
        <w:rPr>
          <w:rStyle w:val="EndnoteReference"/>
        </w:rPr>
        <w:endnoteRef/>
      </w:r>
      <w:r w:rsidRPr="00A045C6">
        <w:t xml:space="preserve"> Saskatchewan was the only province where licensed producers were free to negotiate and sell directly to retailers. Even in Saskatchewan</w:t>
      </w:r>
      <w:r w:rsidRPr="009D2055">
        <w:t>, however, retailers could only purchase cannabis from producers registered with the Saskatchewan Liquor and Gaming Auth</w:t>
      </w:r>
      <w:r w:rsidRPr="00A045C6">
        <w:t>ority.</w:t>
      </w:r>
    </w:p>
  </w:endnote>
  <w:endnote w:id="31">
    <w:p w14:paraId="4B92D8DE" w14:textId="07E851AC" w:rsidR="0060066F" w:rsidRPr="00A045C6" w:rsidRDefault="0060066F" w:rsidP="009D2055">
      <w:pPr>
        <w:pStyle w:val="Footnote"/>
      </w:pPr>
      <w:r w:rsidRPr="00A045C6">
        <w:rPr>
          <w:rStyle w:val="EndnoteReference"/>
        </w:rPr>
        <w:endnoteRef/>
      </w:r>
      <w:r w:rsidRPr="00A045C6">
        <w:t xml:space="preserve"> “Overview of the Cannabis Adult-Use Regulation in Canada,” op. cit. </w:t>
      </w:r>
    </w:p>
  </w:endnote>
  <w:endnote w:id="32">
    <w:p w14:paraId="5B96A060" w14:textId="77777777" w:rsidR="0060066F" w:rsidRPr="00B558E0" w:rsidRDefault="0060066F" w:rsidP="009D2055">
      <w:pPr>
        <w:pStyle w:val="Footnote"/>
        <w:rPr>
          <w:spacing w:val="-2"/>
        </w:rPr>
      </w:pPr>
      <w:r w:rsidRPr="00B558E0">
        <w:rPr>
          <w:rStyle w:val="EndnoteReference"/>
          <w:spacing w:val="-2"/>
        </w:rPr>
        <w:endnoteRef/>
      </w:r>
      <w:r w:rsidRPr="00B558E0">
        <w:rPr>
          <w:spacing w:val="-2"/>
        </w:rPr>
        <w:t xml:space="preserve"> Government of British Columbia, </w:t>
      </w:r>
      <w:r w:rsidRPr="00B558E0">
        <w:rPr>
          <w:i/>
          <w:iCs/>
          <w:spacing w:val="-2"/>
        </w:rPr>
        <w:t>Cannabis Retail Store: Terms and Conditions</w:t>
      </w:r>
      <w:r w:rsidRPr="00B558E0">
        <w:rPr>
          <w:spacing w:val="-2"/>
        </w:rPr>
        <w:t xml:space="preserve"> (September 9, 2020), accessed September 24, 2020, https://www2.gov.bc.ca/assets/gov/employment-business-and-economic-development/business-management/liquor-regulation-licensing/guides-and-manuals/cannabis-retail-store-licence-handbook.pdf; and “Ontario Raises LP Affiliation Limit to 25%, Opens Cannabis Retail Market,” Marijuana Business Daily</w:t>
      </w:r>
      <w:r w:rsidRPr="00B558E0">
        <w:rPr>
          <w:i/>
          <w:iCs/>
          <w:spacing w:val="-2"/>
        </w:rPr>
        <w:t xml:space="preserve">, </w:t>
      </w:r>
      <w:r w:rsidRPr="00B558E0">
        <w:rPr>
          <w:spacing w:val="-2"/>
        </w:rPr>
        <w:t>December 12, 2019, accessed September 24, 2020, https://mjbizdaily.com/ontario-raises-lp-affiliation-limit-to-25-opens-retail-cannabis-market.</w:t>
      </w:r>
    </w:p>
  </w:endnote>
  <w:endnote w:id="33">
    <w:p w14:paraId="3C937A03" w14:textId="3D83AD16" w:rsidR="0060066F" w:rsidRPr="009D2055" w:rsidRDefault="0060066F">
      <w:pPr>
        <w:pStyle w:val="Footnote"/>
      </w:pPr>
      <w:r w:rsidRPr="00A045C6">
        <w:rPr>
          <w:rStyle w:val="EndnoteReference"/>
        </w:rPr>
        <w:endnoteRef/>
      </w:r>
      <w:r w:rsidRPr="00A045C6">
        <w:t xml:space="preserve"> “Licensed Cultivators, Processors and Sellers of Cannabis under the </w:t>
      </w:r>
      <w:r w:rsidRPr="00A045C6">
        <w:rPr>
          <w:i/>
          <w:iCs/>
        </w:rPr>
        <w:t>Cannabis Act</w:t>
      </w:r>
      <w:r w:rsidRPr="009D2055">
        <w:t xml:space="preserve">,” op. cit. </w:t>
      </w:r>
    </w:p>
  </w:endnote>
  <w:endnote w:id="34">
    <w:p w14:paraId="00BC9797" w14:textId="77777777" w:rsidR="0060066F" w:rsidRPr="00A045C6" w:rsidRDefault="0060066F">
      <w:pPr>
        <w:pStyle w:val="Footnote"/>
        <w:rPr>
          <w:i/>
          <w:iCs/>
        </w:rPr>
      </w:pPr>
      <w:r w:rsidRPr="00A045C6">
        <w:rPr>
          <w:rStyle w:val="EndnoteReference"/>
        </w:rPr>
        <w:endnoteRef/>
      </w:r>
      <w:r w:rsidRPr="00A045C6">
        <w:t xml:space="preserve"> Eric Foster, Paul Lalonde, and Sean Stephenson, “Global Cannabis Trade: A Primer on Canadian Import/Export Requirements for Cannabis,” Dentons</w:t>
      </w:r>
      <w:r w:rsidRPr="00A045C6">
        <w:rPr>
          <w:i/>
          <w:iCs/>
        </w:rPr>
        <w:t xml:space="preserve">, </w:t>
      </w:r>
      <w:r w:rsidRPr="00A045C6">
        <w:t>January 15, 2020,</w:t>
      </w:r>
      <w:r w:rsidRPr="00A045C6">
        <w:rPr>
          <w:i/>
          <w:iCs/>
        </w:rPr>
        <w:t xml:space="preserve"> </w:t>
      </w:r>
      <w:r w:rsidRPr="00A045C6">
        <w:t>accessed September 24, 2020 https://www.jdsupra.com/legalnews/global-cannabis-trade-a-primer-on-13428; and “Canada Accused of Cannabis ‘Protectionism’ by Blocking Imports—Even as Exports Soar,” Marijuana Business Daily</w:t>
      </w:r>
      <w:r w:rsidRPr="00A045C6">
        <w:rPr>
          <w:i/>
          <w:iCs/>
        </w:rPr>
        <w:t xml:space="preserve">, </w:t>
      </w:r>
      <w:r w:rsidRPr="00A045C6">
        <w:t>August 19, 2020, accessed September 24, 2020 https://mjbizdaily.com/canada-accused-of-cannabis-protectionism-by-blocking-imports.</w:t>
      </w:r>
    </w:p>
  </w:endnote>
  <w:endnote w:id="35">
    <w:p w14:paraId="5E102ECE" w14:textId="77777777" w:rsidR="0060066F" w:rsidRPr="00A045C6" w:rsidRDefault="0060066F">
      <w:pPr>
        <w:pStyle w:val="Footnote"/>
      </w:pPr>
      <w:r w:rsidRPr="00A045C6">
        <w:rPr>
          <w:rStyle w:val="EndnoteReference"/>
        </w:rPr>
        <w:endnoteRef/>
      </w:r>
      <w:r w:rsidRPr="00A045C6">
        <w:t xml:space="preserve"> Jeff Lagerquist, “Four Cents per Gram? Outdoor Pot Is Piling up in a ‘Constipated’ Market</w:t>
      </w:r>
      <w:r w:rsidRPr="009D2055">
        <w:t xml:space="preserve">,” Yahoo Finance Canada, July 28, 2020, accessed September 24, 2020, </w:t>
      </w:r>
      <w:r w:rsidRPr="00A045C6">
        <w:t>https://ca.finance.yahoo.com/news/four-cents-per-gram-outdoor-pot-is-piling-up-in-a-constipated-market-164337560.html.</w:t>
      </w:r>
    </w:p>
  </w:endnote>
  <w:endnote w:id="36">
    <w:p w14:paraId="2DE08275" w14:textId="77777777" w:rsidR="0060066F" w:rsidRPr="001172E1" w:rsidRDefault="0060066F">
      <w:pPr>
        <w:pStyle w:val="Footnote"/>
        <w:rPr>
          <w:spacing w:val="-6"/>
          <w:kern w:val="17"/>
        </w:rPr>
      </w:pPr>
      <w:r w:rsidRPr="001172E1">
        <w:rPr>
          <w:rStyle w:val="EndnoteReference"/>
          <w:spacing w:val="-6"/>
          <w:kern w:val="17"/>
        </w:rPr>
        <w:endnoteRef/>
      </w:r>
      <w:r w:rsidRPr="001172E1">
        <w:rPr>
          <w:spacing w:val="-6"/>
          <w:kern w:val="17"/>
        </w:rPr>
        <w:t xml:space="preserve"> Liam Britten, “Food for Pot: Cannabis Edibles, Extracts and Topicals Now Legal but Can't Be Sold for Some Time,” CBC News</w:t>
      </w:r>
      <w:r w:rsidRPr="001172E1">
        <w:rPr>
          <w:i/>
          <w:iCs/>
          <w:spacing w:val="-6"/>
          <w:kern w:val="17"/>
        </w:rPr>
        <w:t xml:space="preserve">, </w:t>
      </w:r>
      <w:r w:rsidRPr="001172E1">
        <w:rPr>
          <w:spacing w:val="-6"/>
          <w:kern w:val="17"/>
        </w:rPr>
        <w:t>October 17, 2019, accessed September 24, 2020, https://www.cbc.ca/news/canada/british-columbia/cannabis-edibles-bc-1.5321886.</w:t>
      </w:r>
    </w:p>
  </w:endnote>
  <w:endnote w:id="37">
    <w:p w14:paraId="18F99DD8" w14:textId="77777777" w:rsidR="0060066F" w:rsidRPr="00B558E0" w:rsidRDefault="0060066F">
      <w:pPr>
        <w:pStyle w:val="Footnote"/>
        <w:rPr>
          <w:spacing w:val="-2"/>
        </w:rPr>
      </w:pPr>
      <w:r w:rsidRPr="00B558E0">
        <w:rPr>
          <w:rStyle w:val="EndnoteReference"/>
          <w:spacing w:val="-2"/>
        </w:rPr>
        <w:endnoteRef/>
      </w:r>
      <w:r w:rsidRPr="00B558E0">
        <w:rPr>
          <w:spacing w:val="-2"/>
        </w:rPr>
        <w:t xml:space="preserve"> In September 2019, CannTrust Holdings Inc. was found to be illegally cultivating cannabis. The company was one of Canada’s largest cannabis companies at the time. To regain regulatory compliance, the company announced in October 2019 that it would destroy $77 million worth of cannabis (Noah Zivitz, “CannTrust Destroying $77m of Pot in Bid to Regain Regulator's Trust,” BNN Bloomberg, October 14 2019, accessed September 24, 2020, https://www.bnnbloomberg.ca/canntrust-destroying-77m-of-pot-in-bid-to-regain-health-canada-s-trust-1.1331371). In February 2020, Aurora Cannabis Inc. stated its intention to write-down roughly $1 billion in assets (David Georg</w:t>
      </w:r>
      <w:bookmarkStart w:id="1" w:name="_GoBack"/>
      <w:bookmarkEnd w:id="1"/>
      <w:r w:rsidRPr="00B558E0">
        <w:rPr>
          <w:spacing w:val="-2"/>
        </w:rPr>
        <w:t>e-Cosh, “Aurora Cannabis Replaces CEO, Sees Up to $1B in Write-Downs,” BNN Bloomberg, February 6, 2020, accessed September 24, 2020, https://www.bnnbloomberg.ca/cosh-aphria-1.1386220). In March 2020, Canopy Growth Corporation announced plans to lay off 500 workers, close two greenhouses, and write down $700-800 million in assets (Canopy Growth Corporation, “Canopy Growth Announces Production Optimization Plan in Canada,” press release</w:t>
      </w:r>
      <w:r w:rsidRPr="00B558E0">
        <w:rPr>
          <w:i/>
          <w:iCs/>
          <w:spacing w:val="-2"/>
        </w:rPr>
        <w:t xml:space="preserve">, </w:t>
      </w:r>
      <w:r w:rsidRPr="00B558E0">
        <w:rPr>
          <w:spacing w:val="-2"/>
        </w:rPr>
        <w:t>March 4, 2020, accessed September 24, 2020, https://www.canopygrowth.com/investors/news-releases/canopy-growth-announces-production-optimization-plan-in-canada).</w:t>
      </w:r>
    </w:p>
  </w:endnote>
  <w:endnote w:id="38">
    <w:p w14:paraId="3B292B0E" w14:textId="77777777" w:rsidR="0060066F" w:rsidRPr="00A045C6" w:rsidRDefault="0060066F">
      <w:pPr>
        <w:pStyle w:val="Footnote"/>
      </w:pPr>
      <w:r w:rsidRPr="00A045C6">
        <w:rPr>
          <w:rStyle w:val="EndnoteReference"/>
        </w:rPr>
        <w:endnoteRef/>
      </w:r>
      <w:r w:rsidRPr="00A045C6">
        <w:t xml:space="preserve"> The Canadian Cannabis LP Index dropped from a peak of $1,128 in April 2019 to $197 in March 2020.</w:t>
      </w:r>
    </w:p>
  </w:endnote>
  <w:endnote w:id="39">
    <w:p w14:paraId="35658BC8" w14:textId="108D374E" w:rsidR="0060066F" w:rsidRPr="00A045C6" w:rsidRDefault="0060066F">
      <w:pPr>
        <w:pStyle w:val="Footnote"/>
      </w:pPr>
      <w:r w:rsidRPr="00A045C6">
        <w:rPr>
          <w:rStyle w:val="EndnoteReference"/>
        </w:rPr>
        <w:endnoteRef/>
      </w:r>
      <w:r w:rsidRPr="00A045C6">
        <w:t xml:space="preserve"> Lawson, op. cit. </w:t>
      </w:r>
    </w:p>
  </w:endnote>
  <w:endnote w:id="40">
    <w:p w14:paraId="13B04D61" w14:textId="77777777" w:rsidR="0060066F" w:rsidRPr="00A045C6" w:rsidRDefault="0060066F">
      <w:pPr>
        <w:pStyle w:val="Footnote"/>
      </w:pPr>
      <w:r w:rsidRPr="00A045C6">
        <w:rPr>
          <w:rStyle w:val="EndnoteReference"/>
        </w:rPr>
        <w:endnoteRef/>
      </w:r>
      <w:r w:rsidRPr="00A045C6">
        <w:t xml:space="preserve"> Vanmala Subramaniam, “What Cannabis Shortage? Analyst Warns Oversupply Could Become a Problem in Mere Months,” </w:t>
      </w:r>
      <w:r w:rsidRPr="00A045C6">
        <w:rPr>
          <w:i/>
          <w:iCs/>
        </w:rPr>
        <w:t>Financial Post</w:t>
      </w:r>
      <w:r w:rsidRPr="00A045C6">
        <w:t>, June 13, 2019, accessed September 24, 2020, https://financialpost.com/cannabis/what-cannabis-shortage-analyst-warns-oversupply-could-become-a-problem-as-soon-as-2020.</w:t>
      </w:r>
    </w:p>
  </w:endnote>
  <w:endnote w:id="41">
    <w:p w14:paraId="6D952DEB" w14:textId="1744B68E" w:rsidR="0060066F" w:rsidRPr="00A045C6" w:rsidRDefault="0060066F">
      <w:pPr>
        <w:pStyle w:val="Footnote"/>
      </w:pPr>
      <w:r w:rsidRPr="00A045C6">
        <w:rPr>
          <w:rStyle w:val="EndnoteReference"/>
        </w:rPr>
        <w:endnoteRef/>
      </w:r>
      <w:r w:rsidRPr="00A045C6">
        <w:t xml:space="preserve"> Lawson, op. cit.</w:t>
      </w:r>
    </w:p>
  </w:endnote>
  <w:endnote w:id="42">
    <w:p w14:paraId="0F0F8C9B" w14:textId="41B3BCD1" w:rsidR="0060066F" w:rsidRPr="00A045C6" w:rsidRDefault="0060066F">
      <w:pPr>
        <w:pStyle w:val="Footnote"/>
        <w:rPr>
          <w:b/>
          <w:bCs/>
        </w:rPr>
      </w:pPr>
      <w:r w:rsidRPr="00A045C6">
        <w:rPr>
          <w:rStyle w:val="EndnoteReference"/>
        </w:rPr>
        <w:endnoteRef/>
      </w:r>
      <w:r w:rsidRPr="00A045C6">
        <w:t xml:space="preserve"> Bill Kaufmann, “Cannabis Store Approvals in Alberta Surpass 500, Many More on the Way,</w:t>
      </w:r>
      <w:r w:rsidRPr="009D2055">
        <w:t xml:space="preserve">” </w:t>
      </w:r>
      <w:r w:rsidRPr="009D2055">
        <w:rPr>
          <w:i/>
          <w:iCs/>
        </w:rPr>
        <w:t xml:space="preserve">Calgary Herald, </w:t>
      </w:r>
      <w:r w:rsidRPr="009D2055">
        <w:t xml:space="preserve">August 12, 2020, accessed September, 24, 2020, </w:t>
      </w:r>
      <w:r w:rsidRPr="00A045C6">
        <w:t>https://calgaryherald.com/cannabis/cannabis-business/cannabis-store-approvals-in-alberta-surpass-500-many-more-on-the-way; and</w:t>
      </w:r>
      <w:r w:rsidR="001F6EE6" w:rsidRPr="00A045C6">
        <w:t xml:space="preserve"> </w:t>
      </w:r>
      <w:r w:rsidR="00071708" w:rsidRPr="00A045C6">
        <w:t>Nitin</w:t>
      </w:r>
      <w:r w:rsidR="007E5AE3" w:rsidRPr="00A045C6">
        <w:t xml:space="preserve"> </w:t>
      </w:r>
      <w:r w:rsidR="00071708" w:rsidRPr="00A045C6">
        <w:t>Kaushal (</w:t>
      </w:r>
      <w:r w:rsidR="00EC7E91" w:rsidRPr="00A045C6">
        <w:t>independent director</w:t>
      </w:r>
      <w:r w:rsidR="00204615" w:rsidRPr="00A045C6">
        <w:t>, b</w:t>
      </w:r>
      <w:r w:rsidR="00EC7E91" w:rsidRPr="00A045C6">
        <w:t>oard of directors</w:t>
      </w:r>
      <w:r w:rsidR="00071708" w:rsidRPr="00A045C6">
        <w:t xml:space="preserve">, </w:t>
      </w:r>
      <w:r w:rsidR="00204615" w:rsidRPr="00A045C6">
        <w:t>High Tide Inc.</w:t>
      </w:r>
      <w:r w:rsidR="00071708" w:rsidRPr="00A045C6">
        <w:t>), in discussion with the author,</w:t>
      </w:r>
      <w:r w:rsidR="001F6EE6" w:rsidRPr="00A045C6">
        <w:t xml:space="preserve"> January</w:t>
      </w:r>
      <w:r w:rsidR="00071708" w:rsidRPr="00A045C6">
        <w:t xml:space="preserve"> </w:t>
      </w:r>
      <w:r w:rsidR="00BE5FBD" w:rsidRPr="00A045C6">
        <w:t>10</w:t>
      </w:r>
      <w:r w:rsidR="00071708" w:rsidRPr="00A045C6">
        <w:t>, 202</w:t>
      </w:r>
      <w:r w:rsidR="001F6EE6" w:rsidRPr="00A045C6">
        <w:t>1</w:t>
      </w:r>
      <w:r w:rsidR="00071708" w:rsidRPr="00A045C6">
        <w:t>.</w:t>
      </w:r>
    </w:p>
  </w:endnote>
  <w:endnote w:id="43">
    <w:p w14:paraId="6291D014" w14:textId="5B32AD3D" w:rsidR="0060066F" w:rsidRPr="009D2055" w:rsidRDefault="0060066F">
      <w:pPr>
        <w:pStyle w:val="Footnote"/>
      </w:pPr>
      <w:r w:rsidRPr="00A045C6">
        <w:rPr>
          <w:rStyle w:val="EndnoteReference"/>
        </w:rPr>
        <w:endnoteRef/>
      </w:r>
      <w:r w:rsidR="00071708" w:rsidRPr="00A045C6">
        <w:t xml:space="preserve"> </w:t>
      </w:r>
      <w:r w:rsidR="001F6EE6" w:rsidRPr="00A045C6">
        <w:t>Nitin Kaushal</w:t>
      </w:r>
      <w:r w:rsidR="00CD7682" w:rsidRPr="00A045C6">
        <w:t>, op. cit.</w:t>
      </w:r>
    </w:p>
  </w:endnote>
  <w:endnote w:id="44">
    <w:p w14:paraId="0EE86AD5" w14:textId="515FDD35" w:rsidR="0060066F" w:rsidRPr="00A045C6" w:rsidRDefault="0060066F">
      <w:pPr>
        <w:pStyle w:val="Footnote"/>
      </w:pPr>
      <w:r w:rsidRPr="00A045C6">
        <w:rPr>
          <w:rStyle w:val="EndnoteReference"/>
        </w:rPr>
        <w:endnoteRef/>
      </w:r>
      <w:r w:rsidRPr="00A045C6">
        <w:t xml:space="preserve"> The price cover</w:t>
      </w:r>
      <w:r w:rsidRPr="009D2055">
        <w:t xml:space="preserve">ed the cost of the grow pod, equipment, and delivery. Additional </w:t>
      </w:r>
      <w:r w:rsidR="00CD7682" w:rsidRPr="009D2055">
        <w:t>(</w:t>
      </w:r>
      <w:r w:rsidRPr="009D2055">
        <w:t>but minimal</w:t>
      </w:r>
      <w:r w:rsidR="00CD7682" w:rsidRPr="00A045C6">
        <w:t>)</w:t>
      </w:r>
      <w:r w:rsidRPr="00A045C6">
        <w:t xml:space="preserve"> assembly was required by the customer to make the grow pod operational.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CBA46" w14:textId="77777777" w:rsidR="002A506F" w:rsidRDefault="002A506F" w:rsidP="001268A8">
      <w:pPr>
        <w:spacing w:after="0" w:line="240" w:lineRule="auto"/>
      </w:pPr>
      <w:r>
        <w:separator/>
      </w:r>
    </w:p>
  </w:footnote>
  <w:footnote w:type="continuationSeparator" w:id="0">
    <w:p w14:paraId="4379C5AB" w14:textId="77777777" w:rsidR="002A506F" w:rsidRDefault="002A506F" w:rsidP="00126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71F83" w14:textId="290F7618" w:rsidR="0060066F" w:rsidRPr="00B558E0" w:rsidRDefault="0060066F" w:rsidP="00B558E0">
    <w:pPr>
      <w:pBdr>
        <w:bottom w:val="single" w:sz="18" w:space="1" w:color="auto"/>
      </w:pBdr>
      <w:tabs>
        <w:tab w:val="left" w:pos="-1440"/>
        <w:tab w:val="left" w:pos="-720"/>
        <w:tab w:val="right" w:pos="9360"/>
      </w:tabs>
      <w:spacing w:after="0"/>
      <w:rPr>
        <w:sz w:val="16"/>
        <w:szCs w:val="18"/>
      </w:rPr>
    </w:pPr>
    <w:r w:rsidRPr="00B558E0">
      <w:rPr>
        <w:rFonts w:ascii="Arial" w:hAnsi="Arial"/>
        <w:b/>
        <w:sz w:val="20"/>
      </w:rPr>
      <w:t xml:space="preserve">Page </w:t>
    </w:r>
    <w:r w:rsidRPr="00B558E0">
      <w:rPr>
        <w:rFonts w:ascii="Arial" w:hAnsi="Arial"/>
        <w:b/>
        <w:sz w:val="20"/>
      </w:rPr>
      <w:fldChar w:fldCharType="begin"/>
    </w:r>
    <w:r w:rsidRPr="00B558E0">
      <w:rPr>
        <w:rFonts w:ascii="Arial" w:hAnsi="Arial"/>
        <w:b/>
        <w:sz w:val="20"/>
      </w:rPr>
      <w:instrText>PAGE</w:instrText>
    </w:r>
    <w:r w:rsidRPr="00B558E0">
      <w:rPr>
        <w:rFonts w:ascii="Arial" w:hAnsi="Arial"/>
        <w:b/>
        <w:sz w:val="20"/>
      </w:rPr>
      <w:fldChar w:fldCharType="separate"/>
    </w:r>
    <w:r w:rsidR="00CD7682" w:rsidRPr="00B558E0">
      <w:rPr>
        <w:rFonts w:ascii="Arial" w:hAnsi="Arial"/>
        <w:b/>
        <w:noProof/>
        <w:sz w:val="20"/>
      </w:rPr>
      <w:t>15</w:t>
    </w:r>
    <w:r w:rsidRPr="00B558E0">
      <w:rPr>
        <w:rFonts w:ascii="Arial" w:hAnsi="Arial"/>
        <w:b/>
        <w:sz w:val="20"/>
      </w:rPr>
      <w:fldChar w:fldCharType="end"/>
    </w:r>
    <w:r w:rsidRPr="00B558E0">
      <w:rPr>
        <w:rFonts w:ascii="Arial" w:hAnsi="Arial"/>
        <w:b/>
        <w:sz w:val="20"/>
      </w:rPr>
      <w:tab/>
    </w:r>
    <w:r w:rsidR="004B0F00">
      <w:rPr>
        <w:rFonts w:ascii="Arial" w:hAnsi="Arial"/>
        <w:b/>
        <w:sz w:val="20"/>
      </w:rPr>
      <w:t>9B21B001</w:t>
    </w:r>
  </w:p>
  <w:p w14:paraId="7A60858E" w14:textId="77777777" w:rsidR="0060066F" w:rsidRPr="00B558E0" w:rsidRDefault="0060066F" w:rsidP="00840255">
    <w:pPr>
      <w:pStyle w:val="Header"/>
      <w:tabs>
        <w:tab w:val="clear" w:pos="4680"/>
      </w:tabs>
      <w:rPr>
        <w:sz w:val="16"/>
        <w:szCs w:val="18"/>
      </w:rPr>
    </w:pPr>
  </w:p>
  <w:p w14:paraId="63F095CA" w14:textId="77777777" w:rsidR="0060066F" w:rsidRPr="00B558E0" w:rsidRDefault="0060066F" w:rsidP="00840255">
    <w:pPr>
      <w:pStyle w:val="Header"/>
      <w:tabs>
        <w:tab w:val="clear" w:pos="4680"/>
      </w:tabs>
      <w:rPr>
        <w:sz w:val="16"/>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81AFC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B63F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98BA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0D3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EAEA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CA1A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9091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AAC1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5E1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2C0D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trackedChanges" w:enforcement="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1sDQHQiMLMzMDSyUdpeDU4uLM/DyQAuNaAIDeky0sAAAA"/>
  </w:docVars>
  <w:rsids>
    <w:rsidRoot w:val="001268A8"/>
    <w:rsid w:val="00005BE5"/>
    <w:rsid w:val="0002220D"/>
    <w:rsid w:val="00022F4E"/>
    <w:rsid w:val="00071708"/>
    <w:rsid w:val="000C24D2"/>
    <w:rsid w:val="000D3738"/>
    <w:rsid w:val="000F54B1"/>
    <w:rsid w:val="00104487"/>
    <w:rsid w:val="001172E1"/>
    <w:rsid w:val="00125A20"/>
    <w:rsid w:val="00126808"/>
    <w:rsid w:val="001268A8"/>
    <w:rsid w:val="00156B3A"/>
    <w:rsid w:val="00167367"/>
    <w:rsid w:val="0018449A"/>
    <w:rsid w:val="001971D0"/>
    <w:rsid w:val="001A548B"/>
    <w:rsid w:val="001C1AF4"/>
    <w:rsid w:val="001D4472"/>
    <w:rsid w:val="001E0146"/>
    <w:rsid w:val="001E302D"/>
    <w:rsid w:val="001F4CD2"/>
    <w:rsid w:val="001F6EE6"/>
    <w:rsid w:val="001F7E80"/>
    <w:rsid w:val="00201B3F"/>
    <w:rsid w:val="00204615"/>
    <w:rsid w:val="002065FE"/>
    <w:rsid w:val="00211AAB"/>
    <w:rsid w:val="00231EE8"/>
    <w:rsid w:val="002733FF"/>
    <w:rsid w:val="00273FC0"/>
    <w:rsid w:val="00280515"/>
    <w:rsid w:val="00293FF3"/>
    <w:rsid w:val="00296DD7"/>
    <w:rsid w:val="002A087A"/>
    <w:rsid w:val="002A506F"/>
    <w:rsid w:val="002C2266"/>
    <w:rsid w:val="002C4631"/>
    <w:rsid w:val="002F3F6F"/>
    <w:rsid w:val="00306498"/>
    <w:rsid w:val="00342726"/>
    <w:rsid w:val="0035436B"/>
    <w:rsid w:val="00367DCB"/>
    <w:rsid w:val="0039333F"/>
    <w:rsid w:val="003B176B"/>
    <w:rsid w:val="003F37ED"/>
    <w:rsid w:val="00406B91"/>
    <w:rsid w:val="0044044F"/>
    <w:rsid w:val="00450933"/>
    <w:rsid w:val="0047379B"/>
    <w:rsid w:val="00477E5F"/>
    <w:rsid w:val="00481AB9"/>
    <w:rsid w:val="00492F5B"/>
    <w:rsid w:val="004B0F00"/>
    <w:rsid w:val="004F1A09"/>
    <w:rsid w:val="005224D6"/>
    <w:rsid w:val="00522DB2"/>
    <w:rsid w:val="005502C0"/>
    <w:rsid w:val="00555192"/>
    <w:rsid w:val="00570EA2"/>
    <w:rsid w:val="00571C8E"/>
    <w:rsid w:val="005A5B19"/>
    <w:rsid w:val="005D25C8"/>
    <w:rsid w:val="005E2555"/>
    <w:rsid w:val="005E4E2E"/>
    <w:rsid w:val="0060066F"/>
    <w:rsid w:val="00614D19"/>
    <w:rsid w:val="0064547C"/>
    <w:rsid w:val="00651E4D"/>
    <w:rsid w:val="00675B8C"/>
    <w:rsid w:val="00683C50"/>
    <w:rsid w:val="006A49E7"/>
    <w:rsid w:val="006A5DC8"/>
    <w:rsid w:val="006D06BD"/>
    <w:rsid w:val="006E0C29"/>
    <w:rsid w:val="006F2B7C"/>
    <w:rsid w:val="00706B31"/>
    <w:rsid w:val="00711510"/>
    <w:rsid w:val="00723F5B"/>
    <w:rsid w:val="00727B85"/>
    <w:rsid w:val="007377BE"/>
    <w:rsid w:val="007746B8"/>
    <w:rsid w:val="007B2B00"/>
    <w:rsid w:val="007B2C66"/>
    <w:rsid w:val="007B5989"/>
    <w:rsid w:val="007C025B"/>
    <w:rsid w:val="007C548B"/>
    <w:rsid w:val="007E277A"/>
    <w:rsid w:val="007E3B0E"/>
    <w:rsid w:val="007E5AE3"/>
    <w:rsid w:val="007F71F7"/>
    <w:rsid w:val="00803CC3"/>
    <w:rsid w:val="0080660C"/>
    <w:rsid w:val="0082386F"/>
    <w:rsid w:val="00840255"/>
    <w:rsid w:val="008552B6"/>
    <w:rsid w:val="0088097D"/>
    <w:rsid w:val="008810EF"/>
    <w:rsid w:val="00885CEC"/>
    <w:rsid w:val="008902B2"/>
    <w:rsid w:val="00891166"/>
    <w:rsid w:val="00897104"/>
    <w:rsid w:val="008B419E"/>
    <w:rsid w:val="008B6718"/>
    <w:rsid w:val="008C0EF9"/>
    <w:rsid w:val="008C3C91"/>
    <w:rsid w:val="008D7501"/>
    <w:rsid w:val="008F0AF8"/>
    <w:rsid w:val="009145BA"/>
    <w:rsid w:val="009160E3"/>
    <w:rsid w:val="009526C1"/>
    <w:rsid w:val="009617E6"/>
    <w:rsid w:val="00961F9B"/>
    <w:rsid w:val="00991198"/>
    <w:rsid w:val="00993F54"/>
    <w:rsid w:val="0099688B"/>
    <w:rsid w:val="009D1C4A"/>
    <w:rsid w:val="009D2055"/>
    <w:rsid w:val="009D2678"/>
    <w:rsid w:val="009D3E7F"/>
    <w:rsid w:val="009E0AF6"/>
    <w:rsid w:val="00A02259"/>
    <w:rsid w:val="00A045C6"/>
    <w:rsid w:val="00A31172"/>
    <w:rsid w:val="00A33774"/>
    <w:rsid w:val="00A46F54"/>
    <w:rsid w:val="00A7419F"/>
    <w:rsid w:val="00A8567A"/>
    <w:rsid w:val="00A91354"/>
    <w:rsid w:val="00A9512A"/>
    <w:rsid w:val="00AA473C"/>
    <w:rsid w:val="00AC22F4"/>
    <w:rsid w:val="00AC38DF"/>
    <w:rsid w:val="00AD464D"/>
    <w:rsid w:val="00B036D1"/>
    <w:rsid w:val="00B046BC"/>
    <w:rsid w:val="00B10C04"/>
    <w:rsid w:val="00B12C9B"/>
    <w:rsid w:val="00B164CE"/>
    <w:rsid w:val="00B25655"/>
    <w:rsid w:val="00B558E0"/>
    <w:rsid w:val="00B56E11"/>
    <w:rsid w:val="00B62048"/>
    <w:rsid w:val="00BA32E0"/>
    <w:rsid w:val="00BC0836"/>
    <w:rsid w:val="00BC2B93"/>
    <w:rsid w:val="00BD2D12"/>
    <w:rsid w:val="00BE5FBD"/>
    <w:rsid w:val="00BF5BA2"/>
    <w:rsid w:val="00C30708"/>
    <w:rsid w:val="00C33DBB"/>
    <w:rsid w:val="00C43618"/>
    <w:rsid w:val="00C55A75"/>
    <w:rsid w:val="00C82F77"/>
    <w:rsid w:val="00C84917"/>
    <w:rsid w:val="00C9329C"/>
    <w:rsid w:val="00CA5197"/>
    <w:rsid w:val="00CB5B7F"/>
    <w:rsid w:val="00CB6F4B"/>
    <w:rsid w:val="00CC0C6D"/>
    <w:rsid w:val="00CD7682"/>
    <w:rsid w:val="00CE0449"/>
    <w:rsid w:val="00CF1F9D"/>
    <w:rsid w:val="00D2323B"/>
    <w:rsid w:val="00D433B2"/>
    <w:rsid w:val="00D4639E"/>
    <w:rsid w:val="00D46D49"/>
    <w:rsid w:val="00D5267A"/>
    <w:rsid w:val="00D632F6"/>
    <w:rsid w:val="00D65D45"/>
    <w:rsid w:val="00D66495"/>
    <w:rsid w:val="00D670F9"/>
    <w:rsid w:val="00D812CA"/>
    <w:rsid w:val="00D8767F"/>
    <w:rsid w:val="00D91063"/>
    <w:rsid w:val="00DA01C4"/>
    <w:rsid w:val="00DA238F"/>
    <w:rsid w:val="00DA2F6E"/>
    <w:rsid w:val="00DB29CA"/>
    <w:rsid w:val="00DE4927"/>
    <w:rsid w:val="00E00171"/>
    <w:rsid w:val="00E0435B"/>
    <w:rsid w:val="00E26AC8"/>
    <w:rsid w:val="00E54698"/>
    <w:rsid w:val="00E56D2C"/>
    <w:rsid w:val="00EC7E91"/>
    <w:rsid w:val="00ED2406"/>
    <w:rsid w:val="00EE771C"/>
    <w:rsid w:val="00EF3F80"/>
    <w:rsid w:val="00F05111"/>
    <w:rsid w:val="00F448CE"/>
    <w:rsid w:val="00F63DA0"/>
    <w:rsid w:val="00F72F36"/>
    <w:rsid w:val="00FB3888"/>
    <w:rsid w:val="00FD5BAD"/>
    <w:rsid w:val="00FE3518"/>
    <w:rsid w:val="00FE3ACF"/>
    <w:rsid w:val="00FE7B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9808C3"/>
  <w15:chartTrackingRefBased/>
  <w15:docId w15:val="{48104A1F-2A36-49E9-B35F-3B6EC4D9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268A8"/>
    <w:pPr>
      <w:keepNext/>
      <w:keepLines/>
      <w:spacing w:before="480" w:after="0" w:line="276" w:lineRule="auto"/>
      <w:outlineLvl w:val="0"/>
    </w:pPr>
    <w:rPr>
      <w:rFonts w:ascii="Arial" w:eastAsia="Times New Roman" w:hAnsi="Arial" w:cs="Times New Roman"/>
      <w:b/>
      <w:bCs/>
      <w:color w:val="365F91"/>
      <w:sz w:val="20"/>
      <w:szCs w:val="28"/>
      <w:lang w:val="x-none" w:eastAsia="x-none"/>
    </w:rPr>
  </w:style>
  <w:style w:type="paragraph" w:styleId="Heading2">
    <w:name w:val="heading 2"/>
    <w:basedOn w:val="Normal"/>
    <w:next w:val="Normal"/>
    <w:link w:val="Heading2Char"/>
    <w:unhideWhenUsed/>
    <w:qFormat/>
    <w:rsid w:val="001268A8"/>
    <w:pPr>
      <w:keepNext/>
      <w:keepLines/>
      <w:spacing w:before="200" w:after="0" w:line="276" w:lineRule="auto"/>
      <w:outlineLvl w:val="1"/>
    </w:pPr>
    <w:rPr>
      <w:rFonts w:ascii="Arial" w:eastAsia="Times New Roman" w:hAnsi="Arial" w:cs="Times New Roman"/>
      <w:b/>
      <w:bCs/>
      <w:color w:val="4F81BD"/>
      <w:sz w:val="20"/>
      <w:szCs w:val="26"/>
      <w:lang w:val="x-none" w:eastAsia="x-none"/>
    </w:rPr>
  </w:style>
  <w:style w:type="paragraph" w:styleId="Heading3">
    <w:name w:val="heading 3"/>
    <w:basedOn w:val="Normal"/>
    <w:next w:val="Normal"/>
    <w:link w:val="Heading3Char"/>
    <w:unhideWhenUsed/>
    <w:qFormat/>
    <w:rsid w:val="001268A8"/>
    <w:pPr>
      <w:keepNext/>
      <w:keepLines/>
      <w:spacing w:before="200" w:after="0" w:line="276" w:lineRule="auto"/>
      <w:outlineLvl w:val="2"/>
    </w:pPr>
    <w:rPr>
      <w:rFonts w:ascii="Cambria" w:eastAsia="Times New Roman" w:hAnsi="Cambria" w:cs="Times New Roman"/>
      <w:b/>
      <w:bCs/>
      <w:color w:val="4F81BD"/>
      <w:sz w:val="20"/>
      <w:szCs w:val="20"/>
      <w:lang w:val="x-none" w:eastAsia="x-none"/>
    </w:rPr>
  </w:style>
  <w:style w:type="paragraph" w:styleId="Heading4">
    <w:name w:val="heading 4"/>
    <w:basedOn w:val="Normal"/>
    <w:next w:val="Normal"/>
    <w:link w:val="Heading4Char"/>
    <w:semiHidden/>
    <w:unhideWhenUsed/>
    <w:qFormat/>
    <w:rsid w:val="001268A8"/>
    <w:pPr>
      <w:keepNext/>
      <w:keepLines/>
      <w:spacing w:before="40" w:after="0"/>
      <w:outlineLvl w:val="3"/>
    </w:pPr>
    <w:rPr>
      <w:rFonts w:ascii="Cambria" w:eastAsia="SimSun" w:hAnsi="Cambria" w:cs="Times New Roman"/>
      <w:b/>
      <w:bCs/>
      <w:i/>
      <w:iCs/>
      <w:color w:val="4F81BD"/>
      <w:sz w:val="20"/>
      <w:szCs w:val="20"/>
      <w:lang w:val="en-GB"/>
    </w:rPr>
  </w:style>
  <w:style w:type="paragraph" w:styleId="Heading5">
    <w:name w:val="heading 5"/>
    <w:basedOn w:val="Normal"/>
    <w:next w:val="Normal"/>
    <w:link w:val="Heading5Char"/>
    <w:semiHidden/>
    <w:unhideWhenUsed/>
    <w:qFormat/>
    <w:rsid w:val="001268A8"/>
    <w:pPr>
      <w:keepNext/>
      <w:keepLines/>
      <w:spacing w:before="40" w:after="0"/>
      <w:outlineLvl w:val="4"/>
    </w:pPr>
    <w:rPr>
      <w:rFonts w:ascii="Cambria" w:eastAsia="SimSun" w:hAnsi="Cambria" w:cs="Times New Roman"/>
      <w:color w:val="243F60"/>
      <w:sz w:val="20"/>
      <w:szCs w:val="20"/>
      <w:lang w:val="en-GB"/>
    </w:rPr>
  </w:style>
  <w:style w:type="paragraph" w:styleId="Heading7">
    <w:name w:val="heading 7"/>
    <w:basedOn w:val="Normal"/>
    <w:next w:val="Normal"/>
    <w:link w:val="Heading7Char"/>
    <w:qFormat/>
    <w:rsid w:val="001268A8"/>
    <w:pPr>
      <w:keepNext/>
      <w:spacing w:after="0" w:line="240" w:lineRule="auto"/>
      <w:outlineLvl w:val="6"/>
    </w:pPr>
    <w:rPr>
      <w:rFonts w:ascii="Times New Roman" w:eastAsia="Times New Roman" w:hAnsi="Times New Roman" w:cs="Times New Roman"/>
      <w:b/>
      <w:bCs/>
      <w:sz w:val="24"/>
      <w:szCs w:val="24"/>
      <w:lang w:val="en-GB" w:eastAsia="x-none"/>
    </w:rPr>
  </w:style>
  <w:style w:type="paragraph" w:styleId="Heading8">
    <w:name w:val="heading 8"/>
    <w:basedOn w:val="Normal"/>
    <w:next w:val="Normal"/>
    <w:link w:val="Heading8Char"/>
    <w:qFormat/>
    <w:rsid w:val="001268A8"/>
    <w:pPr>
      <w:tabs>
        <w:tab w:val="left" w:pos="0"/>
      </w:tabs>
      <w:spacing w:after="0" w:line="240" w:lineRule="auto"/>
      <w:jc w:val="center"/>
      <w:outlineLvl w:val="7"/>
    </w:pPr>
    <w:rPr>
      <w:rFonts w:ascii="Times New Roman" w:eastAsia="Times New Roman" w:hAnsi="Times New Roman" w:cs="Times New Roman"/>
      <w:b/>
      <w:sz w:val="18"/>
      <w:szCs w:val="20"/>
      <w:lang w:val="en-AU"/>
    </w:rPr>
  </w:style>
  <w:style w:type="paragraph" w:styleId="Heading9">
    <w:name w:val="heading 9"/>
    <w:basedOn w:val="Normal"/>
    <w:next w:val="Normal"/>
    <w:link w:val="Heading9Char"/>
    <w:qFormat/>
    <w:rsid w:val="001268A8"/>
    <w:pPr>
      <w:spacing w:before="40" w:after="40" w:line="240" w:lineRule="auto"/>
      <w:outlineLvl w:val="8"/>
    </w:pPr>
    <w:rPr>
      <w:rFonts w:ascii="Times New Roman" w:eastAsia="Times New Roman" w:hAnsi="Times New Roman" w:cs="Times New Roman"/>
      <w:b/>
      <w:sz w:val="18"/>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68A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1268A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1268A8"/>
    <w:rPr>
      <w:rFonts w:ascii="Cambria" w:eastAsia="Times New Roman" w:hAnsi="Cambria" w:cs="Times New Roman"/>
      <w:b/>
      <w:bCs/>
      <w:color w:val="4F81BD"/>
      <w:sz w:val="20"/>
      <w:szCs w:val="20"/>
      <w:lang w:val="x-none" w:eastAsia="x-none"/>
    </w:rPr>
  </w:style>
  <w:style w:type="paragraph" w:customStyle="1" w:styleId="Heading41">
    <w:name w:val="Heading 41"/>
    <w:basedOn w:val="Normal"/>
    <w:next w:val="Normal"/>
    <w:unhideWhenUsed/>
    <w:qFormat/>
    <w:rsid w:val="001268A8"/>
    <w:pPr>
      <w:keepNext/>
      <w:keepLines/>
      <w:spacing w:before="200" w:after="0" w:line="240" w:lineRule="auto"/>
      <w:outlineLvl w:val="3"/>
    </w:pPr>
    <w:rPr>
      <w:rFonts w:ascii="Cambria" w:eastAsia="SimSun" w:hAnsi="Cambria" w:cs="Times New Roman"/>
      <w:b/>
      <w:bCs/>
      <w:i/>
      <w:iCs/>
      <w:color w:val="4F81BD"/>
      <w:sz w:val="20"/>
      <w:szCs w:val="20"/>
      <w:lang w:val="en-GB"/>
    </w:rPr>
  </w:style>
  <w:style w:type="paragraph" w:customStyle="1" w:styleId="Heading51">
    <w:name w:val="Heading 51"/>
    <w:basedOn w:val="Normal"/>
    <w:next w:val="Normal"/>
    <w:unhideWhenUsed/>
    <w:qFormat/>
    <w:rsid w:val="001268A8"/>
    <w:pPr>
      <w:keepNext/>
      <w:keepLines/>
      <w:spacing w:before="200" w:after="0" w:line="240" w:lineRule="auto"/>
      <w:outlineLvl w:val="4"/>
    </w:pPr>
    <w:rPr>
      <w:rFonts w:ascii="Cambria" w:eastAsia="SimSun" w:hAnsi="Cambria" w:cs="Times New Roman"/>
      <w:color w:val="243F60"/>
      <w:sz w:val="20"/>
      <w:szCs w:val="20"/>
      <w:lang w:val="en-GB"/>
    </w:rPr>
  </w:style>
  <w:style w:type="character" w:customStyle="1" w:styleId="Heading7Char">
    <w:name w:val="Heading 7 Char"/>
    <w:basedOn w:val="DefaultParagraphFont"/>
    <w:link w:val="Heading7"/>
    <w:rsid w:val="001268A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1268A8"/>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1268A8"/>
    <w:rPr>
      <w:rFonts w:ascii="Times New Roman" w:eastAsia="Times New Roman" w:hAnsi="Times New Roman" w:cs="Times New Roman"/>
      <w:b/>
      <w:sz w:val="18"/>
      <w:szCs w:val="20"/>
      <w:lang w:val="en-AU"/>
    </w:rPr>
  </w:style>
  <w:style w:type="numbering" w:customStyle="1" w:styleId="NoList1">
    <w:name w:val="No List1"/>
    <w:next w:val="NoList"/>
    <w:uiPriority w:val="99"/>
    <w:semiHidden/>
    <w:unhideWhenUsed/>
    <w:rsid w:val="001268A8"/>
  </w:style>
  <w:style w:type="character" w:customStyle="1" w:styleId="Heading4Char">
    <w:name w:val="Heading 4 Char"/>
    <w:basedOn w:val="DefaultParagraphFont"/>
    <w:link w:val="Heading4"/>
    <w:rsid w:val="001268A8"/>
    <w:rPr>
      <w:rFonts w:ascii="Cambria" w:eastAsia="SimSun" w:hAnsi="Cambria" w:cs="Times New Roman"/>
      <w:b/>
      <w:bCs/>
      <w:i/>
      <w:iCs/>
      <w:color w:val="4F81BD"/>
      <w:sz w:val="20"/>
      <w:szCs w:val="20"/>
      <w:lang w:val="en-GB"/>
    </w:rPr>
  </w:style>
  <w:style w:type="character" w:customStyle="1" w:styleId="Heading5Char">
    <w:name w:val="Heading 5 Char"/>
    <w:basedOn w:val="DefaultParagraphFont"/>
    <w:link w:val="Heading5"/>
    <w:rsid w:val="001268A8"/>
    <w:rPr>
      <w:rFonts w:ascii="Cambria" w:eastAsia="SimSun" w:hAnsi="Cambria" w:cs="Times New Roman"/>
      <w:color w:val="243F60"/>
      <w:sz w:val="20"/>
      <w:szCs w:val="20"/>
      <w:lang w:val="en-GB"/>
    </w:rPr>
  </w:style>
  <w:style w:type="paragraph" w:styleId="BalloonText">
    <w:name w:val="Balloon Text"/>
    <w:basedOn w:val="Normal"/>
    <w:link w:val="BalloonTextChar"/>
    <w:unhideWhenUsed/>
    <w:rsid w:val="001268A8"/>
    <w:pPr>
      <w:spacing w:after="0" w:line="240"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rsid w:val="001268A8"/>
    <w:rPr>
      <w:rFonts w:ascii="Tahoma" w:eastAsia="Times New Roman" w:hAnsi="Tahoma" w:cs="Tahoma"/>
      <w:sz w:val="16"/>
      <w:szCs w:val="16"/>
      <w:lang w:val="en-GB"/>
    </w:rPr>
  </w:style>
  <w:style w:type="paragraph" w:customStyle="1" w:styleId="MainTitle">
    <w:name w:val="MainTitle"/>
    <w:basedOn w:val="Normal"/>
    <w:link w:val="MainTitleChar"/>
    <w:rsid w:val="001268A8"/>
    <w:pPr>
      <w:autoSpaceDE w:val="0"/>
      <w:autoSpaceDN w:val="0"/>
      <w:adjustRightInd w:val="0"/>
      <w:spacing w:after="576" w:line="288" w:lineRule="auto"/>
      <w:textAlignment w:val="center"/>
    </w:pPr>
    <w:rPr>
      <w:rFonts w:ascii="Arial" w:hAnsi="Arial" w:cs="Arial"/>
      <w:b/>
      <w:bCs/>
      <w:caps/>
      <w:color w:val="000000"/>
      <w:sz w:val="28"/>
      <w:szCs w:val="28"/>
      <w:lang w:val="en-GB"/>
    </w:rPr>
  </w:style>
  <w:style w:type="character" w:customStyle="1" w:styleId="MainTitleChar">
    <w:name w:val="MainTitle Char"/>
    <w:basedOn w:val="DefaultParagraphFont"/>
    <w:link w:val="MainTitle"/>
    <w:rsid w:val="001268A8"/>
    <w:rPr>
      <w:rFonts w:ascii="Arial" w:hAnsi="Arial" w:cs="Arial"/>
      <w:b/>
      <w:bCs/>
      <w:caps/>
      <w:color w:val="000000"/>
      <w:sz w:val="28"/>
      <w:szCs w:val="28"/>
      <w:lang w:val="en-GB"/>
    </w:rPr>
  </w:style>
  <w:style w:type="paragraph" w:customStyle="1" w:styleId="CopyrightStatement">
    <w:name w:val="CopyrightStatement"/>
    <w:basedOn w:val="Normal"/>
    <w:rsid w:val="001268A8"/>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lang w:val="en-GB"/>
    </w:rPr>
  </w:style>
  <w:style w:type="paragraph" w:customStyle="1" w:styleId="BodyTextMain">
    <w:name w:val="Body Text Main"/>
    <w:basedOn w:val="Normal"/>
    <w:link w:val="BodyTextMainChar"/>
    <w:qFormat/>
    <w:rsid w:val="001268A8"/>
    <w:pPr>
      <w:spacing w:after="0" w:line="240" w:lineRule="auto"/>
      <w:jc w:val="both"/>
    </w:pPr>
    <w:rPr>
      <w:rFonts w:ascii="Times New Roman" w:eastAsia="Times New Roman" w:hAnsi="Times New Roman" w:cs="Times New Roman"/>
      <w:lang w:val="en-GB"/>
    </w:rPr>
  </w:style>
  <w:style w:type="character" w:customStyle="1" w:styleId="BodyTextMainChar">
    <w:name w:val="Body Text Main Char"/>
    <w:basedOn w:val="DefaultParagraphFont"/>
    <w:link w:val="BodyTextMain"/>
    <w:rsid w:val="001268A8"/>
    <w:rPr>
      <w:rFonts w:ascii="Times New Roman" w:eastAsia="Times New Roman" w:hAnsi="Times New Roman" w:cs="Times New Roman"/>
      <w:lang w:val="en-GB"/>
    </w:rPr>
  </w:style>
  <w:style w:type="paragraph" w:customStyle="1" w:styleId="Casehead1">
    <w:name w:val="Casehead 1"/>
    <w:basedOn w:val="BodyTextMain"/>
    <w:next w:val="BodyTextMain"/>
    <w:link w:val="Casehead1Char"/>
    <w:qFormat/>
    <w:rsid w:val="001268A8"/>
    <w:pPr>
      <w:keepNext/>
    </w:pPr>
    <w:rPr>
      <w:rFonts w:ascii="Arial" w:hAnsi="Arial" w:cs="Arial"/>
      <w:b/>
      <w:caps/>
      <w:sz w:val="20"/>
      <w:szCs w:val="20"/>
    </w:rPr>
  </w:style>
  <w:style w:type="character" w:customStyle="1" w:styleId="Casehead1Char">
    <w:name w:val="Casehead 1 Char"/>
    <w:basedOn w:val="BodyTextMainChar"/>
    <w:link w:val="Casehead1"/>
    <w:rsid w:val="001268A8"/>
    <w:rPr>
      <w:rFonts w:ascii="Arial" w:eastAsia="Times New Roman" w:hAnsi="Arial" w:cs="Arial"/>
      <w:b/>
      <w:caps/>
      <w:sz w:val="20"/>
      <w:szCs w:val="20"/>
      <w:lang w:val="en-GB"/>
    </w:rPr>
  </w:style>
  <w:style w:type="paragraph" w:customStyle="1" w:styleId="Casehead2">
    <w:name w:val="Casehead 2"/>
    <w:basedOn w:val="Casehead1"/>
    <w:link w:val="Casehead2Char"/>
    <w:qFormat/>
    <w:rsid w:val="001268A8"/>
    <w:rPr>
      <w:caps w:val="0"/>
    </w:rPr>
  </w:style>
  <w:style w:type="character" w:customStyle="1" w:styleId="Casehead2Char">
    <w:name w:val="Casehead 2 Char"/>
    <w:basedOn w:val="Casehead1Char"/>
    <w:link w:val="Casehead2"/>
    <w:rsid w:val="001268A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1268A8"/>
    <w:rPr>
      <w:rFonts w:ascii="Times New Roman" w:hAnsi="Times New Roman" w:cs="Times New Roman"/>
      <w:b w:val="0"/>
      <w:u w:val="single"/>
    </w:rPr>
  </w:style>
  <w:style w:type="character" w:customStyle="1" w:styleId="Casehead3Char">
    <w:name w:val="Casehead 3 Char"/>
    <w:basedOn w:val="Casehead2Char"/>
    <w:link w:val="Casehead3"/>
    <w:rsid w:val="001268A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1268A8"/>
    <w:rPr>
      <w:i/>
    </w:rPr>
  </w:style>
  <w:style w:type="character" w:customStyle="1" w:styleId="Casehead4Char">
    <w:name w:val="Casehead 4 Char"/>
    <w:basedOn w:val="Casehead3Char"/>
    <w:link w:val="Casehead4"/>
    <w:rsid w:val="001268A8"/>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1268A8"/>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uiPriority w:val="99"/>
    <w:rsid w:val="001268A8"/>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unhideWhenUsed/>
    <w:rsid w:val="001268A8"/>
    <w:rPr>
      <w:b/>
      <w:color w:val="FF0000"/>
      <w:vertAlign w:val="superscript"/>
    </w:rPr>
  </w:style>
  <w:style w:type="paragraph" w:customStyle="1" w:styleId="Footnote">
    <w:name w:val="Footnote"/>
    <w:basedOn w:val="FootnoteText"/>
    <w:link w:val="FootnoteChar"/>
    <w:qFormat/>
    <w:rsid w:val="001268A8"/>
    <w:pPr>
      <w:jc w:val="both"/>
    </w:pPr>
    <w:rPr>
      <w:rFonts w:ascii="Arial" w:hAnsi="Arial" w:cs="Arial"/>
      <w:sz w:val="17"/>
      <w:szCs w:val="17"/>
    </w:rPr>
  </w:style>
  <w:style w:type="character" w:customStyle="1" w:styleId="FootnoteChar">
    <w:name w:val="Footnote Char"/>
    <w:basedOn w:val="FootnoteTextChar"/>
    <w:link w:val="Footnote"/>
    <w:rsid w:val="001268A8"/>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1268A8"/>
    <w:pPr>
      <w:ind w:left="720" w:right="720"/>
    </w:pPr>
  </w:style>
  <w:style w:type="character" w:customStyle="1" w:styleId="Quotation3LinesChar">
    <w:name w:val="Quotation (3+ Lines) Char"/>
    <w:basedOn w:val="BodyTextMainChar"/>
    <w:link w:val="Quotation3Lines"/>
    <w:rsid w:val="001268A8"/>
    <w:rPr>
      <w:rFonts w:ascii="Times New Roman" w:eastAsia="Times New Roman" w:hAnsi="Times New Roman" w:cs="Times New Roman"/>
      <w:lang w:val="en-GB"/>
    </w:rPr>
  </w:style>
  <w:style w:type="paragraph" w:customStyle="1" w:styleId="ExhibitNumber">
    <w:name w:val="Exhibit Number"/>
    <w:basedOn w:val="BodyTextMain"/>
    <w:link w:val="ExhibitNumberChar"/>
    <w:qFormat/>
    <w:rsid w:val="001268A8"/>
    <w:pPr>
      <w:jc w:val="center"/>
    </w:pPr>
    <w:rPr>
      <w:rFonts w:ascii="Arial" w:hAnsi="Arial" w:cs="Arial"/>
      <w:b/>
      <w:sz w:val="20"/>
      <w:szCs w:val="20"/>
    </w:rPr>
  </w:style>
  <w:style w:type="character" w:customStyle="1" w:styleId="ExhibitNumberChar">
    <w:name w:val="Exhibit Number Char"/>
    <w:basedOn w:val="BodyTextMainChar"/>
    <w:link w:val="ExhibitNumber"/>
    <w:rsid w:val="001268A8"/>
    <w:rPr>
      <w:rFonts w:ascii="Arial" w:eastAsia="Times New Roman" w:hAnsi="Arial" w:cs="Arial"/>
      <w:b/>
      <w:sz w:val="20"/>
      <w:szCs w:val="20"/>
      <w:lang w:val="en-GB"/>
    </w:rPr>
  </w:style>
  <w:style w:type="paragraph" w:customStyle="1" w:styleId="ExhibitHeading">
    <w:name w:val="Exhibit Heading"/>
    <w:basedOn w:val="BodyTextMain"/>
    <w:next w:val="ExhibitText"/>
    <w:link w:val="ExhibitHeadingChar"/>
    <w:qFormat/>
    <w:rsid w:val="001268A8"/>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1268A8"/>
    <w:rPr>
      <w:rFonts w:ascii="Arial" w:eastAsia="Times New Roman" w:hAnsi="Arial" w:cs="Arial"/>
      <w:b/>
      <w:caps/>
      <w:sz w:val="20"/>
      <w:szCs w:val="20"/>
      <w:lang w:val="en-GB"/>
    </w:rPr>
  </w:style>
  <w:style w:type="paragraph" w:customStyle="1" w:styleId="CaseTitle">
    <w:name w:val="Case Title"/>
    <w:basedOn w:val="MainTitle"/>
    <w:link w:val="CaseTitleChar"/>
    <w:qFormat/>
    <w:rsid w:val="001268A8"/>
  </w:style>
  <w:style w:type="character" w:customStyle="1" w:styleId="CaseTitleChar">
    <w:name w:val="Case Title Char"/>
    <w:basedOn w:val="MainTitleChar"/>
    <w:link w:val="CaseTitle"/>
    <w:rsid w:val="001268A8"/>
    <w:rPr>
      <w:rFonts w:ascii="Arial" w:hAnsi="Arial" w:cs="Arial"/>
      <w:b/>
      <w:bCs/>
      <w:caps/>
      <w:color w:val="000000"/>
      <w:sz w:val="28"/>
      <w:szCs w:val="28"/>
      <w:lang w:val="en-GB"/>
    </w:rPr>
  </w:style>
  <w:style w:type="paragraph" w:customStyle="1" w:styleId="TeachingNoteTitle">
    <w:name w:val="Teaching Note Title"/>
    <w:basedOn w:val="CaseTitle"/>
    <w:link w:val="TeachingNoteTitleChar"/>
    <w:qFormat/>
    <w:rsid w:val="001268A8"/>
    <w:pPr>
      <w:jc w:val="center"/>
    </w:pPr>
  </w:style>
  <w:style w:type="character" w:customStyle="1" w:styleId="TeachingNoteTitleChar">
    <w:name w:val="Teaching Note Title Char"/>
    <w:basedOn w:val="CaseTitleChar"/>
    <w:link w:val="TeachingNoteTitle"/>
    <w:rsid w:val="001268A8"/>
    <w:rPr>
      <w:rFonts w:ascii="Arial" w:hAnsi="Arial" w:cs="Arial"/>
      <w:b/>
      <w:bCs/>
      <w:caps/>
      <w:color w:val="000000"/>
      <w:sz w:val="28"/>
      <w:szCs w:val="28"/>
      <w:lang w:val="en-GB"/>
    </w:rPr>
  </w:style>
  <w:style w:type="paragraph" w:customStyle="1" w:styleId="ProductNumber">
    <w:name w:val="Product Number"/>
    <w:basedOn w:val="Normal"/>
    <w:link w:val="ProductNumberChar"/>
    <w:qFormat/>
    <w:rsid w:val="001268A8"/>
    <w:pPr>
      <w:spacing w:after="0" w:line="240" w:lineRule="auto"/>
      <w:jc w:val="right"/>
    </w:pPr>
    <w:rPr>
      <w:rFonts w:ascii="Arial" w:eastAsia="Times New Roman" w:hAnsi="Arial" w:cs="Times New Roman"/>
      <w:b/>
      <w:caps/>
      <w:sz w:val="24"/>
      <w:szCs w:val="20"/>
      <w:lang w:val="en-GB"/>
    </w:rPr>
  </w:style>
  <w:style w:type="character" w:customStyle="1" w:styleId="ProductNumberChar">
    <w:name w:val="Product Number Char"/>
    <w:basedOn w:val="DefaultParagraphFont"/>
    <w:link w:val="ProductNumber"/>
    <w:rsid w:val="001268A8"/>
    <w:rPr>
      <w:rFonts w:ascii="Arial" w:eastAsia="Times New Roman" w:hAnsi="Arial" w:cs="Times New Roman"/>
      <w:b/>
      <w:caps/>
      <w:sz w:val="24"/>
      <w:szCs w:val="20"/>
      <w:lang w:val="en-GB"/>
    </w:rPr>
  </w:style>
  <w:style w:type="paragraph" w:customStyle="1" w:styleId="ExhibitText">
    <w:name w:val="Exhibit Text"/>
    <w:basedOn w:val="BodyTextMain"/>
    <w:link w:val="ExhibitTextChar"/>
    <w:qFormat/>
    <w:rsid w:val="001268A8"/>
    <w:rPr>
      <w:rFonts w:ascii="Arial" w:hAnsi="Arial" w:cs="Arial"/>
      <w:sz w:val="20"/>
      <w:szCs w:val="20"/>
    </w:rPr>
  </w:style>
  <w:style w:type="character" w:customStyle="1" w:styleId="ExhibitTextChar">
    <w:name w:val="Exhibit Text Char"/>
    <w:basedOn w:val="BodyTextMainChar"/>
    <w:link w:val="ExhibitText"/>
    <w:rsid w:val="001268A8"/>
    <w:rPr>
      <w:rFonts w:ascii="Arial" w:eastAsia="Times New Roman" w:hAnsi="Arial" w:cs="Arial"/>
      <w:sz w:val="20"/>
      <w:szCs w:val="20"/>
      <w:lang w:val="en-GB"/>
    </w:rPr>
  </w:style>
  <w:style w:type="paragraph" w:styleId="Header">
    <w:name w:val="header"/>
    <w:basedOn w:val="Normal"/>
    <w:link w:val="HeaderChar"/>
    <w:unhideWhenUsed/>
    <w:rsid w:val="001268A8"/>
    <w:pPr>
      <w:tabs>
        <w:tab w:val="center" w:pos="4680"/>
        <w:tab w:val="right" w:pos="936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268A8"/>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1268A8"/>
    <w:pPr>
      <w:tabs>
        <w:tab w:val="center" w:pos="4680"/>
        <w:tab w:val="right" w:pos="936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1268A8"/>
    <w:rPr>
      <w:rFonts w:ascii="Times New Roman" w:eastAsia="Times New Roman" w:hAnsi="Times New Roman" w:cs="Times New Roman"/>
      <w:sz w:val="20"/>
      <w:szCs w:val="20"/>
      <w:lang w:val="en-GB"/>
    </w:rPr>
  </w:style>
  <w:style w:type="character" w:customStyle="1" w:styleId="Hyperlink1">
    <w:name w:val="Hyperlink1"/>
    <w:basedOn w:val="DefaultParagraphFont"/>
    <w:uiPriority w:val="99"/>
    <w:unhideWhenUsed/>
    <w:rsid w:val="001268A8"/>
    <w:rPr>
      <w:color w:val="0000FF"/>
      <w:u w:val="single"/>
    </w:rPr>
  </w:style>
  <w:style w:type="paragraph" w:customStyle="1" w:styleId="StyleCopyrightStatementAfter0ptBottomSinglesolidline">
    <w:name w:val="Style CopyrightStatement + After:  0 pt Bottom: (Single solid line..."/>
    <w:basedOn w:val="CopyrightStatement"/>
    <w:rsid w:val="001268A8"/>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1268A8"/>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1268A8"/>
    <w:pPr>
      <w:pBdr>
        <w:top w:val="none" w:sz="0" w:space="0" w:color="auto"/>
      </w:pBdr>
    </w:pPr>
  </w:style>
  <w:style w:type="paragraph" w:styleId="BodyText">
    <w:name w:val="Body Text"/>
    <w:basedOn w:val="Normal"/>
    <w:link w:val="BodyTextChar"/>
    <w:unhideWhenUsed/>
    <w:rsid w:val="001268A8"/>
    <w:pPr>
      <w:spacing w:after="120" w:line="240" w:lineRule="auto"/>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
    <w:rsid w:val="001268A8"/>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1268A8"/>
    <w:pPr>
      <w:spacing w:after="0" w:line="240" w:lineRule="auto"/>
      <w:ind w:left="720"/>
      <w:contextualSpacing/>
      <w:jc w:val="both"/>
    </w:pPr>
    <w:rPr>
      <w:rFonts w:ascii="Times New Roman" w:eastAsia="Calibri" w:hAnsi="Times New Roman" w:cs="Times New Roman"/>
      <w:lang w:val="en-GB"/>
    </w:rPr>
  </w:style>
  <w:style w:type="character" w:styleId="CommentReference">
    <w:name w:val="annotation reference"/>
    <w:uiPriority w:val="99"/>
    <w:semiHidden/>
    <w:unhideWhenUsed/>
    <w:rsid w:val="001268A8"/>
    <w:rPr>
      <w:sz w:val="16"/>
      <w:szCs w:val="16"/>
    </w:rPr>
  </w:style>
  <w:style w:type="paragraph" w:styleId="CommentText">
    <w:name w:val="annotation text"/>
    <w:basedOn w:val="Normal"/>
    <w:link w:val="CommentTextChar"/>
    <w:unhideWhenUsed/>
    <w:rsid w:val="001268A8"/>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rsid w:val="001268A8"/>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1268A8"/>
    <w:rPr>
      <w:b/>
      <w:bCs/>
    </w:rPr>
  </w:style>
  <w:style w:type="character" w:customStyle="1" w:styleId="CommentSubjectChar">
    <w:name w:val="Comment Subject Char"/>
    <w:basedOn w:val="CommentTextChar"/>
    <w:link w:val="CommentSubject"/>
    <w:uiPriority w:val="99"/>
    <w:semiHidden/>
    <w:rsid w:val="001268A8"/>
    <w:rPr>
      <w:rFonts w:ascii="Times New Roman" w:eastAsia="Times New Roman" w:hAnsi="Times New Roman" w:cs="Times New Roman"/>
      <w:b/>
      <w:bCs/>
      <w:sz w:val="20"/>
      <w:szCs w:val="20"/>
      <w:lang w:val="en-GB"/>
    </w:rPr>
  </w:style>
  <w:style w:type="paragraph" w:customStyle="1" w:styleId="FootnoteText1">
    <w:name w:val="Footnote Text1"/>
    <w:basedOn w:val="Normal"/>
    <w:next w:val="BodyText"/>
    <w:link w:val="footnotetextCharChar"/>
    <w:rsid w:val="001268A8"/>
    <w:pPr>
      <w:tabs>
        <w:tab w:val="left" w:pos="-1440"/>
        <w:tab w:val="left" w:pos="-720"/>
        <w:tab w:val="left" w:pos="1"/>
        <w:tab w:val="right" w:pos="9000"/>
      </w:tabs>
      <w:spacing w:after="0" w:line="240" w:lineRule="auto"/>
      <w:jc w:val="both"/>
    </w:pPr>
    <w:rPr>
      <w:rFonts w:ascii="Arial" w:eastAsia="Times New Roman" w:hAnsi="Arial" w:cs="Arial"/>
      <w:iCs/>
      <w:sz w:val="17"/>
      <w:szCs w:val="17"/>
      <w:lang w:val="en-GB"/>
    </w:rPr>
  </w:style>
  <w:style w:type="paragraph" w:styleId="NormalWeb">
    <w:name w:val="Normal (Web)"/>
    <w:basedOn w:val="Normal"/>
    <w:uiPriority w:val="99"/>
    <w:unhideWhenUsed/>
    <w:rsid w:val="001268A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qFormat/>
    <w:rsid w:val="001268A8"/>
    <w:rPr>
      <w:b/>
      <w:bCs/>
    </w:rPr>
  </w:style>
  <w:style w:type="character" w:styleId="IntenseReference">
    <w:name w:val="Intense Reference"/>
    <w:qFormat/>
    <w:rsid w:val="001268A8"/>
    <w:rPr>
      <w:b/>
      <w:bCs/>
      <w:smallCaps/>
      <w:color w:val="C0504D"/>
      <w:spacing w:val="5"/>
      <w:u w:val="single"/>
    </w:rPr>
  </w:style>
  <w:style w:type="paragraph" w:styleId="EndnoteText">
    <w:name w:val="endnote text"/>
    <w:basedOn w:val="Normal"/>
    <w:link w:val="EndnoteTextChar"/>
    <w:uiPriority w:val="99"/>
    <w:unhideWhenUsed/>
    <w:rsid w:val="001268A8"/>
    <w:pPr>
      <w:spacing w:after="0" w:line="240" w:lineRule="auto"/>
    </w:pPr>
    <w:rPr>
      <w:rFonts w:ascii="Calibri" w:eastAsia="Calibri" w:hAnsi="Calibri" w:cs="Times New Roman"/>
      <w:sz w:val="20"/>
      <w:szCs w:val="20"/>
      <w:lang w:val="x-none" w:eastAsia="x-none"/>
    </w:rPr>
  </w:style>
  <w:style w:type="character" w:customStyle="1" w:styleId="EndnoteTextChar">
    <w:name w:val="Endnote Text Char"/>
    <w:basedOn w:val="DefaultParagraphFont"/>
    <w:link w:val="EndnoteText"/>
    <w:uiPriority w:val="99"/>
    <w:rsid w:val="001268A8"/>
    <w:rPr>
      <w:rFonts w:ascii="Calibri" w:eastAsia="Calibri" w:hAnsi="Calibri" w:cs="Times New Roman"/>
      <w:sz w:val="20"/>
      <w:szCs w:val="20"/>
      <w:lang w:val="x-none" w:eastAsia="x-none"/>
    </w:rPr>
  </w:style>
  <w:style w:type="character" w:styleId="EndnoteReference">
    <w:name w:val="endnote reference"/>
    <w:uiPriority w:val="99"/>
    <w:unhideWhenUsed/>
    <w:qFormat/>
    <w:rsid w:val="001268A8"/>
    <w:rPr>
      <w:b w:val="0"/>
      <w:color w:val="auto"/>
      <w:vertAlign w:val="superscript"/>
    </w:rPr>
  </w:style>
  <w:style w:type="paragraph" w:styleId="NoSpacing">
    <w:name w:val="No Spacing"/>
    <w:link w:val="NoSpacingChar"/>
    <w:qFormat/>
    <w:rsid w:val="001268A8"/>
    <w:pPr>
      <w:spacing w:after="0" w:line="240" w:lineRule="auto"/>
    </w:pPr>
    <w:rPr>
      <w:rFonts w:ascii="Calibri" w:eastAsia="Calibri" w:hAnsi="Calibri" w:cs="Times New Roman"/>
      <w:lang w:val="en-IN"/>
    </w:rPr>
  </w:style>
  <w:style w:type="character" w:customStyle="1" w:styleId="NoSpacingChar">
    <w:name w:val="No Spacing Char"/>
    <w:link w:val="NoSpacing"/>
    <w:rsid w:val="001268A8"/>
    <w:rPr>
      <w:rFonts w:ascii="Calibri" w:eastAsia="Calibri" w:hAnsi="Calibri" w:cs="Times New Roman"/>
      <w:lang w:val="en-IN"/>
    </w:rPr>
  </w:style>
  <w:style w:type="character" w:styleId="FollowedHyperlink">
    <w:name w:val="FollowedHyperlink"/>
    <w:unhideWhenUsed/>
    <w:rsid w:val="001268A8"/>
    <w:rPr>
      <w:color w:val="800080"/>
      <w:u w:val="single"/>
    </w:rPr>
  </w:style>
  <w:style w:type="paragraph" w:customStyle="1" w:styleId="Casehead40">
    <w:name w:val="Casehead4"/>
    <w:basedOn w:val="Normal"/>
    <w:next w:val="Normal"/>
    <w:rsid w:val="001268A8"/>
    <w:pPr>
      <w:tabs>
        <w:tab w:val="left" w:pos="-1440"/>
        <w:tab w:val="left" w:pos="-720"/>
        <w:tab w:val="left" w:pos="1"/>
      </w:tabs>
      <w:spacing w:after="0" w:line="240" w:lineRule="auto"/>
      <w:jc w:val="both"/>
    </w:pPr>
    <w:rPr>
      <w:rFonts w:ascii="Times New Roman" w:eastAsia="Times New Roman" w:hAnsi="Times New Roman" w:cs="Times New Roman"/>
      <w:i/>
      <w:noProof/>
      <w:sz w:val="24"/>
      <w:szCs w:val="20"/>
      <w:lang w:val="en-GB"/>
    </w:rPr>
  </w:style>
  <w:style w:type="table" w:customStyle="1" w:styleId="TableGrid1">
    <w:name w:val="Table Grid1"/>
    <w:basedOn w:val="TableNormal"/>
    <w:next w:val="TableGrid"/>
    <w:uiPriority w:val="39"/>
    <w:rsid w:val="001268A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1268A8"/>
    <w:pPr>
      <w:spacing w:after="120" w:line="240" w:lineRule="auto"/>
      <w:ind w:left="36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1268A8"/>
    <w:rPr>
      <w:rFonts w:ascii="Times New Roman" w:eastAsia="Times New Roman" w:hAnsi="Times New Roman" w:cs="Times New Roman"/>
      <w:sz w:val="20"/>
      <w:szCs w:val="20"/>
      <w:lang w:val="en-GB"/>
    </w:rPr>
  </w:style>
  <w:style w:type="paragraph" w:customStyle="1" w:styleId="NormalJustified">
    <w:name w:val="Normal + Justified"/>
    <w:basedOn w:val="BodyText"/>
    <w:rsid w:val="001268A8"/>
    <w:pPr>
      <w:spacing w:after="0"/>
      <w:jc w:val="both"/>
    </w:pPr>
    <w:rPr>
      <w:sz w:val="24"/>
      <w:szCs w:val="24"/>
    </w:rPr>
  </w:style>
  <w:style w:type="paragraph" w:customStyle="1" w:styleId="nsource1">
    <w:name w:val="nsource1"/>
    <w:basedOn w:val="Normal"/>
    <w:rsid w:val="001268A8"/>
    <w:pPr>
      <w:tabs>
        <w:tab w:val="left" w:pos="900"/>
        <w:tab w:val="left" w:pos="1080"/>
        <w:tab w:val="left" w:pos="1260"/>
      </w:tabs>
      <w:spacing w:after="0" w:line="240" w:lineRule="auto"/>
      <w:ind w:left="1260" w:hanging="1260"/>
    </w:pPr>
    <w:rPr>
      <w:rFonts w:ascii="Times New Roman" w:eastAsia="Times New Roman" w:hAnsi="Times New Roman" w:cs="Times New Roman"/>
      <w:sz w:val="20"/>
      <w:szCs w:val="20"/>
      <w:lang w:val="en-AU"/>
    </w:rPr>
  </w:style>
  <w:style w:type="paragraph" w:styleId="BodyTextIndent3">
    <w:name w:val="Body Text Indent 3"/>
    <w:basedOn w:val="Normal"/>
    <w:link w:val="BodyTextIndent3Char"/>
    <w:rsid w:val="001268A8"/>
    <w:pPr>
      <w:spacing w:after="120" w:line="240" w:lineRule="auto"/>
      <w:ind w:left="360"/>
    </w:pPr>
    <w:rPr>
      <w:rFonts w:ascii="Times New Roman" w:eastAsia="Times New Roman" w:hAnsi="Times New Roman" w:cs="Times New Roman"/>
      <w:sz w:val="16"/>
      <w:szCs w:val="16"/>
      <w:lang w:val="en-GB"/>
    </w:rPr>
  </w:style>
  <w:style w:type="character" w:customStyle="1" w:styleId="BodyTextIndent3Char">
    <w:name w:val="Body Text Indent 3 Char"/>
    <w:basedOn w:val="DefaultParagraphFont"/>
    <w:link w:val="BodyTextIndent3"/>
    <w:rsid w:val="001268A8"/>
    <w:rPr>
      <w:rFonts w:ascii="Times New Roman" w:eastAsia="Times New Roman" w:hAnsi="Times New Roman" w:cs="Times New Roman"/>
      <w:sz w:val="16"/>
      <w:szCs w:val="16"/>
      <w:lang w:val="en-GB"/>
    </w:rPr>
  </w:style>
  <w:style w:type="character" w:styleId="PageNumber">
    <w:name w:val="page number"/>
    <w:basedOn w:val="DefaultParagraphFont"/>
    <w:rsid w:val="001268A8"/>
  </w:style>
  <w:style w:type="paragraph" w:styleId="Title">
    <w:name w:val="Title"/>
    <w:basedOn w:val="Normal"/>
    <w:link w:val="TitleChar"/>
    <w:qFormat/>
    <w:rsid w:val="001268A8"/>
    <w:pPr>
      <w:spacing w:after="240" w:line="240" w:lineRule="auto"/>
      <w:jc w:val="center"/>
    </w:pPr>
    <w:rPr>
      <w:rFonts w:ascii="Times New Roman" w:eastAsia="Times New Roman" w:hAnsi="Times New Roman" w:cs="Times New Roman"/>
      <w:b/>
      <w:sz w:val="24"/>
      <w:szCs w:val="20"/>
      <w:lang w:val="en-AU"/>
    </w:rPr>
  </w:style>
  <w:style w:type="character" w:customStyle="1" w:styleId="TitleChar">
    <w:name w:val="Title Char"/>
    <w:basedOn w:val="DefaultParagraphFont"/>
    <w:link w:val="Title"/>
    <w:rsid w:val="001268A8"/>
    <w:rPr>
      <w:rFonts w:ascii="Times New Roman" w:eastAsia="Times New Roman" w:hAnsi="Times New Roman" w:cs="Times New Roman"/>
      <w:b/>
      <w:sz w:val="24"/>
      <w:szCs w:val="20"/>
      <w:lang w:val="en-AU"/>
    </w:rPr>
  </w:style>
  <w:style w:type="character" w:styleId="Emphasis">
    <w:name w:val="Emphasis"/>
    <w:qFormat/>
    <w:rsid w:val="001268A8"/>
    <w:rPr>
      <w:i/>
      <w:iCs/>
    </w:rPr>
  </w:style>
  <w:style w:type="character" w:customStyle="1" w:styleId="citation">
    <w:name w:val="citation"/>
    <w:basedOn w:val="DefaultParagraphFont"/>
    <w:rsid w:val="001268A8"/>
  </w:style>
  <w:style w:type="character" w:customStyle="1" w:styleId="reference-accessdate">
    <w:name w:val="reference-accessdate"/>
    <w:basedOn w:val="DefaultParagraphFont"/>
    <w:rsid w:val="001268A8"/>
  </w:style>
  <w:style w:type="character" w:customStyle="1" w:styleId="xn-person">
    <w:name w:val="xn-person"/>
    <w:basedOn w:val="DefaultParagraphFont"/>
    <w:rsid w:val="001268A8"/>
  </w:style>
  <w:style w:type="character" w:customStyle="1" w:styleId="bold01">
    <w:name w:val="bold_01"/>
    <w:basedOn w:val="DefaultParagraphFont"/>
    <w:rsid w:val="001268A8"/>
  </w:style>
  <w:style w:type="character" w:customStyle="1" w:styleId="cst-tbl-subtitle">
    <w:name w:val="cst-tbl-subtitle"/>
    <w:basedOn w:val="DefaultParagraphFont"/>
    <w:rsid w:val="001268A8"/>
  </w:style>
  <w:style w:type="paragraph" w:styleId="Revision">
    <w:name w:val="Revision"/>
    <w:hidden/>
    <w:rsid w:val="001268A8"/>
    <w:pPr>
      <w:spacing w:after="0" w:line="240" w:lineRule="auto"/>
    </w:pPr>
    <w:rPr>
      <w:rFonts w:ascii="Times New Roman" w:eastAsia="Times New Roman" w:hAnsi="Times New Roman" w:cs="Times New Roman"/>
      <w:sz w:val="20"/>
      <w:szCs w:val="20"/>
      <w:lang w:val="en-US"/>
    </w:rPr>
  </w:style>
  <w:style w:type="paragraph" w:customStyle="1" w:styleId="casehead10">
    <w:name w:val="casehead1"/>
    <w:basedOn w:val="Normal"/>
    <w:next w:val="BodyText"/>
    <w:rsid w:val="001268A8"/>
    <w:pPr>
      <w:spacing w:after="0" w:line="240" w:lineRule="auto"/>
    </w:pPr>
    <w:rPr>
      <w:rFonts w:ascii="Arial" w:eastAsia="Times New Roman" w:hAnsi="Arial" w:cs="Times New Roman"/>
      <w:b/>
      <w:caps/>
      <w:sz w:val="20"/>
      <w:szCs w:val="20"/>
      <w:lang w:val="en-GB" w:eastAsia="en-CA"/>
    </w:rPr>
  </w:style>
  <w:style w:type="paragraph" w:customStyle="1" w:styleId="casehead20">
    <w:name w:val="casehead2"/>
    <w:basedOn w:val="Normal"/>
    <w:next w:val="BodyText"/>
    <w:rsid w:val="001268A8"/>
    <w:pPr>
      <w:spacing w:after="0" w:line="240" w:lineRule="auto"/>
    </w:pPr>
    <w:rPr>
      <w:rFonts w:ascii="Arial" w:eastAsia="Times New Roman" w:hAnsi="Arial" w:cs="Times New Roman"/>
      <w:b/>
      <w:sz w:val="20"/>
      <w:szCs w:val="20"/>
      <w:lang w:val="en-GB" w:eastAsia="en-CA"/>
    </w:rPr>
  </w:style>
  <w:style w:type="table" w:customStyle="1" w:styleId="MediumList11">
    <w:name w:val="Medium List 11"/>
    <w:basedOn w:val="TableNormal"/>
    <w:next w:val="MediumList1"/>
    <w:uiPriority w:val="65"/>
    <w:rsid w:val="001268A8"/>
    <w:pPr>
      <w:spacing w:after="0" w:line="240" w:lineRule="auto"/>
    </w:pPr>
    <w:rPr>
      <w:color w:val="000000"/>
      <w:lang w:val="en-GB"/>
    </w:rPr>
    <w:tblPr>
      <w:tblStyleRowBandSize w:val="1"/>
      <w:tblStyleColBandSize w:val="1"/>
      <w:tblBorders>
        <w:top w:val="single" w:sz="8" w:space="0" w:color="000000"/>
        <w:bottom w:val="single" w:sz="8" w:space="0" w:color="000000"/>
      </w:tblBorders>
    </w:tblPr>
    <w:tblStylePr w:type="firstRow">
      <w:rPr>
        <w:rFonts w:ascii="Cambria" w:eastAsia="SimSu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MainTitleCharChar">
    <w:name w:val="MainTitle Char Char"/>
    <w:rsid w:val="001268A8"/>
    <w:rPr>
      <w:rFonts w:ascii="Arial" w:hAnsi="Arial" w:cs="Arial"/>
      <w:b/>
      <w:bCs/>
      <w:caps/>
      <w:color w:val="000000"/>
      <w:sz w:val="28"/>
      <w:szCs w:val="28"/>
    </w:rPr>
  </w:style>
  <w:style w:type="character" w:customStyle="1" w:styleId="BodyTextMainCharCharChar">
    <w:name w:val="Body Text Main Char Char Char"/>
    <w:rsid w:val="001268A8"/>
    <w:rPr>
      <w:rFonts w:ascii="Times New Roman" w:eastAsia="Times New Roman" w:hAnsi="Times New Roman" w:cs="Times New Roman"/>
    </w:rPr>
  </w:style>
  <w:style w:type="character" w:customStyle="1" w:styleId="CaseTitleCharChar">
    <w:name w:val="Case Title Char Char"/>
    <w:rsid w:val="001268A8"/>
    <w:rPr>
      <w:rFonts w:ascii="Arial" w:hAnsi="Arial" w:cs="Arial"/>
      <w:b/>
      <w:bCs/>
      <w:caps/>
      <w:color w:val="000000"/>
      <w:sz w:val="28"/>
      <w:szCs w:val="28"/>
    </w:rPr>
  </w:style>
  <w:style w:type="character" w:customStyle="1" w:styleId="TeachingNoteTitleCharChar">
    <w:name w:val="Teaching Note Title Char Char"/>
    <w:rsid w:val="001268A8"/>
    <w:rPr>
      <w:rFonts w:ascii="Arial" w:hAnsi="Arial" w:cs="Arial"/>
      <w:b/>
      <w:bCs/>
      <w:caps/>
      <w:color w:val="000000"/>
      <w:sz w:val="28"/>
      <w:szCs w:val="28"/>
    </w:rPr>
  </w:style>
  <w:style w:type="character" w:customStyle="1" w:styleId="CommentReference1">
    <w:name w:val="Comment Reference1"/>
    <w:rsid w:val="001268A8"/>
    <w:rPr>
      <w:sz w:val="16"/>
      <w:szCs w:val="16"/>
    </w:rPr>
  </w:style>
  <w:style w:type="character" w:customStyle="1" w:styleId="Casehead2CharChar">
    <w:name w:val="Casehead 2 Char Char"/>
    <w:rsid w:val="001268A8"/>
    <w:rPr>
      <w:rFonts w:ascii="Arial" w:eastAsia="Times New Roman" w:hAnsi="Arial" w:cs="Arial"/>
      <w:b/>
      <w:caps w:val="0"/>
      <w:sz w:val="20"/>
      <w:szCs w:val="20"/>
    </w:rPr>
  </w:style>
  <w:style w:type="character" w:customStyle="1" w:styleId="Casehead4CharChar">
    <w:name w:val="Casehead 4 Char Char"/>
    <w:rsid w:val="001268A8"/>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1268A8"/>
    <w:rPr>
      <w:rFonts w:ascii="Arial" w:eastAsia="Times New Roman" w:hAnsi="Arial" w:cs="Arial"/>
      <w:b/>
      <w:caps/>
      <w:sz w:val="20"/>
      <w:szCs w:val="20"/>
    </w:rPr>
  </w:style>
  <w:style w:type="character" w:customStyle="1" w:styleId="hps">
    <w:name w:val="hps"/>
    <w:basedOn w:val="DefaultParagraphFont"/>
    <w:rsid w:val="001268A8"/>
  </w:style>
  <w:style w:type="character" w:customStyle="1" w:styleId="ExhibitNumberCharChar">
    <w:name w:val="Exhibit Number Char Char"/>
    <w:rsid w:val="001268A8"/>
    <w:rPr>
      <w:rFonts w:ascii="Arial" w:eastAsia="Times New Roman" w:hAnsi="Arial" w:cs="Arial"/>
      <w:b/>
      <w:sz w:val="20"/>
      <w:szCs w:val="20"/>
    </w:rPr>
  </w:style>
  <w:style w:type="character" w:customStyle="1" w:styleId="Quotation3LinesCharChar">
    <w:name w:val="Quotation (3+ Lines) Char Char"/>
    <w:rsid w:val="001268A8"/>
    <w:rPr>
      <w:rFonts w:ascii="Times New Roman" w:eastAsia="Times New Roman" w:hAnsi="Times New Roman" w:cs="Times New Roman"/>
    </w:rPr>
  </w:style>
  <w:style w:type="character" w:customStyle="1" w:styleId="FootnoteCharChar">
    <w:name w:val="Footnote Char Char"/>
    <w:rsid w:val="001268A8"/>
    <w:rPr>
      <w:rFonts w:ascii="Arial" w:eastAsia="Times New Roman" w:hAnsi="Arial" w:cs="Arial"/>
      <w:kern w:val="2"/>
      <w:sz w:val="17"/>
      <w:szCs w:val="17"/>
    </w:rPr>
  </w:style>
  <w:style w:type="character" w:customStyle="1" w:styleId="ExhibitHeadingCharChar">
    <w:name w:val="Exhibit Heading Char Char"/>
    <w:rsid w:val="001268A8"/>
    <w:rPr>
      <w:rFonts w:ascii="Arial" w:eastAsia="Times New Roman" w:hAnsi="Arial" w:cs="Arial"/>
      <w:b/>
      <w:caps/>
      <w:sz w:val="20"/>
      <w:szCs w:val="20"/>
    </w:rPr>
  </w:style>
  <w:style w:type="character" w:customStyle="1" w:styleId="CommentSubjectCharChar">
    <w:name w:val="Comment Subject Char Char"/>
    <w:rsid w:val="001268A8"/>
    <w:rPr>
      <w:rFonts w:ascii="Times New Roman" w:eastAsia="Times New Roman" w:hAnsi="Times New Roman" w:cs="Times New Roman"/>
      <w:b/>
      <w:bCs/>
      <w:sz w:val="20"/>
      <w:szCs w:val="20"/>
    </w:rPr>
  </w:style>
  <w:style w:type="character" w:customStyle="1" w:styleId="Casehead3CharChar">
    <w:name w:val="Casehead 3 Char Char"/>
    <w:rsid w:val="001268A8"/>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1268A8"/>
    <w:rPr>
      <w:rFonts w:ascii="Times New Roman" w:eastAsia="Times New Roman" w:hAnsi="Times New Roman" w:cs="Times New Roman"/>
      <w:sz w:val="20"/>
      <w:szCs w:val="20"/>
    </w:rPr>
  </w:style>
  <w:style w:type="character" w:customStyle="1" w:styleId="BodyTextMainCharChar">
    <w:name w:val="Body Text Main Char Char"/>
    <w:rsid w:val="001268A8"/>
    <w:rPr>
      <w:rFonts w:ascii="Times New Roman" w:eastAsia="Times New Roman" w:hAnsi="Times New Roman" w:cs="Times New Roman"/>
    </w:rPr>
  </w:style>
  <w:style w:type="character" w:customStyle="1" w:styleId="CommentSubjectChar1">
    <w:name w:val="Comment Subject Char1"/>
    <w:link w:val="CommentSubject1"/>
    <w:rsid w:val="001268A8"/>
    <w:rPr>
      <w:rFonts w:ascii="Times New Roman" w:eastAsia="Times New Roman" w:hAnsi="Times New Roman" w:cs="Times New Roman"/>
      <w:b/>
      <w:bCs/>
      <w:kern w:val="2"/>
      <w:szCs w:val="20"/>
    </w:rPr>
  </w:style>
  <w:style w:type="character" w:customStyle="1" w:styleId="CommentReference2">
    <w:name w:val="Comment Reference2"/>
    <w:rsid w:val="001268A8"/>
    <w:rPr>
      <w:sz w:val="16"/>
      <w:szCs w:val="16"/>
    </w:rPr>
  </w:style>
  <w:style w:type="character" w:customStyle="1" w:styleId="atn">
    <w:name w:val="atn"/>
    <w:basedOn w:val="DefaultParagraphFont"/>
    <w:rsid w:val="001268A8"/>
  </w:style>
  <w:style w:type="character" w:customStyle="1" w:styleId="footnotetextCharChar">
    <w:name w:val="footnote text Char Char"/>
    <w:link w:val="FootnoteText1"/>
    <w:rsid w:val="001268A8"/>
    <w:rPr>
      <w:rFonts w:ascii="Arial" w:eastAsia="Times New Roman" w:hAnsi="Arial" w:cs="Arial"/>
      <w:iCs/>
      <w:sz w:val="17"/>
      <w:szCs w:val="17"/>
      <w:lang w:val="en-GB"/>
    </w:rPr>
  </w:style>
  <w:style w:type="character" w:customStyle="1" w:styleId="BodyTextIndent3CharChar">
    <w:name w:val="Body Text Indent 3 Char Char"/>
    <w:link w:val="BodyTextIndent31"/>
    <w:rsid w:val="001268A8"/>
    <w:rPr>
      <w:rFonts w:ascii="Times New Roman" w:eastAsia="Times New Roman" w:hAnsi="Times New Roman" w:cs="Times New Roman"/>
      <w:sz w:val="16"/>
      <w:szCs w:val="16"/>
    </w:rPr>
  </w:style>
  <w:style w:type="character" w:customStyle="1" w:styleId="ProductNumberCharChar">
    <w:name w:val="Product Number Char Char"/>
    <w:rsid w:val="001268A8"/>
    <w:rPr>
      <w:rFonts w:ascii="Arial" w:eastAsia="Times New Roman" w:hAnsi="Arial" w:cs="Times New Roman"/>
      <w:b/>
      <w:caps/>
      <w:sz w:val="24"/>
      <w:szCs w:val="20"/>
    </w:rPr>
  </w:style>
  <w:style w:type="character" w:customStyle="1" w:styleId="PageNumber1">
    <w:name w:val="Page Number1"/>
    <w:basedOn w:val="DefaultParagraphFont"/>
    <w:rsid w:val="001268A8"/>
  </w:style>
  <w:style w:type="character" w:customStyle="1" w:styleId="ExhibitTextCharChar">
    <w:name w:val="Exhibit Text Char Char"/>
    <w:rsid w:val="001268A8"/>
    <w:rPr>
      <w:rFonts w:ascii="Arial" w:eastAsia="Times New Roman" w:hAnsi="Arial" w:cs="Arial"/>
      <w:sz w:val="20"/>
      <w:szCs w:val="20"/>
    </w:rPr>
  </w:style>
  <w:style w:type="paragraph" w:customStyle="1" w:styleId="NewNew">
    <w:name w:val="页眉 New New"/>
    <w:basedOn w:val="NewNewNewNewNew"/>
    <w:rsid w:val="001268A8"/>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1268A8"/>
    <w:pPr>
      <w:spacing w:after="120" w:line="240" w:lineRule="auto"/>
      <w:ind w:left="360"/>
    </w:pPr>
    <w:rPr>
      <w:rFonts w:ascii="Times New Roman" w:eastAsia="Times New Roman" w:hAnsi="Times New Roman" w:cs="Times New Roman"/>
      <w:sz w:val="20"/>
      <w:szCs w:val="20"/>
    </w:rPr>
  </w:style>
  <w:style w:type="paragraph" w:customStyle="1" w:styleId="NormalNew">
    <w:name w:val="Normal New"/>
    <w:rsid w:val="001268A8"/>
    <w:pPr>
      <w:spacing w:after="0" w:line="240" w:lineRule="auto"/>
      <w:jc w:val="both"/>
    </w:pPr>
    <w:rPr>
      <w:rFonts w:ascii="Times New Roman" w:eastAsia="SimSun" w:hAnsi="Times New Roman" w:cs="Times New Roman"/>
      <w:kern w:val="2"/>
      <w:sz w:val="21"/>
      <w:szCs w:val="20"/>
      <w:lang w:val="en-US"/>
    </w:rPr>
  </w:style>
  <w:style w:type="paragraph" w:customStyle="1" w:styleId="BodyTextIndent31">
    <w:name w:val="Body Text Indent 31"/>
    <w:basedOn w:val="Normal"/>
    <w:link w:val="BodyTextIndent3CharChar"/>
    <w:rsid w:val="001268A8"/>
    <w:pPr>
      <w:spacing w:after="120" w:line="240" w:lineRule="auto"/>
      <w:ind w:left="360"/>
    </w:pPr>
    <w:rPr>
      <w:rFonts w:ascii="Times New Roman" w:eastAsia="Times New Roman" w:hAnsi="Times New Roman" w:cs="Times New Roman"/>
      <w:sz w:val="16"/>
      <w:szCs w:val="16"/>
    </w:rPr>
  </w:style>
  <w:style w:type="paragraph" w:customStyle="1" w:styleId="NewNew0">
    <w:name w:val="页脚 New New"/>
    <w:basedOn w:val="NewNewNewNewNew"/>
    <w:rsid w:val="001268A8"/>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1268A8"/>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1268A8"/>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1268A8"/>
    <w:pPr>
      <w:tabs>
        <w:tab w:val="center" w:pos="4153"/>
        <w:tab w:val="right" w:pos="8306"/>
      </w:tabs>
      <w:snapToGrid w:val="0"/>
      <w:jc w:val="left"/>
    </w:pPr>
    <w:rPr>
      <w:rFonts w:ascii="Calibri" w:hAnsi="Calibri"/>
      <w:sz w:val="18"/>
      <w:szCs w:val="18"/>
    </w:rPr>
  </w:style>
  <w:style w:type="paragraph" w:customStyle="1" w:styleId="Normal2">
    <w:name w:val="Normal2"/>
    <w:rsid w:val="001268A8"/>
    <w:pPr>
      <w:spacing w:after="0" w:line="240" w:lineRule="auto"/>
      <w:jc w:val="both"/>
    </w:pPr>
    <w:rPr>
      <w:rFonts w:ascii="Times New Roman" w:eastAsia="SimSun" w:hAnsi="Times New Roman" w:cs="Times New Roman"/>
      <w:kern w:val="2"/>
      <w:sz w:val="21"/>
      <w:szCs w:val="20"/>
      <w:lang w:val="en-US"/>
    </w:rPr>
  </w:style>
  <w:style w:type="paragraph" w:customStyle="1" w:styleId="CommentSubject1">
    <w:name w:val="Comment Subject1"/>
    <w:basedOn w:val="CommentText"/>
    <w:next w:val="CommentText"/>
    <w:link w:val="CommentSubjectChar1"/>
    <w:rsid w:val="001268A8"/>
    <w:rPr>
      <w:b/>
      <w:bCs/>
      <w:kern w:val="2"/>
      <w:sz w:val="22"/>
      <w:lang w:val="en-CA"/>
    </w:rPr>
  </w:style>
  <w:style w:type="paragraph" w:customStyle="1" w:styleId="NormalWeb1">
    <w:name w:val="Normal (Web)1"/>
    <w:basedOn w:val="Normal"/>
    <w:rsid w:val="001268A8"/>
    <w:pPr>
      <w:spacing w:before="100" w:beforeAutospacing="1" w:after="100" w:afterAutospacing="1" w:line="240" w:lineRule="auto"/>
    </w:pPr>
    <w:rPr>
      <w:rFonts w:ascii="Times New Roman" w:eastAsia="Times New Roman" w:hAnsi="Times New Roman" w:cs="Times New Roman"/>
      <w:kern w:val="2"/>
      <w:sz w:val="24"/>
      <w:szCs w:val="24"/>
      <w:lang w:val="en-GB"/>
    </w:rPr>
  </w:style>
  <w:style w:type="paragraph" w:customStyle="1" w:styleId="Normal1">
    <w:name w:val="Normal1"/>
    <w:rsid w:val="001268A8"/>
    <w:pPr>
      <w:spacing w:after="0" w:line="240" w:lineRule="auto"/>
      <w:jc w:val="both"/>
    </w:pPr>
    <w:rPr>
      <w:rFonts w:ascii="Times New Roman" w:eastAsia="SimSun" w:hAnsi="Times New Roman" w:cs="Times New Roman"/>
      <w:kern w:val="2"/>
      <w:sz w:val="21"/>
      <w:szCs w:val="20"/>
      <w:lang w:val="en-US"/>
    </w:rPr>
  </w:style>
  <w:style w:type="paragraph" w:customStyle="1" w:styleId="New0">
    <w:name w:val="页眉 New"/>
    <w:basedOn w:val="NewNewNewNew"/>
    <w:rsid w:val="001268A8"/>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1268A8"/>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1268A8"/>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1268A8"/>
    <w:pPr>
      <w:spacing w:after="0" w:line="240" w:lineRule="auto"/>
      <w:jc w:val="both"/>
    </w:pPr>
    <w:rPr>
      <w:rFonts w:ascii="Times New Roman" w:eastAsia="SimSun" w:hAnsi="Times New Roman" w:cs="Times New Roman"/>
      <w:kern w:val="2"/>
      <w:sz w:val="21"/>
      <w:szCs w:val="20"/>
      <w:lang w:val="en-US"/>
    </w:rPr>
  </w:style>
  <w:style w:type="paragraph" w:customStyle="1" w:styleId="New1">
    <w:name w:val="正文 New"/>
    <w:rsid w:val="001268A8"/>
    <w:pPr>
      <w:spacing w:after="0" w:line="240" w:lineRule="auto"/>
    </w:pPr>
    <w:rPr>
      <w:rFonts w:ascii="Times New Roman" w:eastAsia="Times New Roman" w:hAnsi="Times New Roman" w:cs="Times New Roman"/>
      <w:kern w:val="2"/>
      <w:sz w:val="20"/>
      <w:szCs w:val="20"/>
      <w:lang w:val="en-US"/>
    </w:rPr>
  </w:style>
  <w:style w:type="paragraph" w:customStyle="1" w:styleId="NewNewNewNewNew">
    <w:name w:val="正文 New New New New New"/>
    <w:rsid w:val="001268A8"/>
    <w:pPr>
      <w:widowControl w:val="0"/>
      <w:spacing w:after="0" w:line="240" w:lineRule="auto"/>
      <w:jc w:val="both"/>
    </w:pPr>
    <w:rPr>
      <w:rFonts w:ascii="Times New Roman" w:eastAsia="SimSun" w:hAnsi="Times New Roman" w:cs="Calibri"/>
      <w:kern w:val="2"/>
      <w:sz w:val="21"/>
      <w:szCs w:val="21"/>
      <w:lang w:val="en-US" w:eastAsia="zh-CN"/>
    </w:rPr>
  </w:style>
  <w:style w:type="paragraph" w:customStyle="1" w:styleId="NewNewNewNew">
    <w:name w:val="正文 New New New New"/>
    <w:rsid w:val="001268A8"/>
    <w:pPr>
      <w:widowControl w:val="0"/>
      <w:spacing w:after="0" w:line="240" w:lineRule="auto"/>
      <w:jc w:val="both"/>
    </w:pPr>
    <w:rPr>
      <w:rFonts w:ascii="Times New Roman" w:eastAsia="SimSun" w:hAnsi="Times New Roman" w:cs="Calibri"/>
      <w:kern w:val="2"/>
      <w:sz w:val="21"/>
      <w:szCs w:val="21"/>
      <w:lang w:val="en-US" w:eastAsia="zh-CN"/>
    </w:rPr>
  </w:style>
  <w:style w:type="paragraph" w:styleId="TOCHeading">
    <w:name w:val="TOC Heading"/>
    <w:basedOn w:val="Heading1"/>
    <w:next w:val="Normal"/>
    <w:qFormat/>
    <w:rsid w:val="001268A8"/>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1268A8"/>
    <w:pPr>
      <w:widowControl w:val="0"/>
      <w:spacing w:after="0" w:line="240" w:lineRule="auto"/>
      <w:jc w:val="both"/>
    </w:pPr>
    <w:rPr>
      <w:rFonts w:ascii="Calibri" w:eastAsia="SimSun" w:hAnsi="Calibri" w:cs="Times New Roman"/>
      <w:kern w:val="2"/>
      <w:sz w:val="21"/>
      <w:szCs w:val="24"/>
      <w:lang w:val="en-US" w:eastAsia="zh-CN"/>
    </w:rPr>
  </w:style>
  <w:style w:type="paragraph" w:customStyle="1" w:styleId="NewNewNewNewNewNew">
    <w:name w:val="正文 New New New New New New"/>
    <w:rsid w:val="001268A8"/>
    <w:pPr>
      <w:widowControl w:val="0"/>
      <w:spacing w:after="0" w:line="240" w:lineRule="auto"/>
      <w:jc w:val="both"/>
    </w:pPr>
    <w:rPr>
      <w:rFonts w:ascii="Times New Roman" w:eastAsia="SimSun" w:hAnsi="Times New Roman" w:cs="Calibri"/>
      <w:kern w:val="2"/>
      <w:sz w:val="21"/>
      <w:szCs w:val="21"/>
      <w:lang w:val="en-US" w:eastAsia="zh-CN"/>
    </w:rPr>
  </w:style>
  <w:style w:type="paragraph" w:customStyle="1" w:styleId="NewNewNewNewNewNewNew">
    <w:name w:val="正文 New New New New New New New"/>
    <w:rsid w:val="001268A8"/>
    <w:pPr>
      <w:widowControl w:val="0"/>
      <w:spacing w:after="0" w:line="240" w:lineRule="auto"/>
      <w:jc w:val="both"/>
    </w:pPr>
    <w:rPr>
      <w:rFonts w:ascii="Times New Roman" w:eastAsia="SimSun" w:hAnsi="Times New Roman" w:cs="Calibri"/>
      <w:kern w:val="2"/>
      <w:sz w:val="21"/>
      <w:szCs w:val="21"/>
      <w:lang w:val="en-US" w:eastAsia="zh-CN"/>
    </w:rPr>
  </w:style>
  <w:style w:type="paragraph" w:customStyle="1" w:styleId="Default">
    <w:name w:val="Default"/>
    <w:rsid w:val="001268A8"/>
    <w:pPr>
      <w:widowControl w:val="0"/>
      <w:autoSpaceDE w:val="0"/>
      <w:autoSpaceDN w:val="0"/>
      <w:spacing w:after="0" w:line="240" w:lineRule="auto"/>
    </w:pPr>
    <w:rPr>
      <w:rFonts w:ascii="KaiTi_GB2312" w:eastAsia="KaiTi_GB2312" w:hAnsi="KaiTi_GB2312" w:cs="Times New Roman" w:hint="eastAsia"/>
      <w:color w:val="000000"/>
      <w:sz w:val="24"/>
      <w:szCs w:val="20"/>
      <w:lang w:val="en-US"/>
    </w:rPr>
  </w:style>
  <w:style w:type="paragraph" w:customStyle="1" w:styleId="NewNewNew1">
    <w:name w:val="正文 New New New"/>
    <w:rsid w:val="001268A8"/>
    <w:pPr>
      <w:widowControl w:val="0"/>
      <w:spacing w:after="0" w:line="240" w:lineRule="auto"/>
      <w:jc w:val="both"/>
    </w:pPr>
    <w:rPr>
      <w:rFonts w:ascii="Calibri" w:eastAsia="SimSun" w:hAnsi="Calibri" w:cs="Times New Roman"/>
      <w:kern w:val="2"/>
      <w:sz w:val="21"/>
      <w:szCs w:val="24"/>
      <w:lang w:val="en-US" w:eastAsia="zh-CN"/>
    </w:rPr>
  </w:style>
  <w:style w:type="character" w:customStyle="1" w:styleId="CommentSubjectChar2">
    <w:name w:val="Comment Subject Char2"/>
    <w:uiPriority w:val="99"/>
    <w:semiHidden/>
    <w:rsid w:val="001268A8"/>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1268A8"/>
    <w:pPr>
      <w:widowControl w:val="0"/>
      <w:autoSpaceDE w:val="0"/>
      <w:autoSpaceDN w:val="0"/>
    </w:pPr>
  </w:style>
  <w:style w:type="character" w:customStyle="1" w:styleId="Normal3Char">
    <w:name w:val="Normal3 Char"/>
    <w:basedOn w:val="DefaultParagraphFont"/>
    <w:link w:val="Normal3"/>
    <w:rsid w:val="001268A8"/>
    <w:rPr>
      <w:rFonts w:ascii="Times New Roman" w:eastAsia="SimSun" w:hAnsi="Times New Roman" w:cs="Times New Roman"/>
      <w:kern w:val="2"/>
      <w:sz w:val="21"/>
      <w:szCs w:val="20"/>
      <w:lang w:val="en-US"/>
    </w:rPr>
  </w:style>
  <w:style w:type="character" w:customStyle="1" w:styleId="ParagraphChar">
    <w:name w:val="Paragraph Char"/>
    <w:basedOn w:val="Normal3Char"/>
    <w:link w:val="Paragraph"/>
    <w:rsid w:val="001268A8"/>
    <w:rPr>
      <w:rFonts w:ascii="Times New Roman" w:eastAsia="SimSun" w:hAnsi="Times New Roman" w:cs="Times New Roman"/>
      <w:kern w:val="2"/>
      <w:sz w:val="21"/>
      <w:szCs w:val="20"/>
      <w:lang w:val="en-US"/>
    </w:rPr>
  </w:style>
  <w:style w:type="paragraph" w:customStyle="1" w:styleId="TableParagraph">
    <w:name w:val="Table Paragraph"/>
    <w:basedOn w:val="Normal"/>
    <w:uiPriority w:val="1"/>
    <w:qFormat/>
    <w:rsid w:val="001268A8"/>
    <w:pPr>
      <w:widowControl w:val="0"/>
      <w:autoSpaceDE w:val="0"/>
      <w:autoSpaceDN w:val="0"/>
      <w:spacing w:after="0" w:line="240" w:lineRule="auto"/>
      <w:jc w:val="right"/>
    </w:pPr>
    <w:rPr>
      <w:rFonts w:ascii="Times New Roman" w:eastAsia="Times New Roman" w:hAnsi="Times New Roman" w:cs="Times New Roman"/>
      <w:lang w:val="en-GB"/>
    </w:rPr>
  </w:style>
  <w:style w:type="table" w:customStyle="1" w:styleId="TableGrid2">
    <w:name w:val="Table Grid2"/>
    <w:basedOn w:val="TableNormal"/>
    <w:next w:val="TableGrid"/>
    <w:uiPriority w:val="39"/>
    <w:rsid w:val="00126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uiPriority w:val="9"/>
    <w:semiHidden/>
    <w:rsid w:val="001268A8"/>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1268A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268A8"/>
    <w:rPr>
      <w:color w:val="0563C1" w:themeColor="hyperlink"/>
      <w:u w:val="single"/>
    </w:rPr>
  </w:style>
  <w:style w:type="table" w:styleId="TableGrid">
    <w:name w:val="Table Grid"/>
    <w:basedOn w:val="TableNormal"/>
    <w:uiPriority w:val="39"/>
    <w:rsid w:val="00126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semiHidden/>
    <w:unhideWhenUsed/>
    <w:rsid w:val="001268A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6F2B7C"/>
    <w:rPr>
      <w:color w:val="605E5C"/>
      <w:shd w:val="clear" w:color="auto" w:fill="E1DFDD"/>
    </w:rPr>
  </w:style>
  <w:style w:type="character" w:styleId="UnresolvedMention">
    <w:name w:val="Unresolved Mention"/>
    <w:basedOn w:val="DefaultParagraphFont"/>
    <w:uiPriority w:val="99"/>
    <w:semiHidden/>
    <w:unhideWhenUsed/>
    <w:rsid w:val="00117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hart" Target="charts/chart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uwoca-my.sharepoint.com/personal/psehra_uwo_ca/Documents/Exhibi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pavan\Downloads\DN.TO.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'1'!$B$2</c:f>
              <c:strCache>
                <c:ptCount val="1"/>
                <c:pt idx="0">
                  <c:v>Sales</c:v>
                </c:pt>
              </c:strCache>
            </c:strRef>
          </c:tx>
          <c:spPr>
            <a:ln w="28575" cap="rnd">
              <a:solidFill>
                <a:schemeClr val="accent1"/>
              </a:solidFill>
              <a:round/>
            </a:ln>
            <a:effectLst/>
          </c:spPr>
          <c:marker>
            <c:symbol val="none"/>
          </c:marker>
          <c:cat>
            <c:numRef>
              <c:f>'1'!$A$3:$A$22</c:f>
              <c:numCache>
                <c:formatCode>mmm\-yy</c:formatCode>
                <c:ptCount val="20"/>
                <c:pt idx="0">
                  <c:v>43374</c:v>
                </c:pt>
                <c:pt idx="1">
                  <c:v>43405</c:v>
                </c:pt>
                <c:pt idx="2">
                  <c:v>43435</c:v>
                </c:pt>
                <c:pt idx="3">
                  <c:v>43466</c:v>
                </c:pt>
                <c:pt idx="4">
                  <c:v>43497</c:v>
                </c:pt>
                <c:pt idx="5">
                  <c:v>43525</c:v>
                </c:pt>
                <c:pt idx="6">
                  <c:v>43556</c:v>
                </c:pt>
                <c:pt idx="7">
                  <c:v>43586</c:v>
                </c:pt>
                <c:pt idx="8">
                  <c:v>43617</c:v>
                </c:pt>
                <c:pt idx="9">
                  <c:v>43647</c:v>
                </c:pt>
                <c:pt idx="10">
                  <c:v>43678</c:v>
                </c:pt>
                <c:pt idx="11">
                  <c:v>43709</c:v>
                </c:pt>
                <c:pt idx="12">
                  <c:v>43739</c:v>
                </c:pt>
                <c:pt idx="13">
                  <c:v>43770</c:v>
                </c:pt>
                <c:pt idx="14">
                  <c:v>43800</c:v>
                </c:pt>
                <c:pt idx="15">
                  <c:v>43831</c:v>
                </c:pt>
                <c:pt idx="16">
                  <c:v>43862</c:v>
                </c:pt>
                <c:pt idx="17">
                  <c:v>43891</c:v>
                </c:pt>
                <c:pt idx="18">
                  <c:v>43922</c:v>
                </c:pt>
                <c:pt idx="19">
                  <c:v>43952</c:v>
                </c:pt>
              </c:numCache>
            </c:numRef>
          </c:cat>
          <c:val>
            <c:numRef>
              <c:f>'1'!$B$3:$B$22</c:f>
              <c:numCache>
                <c:formatCode>_-"$"* #,##0_-;\-"$"* #,##0_-;_-"$"* "-"??_-;_-@_-</c:formatCode>
                <c:ptCount val="20"/>
                <c:pt idx="0">
                  <c:v>42084000</c:v>
                </c:pt>
                <c:pt idx="1">
                  <c:v>55396000</c:v>
                </c:pt>
                <c:pt idx="2">
                  <c:v>58848000</c:v>
                </c:pt>
                <c:pt idx="3">
                  <c:v>55451000</c:v>
                </c:pt>
                <c:pt idx="4">
                  <c:v>52082000</c:v>
                </c:pt>
                <c:pt idx="5">
                  <c:v>60764000</c:v>
                </c:pt>
                <c:pt idx="6">
                  <c:v>74636000</c:v>
                </c:pt>
                <c:pt idx="7">
                  <c:v>85946000</c:v>
                </c:pt>
                <c:pt idx="8">
                  <c:v>91692000</c:v>
                </c:pt>
                <c:pt idx="9">
                  <c:v>106064000</c:v>
                </c:pt>
                <c:pt idx="10">
                  <c:v>125954000</c:v>
                </c:pt>
                <c:pt idx="11">
                  <c:v>122927000</c:v>
                </c:pt>
                <c:pt idx="12">
                  <c:v>129980000</c:v>
                </c:pt>
                <c:pt idx="13">
                  <c:v>136775000</c:v>
                </c:pt>
                <c:pt idx="14">
                  <c:v>147885000</c:v>
                </c:pt>
                <c:pt idx="15">
                  <c:v>154077000</c:v>
                </c:pt>
                <c:pt idx="16">
                  <c:v>151930000</c:v>
                </c:pt>
                <c:pt idx="17">
                  <c:v>181180000</c:v>
                </c:pt>
                <c:pt idx="18">
                  <c:v>178429000</c:v>
                </c:pt>
                <c:pt idx="19">
                  <c:v>185897000</c:v>
                </c:pt>
              </c:numCache>
            </c:numRef>
          </c:val>
          <c:smooth val="0"/>
          <c:extLst>
            <c:ext xmlns:c16="http://schemas.microsoft.com/office/drawing/2014/chart" uri="{C3380CC4-5D6E-409C-BE32-E72D297353CC}">
              <c16:uniqueId val="{00000000-669C-43FF-88F3-9E1FE034D7E1}"/>
            </c:ext>
          </c:extLst>
        </c:ser>
        <c:dLbls>
          <c:showLegendKey val="0"/>
          <c:showVal val="0"/>
          <c:showCatName val="0"/>
          <c:showSerName val="0"/>
          <c:showPercent val="0"/>
          <c:showBubbleSize val="0"/>
        </c:dLbls>
        <c:smooth val="0"/>
        <c:axId val="654946056"/>
        <c:axId val="654946448"/>
      </c:lineChart>
      <c:dateAx>
        <c:axId val="654946056"/>
        <c:scaling>
          <c:orientation val="minMax"/>
        </c:scaling>
        <c:delete val="0"/>
        <c:axPos val="b"/>
        <c:numFmt formatCode="yyyy/mm"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54946448"/>
        <c:crosses val="autoZero"/>
        <c:auto val="0"/>
        <c:lblOffset val="100"/>
        <c:baseTimeUnit val="months"/>
      </c:dateAx>
      <c:valAx>
        <c:axId val="654946448"/>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quot;$&quot;* #,##0_-;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54946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DN.TO!$B$1</c:f>
              <c:strCache>
                <c:ptCount val="1"/>
                <c:pt idx="0">
                  <c:v>Close</c:v>
                </c:pt>
              </c:strCache>
            </c:strRef>
          </c:tx>
          <c:spPr>
            <a:ln w="28575" cap="rnd">
              <a:solidFill>
                <a:schemeClr val="accent1"/>
              </a:solidFill>
              <a:round/>
            </a:ln>
            <a:effectLst/>
          </c:spPr>
          <c:marker>
            <c:symbol val="none"/>
          </c:marker>
          <c:cat>
            <c:numRef>
              <c:f>DN.TO!$A$2:$A$599</c:f>
              <c:numCache>
                <c:formatCode>m/d/yyyy</c:formatCode>
                <c:ptCount val="598"/>
                <c:pt idx="0">
                  <c:v>43049</c:v>
                </c:pt>
                <c:pt idx="1">
                  <c:v>43052</c:v>
                </c:pt>
                <c:pt idx="2">
                  <c:v>43053</c:v>
                </c:pt>
                <c:pt idx="3">
                  <c:v>43054</c:v>
                </c:pt>
                <c:pt idx="4">
                  <c:v>43055</c:v>
                </c:pt>
                <c:pt idx="5">
                  <c:v>43056</c:v>
                </c:pt>
                <c:pt idx="6">
                  <c:v>43059</c:v>
                </c:pt>
                <c:pt idx="7">
                  <c:v>43060</c:v>
                </c:pt>
                <c:pt idx="8">
                  <c:v>43061</c:v>
                </c:pt>
                <c:pt idx="9">
                  <c:v>43062</c:v>
                </c:pt>
                <c:pt idx="10">
                  <c:v>43063</c:v>
                </c:pt>
                <c:pt idx="11">
                  <c:v>43066</c:v>
                </c:pt>
                <c:pt idx="12">
                  <c:v>43067</c:v>
                </c:pt>
                <c:pt idx="13">
                  <c:v>43068</c:v>
                </c:pt>
                <c:pt idx="14">
                  <c:v>43069</c:v>
                </c:pt>
                <c:pt idx="15">
                  <c:v>43070</c:v>
                </c:pt>
                <c:pt idx="16">
                  <c:v>43073</c:v>
                </c:pt>
                <c:pt idx="17">
                  <c:v>43074</c:v>
                </c:pt>
                <c:pt idx="18">
                  <c:v>43075</c:v>
                </c:pt>
                <c:pt idx="19">
                  <c:v>43076</c:v>
                </c:pt>
                <c:pt idx="20">
                  <c:v>43077</c:v>
                </c:pt>
                <c:pt idx="21">
                  <c:v>43080</c:v>
                </c:pt>
                <c:pt idx="22">
                  <c:v>43081</c:v>
                </c:pt>
                <c:pt idx="23">
                  <c:v>43082</c:v>
                </c:pt>
                <c:pt idx="24">
                  <c:v>43083</c:v>
                </c:pt>
                <c:pt idx="25">
                  <c:v>43084</c:v>
                </c:pt>
                <c:pt idx="26">
                  <c:v>43087</c:v>
                </c:pt>
                <c:pt idx="27">
                  <c:v>43088</c:v>
                </c:pt>
                <c:pt idx="28">
                  <c:v>43089</c:v>
                </c:pt>
                <c:pt idx="29">
                  <c:v>43090</c:v>
                </c:pt>
                <c:pt idx="30">
                  <c:v>43091</c:v>
                </c:pt>
                <c:pt idx="31">
                  <c:v>43096</c:v>
                </c:pt>
                <c:pt idx="32">
                  <c:v>43097</c:v>
                </c:pt>
                <c:pt idx="33">
                  <c:v>43098</c:v>
                </c:pt>
                <c:pt idx="34">
                  <c:v>43102</c:v>
                </c:pt>
                <c:pt idx="35">
                  <c:v>43103</c:v>
                </c:pt>
                <c:pt idx="36">
                  <c:v>43104</c:v>
                </c:pt>
                <c:pt idx="37">
                  <c:v>43105</c:v>
                </c:pt>
                <c:pt idx="38">
                  <c:v>43108</c:v>
                </c:pt>
                <c:pt idx="39">
                  <c:v>43109</c:v>
                </c:pt>
                <c:pt idx="40">
                  <c:v>43110</c:v>
                </c:pt>
                <c:pt idx="41">
                  <c:v>43111</c:v>
                </c:pt>
                <c:pt idx="42">
                  <c:v>43112</c:v>
                </c:pt>
                <c:pt idx="43">
                  <c:v>43115</c:v>
                </c:pt>
                <c:pt idx="44">
                  <c:v>43116</c:v>
                </c:pt>
                <c:pt idx="45">
                  <c:v>43117</c:v>
                </c:pt>
                <c:pt idx="46">
                  <c:v>43118</c:v>
                </c:pt>
                <c:pt idx="47">
                  <c:v>43119</c:v>
                </c:pt>
                <c:pt idx="48">
                  <c:v>43122</c:v>
                </c:pt>
                <c:pt idx="49">
                  <c:v>43123</c:v>
                </c:pt>
                <c:pt idx="50">
                  <c:v>43124</c:v>
                </c:pt>
                <c:pt idx="51">
                  <c:v>43125</c:v>
                </c:pt>
                <c:pt idx="52">
                  <c:v>43126</c:v>
                </c:pt>
                <c:pt idx="53">
                  <c:v>43129</c:v>
                </c:pt>
                <c:pt idx="54">
                  <c:v>43130</c:v>
                </c:pt>
                <c:pt idx="55">
                  <c:v>43131</c:v>
                </c:pt>
                <c:pt idx="56">
                  <c:v>43132</c:v>
                </c:pt>
                <c:pt idx="57">
                  <c:v>43133</c:v>
                </c:pt>
                <c:pt idx="58">
                  <c:v>43136</c:v>
                </c:pt>
                <c:pt idx="59">
                  <c:v>43137</c:v>
                </c:pt>
                <c:pt idx="60">
                  <c:v>43138</c:v>
                </c:pt>
                <c:pt idx="61">
                  <c:v>43139</c:v>
                </c:pt>
                <c:pt idx="62">
                  <c:v>43140</c:v>
                </c:pt>
                <c:pt idx="63">
                  <c:v>43143</c:v>
                </c:pt>
                <c:pt idx="64">
                  <c:v>43144</c:v>
                </c:pt>
                <c:pt idx="65">
                  <c:v>43145</c:v>
                </c:pt>
                <c:pt idx="66">
                  <c:v>43146</c:v>
                </c:pt>
                <c:pt idx="67">
                  <c:v>43147</c:v>
                </c:pt>
                <c:pt idx="68">
                  <c:v>43151</c:v>
                </c:pt>
                <c:pt idx="69">
                  <c:v>43152</c:v>
                </c:pt>
                <c:pt idx="70">
                  <c:v>43153</c:v>
                </c:pt>
                <c:pt idx="71">
                  <c:v>43154</c:v>
                </c:pt>
                <c:pt idx="72">
                  <c:v>43157</c:v>
                </c:pt>
                <c:pt idx="73">
                  <c:v>43158</c:v>
                </c:pt>
                <c:pt idx="74">
                  <c:v>43159</c:v>
                </c:pt>
                <c:pt idx="75">
                  <c:v>43160</c:v>
                </c:pt>
                <c:pt idx="76">
                  <c:v>43161</c:v>
                </c:pt>
                <c:pt idx="77">
                  <c:v>43164</c:v>
                </c:pt>
                <c:pt idx="78">
                  <c:v>43165</c:v>
                </c:pt>
                <c:pt idx="79">
                  <c:v>43166</c:v>
                </c:pt>
                <c:pt idx="80">
                  <c:v>43167</c:v>
                </c:pt>
                <c:pt idx="81">
                  <c:v>43168</c:v>
                </c:pt>
                <c:pt idx="82">
                  <c:v>43171</c:v>
                </c:pt>
                <c:pt idx="83">
                  <c:v>43172</c:v>
                </c:pt>
                <c:pt idx="84">
                  <c:v>43173</c:v>
                </c:pt>
                <c:pt idx="85">
                  <c:v>43174</c:v>
                </c:pt>
                <c:pt idx="86">
                  <c:v>43175</c:v>
                </c:pt>
                <c:pt idx="87">
                  <c:v>43178</c:v>
                </c:pt>
                <c:pt idx="88">
                  <c:v>43179</c:v>
                </c:pt>
                <c:pt idx="89">
                  <c:v>43180</c:v>
                </c:pt>
                <c:pt idx="90">
                  <c:v>43181</c:v>
                </c:pt>
                <c:pt idx="91">
                  <c:v>43182</c:v>
                </c:pt>
                <c:pt idx="92">
                  <c:v>43185</c:v>
                </c:pt>
                <c:pt idx="93">
                  <c:v>43186</c:v>
                </c:pt>
                <c:pt idx="94">
                  <c:v>43187</c:v>
                </c:pt>
                <c:pt idx="95">
                  <c:v>43188</c:v>
                </c:pt>
                <c:pt idx="96">
                  <c:v>43192</c:v>
                </c:pt>
                <c:pt idx="97">
                  <c:v>43193</c:v>
                </c:pt>
                <c:pt idx="98">
                  <c:v>43194</c:v>
                </c:pt>
                <c:pt idx="99">
                  <c:v>43195</c:v>
                </c:pt>
                <c:pt idx="100">
                  <c:v>43196</c:v>
                </c:pt>
                <c:pt idx="101">
                  <c:v>43199</c:v>
                </c:pt>
                <c:pt idx="102">
                  <c:v>43200</c:v>
                </c:pt>
                <c:pt idx="103">
                  <c:v>43201</c:v>
                </c:pt>
                <c:pt idx="104">
                  <c:v>43202</c:v>
                </c:pt>
                <c:pt idx="105">
                  <c:v>43203</c:v>
                </c:pt>
                <c:pt idx="106">
                  <c:v>43206</c:v>
                </c:pt>
                <c:pt idx="107">
                  <c:v>43207</c:v>
                </c:pt>
                <c:pt idx="108">
                  <c:v>43208</c:v>
                </c:pt>
                <c:pt idx="109">
                  <c:v>43209</c:v>
                </c:pt>
                <c:pt idx="110">
                  <c:v>43210</c:v>
                </c:pt>
                <c:pt idx="111">
                  <c:v>43213</c:v>
                </c:pt>
                <c:pt idx="112">
                  <c:v>43214</c:v>
                </c:pt>
                <c:pt idx="113">
                  <c:v>43215</c:v>
                </c:pt>
                <c:pt idx="114">
                  <c:v>43216</c:v>
                </c:pt>
                <c:pt idx="115">
                  <c:v>43217</c:v>
                </c:pt>
                <c:pt idx="116">
                  <c:v>43220</c:v>
                </c:pt>
                <c:pt idx="117">
                  <c:v>43221</c:v>
                </c:pt>
                <c:pt idx="118">
                  <c:v>43222</c:v>
                </c:pt>
                <c:pt idx="119">
                  <c:v>43223</c:v>
                </c:pt>
                <c:pt idx="120">
                  <c:v>43224</c:v>
                </c:pt>
                <c:pt idx="121">
                  <c:v>43227</c:v>
                </c:pt>
                <c:pt idx="122">
                  <c:v>43228</c:v>
                </c:pt>
                <c:pt idx="123">
                  <c:v>43229</c:v>
                </c:pt>
                <c:pt idx="124">
                  <c:v>43230</c:v>
                </c:pt>
                <c:pt idx="125">
                  <c:v>43231</c:v>
                </c:pt>
                <c:pt idx="126">
                  <c:v>43234</c:v>
                </c:pt>
                <c:pt idx="127">
                  <c:v>43235</c:v>
                </c:pt>
                <c:pt idx="128">
                  <c:v>43236</c:v>
                </c:pt>
                <c:pt idx="129">
                  <c:v>43237</c:v>
                </c:pt>
                <c:pt idx="130">
                  <c:v>43238</c:v>
                </c:pt>
                <c:pt idx="131">
                  <c:v>43242</c:v>
                </c:pt>
                <c:pt idx="132">
                  <c:v>43243</c:v>
                </c:pt>
                <c:pt idx="133">
                  <c:v>43244</c:v>
                </c:pt>
                <c:pt idx="134">
                  <c:v>43245</c:v>
                </c:pt>
                <c:pt idx="135">
                  <c:v>43248</c:v>
                </c:pt>
                <c:pt idx="136">
                  <c:v>43249</c:v>
                </c:pt>
                <c:pt idx="137">
                  <c:v>43250</c:v>
                </c:pt>
                <c:pt idx="138">
                  <c:v>43251</c:v>
                </c:pt>
                <c:pt idx="139">
                  <c:v>43252</c:v>
                </c:pt>
                <c:pt idx="140">
                  <c:v>43255</c:v>
                </c:pt>
                <c:pt idx="141">
                  <c:v>43256</c:v>
                </c:pt>
                <c:pt idx="142">
                  <c:v>43257</c:v>
                </c:pt>
                <c:pt idx="143">
                  <c:v>43258</c:v>
                </c:pt>
                <c:pt idx="144">
                  <c:v>43259</c:v>
                </c:pt>
                <c:pt idx="145">
                  <c:v>43262</c:v>
                </c:pt>
                <c:pt idx="146">
                  <c:v>43263</c:v>
                </c:pt>
                <c:pt idx="147">
                  <c:v>43264</c:v>
                </c:pt>
                <c:pt idx="148">
                  <c:v>43265</c:v>
                </c:pt>
                <c:pt idx="149">
                  <c:v>43266</c:v>
                </c:pt>
                <c:pt idx="150">
                  <c:v>43269</c:v>
                </c:pt>
                <c:pt idx="151">
                  <c:v>43270</c:v>
                </c:pt>
                <c:pt idx="152">
                  <c:v>43271</c:v>
                </c:pt>
                <c:pt idx="153">
                  <c:v>43272</c:v>
                </c:pt>
                <c:pt idx="154">
                  <c:v>43273</c:v>
                </c:pt>
                <c:pt idx="155">
                  <c:v>43276</c:v>
                </c:pt>
                <c:pt idx="156">
                  <c:v>43277</c:v>
                </c:pt>
                <c:pt idx="157">
                  <c:v>43278</c:v>
                </c:pt>
                <c:pt idx="158">
                  <c:v>43279</c:v>
                </c:pt>
                <c:pt idx="159">
                  <c:v>43280</c:v>
                </c:pt>
                <c:pt idx="160">
                  <c:v>43284</c:v>
                </c:pt>
                <c:pt idx="161">
                  <c:v>43285</c:v>
                </c:pt>
                <c:pt idx="162">
                  <c:v>43286</c:v>
                </c:pt>
                <c:pt idx="163">
                  <c:v>43287</c:v>
                </c:pt>
                <c:pt idx="164">
                  <c:v>43290</c:v>
                </c:pt>
                <c:pt idx="165">
                  <c:v>43291</c:v>
                </c:pt>
                <c:pt idx="166">
                  <c:v>43292</c:v>
                </c:pt>
                <c:pt idx="167">
                  <c:v>43293</c:v>
                </c:pt>
                <c:pt idx="168">
                  <c:v>43294</c:v>
                </c:pt>
                <c:pt idx="169">
                  <c:v>43297</c:v>
                </c:pt>
                <c:pt idx="170">
                  <c:v>43298</c:v>
                </c:pt>
                <c:pt idx="171">
                  <c:v>43299</c:v>
                </c:pt>
                <c:pt idx="172">
                  <c:v>43300</c:v>
                </c:pt>
                <c:pt idx="173">
                  <c:v>43301</c:v>
                </c:pt>
                <c:pt idx="174">
                  <c:v>43304</c:v>
                </c:pt>
                <c:pt idx="175">
                  <c:v>43305</c:v>
                </c:pt>
                <c:pt idx="176">
                  <c:v>43306</c:v>
                </c:pt>
                <c:pt idx="177">
                  <c:v>43307</c:v>
                </c:pt>
                <c:pt idx="178">
                  <c:v>43308</c:v>
                </c:pt>
                <c:pt idx="179">
                  <c:v>43311</c:v>
                </c:pt>
                <c:pt idx="180">
                  <c:v>43312</c:v>
                </c:pt>
                <c:pt idx="181">
                  <c:v>43313</c:v>
                </c:pt>
                <c:pt idx="182">
                  <c:v>43314</c:v>
                </c:pt>
                <c:pt idx="183">
                  <c:v>43315</c:v>
                </c:pt>
                <c:pt idx="184">
                  <c:v>43319</c:v>
                </c:pt>
                <c:pt idx="185">
                  <c:v>43320</c:v>
                </c:pt>
                <c:pt idx="186">
                  <c:v>43321</c:v>
                </c:pt>
                <c:pt idx="187">
                  <c:v>43322</c:v>
                </c:pt>
                <c:pt idx="188">
                  <c:v>43325</c:v>
                </c:pt>
                <c:pt idx="189">
                  <c:v>43326</c:v>
                </c:pt>
                <c:pt idx="190">
                  <c:v>43327</c:v>
                </c:pt>
                <c:pt idx="191">
                  <c:v>43328</c:v>
                </c:pt>
                <c:pt idx="192">
                  <c:v>43329</c:v>
                </c:pt>
                <c:pt idx="193">
                  <c:v>43332</c:v>
                </c:pt>
                <c:pt idx="194">
                  <c:v>43333</c:v>
                </c:pt>
                <c:pt idx="195">
                  <c:v>43334</c:v>
                </c:pt>
                <c:pt idx="196">
                  <c:v>43335</c:v>
                </c:pt>
                <c:pt idx="197">
                  <c:v>43336</c:v>
                </c:pt>
                <c:pt idx="198">
                  <c:v>43339</c:v>
                </c:pt>
                <c:pt idx="199">
                  <c:v>43340</c:v>
                </c:pt>
                <c:pt idx="200">
                  <c:v>43341</c:v>
                </c:pt>
                <c:pt idx="201">
                  <c:v>43342</c:v>
                </c:pt>
                <c:pt idx="202">
                  <c:v>43343</c:v>
                </c:pt>
                <c:pt idx="203">
                  <c:v>43347</c:v>
                </c:pt>
                <c:pt idx="204">
                  <c:v>43348</c:v>
                </c:pt>
                <c:pt idx="205">
                  <c:v>43349</c:v>
                </c:pt>
                <c:pt idx="206">
                  <c:v>43350</c:v>
                </c:pt>
                <c:pt idx="207">
                  <c:v>43353</c:v>
                </c:pt>
                <c:pt idx="208">
                  <c:v>43354</c:v>
                </c:pt>
                <c:pt idx="209">
                  <c:v>43355</c:v>
                </c:pt>
                <c:pt idx="210">
                  <c:v>43356</c:v>
                </c:pt>
                <c:pt idx="211">
                  <c:v>43357</c:v>
                </c:pt>
                <c:pt idx="212">
                  <c:v>43360</c:v>
                </c:pt>
                <c:pt idx="213">
                  <c:v>43361</c:v>
                </c:pt>
                <c:pt idx="214">
                  <c:v>43362</c:v>
                </c:pt>
                <c:pt idx="215">
                  <c:v>43363</c:v>
                </c:pt>
                <c:pt idx="216">
                  <c:v>43364</c:v>
                </c:pt>
                <c:pt idx="217">
                  <c:v>43367</c:v>
                </c:pt>
                <c:pt idx="218">
                  <c:v>43368</c:v>
                </c:pt>
                <c:pt idx="219">
                  <c:v>43369</c:v>
                </c:pt>
                <c:pt idx="220">
                  <c:v>43370</c:v>
                </c:pt>
                <c:pt idx="221">
                  <c:v>43371</c:v>
                </c:pt>
                <c:pt idx="222">
                  <c:v>43374</c:v>
                </c:pt>
                <c:pt idx="223">
                  <c:v>43375</c:v>
                </c:pt>
                <c:pt idx="224">
                  <c:v>43376</c:v>
                </c:pt>
                <c:pt idx="225">
                  <c:v>43377</c:v>
                </c:pt>
                <c:pt idx="226">
                  <c:v>43378</c:v>
                </c:pt>
                <c:pt idx="227">
                  <c:v>43382</c:v>
                </c:pt>
                <c:pt idx="228">
                  <c:v>43383</c:v>
                </c:pt>
                <c:pt idx="229">
                  <c:v>43384</c:v>
                </c:pt>
                <c:pt idx="230">
                  <c:v>43385</c:v>
                </c:pt>
                <c:pt idx="231">
                  <c:v>43388</c:v>
                </c:pt>
                <c:pt idx="232">
                  <c:v>43389</c:v>
                </c:pt>
                <c:pt idx="233">
                  <c:v>43390</c:v>
                </c:pt>
                <c:pt idx="234">
                  <c:v>43391</c:v>
                </c:pt>
                <c:pt idx="235">
                  <c:v>43392</c:v>
                </c:pt>
                <c:pt idx="236">
                  <c:v>43395</c:v>
                </c:pt>
                <c:pt idx="237">
                  <c:v>43396</c:v>
                </c:pt>
                <c:pt idx="238">
                  <c:v>43397</c:v>
                </c:pt>
                <c:pt idx="239">
                  <c:v>43398</c:v>
                </c:pt>
                <c:pt idx="240">
                  <c:v>43399</c:v>
                </c:pt>
                <c:pt idx="241">
                  <c:v>43402</c:v>
                </c:pt>
                <c:pt idx="242">
                  <c:v>43403</c:v>
                </c:pt>
                <c:pt idx="243">
                  <c:v>43404</c:v>
                </c:pt>
                <c:pt idx="244">
                  <c:v>43405</c:v>
                </c:pt>
                <c:pt idx="245">
                  <c:v>43406</c:v>
                </c:pt>
                <c:pt idx="246">
                  <c:v>43409</c:v>
                </c:pt>
                <c:pt idx="247">
                  <c:v>43410</c:v>
                </c:pt>
                <c:pt idx="248">
                  <c:v>43411</c:v>
                </c:pt>
                <c:pt idx="249">
                  <c:v>43412</c:v>
                </c:pt>
                <c:pt idx="250">
                  <c:v>43413</c:v>
                </c:pt>
                <c:pt idx="251">
                  <c:v>43416</c:v>
                </c:pt>
                <c:pt idx="252">
                  <c:v>43417</c:v>
                </c:pt>
                <c:pt idx="253">
                  <c:v>43418</c:v>
                </c:pt>
                <c:pt idx="254">
                  <c:v>43419</c:v>
                </c:pt>
                <c:pt idx="255">
                  <c:v>43420</c:v>
                </c:pt>
                <c:pt idx="256">
                  <c:v>43423</c:v>
                </c:pt>
                <c:pt idx="257">
                  <c:v>43424</c:v>
                </c:pt>
                <c:pt idx="258">
                  <c:v>43425</c:v>
                </c:pt>
                <c:pt idx="259">
                  <c:v>43426</c:v>
                </c:pt>
                <c:pt idx="260">
                  <c:v>43427</c:v>
                </c:pt>
                <c:pt idx="261">
                  <c:v>43430</c:v>
                </c:pt>
                <c:pt idx="262">
                  <c:v>43431</c:v>
                </c:pt>
                <c:pt idx="263">
                  <c:v>43432</c:v>
                </c:pt>
                <c:pt idx="264">
                  <c:v>43433</c:v>
                </c:pt>
                <c:pt idx="265">
                  <c:v>43434</c:v>
                </c:pt>
                <c:pt idx="266">
                  <c:v>43437</c:v>
                </c:pt>
                <c:pt idx="267">
                  <c:v>43438</c:v>
                </c:pt>
                <c:pt idx="268">
                  <c:v>43439</c:v>
                </c:pt>
                <c:pt idx="269">
                  <c:v>43440</c:v>
                </c:pt>
                <c:pt idx="270">
                  <c:v>43441</c:v>
                </c:pt>
                <c:pt idx="271">
                  <c:v>43444</c:v>
                </c:pt>
                <c:pt idx="272">
                  <c:v>43445</c:v>
                </c:pt>
                <c:pt idx="273">
                  <c:v>43446</c:v>
                </c:pt>
                <c:pt idx="274">
                  <c:v>43447</c:v>
                </c:pt>
                <c:pt idx="275">
                  <c:v>43448</c:v>
                </c:pt>
                <c:pt idx="276">
                  <c:v>43451</c:v>
                </c:pt>
                <c:pt idx="277">
                  <c:v>43452</c:v>
                </c:pt>
                <c:pt idx="278">
                  <c:v>43453</c:v>
                </c:pt>
                <c:pt idx="279">
                  <c:v>43454</c:v>
                </c:pt>
                <c:pt idx="280">
                  <c:v>43455</c:v>
                </c:pt>
                <c:pt idx="281">
                  <c:v>43458</c:v>
                </c:pt>
                <c:pt idx="282">
                  <c:v>43461</c:v>
                </c:pt>
                <c:pt idx="283">
                  <c:v>43462</c:v>
                </c:pt>
                <c:pt idx="284">
                  <c:v>43465</c:v>
                </c:pt>
                <c:pt idx="285">
                  <c:v>43467</c:v>
                </c:pt>
                <c:pt idx="286">
                  <c:v>43468</c:v>
                </c:pt>
                <c:pt idx="287">
                  <c:v>43469</c:v>
                </c:pt>
                <c:pt idx="288">
                  <c:v>43472</c:v>
                </c:pt>
                <c:pt idx="289">
                  <c:v>43473</c:v>
                </c:pt>
                <c:pt idx="290">
                  <c:v>43474</c:v>
                </c:pt>
                <c:pt idx="291">
                  <c:v>43475</c:v>
                </c:pt>
                <c:pt idx="292">
                  <c:v>43476</c:v>
                </c:pt>
                <c:pt idx="293">
                  <c:v>43479</c:v>
                </c:pt>
                <c:pt idx="294">
                  <c:v>43480</c:v>
                </c:pt>
                <c:pt idx="295">
                  <c:v>43481</c:v>
                </c:pt>
                <c:pt idx="296">
                  <c:v>43482</c:v>
                </c:pt>
                <c:pt idx="297">
                  <c:v>43483</c:v>
                </c:pt>
                <c:pt idx="298">
                  <c:v>43486</c:v>
                </c:pt>
                <c:pt idx="299">
                  <c:v>43487</c:v>
                </c:pt>
                <c:pt idx="300">
                  <c:v>43488</c:v>
                </c:pt>
                <c:pt idx="301">
                  <c:v>43489</c:v>
                </c:pt>
                <c:pt idx="302">
                  <c:v>43490</c:v>
                </c:pt>
                <c:pt idx="303">
                  <c:v>43493</c:v>
                </c:pt>
                <c:pt idx="304">
                  <c:v>43494</c:v>
                </c:pt>
                <c:pt idx="305">
                  <c:v>43495</c:v>
                </c:pt>
                <c:pt idx="306">
                  <c:v>43496</c:v>
                </c:pt>
                <c:pt idx="307">
                  <c:v>43497</c:v>
                </c:pt>
                <c:pt idx="308">
                  <c:v>43500</c:v>
                </c:pt>
                <c:pt idx="309">
                  <c:v>43501</c:v>
                </c:pt>
                <c:pt idx="310">
                  <c:v>43502</c:v>
                </c:pt>
                <c:pt idx="311">
                  <c:v>43503</c:v>
                </c:pt>
                <c:pt idx="312">
                  <c:v>43504</c:v>
                </c:pt>
                <c:pt idx="313">
                  <c:v>43507</c:v>
                </c:pt>
                <c:pt idx="314">
                  <c:v>43508</c:v>
                </c:pt>
                <c:pt idx="315">
                  <c:v>43509</c:v>
                </c:pt>
                <c:pt idx="316">
                  <c:v>43510</c:v>
                </c:pt>
                <c:pt idx="317">
                  <c:v>43511</c:v>
                </c:pt>
                <c:pt idx="318">
                  <c:v>43515</c:v>
                </c:pt>
                <c:pt idx="319">
                  <c:v>43516</c:v>
                </c:pt>
                <c:pt idx="320">
                  <c:v>43517</c:v>
                </c:pt>
                <c:pt idx="321">
                  <c:v>43518</c:v>
                </c:pt>
                <c:pt idx="322">
                  <c:v>43521</c:v>
                </c:pt>
                <c:pt idx="323">
                  <c:v>43522</c:v>
                </c:pt>
                <c:pt idx="324">
                  <c:v>43523</c:v>
                </c:pt>
                <c:pt idx="325">
                  <c:v>43524</c:v>
                </c:pt>
                <c:pt idx="326">
                  <c:v>43525</c:v>
                </c:pt>
                <c:pt idx="327">
                  <c:v>43528</c:v>
                </c:pt>
                <c:pt idx="328">
                  <c:v>43529</c:v>
                </c:pt>
                <c:pt idx="329">
                  <c:v>43530</c:v>
                </c:pt>
                <c:pt idx="330">
                  <c:v>43531</c:v>
                </c:pt>
                <c:pt idx="331">
                  <c:v>43532</c:v>
                </c:pt>
                <c:pt idx="332">
                  <c:v>43535</c:v>
                </c:pt>
                <c:pt idx="333">
                  <c:v>43536</c:v>
                </c:pt>
                <c:pt idx="334">
                  <c:v>43537</c:v>
                </c:pt>
                <c:pt idx="335">
                  <c:v>43538</c:v>
                </c:pt>
                <c:pt idx="336">
                  <c:v>43539</c:v>
                </c:pt>
                <c:pt idx="337">
                  <c:v>43542</c:v>
                </c:pt>
                <c:pt idx="338">
                  <c:v>43543</c:v>
                </c:pt>
                <c:pt idx="339">
                  <c:v>43544</c:v>
                </c:pt>
                <c:pt idx="340">
                  <c:v>43545</c:v>
                </c:pt>
                <c:pt idx="341">
                  <c:v>43546</c:v>
                </c:pt>
                <c:pt idx="342">
                  <c:v>43549</c:v>
                </c:pt>
                <c:pt idx="343">
                  <c:v>43550</c:v>
                </c:pt>
                <c:pt idx="344">
                  <c:v>43551</c:v>
                </c:pt>
                <c:pt idx="345">
                  <c:v>43552</c:v>
                </c:pt>
                <c:pt idx="346">
                  <c:v>43553</c:v>
                </c:pt>
                <c:pt idx="347">
                  <c:v>43556</c:v>
                </c:pt>
                <c:pt idx="348">
                  <c:v>43557</c:v>
                </c:pt>
                <c:pt idx="349">
                  <c:v>43558</c:v>
                </c:pt>
                <c:pt idx="350">
                  <c:v>43559</c:v>
                </c:pt>
                <c:pt idx="351">
                  <c:v>43560</c:v>
                </c:pt>
                <c:pt idx="352">
                  <c:v>43563</c:v>
                </c:pt>
                <c:pt idx="353">
                  <c:v>43564</c:v>
                </c:pt>
                <c:pt idx="354">
                  <c:v>43565</c:v>
                </c:pt>
                <c:pt idx="355">
                  <c:v>43566</c:v>
                </c:pt>
                <c:pt idx="356">
                  <c:v>43567</c:v>
                </c:pt>
                <c:pt idx="357">
                  <c:v>43570</c:v>
                </c:pt>
                <c:pt idx="358">
                  <c:v>43571</c:v>
                </c:pt>
                <c:pt idx="359">
                  <c:v>43572</c:v>
                </c:pt>
                <c:pt idx="360">
                  <c:v>43573</c:v>
                </c:pt>
                <c:pt idx="361">
                  <c:v>43577</c:v>
                </c:pt>
                <c:pt idx="362">
                  <c:v>43578</c:v>
                </c:pt>
                <c:pt idx="363">
                  <c:v>43579</c:v>
                </c:pt>
                <c:pt idx="364">
                  <c:v>43580</c:v>
                </c:pt>
                <c:pt idx="365">
                  <c:v>43581</c:v>
                </c:pt>
                <c:pt idx="366">
                  <c:v>43584</c:v>
                </c:pt>
                <c:pt idx="367">
                  <c:v>43585</c:v>
                </c:pt>
                <c:pt idx="368">
                  <c:v>43586</c:v>
                </c:pt>
                <c:pt idx="369">
                  <c:v>43587</c:v>
                </c:pt>
                <c:pt idx="370">
                  <c:v>43588</c:v>
                </c:pt>
                <c:pt idx="371">
                  <c:v>43591</c:v>
                </c:pt>
                <c:pt idx="372">
                  <c:v>43592</c:v>
                </c:pt>
                <c:pt idx="373">
                  <c:v>43593</c:v>
                </c:pt>
                <c:pt idx="374">
                  <c:v>43594</c:v>
                </c:pt>
                <c:pt idx="375">
                  <c:v>43595</c:v>
                </c:pt>
                <c:pt idx="376">
                  <c:v>43598</c:v>
                </c:pt>
                <c:pt idx="377">
                  <c:v>43599</c:v>
                </c:pt>
                <c:pt idx="378">
                  <c:v>43600</c:v>
                </c:pt>
                <c:pt idx="379">
                  <c:v>43601</c:v>
                </c:pt>
                <c:pt idx="380">
                  <c:v>43602</c:v>
                </c:pt>
                <c:pt idx="381">
                  <c:v>43606</c:v>
                </c:pt>
                <c:pt idx="382">
                  <c:v>43607</c:v>
                </c:pt>
                <c:pt idx="383">
                  <c:v>43608</c:v>
                </c:pt>
                <c:pt idx="384">
                  <c:v>43609</c:v>
                </c:pt>
                <c:pt idx="385">
                  <c:v>43612</c:v>
                </c:pt>
                <c:pt idx="386">
                  <c:v>43613</c:v>
                </c:pt>
                <c:pt idx="387">
                  <c:v>43614</c:v>
                </c:pt>
                <c:pt idx="388">
                  <c:v>43615</c:v>
                </c:pt>
                <c:pt idx="389">
                  <c:v>43616</c:v>
                </c:pt>
                <c:pt idx="390">
                  <c:v>43619</c:v>
                </c:pt>
                <c:pt idx="391">
                  <c:v>43620</c:v>
                </c:pt>
                <c:pt idx="392">
                  <c:v>43621</c:v>
                </c:pt>
                <c:pt idx="393">
                  <c:v>43622</c:v>
                </c:pt>
                <c:pt idx="394">
                  <c:v>43623</c:v>
                </c:pt>
                <c:pt idx="395">
                  <c:v>43626</c:v>
                </c:pt>
                <c:pt idx="396">
                  <c:v>43627</c:v>
                </c:pt>
                <c:pt idx="397">
                  <c:v>43628</c:v>
                </c:pt>
                <c:pt idx="398">
                  <c:v>43629</c:v>
                </c:pt>
                <c:pt idx="399">
                  <c:v>43630</c:v>
                </c:pt>
                <c:pt idx="400">
                  <c:v>43633</c:v>
                </c:pt>
                <c:pt idx="401">
                  <c:v>43634</c:v>
                </c:pt>
                <c:pt idx="402">
                  <c:v>43635</c:v>
                </c:pt>
                <c:pt idx="403">
                  <c:v>43636</c:v>
                </c:pt>
                <c:pt idx="404">
                  <c:v>43637</c:v>
                </c:pt>
                <c:pt idx="405">
                  <c:v>43640</c:v>
                </c:pt>
                <c:pt idx="406">
                  <c:v>43641</c:v>
                </c:pt>
                <c:pt idx="407">
                  <c:v>43642</c:v>
                </c:pt>
                <c:pt idx="408">
                  <c:v>43643</c:v>
                </c:pt>
                <c:pt idx="409">
                  <c:v>43644</c:v>
                </c:pt>
                <c:pt idx="410">
                  <c:v>43648</c:v>
                </c:pt>
                <c:pt idx="411">
                  <c:v>43649</c:v>
                </c:pt>
                <c:pt idx="412">
                  <c:v>43650</c:v>
                </c:pt>
                <c:pt idx="413">
                  <c:v>43651</c:v>
                </c:pt>
                <c:pt idx="414">
                  <c:v>43654</c:v>
                </c:pt>
                <c:pt idx="415">
                  <c:v>43655</c:v>
                </c:pt>
                <c:pt idx="416">
                  <c:v>43656</c:v>
                </c:pt>
                <c:pt idx="417">
                  <c:v>43657</c:v>
                </c:pt>
                <c:pt idx="418">
                  <c:v>43658</c:v>
                </c:pt>
                <c:pt idx="419">
                  <c:v>43661</c:v>
                </c:pt>
                <c:pt idx="420">
                  <c:v>43662</c:v>
                </c:pt>
                <c:pt idx="421">
                  <c:v>43663</c:v>
                </c:pt>
                <c:pt idx="422">
                  <c:v>43664</c:v>
                </c:pt>
                <c:pt idx="423">
                  <c:v>43665</c:v>
                </c:pt>
                <c:pt idx="424">
                  <c:v>43668</c:v>
                </c:pt>
                <c:pt idx="425">
                  <c:v>43669</c:v>
                </c:pt>
                <c:pt idx="426">
                  <c:v>43670</c:v>
                </c:pt>
                <c:pt idx="427">
                  <c:v>43671</c:v>
                </c:pt>
                <c:pt idx="428">
                  <c:v>43672</c:v>
                </c:pt>
                <c:pt idx="429">
                  <c:v>43675</c:v>
                </c:pt>
                <c:pt idx="430">
                  <c:v>43676</c:v>
                </c:pt>
                <c:pt idx="431">
                  <c:v>43677</c:v>
                </c:pt>
                <c:pt idx="432">
                  <c:v>43678</c:v>
                </c:pt>
                <c:pt idx="433">
                  <c:v>43679</c:v>
                </c:pt>
                <c:pt idx="434">
                  <c:v>43683</c:v>
                </c:pt>
                <c:pt idx="435">
                  <c:v>43684</c:v>
                </c:pt>
                <c:pt idx="436">
                  <c:v>43685</c:v>
                </c:pt>
                <c:pt idx="437">
                  <c:v>43686</c:v>
                </c:pt>
                <c:pt idx="438">
                  <c:v>43689</c:v>
                </c:pt>
                <c:pt idx="439">
                  <c:v>43690</c:v>
                </c:pt>
                <c:pt idx="440">
                  <c:v>43691</c:v>
                </c:pt>
                <c:pt idx="441">
                  <c:v>43692</c:v>
                </c:pt>
                <c:pt idx="442">
                  <c:v>43693</c:v>
                </c:pt>
                <c:pt idx="443">
                  <c:v>43696</c:v>
                </c:pt>
                <c:pt idx="444">
                  <c:v>43697</c:v>
                </c:pt>
                <c:pt idx="445">
                  <c:v>43698</c:v>
                </c:pt>
                <c:pt idx="446">
                  <c:v>43699</c:v>
                </c:pt>
                <c:pt idx="447">
                  <c:v>43700</c:v>
                </c:pt>
                <c:pt idx="448">
                  <c:v>43703</c:v>
                </c:pt>
                <c:pt idx="449">
                  <c:v>43704</c:v>
                </c:pt>
                <c:pt idx="450">
                  <c:v>43705</c:v>
                </c:pt>
                <c:pt idx="451">
                  <c:v>43706</c:v>
                </c:pt>
                <c:pt idx="452">
                  <c:v>43707</c:v>
                </c:pt>
                <c:pt idx="453">
                  <c:v>43711</c:v>
                </c:pt>
                <c:pt idx="454">
                  <c:v>43712</c:v>
                </c:pt>
                <c:pt idx="455">
                  <c:v>43713</c:v>
                </c:pt>
                <c:pt idx="456">
                  <c:v>43714</c:v>
                </c:pt>
                <c:pt idx="457">
                  <c:v>43717</c:v>
                </c:pt>
                <c:pt idx="458">
                  <c:v>43718</c:v>
                </c:pt>
                <c:pt idx="459">
                  <c:v>43719</c:v>
                </c:pt>
                <c:pt idx="460">
                  <c:v>43720</c:v>
                </c:pt>
                <c:pt idx="461">
                  <c:v>43721</c:v>
                </c:pt>
                <c:pt idx="462">
                  <c:v>43724</c:v>
                </c:pt>
                <c:pt idx="463">
                  <c:v>43725</c:v>
                </c:pt>
                <c:pt idx="464">
                  <c:v>43726</c:v>
                </c:pt>
                <c:pt idx="465">
                  <c:v>43727</c:v>
                </c:pt>
                <c:pt idx="466">
                  <c:v>43728</c:v>
                </c:pt>
                <c:pt idx="467">
                  <c:v>43731</c:v>
                </c:pt>
                <c:pt idx="468">
                  <c:v>43732</c:v>
                </c:pt>
                <c:pt idx="469">
                  <c:v>43733</c:v>
                </c:pt>
                <c:pt idx="470">
                  <c:v>43734</c:v>
                </c:pt>
                <c:pt idx="471">
                  <c:v>43735</c:v>
                </c:pt>
                <c:pt idx="472">
                  <c:v>43738</c:v>
                </c:pt>
                <c:pt idx="473">
                  <c:v>43739</c:v>
                </c:pt>
                <c:pt idx="474">
                  <c:v>43740</c:v>
                </c:pt>
                <c:pt idx="475">
                  <c:v>43741</c:v>
                </c:pt>
                <c:pt idx="476">
                  <c:v>43742</c:v>
                </c:pt>
                <c:pt idx="477">
                  <c:v>43745</c:v>
                </c:pt>
                <c:pt idx="478">
                  <c:v>43746</c:v>
                </c:pt>
                <c:pt idx="479">
                  <c:v>43747</c:v>
                </c:pt>
                <c:pt idx="480">
                  <c:v>43748</c:v>
                </c:pt>
                <c:pt idx="481">
                  <c:v>43749</c:v>
                </c:pt>
                <c:pt idx="482">
                  <c:v>43753</c:v>
                </c:pt>
                <c:pt idx="483">
                  <c:v>43754</c:v>
                </c:pt>
                <c:pt idx="484">
                  <c:v>43755</c:v>
                </c:pt>
                <c:pt idx="485">
                  <c:v>43756</c:v>
                </c:pt>
                <c:pt idx="486">
                  <c:v>43759</c:v>
                </c:pt>
                <c:pt idx="487">
                  <c:v>43760</c:v>
                </c:pt>
                <c:pt idx="488">
                  <c:v>43761</c:v>
                </c:pt>
                <c:pt idx="489">
                  <c:v>43762</c:v>
                </c:pt>
                <c:pt idx="490">
                  <c:v>43763</c:v>
                </c:pt>
                <c:pt idx="491">
                  <c:v>43766</c:v>
                </c:pt>
                <c:pt idx="492">
                  <c:v>43767</c:v>
                </c:pt>
                <c:pt idx="493">
                  <c:v>43768</c:v>
                </c:pt>
                <c:pt idx="494">
                  <c:v>43769</c:v>
                </c:pt>
                <c:pt idx="495">
                  <c:v>43770</c:v>
                </c:pt>
                <c:pt idx="496">
                  <c:v>43773</c:v>
                </c:pt>
                <c:pt idx="497">
                  <c:v>43774</c:v>
                </c:pt>
                <c:pt idx="498">
                  <c:v>43775</c:v>
                </c:pt>
                <c:pt idx="499">
                  <c:v>43776</c:v>
                </c:pt>
                <c:pt idx="500">
                  <c:v>43777</c:v>
                </c:pt>
                <c:pt idx="501">
                  <c:v>43780</c:v>
                </c:pt>
                <c:pt idx="502">
                  <c:v>43781</c:v>
                </c:pt>
                <c:pt idx="503">
                  <c:v>43782</c:v>
                </c:pt>
                <c:pt idx="504">
                  <c:v>43783</c:v>
                </c:pt>
                <c:pt idx="505">
                  <c:v>43784</c:v>
                </c:pt>
                <c:pt idx="506">
                  <c:v>43787</c:v>
                </c:pt>
                <c:pt idx="507">
                  <c:v>43788</c:v>
                </c:pt>
                <c:pt idx="508">
                  <c:v>43789</c:v>
                </c:pt>
                <c:pt idx="509">
                  <c:v>43790</c:v>
                </c:pt>
                <c:pt idx="510">
                  <c:v>43791</c:v>
                </c:pt>
                <c:pt idx="511">
                  <c:v>43794</c:v>
                </c:pt>
                <c:pt idx="512">
                  <c:v>43795</c:v>
                </c:pt>
                <c:pt idx="513">
                  <c:v>43796</c:v>
                </c:pt>
                <c:pt idx="514">
                  <c:v>43797</c:v>
                </c:pt>
                <c:pt idx="515">
                  <c:v>43798</c:v>
                </c:pt>
                <c:pt idx="516">
                  <c:v>43801</c:v>
                </c:pt>
                <c:pt idx="517">
                  <c:v>43802</c:v>
                </c:pt>
                <c:pt idx="518">
                  <c:v>43803</c:v>
                </c:pt>
                <c:pt idx="519">
                  <c:v>43804</c:v>
                </c:pt>
                <c:pt idx="520">
                  <c:v>43805</c:v>
                </c:pt>
                <c:pt idx="521">
                  <c:v>43808</c:v>
                </c:pt>
                <c:pt idx="522">
                  <c:v>43809</c:v>
                </c:pt>
                <c:pt idx="523">
                  <c:v>43810</c:v>
                </c:pt>
                <c:pt idx="524">
                  <c:v>43811</c:v>
                </c:pt>
                <c:pt idx="525">
                  <c:v>43812</c:v>
                </c:pt>
                <c:pt idx="526">
                  <c:v>43815</c:v>
                </c:pt>
                <c:pt idx="527">
                  <c:v>43816</c:v>
                </c:pt>
                <c:pt idx="528">
                  <c:v>43817</c:v>
                </c:pt>
                <c:pt idx="529">
                  <c:v>43818</c:v>
                </c:pt>
                <c:pt idx="530">
                  <c:v>43819</c:v>
                </c:pt>
                <c:pt idx="531">
                  <c:v>43822</c:v>
                </c:pt>
                <c:pt idx="532">
                  <c:v>43823</c:v>
                </c:pt>
                <c:pt idx="533">
                  <c:v>43826</c:v>
                </c:pt>
                <c:pt idx="534">
                  <c:v>43829</c:v>
                </c:pt>
                <c:pt idx="535">
                  <c:v>43830</c:v>
                </c:pt>
                <c:pt idx="536">
                  <c:v>43832</c:v>
                </c:pt>
                <c:pt idx="537">
                  <c:v>43833</c:v>
                </c:pt>
                <c:pt idx="538">
                  <c:v>43836</c:v>
                </c:pt>
                <c:pt idx="539">
                  <c:v>43837</c:v>
                </c:pt>
                <c:pt idx="540">
                  <c:v>43838</c:v>
                </c:pt>
                <c:pt idx="541">
                  <c:v>43839</c:v>
                </c:pt>
                <c:pt idx="542">
                  <c:v>43840</c:v>
                </c:pt>
                <c:pt idx="543">
                  <c:v>43843</c:v>
                </c:pt>
                <c:pt idx="544">
                  <c:v>43844</c:v>
                </c:pt>
                <c:pt idx="545">
                  <c:v>43845</c:v>
                </c:pt>
                <c:pt idx="546">
                  <c:v>43846</c:v>
                </c:pt>
                <c:pt idx="547">
                  <c:v>43847</c:v>
                </c:pt>
                <c:pt idx="548">
                  <c:v>43850</c:v>
                </c:pt>
                <c:pt idx="549">
                  <c:v>43851</c:v>
                </c:pt>
                <c:pt idx="550">
                  <c:v>43852</c:v>
                </c:pt>
                <c:pt idx="551">
                  <c:v>43853</c:v>
                </c:pt>
                <c:pt idx="552">
                  <c:v>43854</c:v>
                </c:pt>
                <c:pt idx="553">
                  <c:v>43857</c:v>
                </c:pt>
                <c:pt idx="554">
                  <c:v>43858</c:v>
                </c:pt>
                <c:pt idx="555">
                  <c:v>43859</c:v>
                </c:pt>
                <c:pt idx="556">
                  <c:v>43860</c:v>
                </c:pt>
                <c:pt idx="557">
                  <c:v>43861</c:v>
                </c:pt>
                <c:pt idx="558">
                  <c:v>43864</c:v>
                </c:pt>
                <c:pt idx="559">
                  <c:v>43865</c:v>
                </c:pt>
                <c:pt idx="560">
                  <c:v>43866</c:v>
                </c:pt>
                <c:pt idx="561">
                  <c:v>43867</c:v>
                </c:pt>
                <c:pt idx="562">
                  <c:v>43868</c:v>
                </c:pt>
                <c:pt idx="563">
                  <c:v>43871</c:v>
                </c:pt>
                <c:pt idx="564">
                  <c:v>43872</c:v>
                </c:pt>
                <c:pt idx="565">
                  <c:v>43873</c:v>
                </c:pt>
                <c:pt idx="566">
                  <c:v>43874</c:v>
                </c:pt>
                <c:pt idx="567">
                  <c:v>43875</c:v>
                </c:pt>
                <c:pt idx="568">
                  <c:v>43879</c:v>
                </c:pt>
                <c:pt idx="569">
                  <c:v>43880</c:v>
                </c:pt>
                <c:pt idx="570">
                  <c:v>43881</c:v>
                </c:pt>
                <c:pt idx="571">
                  <c:v>43882</c:v>
                </c:pt>
                <c:pt idx="572">
                  <c:v>43885</c:v>
                </c:pt>
                <c:pt idx="573">
                  <c:v>43886</c:v>
                </c:pt>
                <c:pt idx="574">
                  <c:v>43887</c:v>
                </c:pt>
                <c:pt idx="575">
                  <c:v>43888</c:v>
                </c:pt>
                <c:pt idx="576">
                  <c:v>43889</c:v>
                </c:pt>
                <c:pt idx="577">
                  <c:v>43892</c:v>
                </c:pt>
                <c:pt idx="578">
                  <c:v>43893</c:v>
                </c:pt>
                <c:pt idx="579">
                  <c:v>43894</c:v>
                </c:pt>
                <c:pt idx="580">
                  <c:v>43895</c:v>
                </c:pt>
                <c:pt idx="581">
                  <c:v>43896</c:v>
                </c:pt>
                <c:pt idx="582">
                  <c:v>43899</c:v>
                </c:pt>
                <c:pt idx="583">
                  <c:v>43900</c:v>
                </c:pt>
                <c:pt idx="584">
                  <c:v>43901</c:v>
                </c:pt>
                <c:pt idx="585">
                  <c:v>43902</c:v>
                </c:pt>
                <c:pt idx="586">
                  <c:v>43903</c:v>
                </c:pt>
                <c:pt idx="587">
                  <c:v>43906</c:v>
                </c:pt>
                <c:pt idx="588">
                  <c:v>43907</c:v>
                </c:pt>
                <c:pt idx="589">
                  <c:v>43908</c:v>
                </c:pt>
                <c:pt idx="590">
                  <c:v>43909</c:v>
                </c:pt>
                <c:pt idx="591">
                  <c:v>43910</c:v>
                </c:pt>
                <c:pt idx="592">
                  <c:v>43913</c:v>
                </c:pt>
                <c:pt idx="593">
                  <c:v>43914</c:v>
                </c:pt>
                <c:pt idx="594">
                  <c:v>43915</c:v>
                </c:pt>
                <c:pt idx="595">
                  <c:v>43916</c:v>
                </c:pt>
                <c:pt idx="596">
                  <c:v>43917</c:v>
                </c:pt>
                <c:pt idx="597">
                  <c:v>43920</c:v>
                </c:pt>
              </c:numCache>
            </c:numRef>
          </c:cat>
          <c:val>
            <c:numRef>
              <c:f>DN.TO!$B$2:$B$599</c:f>
              <c:numCache>
                <c:formatCode>_("$"* #,##0.00_);_("$"* \(#,##0.00\);_("$"* "-"??_);_(@_)</c:formatCode>
                <c:ptCount val="598"/>
                <c:pt idx="0">
                  <c:v>2.93</c:v>
                </c:pt>
                <c:pt idx="1">
                  <c:v>3.5</c:v>
                </c:pt>
                <c:pt idx="2">
                  <c:v>3.69</c:v>
                </c:pt>
                <c:pt idx="3">
                  <c:v>3.65</c:v>
                </c:pt>
                <c:pt idx="4">
                  <c:v>3.31</c:v>
                </c:pt>
                <c:pt idx="5">
                  <c:v>3.27</c:v>
                </c:pt>
                <c:pt idx="6">
                  <c:v>3.15</c:v>
                </c:pt>
                <c:pt idx="7">
                  <c:v>2.9</c:v>
                </c:pt>
                <c:pt idx="8">
                  <c:v>2.66</c:v>
                </c:pt>
                <c:pt idx="9">
                  <c:v>3.03</c:v>
                </c:pt>
                <c:pt idx="10">
                  <c:v>3.04</c:v>
                </c:pt>
                <c:pt idx="11">
                  <c:v>2.96</c:v>
                </c:pt>
                <c:pt idx="12">
                  <c:v>3.05</c:v>
                </c:pt>
                <c:pt idx="13">
                  <c:v>2.97</c:v>
                </c:pt>
                <c:pt idx="14">
                  <c:v>3.05</c:v>
                </c:pt>
                <c:pt idx="15">
                  <c:v>3</c:v>
                </c:pt>
                <c:pt idx="16">
                  <c:v>3.09</c:v>
                </c:pt>
                <c:pt idx="17">
                  <c:v>3.05</c:v>
                </c:pt>
                <c:pt idx="18">
                  <c:v>2.95</c:v>
                </c:pt>
                <c:pt idx="19">
                  <c:v>3.1</c:v>
                </c:pt>
                <c:pt idx="20">
                  <c:v>3.05</c:v>
                </c:pt>
                <c:pt idx="21">
                  <c:v>3.12</c:v>
                </c:pt>
                <c:pt idx="22">
                  <c:v>3.12</c:v>
                </c:pt>
                <c:pt idx="23">
                  <c:v>3</c:v>
                </c:pt>
                <c:pt idx="24">
                  <c:v>2.99</c:v>
                </c:pt>
                <c:pt idx="25">
                  <c:v>2.96</c:v>
                </c:pt>
                <c:pt idx="26">
                  <c:v>2.92</c:v>
                </c:pt>
                <c:pt idx="27">
                  <c:v>2.88</c:v>
                </c:pt>
                <c:pt idx="28">
                  <c:v>2.73</c:v>
                </c:pt>
                <c:pt idx="29">
                  <c:v>2.66</c:v>
                </c:pt>
                <c:pt idx="30">
                  <c:v>2.65</c:v>
                </c:pt>
                <c:pt idx="31">
                  <c:v>2.82</c:v>
                </c:pt>
                <c:pt idx="32">
                  <c:v>2.89</c:v>
                </c:pt>
                <c:pt idx="33">
                  <c:v>2.78</c:v>
                </c:pt>
                <c:pt idx="34">
                  <c:v>2.79</c:v>
                </c:pt>
                <c:pt idx="35">
                  <c:v>2.75</c:v>
                </c:pt>
                <c:pt idx="36">
                  <c:v>2.6</c:v>
                </c:pt>
                <c:pt idx="37">
                  <c:v>2.7</c:v>
                </c:pt>
                <c:pt idx="38">
                  <c:v>2.76</c:v>
                </c:pt>
                <c:pt idx="39">
                  <c:v>2.75</c:v>
                </c:pt>
                <c:pt idx="40">
                  <c:v>2.79</c:v>
                </c:pt>
                <c:pt idx="41">
                  <c:v>2.67</c:v>
                </c:pt>
                <c:pt idx="42">
                  <c:v>2.59</c:v>
                </c:pt>
                <c:pt idx="43">
                  <c:v>2.68</c:v>
                </c:pt>
                <c:pt idx="44">
                  <c:v>2.71</c:v>
                </c:pt>
                <c:pt idx="45">
                  <c:v>2.72</c:v>
                </c:pt>
                <c:pt idx="46">
                  <c:v>2.67</c:v>
                </c:pt>
                <c:pt idx="47">
                  <c:v>2.74</c:v>
                </c:pt>
                <c:pt idx="48">
                  <c:v>2.75</c:v>
                </c:pt>
                <c:pt idx="49">
                  <c:v>2.75</c:v>
                </c:pt>
                <c:pt idx="50">
                  <c:v>2.75</c:v>
                </c:pt>
                <c:pt idx="51">
                  <c:v>2.7</c:v>
                </c:pt>
                <c:pt idx="52">
                  <c:v>2.68</c:v>
                </c:pt>
                <c:pt idx="53">
                  <c:v>2.73</c:v>
                </c:pt>
                <c:pt idx="54">
                  <c:v>2.74</c:v>
                </c:pt>
                <c:pt idx="55">
                  <c:v>2.76</c:v>
                </c:pt>
                <c:pt idx="56">
                  <c:v>2.66</c:v>
                </c:pt>
                <c:pt idx="57">
                  <c:v>2.46</c:v>
                </c:pt>
                <c:pt idx="58">
                  <c:v>2.33</c:v>
                </c:pt>
                <c:pt idx="59">
                  <c:v>2.41</c:v>
                </c:pt>
                <c:pt idx="60">
                  <c:v>2.2999999999999998</c:v>
                </c:pt>
                <c:pt idx="61">
                  <c:v>2.39</c:v>
                </c:pt>
                <c:pt idx="62">
                  <c:v>2.33</c:v>
                </c:pt>
                <c:pt idx="63">
                  <c:v>2.33</c:v>
                </c:pt>
                <c:pt idx="64">
                  <c:v>2.2000000000000002</c:v>
                </c:pt>
                <c:pt idx="65">
                  <c:v>2.11</c:v>
                </c:pt>
                <c:pt idx="66">
                  <c:v>2.14</c:v>
                </c:pt>
                <c:pt idx="67">
                  <c:v>2.2999999999999998</c:v>
                </c:pt>
                <c:pt idx="68">
                  <c:v>2.58</c:v>
                </c:pt>
                <c:pt idx="69">
                  <c:v>2.64</c:v>
                </c:pt>
                <c:pt idx="70">
                  <c:v>2.5</c:v>
                </c:pt>
                <c:pt idx="71">
                  <c:v>2.27</c:v>
                </c:pt>
                <c:pt idx="72">
                  <c:v>2.15</c:v>
                </c:pt>
                <c:pt idx="73">
                  <c:v>1.92</c:v>
                </c:pt>
                <c:pt idx="74">
                  <c:v>1.93</c:v>
                </c:pt>
                <c:pt idx="75">
                  <c:v>1.9</c:v>
                </c:pt>
                <c:pt idx="76">
                  <c:v>1.9</c:v>
                </c:pt>
                <c:pt idx="77">
                  <c:v>1.96</c:v>
                </c:pt>
                <c:pt idx="78">
                  <c:v>1.91</c:v>
                </c:pt>
                <c:pt idx="79">
                  <c:v>1.93</c:v>
                </c:pt>
                <c:pt idx="80">
                  <c:v>2</c:v>
                </c:pt>
                <c:pt idx="81">
                  <c:v>2</c:v>
                </c:pt>
                <c:pt idx="82">
                  <c:v>1.95</c:v>
                </c:pt>
                <c:pt idx="83">
                  <c:v>1.97</c:v>
                </c:pt>
                <c:pt idx="84">
                  <c:v>1.94</c:v>
                </c:pt>
                <c:pt idx="85">
                  <c:v>1.98</c:v>
                </c:pt>
                <c:pt idx="86">
                  <c:v>1.94</c:v>
                </c:pt>
                <c:pt idx="87">
                  <c:v>1.95</c:v>
                </c:pt>
                <c:pt idx="88">
                  <c:v>1.92</c:v>
                </c:pt>
                <c:pt idx="89">
                  <c:v>1.93</c:v>
                </c:pt>
                <c:pt idx="90">
                  <c:v>1.89</c:v>
                </c:pt>
                <c:pt idx="91">
                  <c:v>1.89</c:v>
                </c:pt>
                <c:pt idx="92">
                  <c:v>1.86</c:v>
                </c:pt>
                <c:pt idx="93">
                  <c:v>1.86</c:v>
                </c:pt>
                <c:pt idx="94">
                  <c:v>1.83</c:v>
                </c:pt>
                <c:pt idx="95">
                  <c:v>1.85</c:v>
                </c:pt>
                <c:pt idx="96">
                  <c:v>1.83</c:v>
                </c:pt>
                <c:pt idx="97">
                  <c:v>1.74</c:v>
                </c:pt>
                <c:pt idx="98">
                  <c:v>1.71</c:v>
                </c:pt>
                <c:pt idx="99">
                  <c:v>1.71</c:v>
                </c:pt>
                <c:pt idx="100">
                  <c:v>1.69</c:v>
                </c:pt>
                <c:pt idx="101">
                  <c:v>1.56</c:v>
                </c:pt>
                <c:pt idx="102">
                  <c:v>1.54</c:v>
                </c:pt>
                <c:pt idx="103">
                  <c:v>1.5</c:v>
                </c:pt>
                <c:pt idx="104">
                  <c:v>1.46</c:v>
                </c:pt>
                <c:pt idx="105">
                  <c:v>1.49</c:v>
                </c:pt>
                <c:pt idx="106">
                  <c:v>1.51</c:v>
                </c:pt>
                <c:pt idx="107">
                  <c:v>1.45</c:v>
                </c:pt>
                <c:pt idx="108">
                  <c:v>1.47</c:v>
                </c:pt>
                <c:pt idx="109">
                  <c:v>1.48</c:v>
                </c:pt>
                <c:pt idx="110">
                  <c:v>1.46</c:v>
                </c:pt>
                <c:pt idx="111">
                  <c:v>1.45</c:v>
                </c:pt>
                <c:pt idx="112">
                  <c:v>1.43</c:v>
                </c:pt>
                <c:pt idx="113">
                  <c:v>1.43</c:v>
                </c:pt>
                <c:pt idx="114">
                  <c:v>1.43</c:v>
                </c:pt>
                <c:pt idx="115">
                  <c:v>1.43</c:v>
                </c:pt>
                <c:pt idx="116">
                  <c:v>1.38</c:v>
                </c:pt>
                <c:pt idx="117">
                  <c:v>1.3</c:v>
                </c:pt>
                <c:pt idx="118">
                  <c:v>1.21</c:v>
                </c:pt>
                <c:pt idx="119">
                  <c:v>1.22</c:v>
                </c:pt>
                <c:pt idx="120">
                  <c:v>1.2</c:v>
                </c:pt>
                <c:pt idx="121">
                  <c:v>1.28</c:v>
                </c:pt>
                <c:pt idx="122">
                  <c:v>1.3</c:v>
                </c:pt>
                <c:pt idx="123">
                  <c:v>1.33</c:v>
                </c:pt>
                <c:pt idx="124">
                  <c:v>1.55</c:v>
                </c:pt>
                <c:pt idx="125">
                  <c:v>1.48</c:v>
                </c:pt>
                <c:pt idx="126">
                  <c:v>1.5</c:v>
                </c:pt>
                <c:pt idx="127">
                  <c:v>1.45</c:v>
                </c:pt>
                <c:pt idx="128">
                  <c:v>1.49</c:v>
                </c:pt>
                <c:pt idx="129">
                  <c:v>1.49</c:v>
                </c:pt>
                <c:pt idx="130">
                  <c:v>1.45</c:v>
                </c:pt>
                <c:pt idx="131">
                  <c:v>1.46</c:v>
                </c:pt>
                <c:pt idx="132">
                  <c:v>1.45</c:v>
                </c:pt>
                <c:pt idx="133">
                  <c:v>1.42</c:v>
                </c:pt>
                <c:pt idx="134">
                  <c:v>1.38</c:v>
                </c:pt>
                <c:pt idx="135">
                  <c:v>1.37</c:v>
                </c:pt>
                <c:pt idx="136">
                  <c:v>1.48</c:v>
                </c:pt>
                <c:pt idx="137">
                  <c:v>1.43</c:v>
                </c:pt>
                <c:pt idx="138">
                  <c:v>1.45</c:v>
                </c:pt>
                <c:pt idx="139">
                  <c:v>1.42</c:v>
                </c:pt>
                <c:pt idx="140">
                  <c:v>1.5</c:v>
                </c:pt>
                <c:pt idx="141">
                  <c:v>1.47</c:v>
                </c:pt>
                <c:pt idx="142">
                  <c:v>1.51</c:v>
                </c:pt>
                <c:pt idx="143">
                  <c:v>1.52</c:v>
                </c:pt>
                <c:pt idx="144">
                  <c:v>1.49</c:v>
                </c:pt>
                <c:pt idx="145">
                  <c:v>1.54</c:v>
                </c:pt>
                <c:pt idx="146">
                  <c:v>1.53</c:v>
                </c:pt>
                <c:pt idx="147">
                  <c:v>1.5</c:v>
                </c:pt>
                <c:pt idx="148">
                  <c:v>1.5</c:v>
                </c:pt>
                <c:pt idx="149">
                  <c:v>1.5</c:v>
                </c:pt>
                <c:pt idx="150">
                  <c:v>1.45</c:v>
                </c:pt>
                <c:pt idx="151">
                  <c:v>1.41</c:v>
                </c:pt>
                <c:pt idx="152">
                  <c:v>1.44</c:v>
                </c:pt>
                <c:pt idx="153">
                  <c:v>1.5</c:v>
                </c:pt>
                <c:pt idx="154">
                  <c:v>1.48</c:v>
                </c:pt>
                <c:pt idx="155">
                  <c:v>1.51</c:v>
                </c:pt>
                <c:pt idx="156">
                  <c:v>1.49</c:v>
                </c:pt>
                <c:pt idx="157">
                  <c:v>1.5</c:v>
                </c:pt>
                <c:pt idx="158">
                  <c:v>1.49</c:v>
                </c:pt>
                <c:pt idx="159">
                  <c:v>1.54</c:v>
                </c:pt>
                <c:pt idx="160">
                  <c:v>1.49</c:v>
                </c:pt>
                <c:pt idx="161">
                  <c:v>1.45</c:v>
                </c:pt>
                <c:pt idx="162">
                  <c:v>1.42</c:v>
                </c:pt>
                <c:pt idx="163">
                  <c:v>1.33</c:v>
                </c:pt>
                <c:pt idx="164">
                  <c:v>1.3</c:v>
                </c:pt>
                <c:pt idx="165">
                  <c:v>1.24</c:v>
                </c:pt>
                <c:pt idx="166">
                  <c:v>1.28</c:v>
                </c:pt>
                <c:pt idx="167">
                  <c:v>1.25</c:v>
                </c:pt>
                <c:pt idx="168">
                  <c:v>1.2</c:v>
                </c:pt>
                <c:pt idx="169">
                  <c:v>1.19</c:v>
                </c:pt>
                <c:pt idx="170">
                  <c:v>1.1000000000000001</c:v>
                </c:pt>
                <c:pt idx="171">
                  <c:v>1.0900000000000001</c:v>
                </c:pt>
                <c:pt idx="172">
                  <c:v>1.1200000000000001</c:v>
                </c:pt>
                <c:pt idx="173">
                  <c:v>1.1299999999999999</c:v>
                </c:pt>
                <c:pt idx="174">
                  <c:v>1.1499999999999999</c:v>
                </c:pt>
                <c:pt idx="175">
                  <c:v>1.07</c:v>
                </c:pt>
                <c:pt idx="176">
                  <c:v>1.07</c:v>
                </c:pt>
                <c:pt idx="177">
                  <c:v>1.05</c:v>
                </c:pt>
                <c:pt idx="178">
                  <c:v>1.0900000000000001</c:v>
                </c:pt>
                <c:pt idx="179">
                  <c:v>1.1100000000000001</c:v>
                </c:pt>
                <c:pt idx="180">
                  <c:v>1.21</c:v>
                </c:pt>
                <c:pt idx="181">
                  <c:v>1.22</c:v>
                </c:pt>
                <c:pt idx="182">
                  <c:v>1.26</c:v>
                </c:pt>
                <c:pt idx="183">
                  <c:v>1.26</c:v>
                </c:pt>
                <c:pt idx="184">
                  <c:v>1.3</c:v>
                </c:pt>
                <c:pt idx="185">
                  <c:v>1.32</c:v>
                </c:pt>
                <c:pt idx="186">
                  <c:v>1.3</c:v>
                </c:pt>
                <c:pt idx="187">
                  <c:v>1.32</c:v>
                </c:pt>
                <c:pt idx="188">
                  <c:v>1.35</c:v>
                </c:pt>
                <c:pt idx="189">
                  <c:v>1.3</c:v>
                </c:pt>
                <c:pt idx="190">
                  <c:v>1.31</c:v>
                </c:pt>
                <c:pt idx="191">
                  <c:v>1.34</c:v>
                </c:pt>
                <c:pt idx="192">
                  <c:v>1.36</c:v>
                </c:pt>
                <c:pt idx="193">
                  <c:v>1.5</c:v>
                </c:pt>
                <c:pt idx="194">
                  <c:v>1.45</c:v>
                </c:pt>
                <c:pt idx="195">
                  <c:v>1.42</c:v>
                </c:pt>
                <c:pt idx="196">
                  <c:v>1.42</c:v>
                </c:pt>
                <c:pt idx="197">
                  <c:v>1.54</c:v>
                </c:pt>
                <c:pt idx="198">
                  <c:v>1.53</c:v>
                </c:pt>
                <c:pt idx="199">
                  <c:v>1.55</c:v>
                </c:pt>
                <c:pt idx="200">
                  <c:v>1.83</c:v>
                </c:pt>
                <c:pt idx="201">
                  <c:v>1.79</c:v>
                </c:pt>
                <c:pt idx="202">
                  <c:v>1.78</c:v>
                </c:pt>
                <c:pt idx="203">
                  <c:v>1.86</c:v>
                </c:pt>
                <c:pt idx="204">
                  <c:v>1.8</c:v>
                </c:pt>
                <c:pt idx="205">
                  <c:v>1.83</c:v>
                </c:pt>
                <c:pt idx="206">
                  <c:v>1.86</c:v>
                </c:pt>
                <c:pt idx="207">
                  <c:v>1.85</c:v>
                </c:pt>
                <c:pt idx="208">
                  <c:v>1.79</c:v>
                </c:pt>
                <c:pt idx="209">
                  <c:v>1.89</c:v>
                </c:pt>
                <c:pt idx="210">
                  <c:v>1.74</c:v>
                </c:pt>
                <c:pt idx="211">
                  <c:v>1.66</c:v>
                </c:pt>
                <c:pt idx="212">
                  <c:v>1.68</c:v>
                </c:pt>
                <c:pt idx="213">
                  <c:v>1.81</c:v>
                </c:pt>
                <c:pt idx="214">
                  <c:v>1.65</c:v>
                </c:pt>
                <c:pt idx="215">
                  <c:v>1.69</c:v>
                </c:pt>
                <c:pt idx="216">
                  <c:v>1.71</c:v>
                </c:pt>
                <c:pt idx="217">
                  <c:v>1.82</c:v>
                </c:pt>
                <c:pt idx="218">
                  <c:v>1.8</c:v>
                </c:pt>
                <c:pt idx="219">
                  <c:v>1.8</c:v>
                </c:pt>
                <c:pt idx="220">
                  <c:v>1.71</c:v>
                </c:pt>
                <c:pt idx="221">
                  <c:v>1.78</c:v>
                </c:pt>
                <c:pt idx="222">
                  <c:v>1.82</c:v>
                </c:pt>
                <c:pt idx="223">
                  <c:v>1.75</c:v>
                </c:pt>
                <c:pt idx="224">
                  <c:v>1.78</c:v>
                </c:pt>
                <c:pt idx="225">
                  <c:v>1.75</c:v>
                </c:pt>
                <c:pt idx="226">
                  <c:v>1.76</c:v>
                </c:pt>
                <c:pt idx="227">
                  <c:v>1.7</c:v>
                </c:pt>
                <c:pt idx="228">
                  <c:v>1.69</c:v>
                </c:pt>
                <c:pt idx="229">
                  <c:v>1.58</c:v>
                </c:pt>
                <c:pt idx="230">
                  <c:v>1.66</c:v>
                </c:pt>
                <c:pt idx="231">
                  <c:v>1.89</c:v>
                </c:pt>
                <c:pt idx="232">
                  <c:v>1.78</c:v>
                </c:pt>
                <c:pt idx="233">
                  <c:v>1.86</c:v>
                </c:pt>
                <c:pt idx="234">
                  <c:v>2.0699999999999998</c:v>
                </c:pt>
                <c:pt idx="235">
                  <c:v>2</c:v>
                </c:pt>
                <c:pt idx="236">
                  <c:v>1.8</c:v>
                </c:pt>
                <c:pt idx="237">
                  <c:v>1.51</c:v>
                </c:pt>
                <c:pt idx="238">
                  <c:v>1.68</c:v>
                </c:pt>
                <c:pt idx="239">
                  <c:v>1.72</c:v>
                </c:pt>
                <c:pt idx="240">
                  <c:v>1.67</c:v>
                </c:pt>
                <c:pt idx="241">
                  <c:v>1.51</c:v>
                </c:pt>
                <c:pt idx="242">
                  <c:v>1.47</c:v>
                </c:pt>
                <c:pt idx="243">
                  <c:v>1.55</c:v>
                </c:pt>
                <c:pt idx="244">
                  <c:v>1.57</c:v>
                </c:pt>
                <c:pt idx="245">
                  <c:v>1.53</c:v>
                </c:pt>
                <c:pt idx="246">
                  <c:v>1.58</c:v>
                </c:pt>
                <c:pt idx="247">
                  <c:v>1.61</c:v>
                </c:pt>
                <c:pt idx="248">
                  <c:v>1.72</c:v>
                </c:pt>
                <c:pt idx="249">
                  <c:v>1.67</c:v>
                </c:pt>
                <c:pt idx="250">
                  <c:v>1.62</c:v>
                </c:pt>
                <c:pt idx="251">
                  <c:v>1.58</c:v>
                </c:pt>
                <c:pt idx="252">
                  <c:v>1.54</c:v>
                </c:pt>
                <c:pt idx="253">
                  <c:v>1.48</c:v>
                </c:pt>
                <c:pt idx="254">
                  <c:v>1.53</c:v>
                </c:pt>
                <c:pt idx="255">
                  <c:v>1.45</c:v>
                </c:pt>
                <c:pt idx="256">
                  <c:v>1.43</c:v>
                </c:pt>
                <c:pt idx="257">
                  <c:v>1.36</c:v>
                </c:pt>
                <c:pt idx="258">
                  <c:v>1.35</c:v>
                </c:pt>
                <c:pt idx="259">
                  <c:v>1.36</c:v>
                </c:pt>
                <c:pt idx="260">
                  <c:v>1.36</c:v>
                </c:pt>
                <c:pt idx="261">
                  <c:v>1.36</c:v>
                </c:pt>
                <c:pt idx="262">
                  <c:v>1.38</c:v>
                </c:pt>
                <c:pt idx="263">
                  <c:v>1.39</c:v>
                </c:pt>
                <c:pt idx="264">
                  <c:v>1.33</c:v>
                </c:pt>
                <c:pt idx="265">
                  <c:v>1.29</c:v>
                </c:pt>
                <c:pt idx="266">
                  <c:v>1.29</c:v>
                </c:pt>
                <c:pt idx="267">
                  <c:v>1.21</c:v>
                </c:pt>
                <c:pt idx="268">
                  <c:v>1.2</c:v>
                </c:pt>
                <c:pt idx="269">
                  <c:v>1.21</c:v>
                </c:pt>
                <c:pt idx="270">
                  <c:v>1.29</c:v>
                </c:pt>
                <c:pt idx="271">
                  <c:v>1.25</c:v>
                </c:pt>
                <c:pt idx="272">
                  <c:v>1.26</c:v>
                </c:pt>
                <c:pt idx="273">
                  <c:v>1.23</c:v>
                </c:pt>
                <c:pt idx="274">
                  <c:v>1.21</c:v>
                </c:pt>
                <c:pt idx="275">
                  <c:v>1.2</c:v>
                </c:pt>
                <c:pt idx="276">
                  <c:v>1.1499999999999999</c:v>
                </c:pt>
                <c:pt idx="277">
                  <c:v>1.1100000000000001</c:v>
                </c:pt>
                <c:pt idx="278">
                  <c:v>1.05</c:v>
                </c:pt>
                <c:pt idx="279">
                  <c:v>1.07</c:v>
                </c:pt>
                <c:pt idx="280">
                  <c:v>1.03</c:v>
                </c:pt>
                <c:pt idx="281">
                  <c:v>0.96</c:v>
                </c:pt>
                <c:pt idx="282">
                  <c:v>1</c:v>
                </c:pt>
                <c:pt idx="283">
                  <c:v>1.2</c:v>
                </c:pt>
                <c:pt idx="284">
                  <c:v>1.22</c:v>
                </c:pt>
                <c:pt idx="285">
                  <c:v>1.39</c:v>
                </c:pt>
                <c:pt idx="286">
                  <c:v>1.36</c:v>
                </c:pt>
                <c:pt idx="287">
                  <c:v>1.45</c:v>
                </c:pt>
                <c:pt idx="288">
                  <c:v>1.4</c:v>
                </c:pt>
                <c:pt idx="289">
                  <c:v>1.38</c:v>
                </c:pt>
                <c:pt idx="290">
                  <c:v>1.39</c:v>
                </c:pt>
                <c:pt idx="291">
                  <c:v>1.37</c:v>
                </c:pt>
                <c:pt idx="292">
                  <c:v>1.4</c:v>
                </c:pt>
                <c:pt idx="293">
                  <c:v>1.4</c:v>
                </c:pt>
                <c:pt idx="294">
                  <c:v>1.43</c:v>
                </c:pt>
                <c:pt idx="295">
                  <c:v>1.43</c:v>
                </c:pt>
                <c:pt idx="296">
                  <c:v>1.36</c:v>
                </c:pt>
                <c:pt idx="297">
                  <c:v>1.36</c:v>
                </c:pt>
                <c:pt idx="298">
                  <c:v>1.35</c:v>
                </c:pt>
                <c:pt idx="299">
                  <c:v>1.39</c:v>
                </c:pt>
                <c:pt idx="300">
                  <c:v>1.37</c:v>
                </c:pt>
                <c:pt idx="301">
                  <c:v>1.42</c:v>
                </c:pt>
                <c:pt idx="302">
                  <c:v>1.41</c:v>
                </c:pt>
                <c:pt idx="303">
                  <c:v>1.53</c:v>
                </c:pt>
                <c:pt idx="304">
                  <c:v>1.43</c:v>
                </c:pt>
                <c:pt idx="305">
                  <c:v>1.45</c:v>
                </c:pt>
                <c:pt idx="306">
                  <c:v>1.44</c:v>
                </c:pt>
                <c:pt idx="307">
                  <c:v>1.53</c:v>
                </c:pt>
                <c:pt idx="308">
                  <c:v>1.55</c:v>
                </c:pt>
                <c:pt idx="309">
                  <c:v>1.5</c:v>
                </c:pt>
                <c:pt idx="310">
                  <c:v>1.55</c:v>
                </c:pt>
                <c:pt idx="311">
                  <c:v>1.52</c:v>
                </c:pt>
                <c:pt idx="312">
                  <c:v>1.52</c:v>
                </c:pt>
                <c:pt idx="313">
                  <c:v>1.49</c:v>
                </c:pt>
                <c:pt idx="314">
                  <c:v>1.5</c:v>
                </c:pt>
                <c:pt idx="315">
                  <c:v>1.48</c:v>
                </c:pt>
                <c:pt idx="316">
                  <c:v>1.47</c:v>
                </c:pt>
                <c:pt idx="317">
                  <c:v>1.49</c:v>
                </c:pt>
                <c:pt idx="318">
                  <c:v>1.5</c:v>
                </c:pt>
                <c:pt idx="319">
                  <c:v>1.46</c:v>
                </c:pt>
                <c:pt idx="320">
                  <c:v>1.47</c:v>
                </c:pt>
                <c:pt idx="321">
                  <c:v>1.48</c:v>
                </c:pt>
                <c:pt idx="322">
                  <c:v>1.56</c:v>
                </c:pt>
                <c:pt idx="323">
                  <c:v>1.47</c:v>
                </c:pt>
                <c:pt idx="324">
                  <c:v>1.49</c:v>
                </c:pt>
                <c:pt idx="325">
                  <c:v>1.46</c:v>
                </c:pt>
                <c:pt idx="326">
                  <c:v>1.49</c:v>
                </c:pt>
                <c:pt idx="327">
                  <c:v>1.49</c:v>
                </c:pt>
                <c:pt idx="328">
                  <c:v>1.49</c:v>
                </c:pt>
                <c:pt idx="329">
                  <c:v>1.47</c:v>
                </c:pt>
                <c:pt idx="330">
                  <c:v>1.52</c:v>
                </c:pt>
                <c:pt idx="331">
                  <c:v>1.58</c:v>
                </c:pt>
                <c:pt idx="332">
                  <c:v>1.53</c:v>
                </c:pt>
                <c:pt idx="333">
                  <c:v>1.58</c:v>
                </c:pt>
                <c:pt idx="334">
                  <c:v>1.64</c:v>
                </c:pt>
                <c:pt idx="335">
                  <c:v>1.69</c:v>
                </c:pt>
                <c:pt idx="336">
                  <c:v>1.75</c:v>
                </c:pt>
                <c:pt idx="337">
                  <c:v>1.71</c:v>
                </c:pt>
                <c:pt idx="338">
                  <c:v>1.81</c:v>
                </c:pt>
                <c:pt idx="339">
                  <c:v>1.78</c:v>
                </c:pt>
                <c:pt idx="340">
                  <c:v>1.75</c:v>
                </c:pt>
                <c:pt idx="341">
                  <c:v>1.7</c:v>
                </c:pt>
                <c:pt idx="342">
                  <c:v>1.52</c:v>
                </c:pt>
                <c:pt idx="343">
                  <c:v>1.64</c:v>
                </c:pt>
                <c:pt idx="344">
                  <c:v>1.58</c:v>
                </c:pt>
                <c:pt idx="345">
                  <c:v>1.58</c:v>
                </c:pt>
                <c:pt idx="346">
                  <c:v>1.6</c:v>
                </c:pt>
                <c:pt idx="347">
                  <c:v>1.6</c:v>
                </c:pt>
                <c:pt idx="348">
                  <c:v>1.56</c:v>
                </c:pt>
                <c:pt idx="349">
                  <c:v>1.68</c:v>
                </c:pt>
                <c:pt idx="350">
                  <c:v>1.64</c:v>
                </c:pt>
                <c:pt idx="351">
                  <c:v>1.68</c:v>
                </c:pt>
                <c:pt idx="352">
                  <c:v>1.72</c:v>
                </c:pt>
                <c:pt idx="353">
                  <c:v>1.64</c:v>
                </c:pt>
                <c:pt idx="354">
                  <c:v>1.74</c:v>
                </c:pt>
                <c:pt idx="355">
                  <c:v>1.67</c:v>
                </c:pt>
                <c:pt idx="356">
                  <c:v>1.6</c:v>
                </c:pt>
                <c:pt idx="357">
                  <c:v>1.6</c:v>
                </c:pt>
                <c:pt idx="358">
                  <c:v>1.55</c:v>
                </c:pt>
                <c:pt idx="359">
                  <c:v>1.52</c:v>
                </c:pt>
                <c:pt idx="360">
                  <c:v>1.56</c:v>
                </c:pt>
                <c:pt idx="361">
                  <c:v>1.6</c:v>
                </c:pt>
                <c:pt idx="362">
                  <c:v>1.6</c:v>
                </c:pt>
                <c:pt idx="363">
                  <c:v>1.59</c:v>
                </c:pt>
                <c:pt idx="364">
                  <c:v>1.63</c:v>
                </c:pt>
                <c:pt idx="365">
                  <c:v>1.58</c:v>
                </c:pt>
                <c:pt idx="366">
                  <c:v>1.56</c:v>
                </c:pt>
                <c:pt idx="367">
                  <c:v>1.54</c:v>
                </c:pt>
                <c:pt idx="368">
                  <c:v>1.58</c:v>
                </c:pt>
                <c:pt idx="369">
                  <c:v>1.52</c:v>
                </c:pt>
                <c:pt idx="370">
                  <c:v>1.54</c:v>
                </c:pt>
                <c:pt idx="371">
                  <c:v>1.51</c:v>
                </c:pt>
                <c:pt idx="372">
                  <c:v>1.48</c:v>
                </c:pt>
                <c:pt idx="373">
                  <c:v>1.52</c:v>
                </c:pt>
                <c:pt idx="374">
                  <c:v>1.52</c:v>
                </c:pt>
                <c:pt idx="375">
                  <c:v>1.46</c:v>
                </c:pt>
                <c:pt idx="376">
                  <c:v>1.45</c:v>
                </c:pt>
                <c:pt idx="377">
                  <c:v>1.45</c:v>
                </c:pt>
                <c:pt idx="378">
                  <c:v>1.41</c:v>
                </c:pt>
                <c:pt idx="379">
                  <c:v>1.4</c:v>
                </c:pt>
                <c:pt idx="380">
                  <c:v>1.41</c:v>
                </c:pt>
                <c:pt idx="381">
                  <c:v>1.43</c:v>
                </c:pt>
                <c:pt idx="382">
                  <c:v>1.37</c:v>
                </c:pt>
                <c:pt idx="383">
                  <c:v>1.4</c:v>
                </c:pt>
                <c:pt idx="384">
                  <c:v>1.39</c:v>
                </c:pt>
                <c:pt idx="385">
                  <c:v>1.44</c:v>
                </c:pt>
                <c:pt idx="386">
                  <c:v>1.44</c:v>
                </c:pt>
                <c:pt idx="387">
                  <c:v>1.42</c:v>
                </c:pt>
                <c:pt idx="388">
                  <c:v>1.41</c:v>
                </c:pt>
                <c:pt idx="389">
                  <c:v>1.46</c:v>
                </c:pt>
                <c:pt idx="390">
                  <c:v>1.4</c:v>
                </c:pt>
                <c:pt idx="391">
                  <c:v>1.41</c:v>
                </c:pt>
                <c:pt idx="392">
                  <c:v>1.34</c:v>
                </c:pt>
                <c:pt idx="393">
                  <c:v>1.28</c:v>
                </c:pt>
                <c:pt idx="394">
                  <c:v>1.34</c:v>
                </c:pt>
                <c:pt idx="395">
                  <c:v>1.3</c:v>
                </c:pt>
                <c:pt idx="396">
                  <c:v>1.28</c:v>
                </c:pt>
                <c:pt idx="397">
                  <c:v>1.26</c:v>
                </c:pt>
                <c:pt idx="398">
                  <c:v>1.2</c:v>
                </c:pt>
                <c:pt idx="399">
                  <c:v>1.21</c:v>
                </c:pt>
                <c:pt idx="400">
                  <c:v>1.22</c:v>
                </c:pt>
                <c:pt idx="401">
                  <c:v>1.17</c:v>
                </c:pt>
                <c:pt idx="402">
                  <c:v>1.07</c:v>
                </c:pt>
                <c:pt idx="403">
                  <c:v>1.04</c:v>
                </c:pt>
                <c:pt idx="404">
                  <c:v>0.99</c:v>
                </c:pt>
                <c:pt idx="405">
                  <c:v>0.96</c:v>
                </c:pt>
                <c:pt idx="406">
                  <c:v>0.98</c:v>
                </c:pt>
                <c:pt idx="407">
                  <c:v>0.99</c:v>
                </c:pt>
                <c:pt idx="408">
                  <c:v>1.05</c:v>
                </c:pt>
                <c:pt idx="409">
                  <c:v>1.06</c:v>
                </c:pt>
                <c:pt idx="410">
                  <c:v>1.08</c:v>
                </c:pt>
                <c:pt idx="411">
                  <c:v>1.1399999999999999</c:v>
                </c:pt>
                <c:pt idx="412">
                  <c:v>1.06</c:v>
                </c:pt>
                <c:pt idx="413">
                  <c:v>1.07</c:v>
                </c:pt>
                <c:pt idx="414">
                  <c:v>1.04</c:v>
                </c:pt>
                <c:pt idx="415">
                  <c:v>1</c:v>
                </c:pt>
                <c:pt idx="416">
                  <c:v>1.02</c:v>
                </c:pt>
                <c:pt idx="417">
                  <c:v>1.05</c:v>
                </c:pt>
                <c:pt idx="418">
                  <c:v>1.01</c:v>
                </c:pt>
                <c:pt idx="419">
                  <c:v>1.03</c:v>
                </c:pt>
                <c:pt idx="420">
                  <c:v>1.01</c:v>
                </c:pt>
                <c:pt idx="421">
                  <c:v>1.02</c:v>
                </c:pt>
                <c:pt idx="422">
                  <c:v>0.98</c:v>
                </c:pt>
                <c:pt idx="423">
                  <c:v>0.99</c:v>
                </c:pt>
                <c:pt idx="424">
                  <c:v>1</c:v>
                </c:pt>
                <c:pt idx="425">
                  <c:v>1.03</c:v>
                </c:pt>
                <c:pt idx="426">
                  <c:v>1.02</c:v>
                </c:pt>
                <c:pt idx="427">
                  <c:v>1.03</c:v>
                </c:pt>
                <c:pt idx="428">
                  <c:v>1.02</c:v>
                </c:pt>
                <c:pt idx="429">
                  <c:v>0.99</c:v>
                </c:pt>
                <c:pt idx="430">
                  <c:v>0.98</c:v>
                </c:pt>
                <c:pt idx="431">
                  <c:v>0.97</c:v>
                </c:pt>
                <c:pt idx="432">
                  <c:v>0.96</c:v>
                </c:pt>
                <c:pt idx="433">
                  <c:v>0.97</c:v>
                </c:pt>
                <c:pt idx="434">
                  <c:v>0.94</c:v>
                </c:pt>
                <c:pt idx="435">
                  <c:v>0.93</c:v>
                </c:pt>
                <c:pt idx="436">
                  <c:v>0.95</c:v>
                </c:pt>
                <c:pt idx="437">
                  <c:v>0.96</c:v>
                </c:pt>
                <c:pt idx="438">
                  <c:v>0.99</c:v>
                </c:pt>
                <c:pt idx="439">
                  <c:v>0.98</c:v>
                </c:pt>
                <c:pt idx="440">
                  <c:v>0.95</c:v>
                </c:pt>
                <c:pt idx="441">
                  <c:v>0.88</c:v>
                </c:pt>
                <c:pt idx="442">
                  <c:v>0.89</c:v>
                </c:pt>
                <c:pt idx="443">
                  <c:v>0.87</c:v>
                </c:pt>
                <c:pt idx="444">
                  <c:v>0.86</c:v>
                </c:pt>
                <c:pt idx="445">
                  <c:v>0.92</c:v>
                </c:pt>
                <c:pt idx="446">
                  <c:v>0.88</c:v>
                </c:pt>
                <c:pt idx="447">
                  <c:v>0.86</c:v>
                </c:pt>
                <c:pt idx="448">
                  <c:v>0.85</c:v>
                </c:pt>
                <c:pt idx="449">
                  <c:v>0.77</c:v>
                </c:pt>
                <c:pt idx="450">
                  <c:v>0.87</c:v>
                </c:pt>
                <c:pt idx="451">
                  <c:v>0.8</c:v>
                </c:pt>
                <c:pt idx="452">
                  <c:v>0.91</c:v>
                </c:pt>
                <c:pt idx="453">
                  <c:v>0.98</c:v>
                </c:pt>
                <c:pt idx="454">
                  <c:v>0.97</c:v>
                </c:pt>
                <c:pt idx="455">
                  <c:v>0.96</c:v>
                </c:pt>
                <c:pt idx="456">
                  <c:v>0.92</c:v>
                </c:pt>
                <c:pt idx="457">
                  <c:v>0.94</c:v>
                </c:pt>
                <c:pt idx="458">
                  <c:v>0.87</c:v>
                </c:pt>
                <c:pt idx="459">
                  <c:v>0.82</c:v>
                </c:pt>
                <c:pt idx="460">
                  <c:v>0.84</c:v>
                </c:pt>
                <c:pt idx="461">
                  <c:v>0.8</c:v>
                </c:pt>
                <c:pt idx="462">
                  <c:v>0.75</c:v>
                </c:pt>
                <c:pt idx="463">
                  <c:v>0.83</c:v>
                </c:pt>
                <c:pt idx="464">
                  <c:v>0.81</c:v>
                </c:pt>
                <c:pt idx="465">
                  <c:v>0.8</c:v>
                </c:pt>
                <c:pt idx="466">
                  <c:v>0.77</c:v>
                </c:pt>
                <c:pt idx="467">
                  <c:v>0.8</c:v>
                </c:pt>
                <c:pt idx="468">
                  <c:v>0.76</c:v>
                </c:pt>
                <c:pt idx="469">
                  <c:v>0.77500000000000002</c:v>
                </c:pt>
                <c:pt idx="470">
                  <c:v>0.76</c:v>
                </c:pt>
                <c:pt idx="471">
                  <c:v>0.73</c:v>
                </c:pt>
                <c:pt idx="472">
                  <c:v>0.71</c:v>
                </c:pt>
                <c:pt idx="473">
                  <c:v>0.67</c:v>
                </c:pt>
                <c:pt idx="474">
                  <c:v>0.63</c:v>
                </c:pt>
                <c:pt idx="475">
                  <c:v>0.65</c:v>
                </c:pt>
                <c:pt idx="476">
                  <c:v>0.71</c:v>
                </c:pt>
                <c:pt idx="477">
                  <c:v>0.63</c:v>
                </c:pt>
                <c:pt idx="478">
                  <c:v>0.6</c:v>
                </c:pt>
                <c:pt idx="479">
                  <c:v>0.6</c:v>
                </c:pt>
                <c:pt idx="480">
                  <c:v>0.61</c:v>
                </c:pt>
                <c:pt idx="481">
                  <c:v>0.6</c:v>
                </c:pt>
                <c:pt idx="482">
                  <c:v>0.6</c:v>
                </c:pt>
                <c:pt idx="483">
                  <c:v>0.6</c:v>
                </c:pt>
                <c:pt idx="484">
                  <c:v>0.6</c:v>
                </c:pt>
                <c:pt idx="485">
                  <c:v>0.6</c:v>
                </c:pt>
                <c:pt idx="486">
                  <c:v>0.6</c:v>
                </c:pt>
                <c:pt idx="487">
                  <c:v>0.63</c:v>
                </c:pt>
                <c:pt idx="488">
                  <c:v>0.6</c:v>
                </c:pt>
                <c:pt idx="489">
                  <c:v>0.61</c:v>
                </c:pt>
                <c:pt idx="490">
                  <c:v>0.64</c:v>
                </c:pt>
                <c:pt idx="491">
                  <c:v>0.63</c:v>
                </c:pt>
                <c:pt idx="492">
                  <c:v>0.61</c:v>
                </c:pt>
                <c:pt idx="493">
                  <c:v>0.6</c:v>
                </c:pt>
                <c:pt idx="494">
                  <c:v>0.59</c:v>
                </c:pt>
                <c:pt idx="495">
                  <c:v>0.59</c:v>
                </c:pt>
                <c:pt idx="496">
                  <c:v>0.54</c:v>
                </c:pt>
                <c:pt idx="497">
                  <c:v>0.56999999999999995</c:v>
                </c:pt>
                <c:pt idx="498">
                  <c:v>0.55000000000000004</c:v>
                </c:pt>
                <c:pt idx="499">
                  <c:v>0.55000000000000004</c:v>
                </c:pt>
                <c:pt idx="500">
                  <c:v>0.55000000000000004</c:v>
                </c:pt>
                <c:pt idx="501">
                  <c:v>0.56000000000000005</c:v>
                </c:pt>
                <c:pt idx="502">
                  <c:v>0.55000000000000004</c:v>
                </c:pt>
                <c:pt idx="503">
                  <c:v>0.55000000000000004</c:v>
                </c:pt>
                <c:pt idx="504">
                  <c:v>0.55000000000000004</c:v>
                </c:pt>
                <c:pt idx="505">
                  <c:v>0.55000000000000004</c:v>
                </c:pt>
                <c:pt idx="506">
                  <c:v>0.55000000000000004</c:v>
                </c:pt>
                <c:pt idx="507">
                  <c:v>0.38</c:v>
                </c:pt>
                <c:pt idx="508">
                  <c:v>0.41499999999999998</c:v>
                </c:pt>
                <c:pt idx="509">
                  <c:v>0.44500000000000001</c:v>
                </c:pt>
                <c:pt idx="510">
                  <c:v>0.42499999999999999</c:v>
                </c:pt>
                <c:pt idx="511">
                  <c:v>0.43</c:v>
                </c:pt>
                <c:pt idx="512">
                  <c:v>0.42</c:v>
                </c:pt>
                <c:pt idx="513">
                  <c:v>0.4</c:v>
                </c:pt>
                <c:pt idx="514">
                  <c:v>0.41</c:v>
                </c:pt>
                <c:pt idx="515">
                  <c:v>0.39500000000000002</c:v>
                </c:pt>
                <c:pt idx="516">
                  <c:v>0.39</c:v>
                </c:pt>
                <c:pt idx="517">
                  <c:v>0.42</c:v>
                </c:pt>
                <c:pt idx="518">
                  <c:v>0.43</c:v>
                </c:pt>
                <c:pt idx="519">
                  <c:v>0.43</c:v>
                </c:pt>
                <c:pt idx="520">
                  <c:v>0.41</c:v>
                </c:pt>
                <c:pt idx="521">
                  <c:v>0.42</c:v>
                </c:pt>
                <c:pt idx="522">
                  <c:v>0.435</c:v>
                </c:pt>
                <c:pt idx="523">
                  <c:v>0.42499999999999999</c:v>
                </c:pt>
                <c:pt idx="524">
                  <c:v>0.53</c:v>
                </c:pt>
                <c:pt idx="525">
                  <c:v>0.5</c:v>
                </c:pt>
                <c:pt idx="526">
                  <c:v>0.51</c:v>
                </c:pt>
                <c:pt idx="527">
                  <c:v>0.5</c:v>
                </c:pt>
                <c:pt idx="528">
                  <c:v>0.52</c:v>
                </c:pt>
                <c:pt idx="529">
                  <c:v>0.53</c:v>
                </c:pt>
                <c:pt idx="530">
                  <c:v>0.52</c:v>
                </c:pt>
                <c:pt idx="531">
                  <c:v>0.53</c:v>
                </c:pt>
                <c:pt idx="532">
                  <c:v>0.51</c:v>
                </c:pt>
                <c:pt idx="533">
                  <c:v>0.56000000000000005</c:v>
                </c:pt>
                <c:pt idx="534">
                  <c:v>0.67</c:v>
                </c:pt>
                <c:pt idx="535">
                  <c:v>0.7</c:v>
                </c:pt>
                <c:pt idx="536">
                  <c:v>0.7</c:v>
                </c:pt>
                <c:pt idx="537">
                  <c:v>0.65</c:v>
                </c:pt>
                <c:pt idx="538">
                  <c:v>0.6</c:v>
                </c:pt>
                <c:pt idx="539">
                  <c:v>0.64</c:v>
                </c:pt>
                <c:pt idx="540">
                  <c:v>0.67</c:v>
                </c:pt>
                <c:pt idx="541">
                  <c:v>0.71</c:v>
                </c:pt>
                <c:pt idx="542">
                  <c:v>0.69</c:v>
                </c:pt>
                <c:pt idx="543">
                  <c:v>0.69</c:v>
                </c:pt>
                <c:pt idx="544">
                  <c:v>0.69</c:v>
                </c:pt>
                <c:pt idx="545">
                  <c:v>0.72</c:v>
                </c:pt>
                <c:pt idx="546">
                  <c:v>0.69</c:v>
                </c:pt>
                <c:pt idx="547">
                  <c:v>0.7</c:v>
                </c:pt>
                <c:pt idx="548">
                  <c:v>0.72</c:v>
                </c:pt>
                <c:pt idx="549">
                  <c:v>0.74</c:v>
                </c:pt>
                <c:pt idx="550">
                  <c:v>0.75</c:v>
                </c:pt>
                <c:pt idx="551">
                  <c:v>0.74</c:v>
                </c:pt>
                <c:pt idx="552">
                  <c:v>0.72</c:v>
                </c:pt>
                <c:pt idx="553">
                  <c:v>0.7</c:v>
                </c:pt>
                <c:pt idx="554">
                  <c:v>0.69</c:v>
                </c:pt>
                <c:pt idx="555">
                  <c:v>0.64</c:v>
                </c:pt>
                <c:pt idx="556">
                  <c:v>0.62</c:v>
                </c:pt>
                <c:pt idx="557">
                  <c:v>0.59</c:v>
                </c:pt>
                <c:pt idx="558">
                  <c:v>0.55000000000000004</c:v>
                </c:pt>
                <c:pt idx="559">
                  <c:v>0.57999999999999996</c:v>
                </c:pt>
                <c:pt idx="560">
                  <c:v>0.55000000000000004</c:v>
                </c:pt>
                <c:pt idx="561">
                  <c:v>0.55000000000000004</c:v>
                </c:pt>
                <c:pt idx="562">
                  <c:v>0.54</c:v>
                </c:pt>
                <c:pt idx="563">
                  <c:v>0.54</c:v>
                </c:pt>
                <c:pt idx="564">
                  <c:v>0.52</c:v>
                </c:pt>
                <c:pt idx="565">
                  <c:v>0.55000000000000004</c:v>
                </c:pt>
                <c:pt idx="566">
                  <c:v>0.53</c:v>
                </c:pt>
                <c:pt idx="567">
                  <c:v>0.56999999999999995</c:v>
                </c:pt>
                <c:pt idx="568">
                  <c:v>0.64</c:v>
                </c:pt>
                <c:pt idx="569">
                  <c:v>0.63</c:v>
                </c:pt>
                <c:pt idx="570">
                  <c:v>0.6</c:v>
                </c:pt>
                <c:pt idx="571">
                  <c:v>0.59</c:v>
                </c:pt>
                <c:pt idx="572">
                  <c:v>0.56999999999999995</c:v>
                </c:pt>
                <c:pt idx="573">
                  <c:v>0.55000000000000004</c:v>
                </c:pt>
                <c:pt idx="574">
                  <c:v>0.59</c:v>
                </c:pt>
                <c:pt idx="575">
                  <c:v>0.54</c:v>
                </c:pt>
                <c:pt idx="576">
                  <c:v>0.52</c:v>
                </c:pt>
                <c:pt idx="577">
                  <c:v>0.51</c:v>
                </c:pt>
                <c:pt idx="578">
                  <c:v>0.53</c:v>
                </c:pt>
                <c:pt idx="579">
                  <c:v>0.56000000000000005</c:v>
                </c:pt>
                <c:pt idx="580">
                  <c:v>0.53</c:v>
                </c:pt>
                <c:pt idx="581">
                  <c:v>0.49</c:v>
                </c:pt>
                <c:pt idx="582">
                  <c:v>0.46500000000000002</c:v>
                </c:pt>
                <c:pt idx="583">
                  <c:v>0.5</c:v>
                </c:pt>
                <c:pt idx="584">
                  <c:v>0.51</c:v>
                </c:pt>
                <c:pt idx="585">
                  <c:v>0.41</c:v>
                </c:pt>
                <c:pt idx="586">
                  <c:v>0.46500000000000002</c:v>
                </c:pt>
                <c:pt idx="587">
                  <c:v>0.42</c:v>
                </c:pt>
                <c:pt idx="588">
                  <c:v>0.41</c:v>
                </c:pt>
                <c:pt idx="589">
                  <c:v>0.38</c:v>
                </c:pt>
                <c:pt idx="590">
                  <c:v>0.43</c:v>
                </c:pt>
                <c:pt idx="591">
                  <c:v>0.41499999999999998</c:v>
                </c:pt>
                <c:pt idx="592">
                  <c:v>0.38</c:v>
                </c:pt>
                <c:pt idx="593">
                  <c:v>0.39</c:v>
                </c:pt>
                <c:pt idx="594">
                  <c:v>0.4</c:v>
                </c:pt>
                <c:pt idx="595">
                  <c:v>0.42</c:v>
                </c:pt>
                <c:pt idx="596">
                  <c:v>0.42</c:v>
                </c:pt>
                <c:pt idx="597">
                  <c:v>0.41499999999999998</c:v>
                </c:pt>
              </c:numCache>
            </c:numRef>
          </c:val>
          <c:smooth val="0"/>
          <c:extLst>
            <c:ext xmlns:c16="http://schemas.microsoft.com/office/drawing/2014/chart" uri="{C3380CC4-5D6E-409C-BE32-E72D297353CC}">
              <c16:uniqueId val="{00000000-612C-4841-AC70-8C4AAAD0192A}"/>
            </c:ext>
          </c:extLst>
        </c:ser>
        <c:dLbls>
          <c:showLegendKey val="0"/>
          <c:showVal val="0"/>
          <c:showCatName val="0"/>
          <c:showSerName val="0"/>
          <c:showPercent val="0"/>
          <c:showBubbleSize val="0"/>
        </c:dLbls>
        <c:smooth val="0"/>
        <c:axId val="654947232"/>
        <c:axId val="497097840"/>
      </c:lineChart>
      <c:dateAx>
        <c:axId val="654947232"/>
        <c:scaling>
          <c:orientation val="minMax"/>
        </c:scaling>
        <c:delete val="0"/>
        <c:axPos val="b"/>
        <c:numFmt formatCode="yyyy/mm"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97097840"/>
        <c:crosses val="autoZero"/>
        <c:auto val="1"/>
        <c:lblOffset val="100"/>
        <c:baseTimeUnit val="days"/>
      </c:dateAx>
      <c:valAx>
        <c:axId val="49709784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54947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1850141DFE8849A07E89E40258C09F" ma:contentTypeVersion="13" ma:contentTypeDescription="Create a new document." ma:contentTypeScope="" ma:versionID="dd2ac1767e35dd395d4273b8311fb027">
  <xsd:schema xmlns:xsd="http://www.w3.org/2001/XMLSchema" xmlns:xs="http://www.w3.org/2001/XMLSchema" xmlns:p="http://schemas.microsoft.com/office/2006/metadata/properties" xmlns:ns3="da8a1101-5040-4264-9fc4-1c84ba253728" xmlns:ns4="401f920c-eedc-4d03-b047-eeea742163aa" targetNamespace="http://schemas.microsoft.com/office/2006/metadata/properties" ma:root="true" ma:fieldsID="591a6c8445f4c342cc472ab69ae611c8" ns3:_="" ns4:_="">
    <xsd:import namespace="da8a1101-5040-4264-9fc4-1c84ba253728"/>
    <xsd:import namespace="401f920c-eedc-4d03-b047-eeea74216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a1101-5040-4264-9fc4-1c84ba25372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1f920c-eedc-4d03-b047-eeea742163a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5DAD6-0F08-40F5-B97E-63971DD63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a1101-5040-4264-9fc4-1c84ba253728"/>
    <ds:schemaRef ds:uri="401f920c-eedc-4d03-b047-eeea74216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341342-DC12-4FB5-8049-B29618E46D91}">
  <ds:schemaRefs>
    <ds:schemaRef ds:uri="http://schemas.microsoft.com/sharepoint/v3/contenttype/forms"/>
  </ds:schemaRefs>
</ds:datastoreItem>
</file>

<file path=customXml/itemProps3.xml><?xml version="1.0" encoding="utf-8"?>
<ds:datastoreItem xmlns:ds="http://schemas.openxmlformats.org/officeDocument/2006/customXml" ds:itemID="{D26A4D6A-9558-4820-AC86-37CDD620BF6A}">
  <ds:schemaRefs>
    <ds:schemaRef ds:uri="da8a1101-5040-4264-9fc4-1c84ba253728"/>
    <ds:schemaRef ds:uri="http://schemas.openxmlformats.org/package/2006/metadata/core-properties"/>
    <ds:schemaRef ds:uri="401f920c-eedc-4d03-b047-eeea742163aa"/>
    <ds:schemaRef ds:uri="http://schemas.microsoft.com/office/2006/documentManagement/types"/>
    <ds:schemaRef ds:uri="http://purl.org/dc/term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1F8861C-75A6-4336-BDC9-9A720B5B8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4974</Words>
  <Characters>28356</Characters>
  <Application>Microsoft Office Word</Application>
  <DocSecurity>4</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Pavandeep Singh Sehra</dc:creator>
  <cp:keywords/>
  <dc:description/>
  <cp:lastModifiedBy>Martinali, Sara</cp:lastModifiedBy>
  <cp:revision>2</cp:revision>
  <dcterms:created xsi:type="dcterms:W3CDTF">2021-03-03T18:34:00Z</dcterms:created>
  <dcterms:modified xsi:type="dcterms:W3CDTF">2021-03-03T18:34:00Z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0x010100341850141DFE8849A07E89E40258C09F</vt:lpwstr>
  </property>
</Properties>
</file>