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13BD6" w14:textId="5B9CF127" w:rsidR="00F56085" w:rsidRPr="00960497" w:rsidRDefault="000D1556" w:rsidP="00C02410">
      <w:pPr>
        <w:pBdr>
          <w:bottom w:val="single" w:sz="18" w:space="1" w:color="auto"/>
        </w:pBdr>
        <w:tabs>
          <w:tab w:val="left" w:pos="-1440"/>
          <w:tab w:val="left" w:pos="-720"/>
          <w:tab w:val="left" w:pos="1"/>
        </w:tabs>
        <w:jc w:val="both"/>
        <w:rPr>
          <w:rFonts w:ascii="Arial" w:hAnsi="Arial"/>
          <w:b/>
          <w:noProof/>
          <w:sz w:val="24"/>
          <w:lang w:val="en-GB" w:eastAsia="en-CA"/>
        </w:rPr>
      </w:pPr>
      <w:r w:rsidRPr="000D1556">
        <w:rPr>
          <w:rFonts w:ascii="Arial" w:hAnsi="Arial"/>
          <w:b/>
          <w:noProof/>
          <w:sz w:val="24"/>
          <w:lang w:val="en-CA" w:eastAsia="en-CA"/>
        </w:rPr>
        <w:drawing>
          <wp:inline distT="0" distB="0" distL="0" distR="0" wp14:anchorId="34893D83" wp14:editId="10099B7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8EFDCE4" w:rsidR="00C02410" w:rsidRPr="00960497" w:rsidRDefault="000D1556" w:rsidP="00C02410">
      <w:pPr>
        <w:pStyle w:val="ProductNumber"/>
        <w:rPr>
          <w:lang w:val="en-GB"/>
        </w:rPr>
      </w:pPr>
      <w:r>
        <w:rPr>
          <w:lang w:val="en-GB"/>
        </w:rPr>
        <w:t>9B21B003</w:t>
      </w:r>
    </w:p>
    <w:p w14:paraId="4E057522" w14:textId="7A113CB1" w:rsidR="00D75295" w:rsidRPr="00960497" w:rsidRDefault="00D75295" w:rsidP="00D75295">
      <w:pPr>
        <w:jc w:val="right"/>
        <w:rPr>
          <w:rFonts w:ascii="Arial" w:hAnsi="Arial"/>
          <w:b/>
          <w:lang w:val="en-GB"/>
        </w:rPr>
      </w:pPr>
    </w:p>
    <w:p w14:paraId="02524312" w14:textId="77777777" w:rsidR="001901C0" w:rsidRPr="00960497" w:rsidRDefault="001901C0" w:rsidP="00D75295">
      <w:pPr>
        <w:jc w:val="right"/>
        <w:rPr>
          <w:rFonts w:ascii="Arial" w:hAnsi="Arial"/>
          <w:b/>
          <w:lang w:val="en-GB"/>
        </w:rPr>
      </w:pPr>
    </w:p>
    <w:p w14:paraId="2F03D26A" w14:textId="2A2BA856" w:rsidR="00013360" w:rsidRPr="00960497" w:rsidRDefault="00F56085" w:rsidP="00013360">
      <w:pPr>
        <w:pStyle w:val="CaseTitle"/>
        <w:spacing w:after="0" w:line="240" w:lineRule="auto"/>
        <w:rPr>
          <w:sz w:val="20"/>
          <w:szCs w:val="20"/>
          <w:lang w:val="en-GB"/>
        </w:rPr>
      </w:pPr>
      <w:r w:rsidRPr="00960497">
        <w:rPr>
          <w:lang w:val="en-GB"/>
        </w:rPr>
        <w:t>PROJECT SPARROW: APPLYING COSTING METHODS</w:t>
      </w:r>
    </w:p>
    <w:p w14:paraId="40ABF6FD" w14:textId="77777777" w:rsidR="00CA3976" w:rsidRPr="00960497" w:rsidRDefault="00CA3976" w:rsidP="00013360">
      <w:pPr>
        <w:pStyle w:val="CaseTitle"/>
        <w:spacing w:after="0" w:line="240" w:lineRule="auto"/>
        <w:rPr>
          <w:sz w:val="20"/>
          <w:szCs w:val="20"/>
          <w:lang w:val="en-GB"/>
        </w:rPr>
      </w:pPr>
    </w:p>
    <w:p w14:paraId="202F1085" w14:textId="77777777" w:rsidR="00013360" w:rsidRPr="00960497" w:rsidRDefault="00013360" w:rsidP="00013360">
      <w:pPr>
        <w:pStyle w:val="CaseTitle"/>
        <w:spacing w:after="0" w:line="240" w:lineRule="auto"/>
        <w:rPr>
          <w:sz w:val="20"/>
          <w:szCs w:val="20"/>
          <w:lang w:val="en-GB"/>
        </w:rPr>
      </w:pPr>
    </w:p>
    <w:p w14:paraId="58B0C73F" w14:textId="324FA253" w:rsidR="00086B26" w:rsidRPr="00960497" w:rsidRDefault="00F56085" w:rsidP="00086B26">
      <w:pPr>
        <w:pStyle w:val="StyleCopyrightStatementAfter0ptBottomSinglesolidline1"/>
        <w:rPr>
          <w:lang w:val="en-GB"/>
        </w:rPr>
      </w:pPr>
      <w:r w:rsidRPr="00960497">
        <w:rPr>
          <w:lang w:val="en-GB"/>
        </w:rPr>
        <w:t xml:space="preserve">Kaitlyn Oh </w:t>
      </w:r>
      <w:r w:rsidR="00086B26" w:rsidRPr="00960497">
        <w:rPr>
          <w:lang w:val="en-GB"/>
        </w:rPr>
        <w:t xml:space="preserve">wrote this case </w:t>
      </w:r>
      <w:r w:rsidRPr="00960497">
        <w:rPr>
          <w:lang w:val="en-GB"/>
        </w:rPr>
        <w:t xml:space="preserve">under the supervision of Ian Dunn </w:t>
      </w:r>
      <w:r w:rsidR="00086B26" w:rsidRPr="00960497">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CB7A030" w:rsidR="00086B26" w:rsidRPr="00960497" w:rsidRDefault="00086B26" w:rsidP="00086B26">
      <w:pPr>
        <w:pStyle w:val="StyleCopyrightStatementAfter0ptBottomSinglesolidline1"/>
        <w:rPr>
          <w:lang w:val="en-GB"/>
        </w:rPr>
      </w:pPr>
    </w:p>
    <w:p w14:paraId="356C4BA3" w14:textId="77777777" w:rsidR="000D1556" w:rsidRDefault="000D1556" w:rsidP="000D1556">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6A70581" w14:textId="77777777" w:rsidR="000D1556" w:rsidRDefault="000D1556" w:rsidP="000D1556">
      <w:pPr>
        <w:pStyle w:val="StyleStyleCopyrightStatementAfter0ptBottomSinglesolid"/>
        <w:rPr>
          <w:rFonts w:cs="Arial"/>
          <w:iCs w:val="0"/>
          <w:color w:val="auto"/>
          <w:szCs w:val="16"/>
        </w:rPr>
      </w:pPr>
    </w:p>
    <w:p w14:paraId="3922E14F" w14:textId="4B9A6981" w:rsidR="00751E0B" w:rsidRPr="000D1556" w:rsidRDefault="000D1556"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960497">
        <w:rPr>
          <w:rFonts w:cs="Arial"/>
          <w:iCs w:val="0"/>
          <w:color w:val="auto"/>
          <w:szCs w:val="16"/>
          <w:lang w:val="en-GB"/>
        </w:rPr>
        <w:tab/>
      </w:r>
      <w:r w:rsidR="00F56085" w:rsidRPr="00960497">
        <w:rPr>
          <w:rFonts w:cs="Arial"/>
          <w:iCs w:val="0"/>
          <w:color w:val="auto"/>
          <w:szCs w:val="16"/>
          <w:lang w:val="en-GB"/>
        </w:rPr>
        <w:t>Version: 2021-0</w:t>
      </w:r>
      <w:r>
        <w:rPr>
          <w:rFonts w:cs="Arial"/>
          <w:iCs w:val="0"/>
          <w:color w:val="auto"/>
          <w:szCs w:val="16"/>
          <w:lang w:val="en-GB"/>
        </w:rPr>
        <w:t>3</w:t>
      </w:r>
      <w:r w:rsidR="00F56085" w:rsidRPr="00960497">
        <w:rPr>
          <w:rFonts w:cs="Arial"/>
          <w:iCs w:val="0"/>
          <w:color w:val="auto"/>
          <w:szCs w:val="16"/>
          <w:lang w:val="en-GB"/>
        </w:rPr>
        <w:t>-</w:t>
      </w:r>
      <w:r>
        <w:rPr>
          <w:rFonts w:cs="Arial"/>
          <w:iCs w:val="0"/>
          <w:color w:val="auto"/>
          <w:szCs w:val="16"/>
          <w:lang w:val="en-GB"/>
        </w:rPr>
        <w:t>01</w:t>
      </w:r>
    </w:p>
    <w:p w14:paraId="0A2A54E4" w14:textId="629ACACB" w:rsidR="00751E0B" w:rsidRPr="00960497" w:rsidRDefault="00751E0B" w:rsidP="00751E0B">
      <w:pPr>
        <w:pStyle w:val="StyleCopyrightStatementAfter0ptBottomSinglesolidline1"/>
        <w:rPr>
          <w:rFonts w:ascii="Times New Roman" w:hAnsi="Times New Roman"/>
          <w:sz w:val="20"/>
          <w:lang w:val="en-GB"/>
        </w:rPr>
      </w:pPr>
    </w:p>
    <w:p w14:paraId="6762BE70" w14:textId="77777777" w:rsidR="00F56085" w:rsidRPr="00960497" w:rsidRDefault="00F56085" w:rsidP="00751E0B">
      <w:pPr>
        <w:pStyle w:val="StyleCopyrightStatementAfter0ptBottomSinglesolidline1"/>
        <w:rPr>
          <w:rFonts w:ascii="Times New Roman" w:hAnsi="Times New Roman"/>
          <w:sz w:val="20"/>
          <w:lang w:val="en-GB"/>
        </w:rPr>
      </w:pPr>
    </w:p>
    <w:p w14:paraId="2F5CD99D" w14:textId="7A287834" w:rsidR="00F56085" w:rsidRPr="00960497" w:rsidRDefault="00F56085" w:rsidP="00F56085">
      <w:pPr>
        <w:pStyle w:val="BodyTextMain"/>
        <w:rPr>
          <w:lang w:val="en-GB"/>
        </w:rPr>
      </w:pPr>
      <w:r w:rsidRPr="00960497">
        <w:rPr>
          <w:lang w:val="en-GB"/>
        </w:rPr>
        <w:t>It was August 20, 2019, and Emily Baumberg, a newly</w:t>
      </w:r>
      <w:r w:rsidR="0041396A" w:rsidRPr="00960497">
        <w:rPr>
          <w:lang w:val="en-GB"/>
        </w:rPr>
        <w:t xml:space="preserve"> </w:t>
      </w:r>
      <w:r w:rsidRPr="00960497">
        <w:rPr>
          <w:lang w:val="en-GB"/>
        </w:rPr>
        <w:t>promoted project manager at Roland Berger, had just settled into her seat in the conference room. Baumberg was reflecting on her four-year career at the global management consulting firm when she heard a knock on the door. She was currently staffed in Houston, Texas</w:t>
      </w:r>
      <w:r w:rsidR="0041396A" w:rsidRPr="00960497">
        <w:rPr>
          <w:lang w:val="en-GB"/>
        </w:rPr>
        <w:t>,</w:t>
      </w:r>
      <w:r w:rsidRPr="00960497">
        <w:rPr>
          <w:lang w:val="en-GB"/>
        </w:rPr>
        <w:t xml:space="preserve"> on a three-month project with Sparrow </w:t>
      </w:r>
      <w:r w:rsidR="00AA59A2">
        <w:rPr>
          <w:lang w:val="en-GB"/>
        </w:rPr>
        <w:t>GmbH</w:t>
      </w:r>
      <w:r w:rsidRPr="00960497">
        <w:rPr>
          <w:rStyle w:val="FootnoteReference"/>
          <w:lang w:val="en-GB"/>
        </w:rPr>
        <w:footnoteReference w:id="1"/>
      </w:r>
      <w:r w:rsidRPr="00960497">
        <w:rPr>
          <w:lang w:val="en-GB"/>
        </w:rPr>
        <w:t xml:space="preserve"> (Sparrow), a small-scale chemical manufacturer. The door creaked open</w:t>
      </w:r>
      <w:r w:rsidR="0041396A" w:rsidRPr="00960497">
        <w:rPr>
          <w:lang w:val="en-GB"/>
        </w:rPr>
        <w:t>,</w:t>
      </w:r>
      <w:r w:rsidRPr="00960497">
        <w:rPr>
          <w:lang w:val="en-GB"/>
        </w:rPr>
        <w:t xml:space="preserve"> and Sparrow’s pricing manager </w:t>
      </w:r>
      <w:r w:rsidR="008902EA" w:rsidRPr="00960497">
        <w:rPr>
          <w:lang w:val="en-GB"/>
        </w:rPr>
        <w:t xml:space="preserve">entered </w:t>
      </w:r>
      <w:r w:rsidRPr="00960497">
        <w:rPr>
          <w:lang w:val="en-GB"/>
        </w:rPr>
        <w:t xml:space="preserve">with a warm cup of coffee for Baumberg. The pricing manager </w:t>
      </w:r>
      <w:r w:rsidR="008902EA" w:rsidRPr="00960497">
        <w:rPr>
          <w:lang w:val="en-GB"/>
        </w:rPr>
        <w:t xml:space="preserve">also requested </w:t>
      </w:r>
      <w:r w:rsidRPr="00960497">
        <w:rPr>
          <w:lang w:val="en-GB"/>
        </w:rPr>
        <w:t>a small favour. Although Baumberg and her team were focused on optimizing costs at Sparrow’s production facilities, the pricing manager had heard that the team was thinking about Sparrow’s cost structure</w:t>
      </w:r>
      <w:r w:rsidR="008902EA" w:rsidRPr="00960497">
        <w:rPr>
          <w:lang w:val="en-GB"/>
        </w:rPr>
        <w:t xml:space="preserve"> in a new way</w:t>
      </w:r>
      <w:r w:rsidRPr="00960497">
        <w:rPr>
          <w:lang w:val="en-GB"/>
        </w:rPr>
        <w:t>. He thought this knowledge could help him to determine a more competitive bid price for Sparrow’s chemicals contract with Impendium Chemicals</w:t>
      </w:r>
      <w:r w:rsidR="001273AD">
        <w:rPr>
          <w:lang w:val="en-GB"/>
        </w:rPr>
        <w:t xml:space="preserve"> </w:t>
      </w:r>
      <w:r w:rsidR="001273AD" w:rsidRPr="00960497">
        <w:rPr>
          <w:lang w:val="en-GB"/>
        </w:rPr>
        <w:t>(Impendium)</w:t>
      </w:r>
      <w:r w:rsidRPr="00960497">
        <w:rPr>
          <w:lang w:val="en-GB"/>
        </w:rPr>
        <w:t>, one of Sparrow’s top customers. Baumberg chatted with the pricing manager as they sipped their coffee</w:t>
      </w:r>
      <w:r w:rsidR="00DF498A">
        <w:rPr>
          <w:lang w:val="en-GB"/>
        </w:rPr>
        <w:t>,</w:t>
      </w:r>
      <w:r w:rsidRPr="00960497">
        <w:rPr>
          <w:lang w:val="en-GB"/>
        </w:rPr>
        <w:t xml:space="preserve"> and</w:t>
      </w:r>
      <w:r w:rsidR="00DF498A">
        <w:rPr>
          <w:lang w:val="en-GB"/>
        </w:rPr>
        <w:t xml:space="preserve"> she</w:t>
      </w:r>
      <w:r w:rsidRPr="00960497">
        <w:rPr>
          <w:lang w:val="en-GB"/>
        </w:rPr>
        <w:t xml:space="preserve"> agreed to provide him with a winning pricing strategy by the end of the week.</w:t>
      </w:r>
    </w:p>
    <w:p w14:paraId="18151AD4" w14:textId="77777777" w:rsidR="00F56085" w:rsidRPr="00960497" w:rsidRDefault="00F56085" w:rsidP="00F56085">
      <w:pPr>
        <w:pStyle w:val="BodyTextMain"/>
        <w:rPr>
          <w:lang w:val="en-GB"/>
        </w:rPr>
      </w:pPr>
    </w:p>
    <w:p w14:paraId="7CB2F2BB" w14:textId="77777777" w:rsidR="00F56085" w:rsidRPr="00960497" w:rsidRDefault="00F56085" w:rsidP="00F56085">
      <w:pPr>
        <w:pStyle w:val="BodyTextMain"/>
        <w:rPr>
          <w:lang w:val="en-GB"/>
        </w:rPr>
      </w:pPr>
    </w:p>
    <w:p w14:paraId="7816E737" w14:textId="77777777" w:rsidR="00F56085" w:rsidRPr="00960497" w:rsidRDefault="00F56085" w:rsidP="00F56085">
      <w:pPr>
        <w:pStyle w:val="Casehead1"/>
        <w:rPr>
          <w:lang w:val="en-GB"/>
        </w:rPr>
      </w:pPr>
      <w:r w:rsidRPr="00960497">
        <w:rPr>
          <w:lang w:val="en-GB"/>
        </w:rPr>
        <w:t>Sparrow GMBH</w:t>
      </w:r>
    </w:p>
    <w:p w14:paraId="21B12FC7" w14:textId="77777777" w:rsidR="00F56085" w:rsidRPr="00960497" w:rsidRDefault="00F56085" w:rsidP="00F56085">
      <w:pPr>
        <w:pStyle w:val="Casehead1"/>
        <w:rPr>
          <w:lang w:val="en-GB"/>
        </w:rPr>
      </w:pPr>
    </w:p>
    <w:p w14:paraId="2582B671" w14:textId="23B5A69E" w:rsidR="00F56085" w:rsidRPr="00960497" w:rsidRDefault="00F56085" w:rsidP="00F56085">
      <w:pPr>
        <w:pStyle w:val="BodyTextMain"/>
        <w:rPr>
          <w:lang w:val="en-GB"/>
        </w:rPr>
      </w:pPr>
      <w:r w:rsidRPr="00960497">
        <w:rPr>
          <w:lang w:val="en-GB"/>
        </w:rPr>
        <w:t xml:space="preserve">Sparrow was a </w:t>
      </w:r>
      <w:r w:rsidR="00B33D5C">
        <w:rPr>
          <w:lang w:val="en-GB"/>
        </w:rPr>
        <w:t>chemical</w:t>
      </w:r>
      <w:r w:rsidR="009003AE">
        <w:rPr>
          <w:lang w:val="en-GB"/>
        </w:rPr>
        <w:t xml:space="preserve"> </w:t>
      </w:r>
      <w:r w:rsidRPr="00960497">
        <w:rPr>
          <w:lang w:val="en-GB"/>
        </w:rPr>
        <w:t xml:space="preserve">manufacturer </w:t>
      </w:r>
      <w:r w:rsidR="009003AE">
        <w:rPr>
          <w:lang w:val="en-GB"/>
        </w:rPr>
        <w:t>based in Germany</w:t>
      </w:r>
      <w:r w:rsidRPr="00960497">
        <w:rPr>
          <w:lang w:val="en-GB"/>
        </w:rPr>
        <w:t>. The company had two main product categories: basic chemicals and specialty chemicals. Basic chemicals were commodity chemicals derived from oil and petroleum by</w:t>
      </w:r>
      <w:r w:rsidR="0041396A" w:rsidRPr="00960497">
        <w:rPr>
          <w:lang w:val="en-GB"/>
        </w:rPr>
        <w:t>-</w:t>
      </w:r>
      <w:r w:rsidRPr="00960497">
        <w:rPr>
          <w:lang w:val="en-GB"/>
        </w:rPr>
        <w:t>products. These products were manufactured in large volumes</w:t>
      </w:r>
      <w:r w:rsidR="00713041">
        <w:rPr>
          <w:lang w:val="en-GB"/>
        </w:rPr>
        <w:t>,</w:t>
      </w:r>
      <w:r w:rsidRPr="00960497">
        <w:rPr>
          <w:lang w:val="en-GB"/>
        </w:rPr>
        <w:t xml:space="preserve"> with minimal product differentiation from producer to producer. Specialty chemicals were hardened or cured polymers, similar to plastic. The specialty chemical division manufactured unique products based on Sparrow’s patented manufacturing processes and formulations. Sparrow’s basic and specialty chemical divisions were not related to each other.</w:t>
      </w:r>
    </w:p>
    <w:p w14:paraId="229DDC07" w14:textId="77777777" w:rsidR="00F56085" w:rsidRPr="00960497" w:rsidRDefault="00F56085" w:rsidP="00F56085">
      <w:pPr>
        <w:pStyle w:val="BodyTextMain"/>
        <w:rPr>
          <w:lang w:val="en-GB"/>
        </w:rPr>
      </w:pPr>
    </w:p>
    <w:p w14:paraId="1D0EBD41" w14:textId="68B508AD" w:rsidR="00F56085" w:rsidRPr="00960497" w:rsidRDefault="00F56085" w:rsidP="00F56085">
      <w:pPr>
        <w:pStyle w:val="BodyTextMain"/>
        <w:rPr>
          <w:lang w:val="en-GB"/>
        </w:rPr>
      </w:pPr>
      <w:r w:rsidRPr="00960497">
        <w:rPr>
          <w:lang w:val="en-GB"/>
        </w:rPr>
        <w:t>Sparrow currently had two manufacturing facilities: one located in the United States and one located in Germany. The German facility manufactured both basic and specialty chemicals</w:t>
      </w:r>
      <w:r w:rsidR="0041396A" w:rsidRPr="00960497">
        <w:rPr>
          <w:lang w:val="en-GB"/>
        </w:rPr>
        <w:t>,</w:t>
      </w:r>
      <w:r w:rsidRPr="00960497">
        <w:rPr>
          <w:lang w:val="en-GB"/>
        </w:rPr>
        <w:t xml:space="preserve"> while the </w:t>
      </w:r>
      <w:r w:rsidR="001273AD">
        <w:rPr>
          <w:lang w:val="en-GB"/>
        </w:rPr>
        <w:t>US</w:t>
      </w:r>
      <w:r w:rsidR="001273AD" w:rsidRPr="00960497">
        <w:rPr>
          <w:lang w:val="en-GB"/>
        </w:rPr>
        <w:t xml:space="preserve"> </w:t>
      </w:r>
      <w:r w:rsidRPr="00960497">
        <w:rPr>
          <w:lang w:val="en-GB"/>
        </w:rPr>
        <w:t>plant manufactured only basic chemicals.</w:t>
      </w:r>
    </w:p>
    <w:p w14:paraId="597F2FBE" w14:textId="77777777" w:rsidR="00F56085" w:rsidRPr="00960497" w:rsidRDefault="00F56085" w:rsidP="00F56085">
      <w:pPr>
        <w:pStyle w:val="BodyTextMain"/>
        <w:rPr>
          <w:lang w:val="en-GB"/>
        </w:rPr>
      </w:pPr>
    </w:p>
    <w:p w14:paraId="7F5770A6" w14:textId="77777777" w:rsidR="00F56085" w:rsidRPr="00960497" w:rsidRDefault="00F56085" w:rsidP="00F56085">
      <w:pPr>
        <w:pStyle w:val="BodyTextMain"/>
        <w:rPr>
          <w:lang w:val="en-GB"/>
        </w:rPr>
      </w:pPr>
    </w:p>
    <w:p w14:paraId="58898E55" w14:textId="041AB3C9" w:rsidR="00F56085" w:rsidRPr="00960497" w:rsidRDefault="00315536" w:rsidP="00FE5B0F">
      <w:pPr>
        <w:pStyle w:val="Casehead1"/>
        <w:keepNext/>
        <w:rPr>
          <w:lang w:val="en-GB"/>
        </w:rPr>
      </w:pPr>
      <w:r w:rsidRPr="00960497">
        <w:rPr>
          <w:lang w:val="en-GB"/>
        </w:rPr>
        <w:lastRenderedPageBreak/>
        <w:t>Sparrow’s</w:t>
      </w:r>
      <w:r w:rsidR="0041396A" w:rsidRPr="00960497">
        <w:rPr>
          <w:lang w:val="en-GB"/>
        </w:rPr>
        <w:t xml:space="preserve"> </w:t>
      </w:r>
      <w:r w:rsidRPr="00960497">
        <w:rPr>
          <w:lang w:val="en-GB"/>
        </w:rPr>
        <w:t>pricing strategy</w:t>
      </w:r>
      <w:r w:rsidR="0041396A" w:rsidRPr="00960497">
        <w:rPr>
          <w:lang w:val="en-GB"/>
        </w:rPr>
        <w:t xml:space="preserve"> </w:t>
      </w:r>
      <w:r w:rsidRPr="00960497">
        <w:rPr>
          <w:lang w:val="en-GB"/>
        </w:rPr>
        <w:t>for</w:t>
      </w:r>
      <w:r w:rsidR="0041396A" w:rsidRPr="00960497">
        <w:rPr>
          <w:lang w:val="en-GB"/>
        </w:rPr>
        <w:t xml:space="preserve"> </w:t>
      </w:r>
      <w:r w:rsidRPr="00960497">
        <w:rPr>
          <w:lang w:val="en-GB"/>
        </w:rPr>
        <w:t xml:space="preserve">the </w:t>
      </w:r>
      <w:r w:rsidR="00F56085" w:rsidRPr="00960497">
        <w:rPr>
          <w:lang w:val="en-GB"/>
        </w:rPr>
        <w:t>Impendium Bid</w:t>
      </w:r>
    </w:p>
    <w:p w14:paraId="302640CD" w14:textId="77777777" w:rsidR="00F56085" w:rsidRPr="00960497" w:rsidRDefault="00F56085" w:rsidP="00FE5B0F">
      <w:pPr>
        <w:pStyle w:val="BodyTextMain"/>
        <w:keepNext/>
        <w:rPr>
          <w:lang w:val="en-GB"/>
        </w:rPr>
      </w:pPr>
    </w:p>
    <w:p w14:paraId="4690BDDB" w14:textId="5FD2C804" w:rsidR="00F56085" w:rsidRPr="00960497" w:rsidRDefault="00F56085" w:rsidP="00FE5B0F">
      <w:pPr>
        <w:pStyle w:val="BodyTextMain"/>
        <w:keepNext/>
        <w:rPr>
          <w:lang w:val="en-GB"/>
        </w:rPr>
      </w:pPr>
      <w:r w:rsidRPr="00960497">
        <w:rPr>
          <w:lang w:val="en-GB"/>
        </w:rPr>
        <w:t>Sparrow underwent a bidding process for all of its chemical contracts. Each customer would re-evaluate its chemical pricing at least once per year and would typically choose the most price</w:t>
      </w:r>
      <w:r w:rsidR="0041396A" w:rsidRPr="00960497">
        <w:rPr>
          <w:lang w:val="en-GB"/>
        </w:rPr>
        <w:t>-</w:t>
      </w:r>
      <w:r w:rsidRPr="00960497">
        <w:rPr>
          <w:lang w:val="en-GB"/>
        </w:rPr>
        <w:t>competitive offer. Customers were generally price</w:t>
      </w:r>
      <w:r w:rsidR="0041396A" w:rsidRPr="00960497">
        <w:rPr>
          <w:lang w:val="en-GB"/>
        </w:rPr>
        <w:t>-</w:t>
      </w:r>
      <w:r w:rsidRPr="00960497">
        <w:rPr>
          <w:lang w:val="en-GB"/>
        </w:rPr>
        <w:t xml:space="preserve">conscious and switched suppliers quickly if a </w:t>
      </w:r>
      <w:r w:rsidR="00F940F7" w:rsidRPr="00960497">
        <w:rPr>
          <w:lang w:val="en-GB"/>
        </w:rPr>
        <w:t xml:space="preserve">different </w:t>
      </w:r>
      <w:r w:rsidRPr="00960497">
        <w:rPr>
          <w:lang w:val="en-GB"/>
        </w:rPr>
        <w:t>supplier offer</w:t>
      </w:r>
      <w:r w:rsidR="00F940F7" w:rsidRPr="00960497">
        <w:rPr>
          <w:lang w:val="en-GB"/>
        </w:rPr>
        <w:t>ed</w:t>
      </w:r>
      <w:r w:rsidRPr="00960497">
        <w:rPr>
          <w:lang w:val="en-GB"/>
        </w:rPr>
        <w:t xml:space="preserve"> significantly lower prices while maintaining customer service and reliability. Impendium was one of Sparrow’s largest basic chemicals customers and had purchased chemicals exclusively from Sparrow for the past two years. However, </w:t>
      </w:r>
      <w:r w:rsidR="00F940F7" w:rsidRPr="00960497">
        <w:rPr>
          <w:lang w:val="en-GB"/>
        </w:rPr>
        <w:t xml:space="preserve">in an effort to cut costs, </w:t>
      </w:r>
      <w:r w:rsidRPr="00960497">
        <w:rPr>
          <w:lang w:val="en-GB"/>
        </w:rPr>
        <w:t xml:space="preserve">Impendium’s board of directors </w:t>
      </w:r>
      <w:r w:rsidR="0041396A" w:rsidRPr="00960497">
        <w:rPr>
          <w:lang w:val="en-GB"/>
        </w:rPr>
        <w:t xml:space="preserve">was </w:t>
      </w:r>
      <w:r w:rsidRPr="00960497">
        <w:rPr>
          <w:lang w:val="en-GB"/>
        </w:rPr>
        <w:t>pressuring the company to consider multiple suppliers. The pricing manager had previously priced the contract based on the salesperson’s recommendations and his own costing estimates. However, with the additional pressure to lower prices, the pricing manager wanted to ensure that Sparrow’s pricing strategy would win the bid. To help Roland Berger develop a pricing strategy, the pricing manager had provided the monthly job cost sheet for Impendium’s order (</w:t>
      </w:r>
      <w:r w:rsidR="0041396A" w:rsidRPr="00960497">
        <w:rPr>
          <w:lang w:val="en-GB"/>
        </w:rPr>
        <w:t xml:space="preserve">see </w:t>
      </w:r>
      <w:r w:rsidRPr="00960497">
        <w:rPr>
          <w:lang w:val="en-GB"/>
        </w:rPr>
        <w:t>Exhibit 1).</w:t>
      </w:r>
    </w:p>
    <w:p w14:paraId="39D05C0A" w14:textId="77777777" w:rsidR="00F56085" w:rsidRPr="00960497" w:rsidRDefault="00F56085" w:rsidP="00F56085">
      <w:pPr>
        <w:pStyle w:val="BodyTextMain"/>
        <w:rPr>
          <w:lang w:val="en-GB"/>
        </w:rPr>
      </w:pPr>
    </w:p>
    <w:p w14:paraId="0967D18A" w14:textId="77777777" w:rsidR="00F56085" w:rsidRPr="00960497" w:rsidRDefault="00F56085" w:rsidP="00F56085">
      <w:pPr>
        <w:pStyle w:val="BodyTextMain"/>
        <w:rPr>
          <w:lang w:val="en-GB"/>
        </w:rPr>
      </w:pPr>
    </w:p>
    <w:p w14:paraId="6EDE4FCE" w14:textId="77777777" w:rsidR="00F56085" w:rsidRPr="00960497" w:rsidRDefault="00F56085" w:rsidP="00F56085">
      <w:pPr>
        <w:pStyle w:val="Casehead1"/>
        <w:rPr>
          <w:lang w:val="en-GB"/>
        </w:rPr>
      </w:pPr>
      <w:r w:rsidRPr="00960497">
        <w:rPr>
          <w:lang w:val="en-GB"/>
        </w:rPr>
        <w:t>market Dynamics</w:t>
      </w:r>
    </w:p>
    <w:p w14:paraId="61A88646" w14:textId="77777777" w:rsidR="00F56085" w:rsidRPr="00960497" w:rsidRDefault="00F56085" w:rsidP="00F56085">
      <w:pPr>
        <w:pStyle w:val="BodyTextMain"/>
        <w:rPr>
          <w:lang w:val="en-GB"/>
        </w:rPr>
      </w:pPr>
    </w:p>
    <w:p w14:paraId="19340FC3" w14:textId="271EF17B" w:rsidR="00F56085" w:rsidRPr="00B3572A" w:rsidRDefault="00F56085" w:rsidP="00F56085">
      <w:pPr>
        <w:pStyle w:val="BodyTextMain"/>
        <w:rPr>
          <w:spacing w:val="-2"/>
          <w:lang w:val="en-GB"/>
        </w:rPr>
      </w:pPr>
      <w:r w:rsidRPr="00B3572A">
        <w:rPr>
          <w:spacing w:val="-2"/>
          <w:lang w:val="en-GB"/>
        </w:rPr>
        <w:t xml:space="preserve">Sparrow was one of the smallest basic chemical producers in an industry where the four largest players controlled </w:t>
      </w:r>
      <w:r w:rsidR="0041396A" w:rsidRPr="00B3572A">
        <w:rPr>
          <w:spacing w:val="-2"/>
          <w:lang w:val="en-GB"/>
        </w:rPr>
        <w:t xml:space="preserve">80 </w:t>
      </w:r>
      <w:r w:rsidRPr="00B3572A">
        <w:rPr>
          <w:spacing w:val="-2"/>
          <w:lang w:val="en-GB"/>
        </w:rPr>
        <w:t>per cent of the global production capacity. Unlike Sparrow, these large players converted basic chemicals into more complex products and, as a result, were often able to generate much higher profit margins.</w:t>
      </w:r>
    </w:p>
    <w:p w14:paraId="7D4D67A1" w14:textId="77777777" w:rsidR="00F56085" w:rsidRPr="00960497" w:rsidRDefault="00F56085" w:rsidP="00F56085">
      <w:pPr>
        <w:pStyle w:val="Casehead1"/>
        <w:rPr>
          <w:lang w:val="en-GB"/>
        </w:rPr>
      </w:pPr>
    </w:p>
    <w:p w14:paraId="1D8D89BF" w14:textId="6922B394" w:rsidR="00F56085" w:rsidRPr="00B3572A" w:rsidRDefault="00F56085" w:rsidP="00F56085">
      <w:pPr>
        <w:pStyle w:val="BodyTextMain"/>
        <w:rPr>
          <w:spacing w:val="-4"/>
          <w:lang w:val="en-GB"/>
        </w:rPr>
      </w:pPr>
      <w:r w:rsidRPr="00B3572A">
        <w:rPr>
          <w:spacing w:val="-4"/>
          <w:lang w:val="en-GB"/>
        </w:rPr>
        <w:t>Customers had access to the global average price of basic chemicals</w:t>
      </w:r>
      <w:r w:rsidR="0041396A" w:rsidRPr="00B3572A">
        <w:rPr>
          <w:spacing w:val="-4"/>
          <w:lang w:val="en-GB"/>
        </w:rPr>
        <w:t>,</w:t>
      </w:r>
      <w:r w:rsidRPr="00B3572A">
        <w:rPr>
          <w:spacing w:val="-4"/>
          <w:lang w:val="en-GB"/>
        </w:rPr>
        <w:t xml:space="preserve"> </w:t>
      </w:r>
      <w:r w:rsidR="0041396A" w:rsidRPr="00B3572A">
        <w:rPr>
          <w:spacing w:val="-4"/>
          <w:lang w:val="en-GB"/>
        </w:rPr>
        <w:t xml:space="preserve">which they </w:t>
      </w:r>
      <w:r w:rsidRPr="00B3572A">
        <w:rPr>
          <w:spacing w:val="-4"/>
          <w:lang w:val="en-GB"/>
        </w:rPr>
        <w:t xml:space="preserve">often used as a benchmark when selecting suppliers. The main determinant of the global average price in the basic chemicals industry was the global capacity utilization rate. In the past decade, </w:t>
      </w:r>
      <w:r w:rsidR="00F67475" w:rsidRPr="00B3572A">
        <w:rPr>
          <w:spacing w:val="-4"/>
          <w:lang w:val="en-GB"/>
        </w:rPr>
        <w:t>a few</w:t>
      </w:r>
      <w:r w:rsidRPr="00B3572A">
        <w:rPr>
          <w:spacing w:val="-4"/>
          <w:lang w:val="en-GB"/>
        </w:rPr>
        <w:t xml:space="preserve"> companies in Asia had expanded their capacity by adding new facilities, resulting in a decline in </w:t>
      </w:r>
      <w:r w:rsidR="00F940F7" w:rsidRPr="00B3572A">
        <w:rPr>
          <w:spacing w:val="-4"/>
          <w:lang w:val="en-GB"/>
        </w:rPr>
        <w:t xml:space="preserve">the </w:t>
      </w:r>
      <w:r w:rsidRPr="00B3572A">
        <w:rPr>
          <w:spacing w:val="-4"/>
          <w:lang w:val="en-GB"/>
        </w:rPr>
        <w:t>capacity utilization rate and all-time low basic chemical prices</w:t>
      </w:r>
      <w:r w:rsidR="0041396A" w:rsidRPr="00B3572A">
        <w:rPr>
          <w:spacing w:val="-4"/>
          <w:lang w:val="en-GB"/>
        </w:rPr>
        <w:t>.</w:t>
      </w:r>
      <w:r w:rsidRPr="00B3572A">
        <w:rPr>
          <w:rStyle w:val="FootnoteReference"/>
          <w:spacing w:val="-4"/>
          <w:lang w:val="en-GB"/>
        </w:rPr>
        <w:footnoteReference w:id="2"/>
      </w:r>
      <w:r w:rsidRPr="00B3572A">
        <w:rPr>
          <w:spacing w:val="-4"/>
          <w:lang w:val="en-GB"/>
        </w:rPr>
        <w:t xml:space="preserve"> Global basic chemical prices had since stabilized at </w:t>
      </w:r>
      <w:r w:rsidR="00480E86" w:rsidRPr="00B3572A">
        <w:rPr>
          <w:spacing w:val="-4"/>
          <w:lang w:val="en-GB"/>
        </w:rPr>
        <w:t>US$</w:t>
      </w:r>
      <w:r w:rsidRPr="00B3572A">
        <w:rPr>
          <w:spacing w:val="-4"/>
          <w:lang w:val="en-GB"/>
        </w:rPr>
        <w:t>3,450</w:t>
      </w:r>
      <w:r w:rsidR="00480E86" w:rsidRPr="00B3572A">
        <w:rPr>
          <w:rStyle w:val="FootnoteReference"/>
          <w:spacing w:val="-4"/>
          <w:lang w:val="en-GB"/>
        </w:rPr>
        <w:footnoteReference w:id="3"/>
      </w:r>
      <w:r w:rsidRPr="00B3572A">
        <w:rPr>
          <w:spacing w:val="-4"/>
          <w:lang w:val="en-GB"/>
        </w:rPr>
        <w:t xml:space="preserve"> per kiloton at an industry capacity utilization rate of 70 per cent</w:t>
      </w:r>
      <w:r w:rsidR="00480E86" w:rsidRPr="00B3572A">
        <w:rPr>
          <w:spacing w:val="-4"/>
          <w:lang w:val="en-GB"/>
        </w:rPr>
        <w:t>.</w:t>
      </w:r>
      <w:r w:rsidRPr="00B3572A">
        <w:rPr>
          <w:rStyle w:val="FootnoteReference"/>
          <w:spacing w:val="-4"/>
          <w:lang w:val="en-GB"/>
        </w:rPr>
        <w:footnoteReference w:id="4"/>
      </w:r>
      <w:r w:rsidRPr="00B3572A">
        <w:rPr>
          <w:spacing w:val="-4"/>
          <w:lang w:val="en-GB"/>
        </w:rPr>
        <w:t xml:space="preserve"> </w:t>
      </w:r>
      <w:r w:rsidR="00480E86" w:rsidRPr="00B3572A">
        <w:rPr>
          <w:spacing w:val="-4"/>
          <w:lang w:val="en-GB"/>
        </w:rPr>
        <w:t>For the</w:t>
      </w:r>
      <w:r w:rsidRPr="00B3572A">
        <w:rPr>
          <w:spacing w:val="-4"/>
          <w:lang w:val="en-GB"/>
        </w:rPr>
        <w:t xml:space="preserve"> price </w:t>
      </w:r>
      <w:r w:rsidR="00480E86" w:rsidRPr="00B3572A">
        <w:rPr>
          <w:spacing w:val="-4"/>
          <w:lang w:val="en-GB"/>
        </w:rPr>
        <w:t xml:space="preserve">to </w:t>
      </w:r>
      <w:r w:rsidRPr="00B3572A">
        <w:rPr>
          <w:spacing w:val="-4"/>
          <w:lang w:val="en-GB"/>
        </w:rPr>
        <w:t>increase, experts estimated that the industry would need to improve the capacity utilization rate to 80 per</w:t>
      </w:r>
      <w:r w:rsidR="00480E86" w:rsidRPr="00B3572A">
        <w:rPr>
          <w:spacing w:val="-4"/>
          <w:lang w:val="en-GB"/>
        </w:rPr>
        <w:t xml:space="preserve"> </w:t>
      </w:r>
      <w:r w:rsidRPr="00B3572A">
        <w:rPr>
          <w:spacing w:val="-4"/>
          <w:lang w:val="en-GB"/>
        </w:rPr>
        <w:t xml:space="preserve">cent to reach basic chemical prices of </w:t>
      </w:r>
      <w:r w:rsidR="00480E86" w:rsidRPr="00B3572A">
        <w:rPr>
          <w:spacing w:val="-4"/>
          <w:lang w:val="en-GB"/>
        </w:rPr>
        <w:t>$</w:t>
      </w:r>
      <w:r w:rsidRPr="00B3572A">
        <w:rPr>
          <w:spacing w:val="-4"/>
          <w:lang w:val="en-GB"/>
        </w:rPr>
        <w:t>4,350 per kiloton</w:t>
      </w:r>
      <w:r w:rsidR="00480E86" w:rsidRPr="00B3572A">
        <w:rPr>
          <w:spacing w:val="-4"/>
          <w:lang w:val="en-GB"/>
        </w:rPr>
        <w:t>.</w:t>
      </w:r>
      <w:r w:rsidRPr="00B3572A">
        <w:rPr>
          <w:rStyle w:val="FootnoteReference"/>
          <w:spacing w:val="-4"/>
          <w:lang w:val="en-GB"/>
        </w:rPr>
        <w:footnoteReference w:id="5"/>
      </w:r>
    </w:p>
    <w:p w14:paraId="59EA1A69" w14:textId="77777777" w:rsidR="00F56085" w:rsidRPr="00960497" w:rsidRDefault="00F56085" w:rsidP="00F56085">
      <w:pPr>
        <w:pStyle w:val="BodyTextMain"/>
        <w:rPr>
          <w:lang w:val="en-GB"/>
        </w:rPr>
      </w:pPr>
    </w:p>
    <w:p w14:paraId="05040690" w14:textId="77777777" w:rsidR="00F56085" w:rsidRPr="00960497" w:rsidRDefault="00F56085" w:rsidP="00F56085">
      <w:pPr>
        <w:pStyle w:val="BodyTextMain"/>
        <w:rPr>
          <w:lang w:val="en-GB"/>
        </w:rPr>
      </w:pPr>
    </w:p>
    <w:p w14:paraId="067C82AE" w14:textId="77777777" w:rsidR="00F56085" w:rsidRPr="00960497" w:rsidRDefault="00F56085" w:rsidP="00F56085">
      <w:pPr>
        <w:pStyle w:val="Casehead1"/>
        <w:rPr>
          <w:lang w:val="en-GB"/>
        </w:rPr>
      </w:pPr>
      <w:r w:rsidRPr="00960497">
        <w:rPr>
          <w:lang w:val="en-GB"/>
        </w:rPr>
        <w:t>sparrow’s basic chemical costs</w:t>
      </w:r>
    </w:p>
    <w:p w14:paraId="71AE01CF" w14:textId="77777777" w:rsidR="00F56085" w:rsidRPr="00960497" w:rsidRDefault="00F56085" w:rsidP="00F56085">
      <w:pPr>
        <w:pStyle w:val="BodyTextMain"/>
        <w:rPr>
          <w:lang w:val="en-GB"/>
        </w:rPr>
      </w:pPr>
    </w:p>
    <w:p w14:paraId="3B884FAC" w14:textId="42D070F1" w:rsidR="00F56085" w:rsidRPr="00960497" w:rsidRDefault="00F56085" w:rsidP="00F56085">
      <w:pPr>
        <w:pStyle w:val="BodyTextMain"/>
        <w:rPr>
          <w:lang w:val="en-GB"/>
        </w:rPr>
      </w:pPr>
      <w:r w:rsidRPr="00960497">
        <w:rPr>
          <w:lang w:val="en-GB"/>
        </w:rPr>
        <w:t xml:space="preserve">Baumberg and her team </w:t>
      </w:r>
      <w:r w:rsidR="00480E86" w:rsidRPr="00960497">
        <w:rPr>
          <w:lang w:val="en-GB"/>
        </w:rPr>
        <w:t xml:space="preserve">needed </w:t>
      </w:r>
      <w:r w:rsidRPr="00960497">
        <w:rPr>
          <w:lang w:val="en-GB"/>
        </w:rPr>
        <w:t xml:space="preserve">to decide how to estimate Sparrow’s cost structure. Baumberg had been given access to Sparrow’s projected costs for fiscal </w:t>
      </w:r>
      <w:r w:rsidR="00480E86" w:rsidRPr="00960497">
        <w:rPr>
          <w:lang w:val="en-GB"/>
        </w:rPr>
        <w:t xml:space="preserve">year </w:t>
      </w:r>
      <w:r w:rsidR="00F67475" w:rsidRPr="00960497">
        <w:rPr>
          <w:lang w:val="en-GB"/>
        </w:rPr>
        <w:t>2020</w:t>
      </w:r>
      <w:r w:rsidRPr="00960497">
        <w:rPr>
          <w:lang w:val="en-GB"/>
        </w:rPr>
        <w:t>, but the projections included both specialty chemicals and basic chemicals</w:t>
      </w:r>
      <w:r w:rsidR="001273AD">
        <w:rPr>
          <w:lang w:val="en-GB"/>
        </w:rPr>
        <w:t xml:space="preserve"> </w:t>
      </w:r>
      <w:r w:rsidR="001273AD" w:rsidRPr="00960497">
        <w:rPr>
          <w:lang w:val="en-GB"/>
        </w:rPr>
        <w:t>(see Exhibit 2)</w:t>
      </w:r>
      <w:r w:rsidRPr="00960497">
        <w:rPr>
          <w:lang w:val="en-GB"/>
        </w:rPr>
        <w:t xml:space="preserve">. Baumberg and her team would need to determine the best way to allocate </w:t>
      </w:r>
      <w:r w:rsidR="00480E86" w:rsidRPr="00960497">
        <w:rPr>
          <w:lang w:val="en-GB"/>
        </w:rPr>
        <w:t xml:space="preserve">the </w:t>
      </w:r>
      <w:r w:rsidRPr="00960497">
        <w:rPr>
          <w:lang w:val="en-GB"/>
        </w:rPr>
        <w:t>costs to determine the allocation rates for the job cost sheet.</w:t>
      </w:r>
    </w:p>
    <w:p w14:paraId="77653B7E" w14:textId="77777777" w:rsidR="00F56085" w:rsidRPr="00960497" w:rsidRDefault="00F56085" w:rsidP="00F56085">
      <w:pPr>
        <w:pStyle w:val="BodyTextMain"/>
        <w:rPr>
          <w:lang w:val="en-GB"/>
        </w:rPr>
      </w:pPr>
    </w:p>
    <w:p w14:paraId="01A851F4" w14:textId="5189A571" w:rsidR="00F56085" w:rsidRPr="00960497" w:rsidRDefault="00F56085" w:rsidP="00F56085">
      <w:pPr>
        <w:pStyle w:val="BodyTextMain"/>
        <w:rPr>
          <w:lang w:val="en-GB"/>
        </w:rPr>
      </w:pPr>
      <w:r w:rsidRPr="00960497">
        <w:rPr>
          <w:lang w:val="en-GB"/>
        </w:rPr>
        <w:t>The US basic chemicals facility was much newer than the German facility, although it had a much lower capacity. The US facility was built eight years ago</w:t>
      </w:r>
      <w:r w:rsidR="001273AD">
        <w:rPr>
          <w:lang w:val="en-GB"/>
        </w:rPr>
        <w:t>,</w:t>
      </w:r>
      <w:r w:rsidRPr="00960497">
        <w:rPr>
          <w:lang w:val="en-GB"/>
        </w:rPr>
        <w:t xml:space="preserve"> while the German facility was built </w:t>
      </w:r>
      <w:r w:rsidR="00480E86" w:rsidRPr="00960497">
        <w:rPr>
          <w:lang w:val="en-GB"/>
        </w:rPr>
        <w:t xml:space="preserve">18 </w:t>
      </w:r>
      <w:r w:rsidRPr="00960497">
        <w:rPr>
          <w:lang w:val="en-GB"/>
        </w:rPr>
        <w:t>years ago. The US basic chemicals facility had one reactor with a capacity of 150 kilotons</w:t>
      </w:r>
      <w:r w:rsidR="00480E86" w:rsidRPr="00960497">
        <w:rPr>
          <w:lang w:val="en-GB"/>
        </w:rPr>
        <w:t>,</w:t>
      </w:r>
      <w:r w:rsidRPr="00960497">
        <w:rPr>
          <w:lang w:val="en-GB"/>
        </w:rPr>
        <w:t xml:space="preserve"> while the German basic chemicals facility had a cumulative capacity of 250 kilotons. Both basic chemical plants were expected to continue operating at 60 per cent utilization rate. The German specialty chemicals facility had a much larger capacity of 600 kilotons and was expected to operate at a 75 per cent utilization rate.</w:t>
      </w:r>
    </w:p>
    <w:p w14:paraId="315CB6D0" w14:textId="77777777" w:rsidR="00F56085" w:rsidRPr="00960497" w:rsidRDefault="00F56085" w:rsidP="00F56085">
      <w:pPr>
        <w:pStyle w:val="BodyTextMain"/>
        <w:rPr>
          <w:lang w:val="en-GB"/>
        </w:rPr>
      </w:pPr>
    </w:p>
    <w:p w14:paraId="4CDE13BE" w14:textId="38DF16F7" w:rsidR="00F56085" w:rsidRPr="00960497" w:rsidRDefault="00F56085" w:rsidP="00F56085">
      <w:pPr>
        <w:pStyle w:val="BodyTextMain"/>
        <w:rPr>
          <w:color w:val="FF0000"/>
          <w:lang w:val="en-GB"/>
        </w:rPr>
      </w:pPr>
      <w:r w:rsidRPr="00960497">
        <w:rPr>
          <w:lang w:val="en-GB"/>
        </w:rPr>
        <w:lastRenderedPageBreak/>
        <w:t xml:space="preserve">Regardless of their utilization rate, the reactors would require a proportionate amount of power and supplies based on </w:t>
      </w:r>
      <w:r w:rsidR="00480E86" w:rsidRPr="00960497">
        <w:rPr>
          <w:lang w:val="en-GB"/>
        </w:rPr>
        <w:t xml:space="preserve">their </w:t>
      </w:r>
      <w:r w:rsidRPr="00960497">
        <w:rPr>
          <w:lang w:val="en-GB"/>
        </w:rPr>
        <w:t>capacity to operate. The best estimate for repairs expenses was the proportionate age of the machinery.</w:t>
      </w:r>
    </w:p>
    <w:p w14:paraId="7EA83E9E" w14:textId="77777777" w:rsidR="00F56085" w:rsidRPr="00960497" w:rsidRDefault="00F56085" w:rsidP="00F56085">
      <w:pPr>
        <w:pStyle w:val="BodyTextMain"/>
        <w:rPr>
          <w:lang w:val="en-GB"/>
        </w:rPr>
      </w:pPr>
    </w:p>
    <w:p w14:paraId="17772CC9" w14:textId="289CBC5D" w:rsidR="00F56085" w:rsidRPr="00960497" w:rsidRDefault="00F56085" w:rsidP="00F56085">
      <w:pPr>
        <w:pStyle w:val="BodyTextMain"/>
        <w:rPr>
          <w:lang w:val="en-GB"/>
        </w:rPr>
      </w:pPr>
      <w:r w:rsidRPr="00960497">
        <w:rPr>
          <w:lang w:val="en-GB"/>
        </w:rPr>
        <w:t xml:space="preserve">Sparrow owned all of its production facilities and associated assets. The US basic chemicals plant, including the reactors, originally cost $60 million, </w:t>
      </w:r>
      <w:r w:rsidR="00480E86" w:rsidRPr="00960497">
        <w:rPr>
          <w:lang w:val="en-GB"/>
        </w:rPr>
        <w:t xml:space="preserve">whereas </w:t>
      </w:r>
      <w:r w:rsidRPr="00960497">
        <w:rPr>
          <w:lang w:val="en-GB"/>
        </w:rPr>
        <w:t>the German basic chemicals plant cost $70 million</w:t>
      </w:r>
      <w:r w:rsidR="00480E86" w:rsidRPr="00960497">
        <w:rPr>
          <w:lang w:val="en-GB"/>
        </w:rPr>
        <w:t>,</w:t>
      </w:r>
      <w:r w:rsidRPr="00960497">
        <w:rPr>
          <w:lang w:val="en-GB"/>
        </w:rPr>
        <w:t xml:space="preserve"> and the German specialty chemicals facility cost $160 million. All buildings and machinery were depreciated using </w:t>
      </w:r>
      <w:r w:rsidR="00480E86" w:rsidRPr="00960497">
        <w:rPr>
          <w:lang w:val="en-GB"/>
        </w:rPr>
        <w:t xml:space="preserve">the </w:t>
      </w:r>
      <w:r w:rsidRPr="00960497">
        <w:rPr>
          <w:lang w:val="en-GB"/>
        </w:rPr>
        <w:t>units of output method based on the expected production. In contrast, Sparrow’s insurance policy on the manufacturing assets was based on the historic cost of the assets.</w:t>
      </w:r>
    </w:p>
    <w:p w14:paraId="51FDD863" w14:textId="77777777" w:rsidR="00F56085" w:rsidRPr="00960497" w:rsidRDefault="00F56085" w:rsidP="00F56085">
      <w:pPr>
        <w:pStyle w:val="BodyTextMain"/>
        <w:rPr>
          <w:color w:val="FF0000"/>
          <w:lang w:val="en-GB"/>
        </w:rPr>
      </w:pPr>
    </w:p>
    <w:p w14:paraId="12631EBE" w14:textId="1FF30D3C" w:rsidR="00F56085" w:rsidRPr="00960497" w:rsidRDefault="00F56085" w:rsidP="00F56085">
      <w:pPr>
        <w:pStyle w:val="BodyTextMain"/>
        <w:rPr>
          <w:lang w:val="en-GB"/>
        </w:rPr>
      </w:pPr>
      <w:r w:rsidRPr="00960497">
        <w:rPr>
          <w:lang w:val="en-GB"/>
        </w:rPr>
        <w:t>The budgeted direct labour cost of $279,450 comprised $9,450 for the US basic chemicals plant, $22,500 for the German basic chemicals facility, and $247,500 for the German specialty chemicals department. In addition, each factory had a factory supervisor. In the U</w:t>
      </w:r>
      <w:r w:rsidR="00480E86" w:rsidRPr="00960497">
        <w:rPr>
          <w:lang w:val="en-GB"/>
        </w:rPr>
        <w:t xml:space="preserve">nited </w:t>
      </w:r>
      <w:r w:rsidRPr="00960497">
        <w:rPr>
          <w:lang w:val="en-GB"/>
        </w:rPr>
        <w:t>S</w:t>
      </w:r>
      <w:r w:rsidR="00480E86" w:rsidRPr="00960497">
        <w:rPr>
          <w:lang w:val="en-GB"/>
        </w:rPr>
        <w:t>tates</w:t>
      </w:r>
      <w:r w:rsidRPr="00960497">
        <w:rPr>
          <w:lang w:val="en-GB"/>
        </w:rPr>
        <w:t>, the supervisor was paid $50,000. In Germany, one supervisor for each business division was paid $75,000</w:t>
      </w:r>
      <w:r w:rsidR="00507C0B">
        <w:rPr>
          <w:lang w:val="en-GB"/>
        </w:rPr>
        <w:t xml:space="preserve"> (see Exhibit 3)</w:t>
      </w:r>
      <w:r w:rsidRPr="00960497">
        <w:rPr>
          <w:lang w:val="en-GB"/>
        </w:rPr>
        <w:t>.</w:t>
      </w:r>
    </w:p>
    <w:p w14:paraId="7F9F0B27" w14:textId="77777777" w:rsidR="00F56085" w:rsidRPr="00960497" w:rsidRDefault="00F56085" w:rsidP="00F56085">
      <w:pPr>
        <w:pStyle w:val="BodyTextMain"/>
        <w:rPr>
          <w:lang w:val="en-GB"/>
        </w:rPr>
      </w:pPr>
    </w:p>
    <w:p w14:paraId="137BD6D9" w14:textId="4A4F7B48" w:rsidR="00F56085" w:rsidRPr="00960497" w:rsidRDefault="00F56085" w:rsidP="00F56085">
      <w:pPr>
        <w:pStyle w:val="BodyTextMain"/>
        <w:rPr>
          <w:lang w:val="en-GB"/>
        </w:rPr>
      </w:pPr>
      <w:r w:rsidRPr="00960497">
        <w:rPr>
          <w:lang w:val="en-GB"/>
        </w:rPr>
        <w:t xml:space="preserve">The costs shown for shipping and receiving were to be spread evenly across each division. Although </w:t>
      </w:r>
      <w:r w:rsidR="00315536" w:rsidRPr="00960497">
        <w:rPr>
          <w:lang w:val="en-GB"/>
        </w:rPr>
        <w:t xml:space="preserve">Sparrow </w:t>
      </w:r>
      <w:r w:rsidRPr="00960497">
        <w:rPr>
          <w:lang w:val="en-GB"/>
        </w:rPr>
        <w:t xml:space="preserve">owned its production facilities, </w:t>
      </w:r>
      <w:r w:rsidR="00315536" w:rsidRPr="00960497">
        <w:rPr>
          <w:lang w:val="en-GB"/>
        </w:rPr>
        <w:t xml:space="preserve">it </w:t>
      </w:r>
      <w:r w:rsidRPr="00960497">
        <w:rPr>
          <w:lang w:val="en-GB"/>
        </w:rPr>
        <w:t>did rent raw material warehousing space. In the U</w:t>
      </w:r>
      <w:r w:rsidR="00480E86" w:rsidRPr="00960497">
        <w:rPr>
          <w:lang w:val="en-GB"/>
        </w:rPr>
        <w:t xml:space="preserve">nited </w:t>
      </w:r>
      <w:r w:rsidRPr="00960497">
        <w:rPr>
          <w:lang w:val="en-GB"/>
        </w:rPr>
        <w:t>S</w:t>
      </w:r>
      <w:r w:rsidR="00480E86" w:rsidRPr="00960497">
        <w:rPr>
          <w:lang w:val="en-GB"/>
        </w:rPr>
        <w:t>tates</w:t>
      </w:r>
      <w:r w:rsidRPr="00960497">
        <w:rPr>
          <w:lang w:val="en-GB"/>
        </w:rPr>
        <w:t>, Sparrow rented 15,000 square metres of warehouse space. In Germany, Sparrow rented 35,000 square metres for basic chemicals and 90,000 square metres for specialty chemicals.</w:t>
      </w:r>
    </w:p>
    <w:p w14:paraId="10EE0A18" w14:textId="77777777" w:rsidR="00F56085" w:rsidRPr="00960497" w:rsidRDefault="00F56085" w:rsidP="00F56085">
      <w:pPr>
        <w:pStyle w:val="BodyTextMain"/>
        <w:rPr>
          <w:lang w:val="en-GB"/>
        </w:rPr>
      </w:pPr>
    </w:p>
    <w:p w14:paraId="1705E43B" w14:textId="663953BE" w:rsidR="00F56085" w:rsidRPr="00960497" w:rsidRDefault="00F56085" w:rsidP="00F56085">
      <w:pPr>
        <w:pStyle w:val="BodyTextMain"/>
        <w:rPr>
          <w:lang w:val="en-GB"/>
        </w:rPr>
      </w:pPr>
      <w:r w:rsidRPr="00960497">
        <w:rPr>
          <w:lang w:val="en-GB"/>
        </w:rPr>
        <w:t>In addition, Sparrow rented an office space in the U</w:t>
      </w:r>
      <w:r w:rsidR="00480E86" w:rsidRPr="00960497">
        <w:rPr>
          <w:lang w:val="en-GB"/>
        </w:rPr>
        <w:t xml:space="preserve">nited </w:t>
      </w:r>
      <w:r w:rsidRPr="00960497">
        <w:rPr>
          <w:lang w:val="en-GB"/>
        </w:rPr>
        <w:t>S</w:t>
      </w:r>
      <w:r w:rsidR="00480E86" w:rsidRPr="00960497">
        <w:rPr>
          <w:lang w:val="en-GB"/>
        </w:rPr>
        <w:t>tates</w:t>
      </w:r>
      <w:r w:rsidRPr="00960497">
        <w:rPr>
          <w:lang w:val="en-GB"/>
        </w:rPr>
        <w:t xml:space="preserve"> for $30,000 per year. Sparrow employed two salespeople. One salesperson </w:t>
      </w:r>
      <w:r w:rsidR="00480E86" w:rsidRPr="00960497">
        <w:rPr>
          <w:lang w:val="en-GB"/>
        </w:rPr>
        <w:t>focused</w:t>
      </w:r>
      <w:r w:rsidRPr="00960497">
        <w:rPr>
          <w:lang w:val="en-GB"/>
        </w:rPr>
        <w:t xml:space="preserve"> on the basic chemicals sales</w:t>
      </w:r>
      <w:r w:rsidR="00315536" w:rsidRPr="00960497">
        <w:rPr>
          <w:lang w:val="en-GB"/>
        </w:rPr>
        <w:t>,</w:t>
      </w:r>
      <w:r w:rsidRPr="00960497">
        <w:rPr>
          <w:lang w:val="en-GB"/>
        </w:rPr>
        <w:t xml:space="preserve"> while the second salesperson </w:t>
      </w:r>
      <w:r w:rsidR="00480E86" w:rsidRPr="00960497">
        <w:rPr>
          <w:lang w:val="en-GB"/>
        </w:rPr>
        <w:t>focused on</w:t>
      </w:r>
      <w:r w:rsidRPr="00960497">
        <w:rPr>
          <w:lang w:val="en-GB"/>
        </w:rPr>
        <w:t xml:space="preserve"> selling specialty chemicals. Sparrow also employed one general manager </w:t>
      </w:r>
      <w:r w:rsidR="00480E86" w:rsidRPr="00960497">
        <w:rPr>
          <w:lang w:val="en-GB"/>
        </w:rPr>
        <w:t xml:space="preserve">who oversaw </w:t>
      </w:r>
      <w:r w:rsidRPr="00960497">
        <w:rPr>
          <w:lang w:val="en-GB"/>
        </w:rPr>
        <w:t>both basic and specialty chemicals.</w:t>
      </w:r>
    </w:p>
    <w:p w14:paraId="58117709" w14:textId="77777777" w:rsidR="00F56085" w:rsidRPr="00960497" w:rsidRDefault="00F56085" w:rsidP="00F56085">
      <w:pPr>
        <w:pStyle w:val="BodyTextMain"/>
        <w:rPr>
          <w:lang w:val="en-GB"/>
        </w:rPr>
      </w:pPr>
    </w:p>
    <w:p w14:paraId="311078AD" w14:textId="211E1CFF" w:rsidR="00F56085" w:rsidRPr="00960497" w:rsidRDefault="00F56085" w:rsidP="00F56085">
      <w:pPr>
        <w:pStyle w:val="BodyTextMain"/>
        <w:rPr>
          <w:lang w:val="en-GB"/>
        </w:rPr>
      </w:pPr>
      <w:r w:rsidRPr="00960497">
        <w:rPr>
          <w:lang w:val="en-GB"/>
        </w:rPr>
        <w:t>In her research, Baumberg noticed that many industry experts were forecasting higher capacity utilization rates in the basic chemicals industry due to expected plant closures. Most experts agreed that basic chemical utilization rates would increase to 80 per cent in the next year. Baumberg had reason to believe that many of the displaced customers from the plant closures would purchase their basic chemicals from Sparrow. As a result, Sparrow’s basic chemicals capacity utilization rate would increase to 90 per cent. Baumberg wanted to understand the implications on the Impendium bid if utilization rates increased. In this scenario, Baumberg estimated that Sparrow’s basic chemicals direct labour costs would increase to $14,175 in the U</w:t>
      </w:r>
      <w:r w:rsidR="00480E86" w:rsidRPr="00960497">
        <w:rPr>
          <w:lang w:val="en-GB"/>
        </w:rPr>
        <w:t xml:space="preserve">nited </w:t>
      </w:r>
      <w:r w:rsidRPr="00960497">
        <w:rPr>
          <w:lang w:val="en-GB"/>
        </w:rPr>
        <w:t>S</w:t>
      </w:r>
      <w:r w:rsidR="00480E86" w:rsidRPr="00960497">
        <w:rPr>
          <w:lang w:val="en-GB"/>
        </w:rPr>
        <w:t>tates</w:t>
      </w:r>
      <w:r w:rsidRPr="00960497">
        <w:rPr>
          <w:lang w:val="en-GB"/>
        </w:rPr>
        <w:t xml:space="preserve"> and $33,750 in Germany</w:t>
      </w:r>
      <w:r w:rsidR="00480E86" w:rsidRPr="00960497">
        <w:rPr>
          <w:lang w:val="en-GB"/>
        </w:rPr>
        <w:t>,</w:t>
      </w:r>
      <w:r w:rsidRPr="00960497">
        <w:rPr>
          <w:lang w:val="en-GB"/>
        </w:rPr>
        <w:t xml:space="preserve"> and the direct material costs would increase to $78,975 in the U</w:t>
      </w:r>
      <w:r w:rsidR="00480E86" w:rsidRPr="00960497">
        <w:rPr>
          <w:lang w:val="en-GB"/>
        </w:rPr>
        <w:t xml:space="preserve">nited </w:t>
      </w:r>
      <w:r w:rsidRPr="00960497">
        <w:rPr>
          <w:lang w:val="en-GB"/>
        </w:rPr>
        <w:t>S</w:t>
      </w:r>
      <w:r w:rsidR="00480E86" w:rsidRPr="00960497">
        <w:rPr>
          <w:lang w:val="en-GB"/>
        </w:rPr>
        <w:t>tates</w:t>
      </w:r>
      <w:r w:rsidRPr="00960497">
        <w:rPr>
          <w:lang w:val="en-GB"/>
        </w:rPr>
        <w:t xml:space="preserve"> and $253,125 in Germany. The specialty chemicals division would remain unchanged.</w:t>
      </w:r>
    </w:p>
    <w:p w14:paraId="5FF2479B" w14:textId="77777777" w:rsidR="00F56085" w:rsidRPr="00960497" w:rsidRDefault="00F56085" w:rsidP="00F56085">
      <w:pPr>
        <w:pStyle w:val="BodyTextMain"/>
        <w:rPr>
          <w:lang w:val="en-GB"/>
        </w:rPr>
      </w:pPr>
    </w:p>
    <w:p w14:paraId="2C183161" w14:textId="545405A6" w:rsidR="00F56085" w:rsidRPr="00960497" w:rsidRDefault="00F56085" w:rsidP="00F56085">
      <w:pPr>
        <w:pStyle w:val="BodyTextMain"/>
        <w:rPr>
          <w:lang w:val="en-GB"/>
        </w:rPr>
      </w:pPr>
      <w:r w:rsidRPr="00960497">
        <w:rPr>
          <w:lang w:val="en-GB"/>
        </w:rPr>
        <w:t xml:space="preserve">Baumberg sat down to complete the analysis for Sparrow’s pricing manager. To begin, she wondered what Sparrow’s costs were for each of its divisions. She was concerned </w:t>
      </w:r>
      <w:r w:rsidR="00507C0B">
        <w:rPr>
          <w:lang w:val="en-GB"/>
        </w:rPr>
        <w:t xml:space="preserve">about </w:t>
      </w:r>
      <w:r w:rsidR="00480E86" w:rsidRPr="00960497">
        <w:rPr>
          <w:lang w:val="en-GB"/>
        </w:rPr>
        <w:t>which</w:t>
      </w:r>
      <w:r w:rsidRPr="00960497">
        <w:rPr>
          <w:lang w:val="en-GB"/>
        </w:rPr>
        <w:t xml:space="preserve"> factors should be taken into account in addition to the costs and how to advise the pricing manager. </w:t>
      </w:r>
      <w:r w:rsidR="001E102A" w:rsidRPr="00960497">
        <w:rPr>
          <w:lang w:val="en-GB"/>
        </w:rPr>
        <w:t xml:space="preserve">Baumberg </w:t>
      </w:r>
      <w:r w:rsidRPr="00960497">
        <w:rPr>
          <w:lang w:val="en-GB"/>
        </w:rPr>
        <w:t xml:space="preserve">had </w:t>
      </w:r>
      <w:r w:rsidR="00480E86" w:rsidRPr="00960497">
        <w:rPr>
          <w:lang w:val="en-GB"/>
        </w:rPr>
        <w:t xml:space="preserve">only </w:t>
      </w:r>
      <w:r w:rsidRPr="00960497">
        <w:rPr>
          <w:lang w:val="en-GB"/>
        </w:rPr>
        <w:t>a few days to put together her analysis before her flight back home to Boston on Thursday evening</w:t>
      </w:r>
      <w:r w:rsidR="001E102A" w:rsidRPr="00960497">
        <w:rPr>
          <w:lang w:val="en-GB"/>
        </w:rPr>
        <w:t>,</w:t>
      </w:r>
      <w:r w:rsidRPr="00960497">
        <w:rPr>
          <w:lang w:val="en-GB"/>
        </w:rPr>
        <w:t xml:space="preserve"> and </w:t>
      </w:r>
      <w:r w:rsidR="001E102A" w:rsidRPr="00960497">
        <w:rPr>
          <w:lang w:val="en-GB"/>
        </w:rPr>
        <w:t xml:space="preserve">she </w:t>
      </w:r>
      <w:r w:rsidRPr="00960497">
        <w:rPr>
          <w:lang w:val="en-GB"/>
        </w:rPr>
        <w:t>was eager to give the pricing manager an answer.</w:t>
      </w:r>
    </w:p>
    <w:p w14:paraId="23282E7F" w14:textId="77777777" w:rsidR="00F56085" w:rsidRPr="00960497" w:rsidRDefault="00F56085">
      <w:pPr>
        <w:spacing w:after="200" w:line="276" w:lineRule="auto"/>
        <w:rPr>
          <w:sz w:val="22"/>
          <w:szCs w:val="22"/>
          <w:lang w:val="en-GB"/>
        </w:rPr>
      </w:pPr>
      <w:r w:rsidRPr="00960497">
        <w:rPr>
          <w:lang w:val="en-GB"/>
        </w:rPr>
        <w:br w:type="page"/>
      </w:r>
    </w:p>
    <w:p w14:paraId="0149ACE3" w14:textId="77777777" w:rsidR="00F56085" w:rsidRPr="00960497" w:rsidRDefault="00F56085" w:rsidP="00B3572A">
      <w:pPr>
        <w:pStyle w:val="ExhibitHeading"/>
        <w:rPr>
          <w:lang w:val="en-GB"/>
        </w:rPr>
      </w:pPr>
      <w:r w:rsidRPr="00960497">
        <w:rPr>
          <w:lang w:val="en-GB"/>
        </w:rPr>
        <w:lastRenderedPageBreak/>
        <w:t>Exhibit 1: Impendium Chemicals job cost Sheet</w:t>
      </w:r>
    </w:p>
    <w:p w14:paraId="262D0A75" w14:textId="27E596C2" w:rsidR="00F56085" w:rsidRPr="00960497" w:rsidRDefault="00F56085" w:rsidP="006A3FDD">
      <w:pPr>
        <w:pStyle w:val="casehead10"/>
        <w:rPr>
          <w:lang w:val="en-GB"/>
        </w:rPr>
      </w:pPr>
    </w:p>
    <w:tbl>
      <w:tblPr>
        <w:tblStyle w:val="TableSubtle2"/>
        <w:tblW w:w="10080" w:type="dxa"/>
        <w:tblLayout w:type="fixed"/>
        <w:tblLook w:val="0620" w:firstRow="1" w:lastRow="0" w:firstColumn="0" w:lastColumn="0" w:noHBand="1" w:noVBand="1"/>
        <w:tblDescription w:val="First table contains invoice header information, company name and contact information, invoice title, number and date, and recipient billing and shipping contact information; second table contains comment or special instructions, and third table contains salesperson name, purchase order number, requisitioner, shipped via, free on-board point, and terms"/>
      </w:tblPr>
      <w:tblGrid>
        <w:gridCol w:w="5032"/>
        <w:gridCol w:w="5048"/>
      </w:tblGrid>
      <w:tr w:rsidR="00F56085" w:rsidRPr="00960497" w14:paraId="7A7DAF19" w14:textId="77777777" w:rsidTr="00674F0D">
        <w:trPr>
          <w:cnfStyle w:val="100000000000" w:firstRow="1" w:lastRow="0" w:firstColumn="0" w:lastColumn="0" w:oddVBand="0" w:evenVBand="0" w:oddHBand="0" w:evenHBand="0" w:firstRowFirstColumn="0" w:firstRowLastColumn="0" w:lastRowFirstColumn="0" w:lastRowLastColumn="0"/>
          <w:trHeight w:val="1080"/>
        </w:trPr>
        <w:tc>
          <w:tcPr>
            <w:tcW w:w="5032" w:type="dxa"/>
          </w:tcPr>
          <w:p w14:paraId="28F6F1A6" w14:textId="538C08AB" w:rsidR="00F56085" w:rsidRPr="00960497" w:rsidRDefault="00F56085" w:rsidP="00674F0D">
            <w:pPr>
              <w:pStyle w:val="Heading1"/>
              <w:outlineLvl w:val="0"/>
              <w:rPr>
                <w:rFonts w:cs="Arial"/>
                <w:szCs w:val="20"/>
                <w:lang w:val="en-GB"/>
              </w:rPr>
            </w:pPr>
            <w:r w:rsidRPr="00960497">
              <w:rPr>
                <w:rFonts w:cs="Arial"/>
                <w:szCs w:val="20"/>
                <w:lang w:val="en-GB"/>
              </w:rPr>
              <w:br w:type="page"/>
            </w:r>
            <w:sdt>
              <w:sdtPr>
                <w:rPr>
                  <w:rFonts w:cs="Arial"/>
                  <w:szCs w:val="20"/>
                  <w:lang w:val="en-GB"/>
                </w:rPr>
                <w:alias w:val="Enter company name:"/>
                <w:tag w:val="Enter company name:"/>
                <w:id w:val="-1907209145"/>
                <w:placeholder>
                  <w:docPart w:val="7E03C23AFBAE44F89E189D31637A90C9"/>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3C51F9" w:rsidRPr="00960497">
                  <w:rPr>
                    <w:lang w:val="en-GB"/>
                  </w:rPr>
                  <w:t>Company Name</w:t>
                </w:r>
              </w:sdtContent>
            </w:sdt>
          </w:p>
          <w:p w14:paraId="24A12EE8" w14:textId="77777777" w:rsidR="00F56085" w:rsidRPr="00960497" w:rsidRDefault="00F56085" w:rsidP="00674F0D">
            <w:pPr>
              <w:rPr>
                <w:rFonts w:ascii="Arial" w:hAnsi="Arial" w:cs="Arial"/>
                <w:lang w:val="en-GB"/>
              </w:rPr>
            </w:pPr>
          </w:p>
        </w:tc>
        <w:tc>
          <w:tcPr>
            <w:tcW w:w="5048" w:type="dxa"/>
          </w:tcPr>
          <w:p w14:paraId="569141F3" w14:textId="7CA45B6F" w:rsidR="00F56085" w:rsidRPr="00960497" w:rsidRDefault="00F56085" w:rsidP="00246782">
            <w:pPr>
              <w:pStyle w:val="ExhibitNumber"/>
              <w:rPr>
                <w:lang w:val="en-GB"/>
              </w:rPr>
            </w:pPr>
            <w:r w:rsidRPr="00960497">
              <w:rPr>
                <w:lang w:val="en-GB"/>
              </w:rPr>
              <w:t xml:space="preserve">Job Cost </w:t>
            </w:r>
            <w:r w:rsidR="00507C0B">
              <w:rPr>
                <w:lang w:val="en-GB"/>
              </w:rPr>
              <w:t>Sheet</w:t>
            </w:r>
          </w:p>
          <w:p w14:paraId="1D9BEA4C" w14:textId="66015C23" w:rsidR="00F56085" w:rsidRPr="00960497" w:rsidRDefault="000D1556" w:rsidP="00674F0D">
            <w:pPr>
              <w:pStyle w:val="Heading2"/>
              <w:outlineLvl w:val="1"/>
              <w:rPr>
                <w:rFonts w:cs="Arial"/>
                <w:szCs w:val="20"/>
                <w:lang w:val="en-GB"/>
              </w:rPr>
            </w:pPr>
            <w:sdt>
              <w:sdtPr>
                <w:rPr>
                  <w:rFonts w:cs="Arial"/>
                  <w:szCs w:val="20"/>
                  <w:lang w:val="en-GB"/>
                </w:rPr>
                <w:alias w:val="Invoice number:"/>
                <w:tag w:val="Invoice number:"/>
                <w:id w:val="674689995"/>
                <w:placeholder>
                  <w:docPart w:val="E2059775D24946F38B5C79F1DF321F12"/>
                </w:placeholder>
                <w:temporary/>
                <w:showingPlcHdr/>
                <w15:appearance w15:val="hidden"/>
              </w:sdtPr>
              <w:sdtEndPr/>
              <w:sdtContent>
                <w:r w:rsidR="00F56085" w:rsidRPr="00960497">
                  <w:rPr>
                    <w:rFonts w:cs="Arial"/>
                    <w:szCs w:val="20"/>
                    <w:lang w:val="en-GB"/>
                  </w:rPr>
                  <w:t>Invoice #</w:t>
                </w:r>
              </w:sdtContent>
            </w:sdt>
            <w:sdt>
              <w:sdtPr>
                <w:rPr>
                  <w:rFonts w:cs="Arial"/>
                  <w:szCs w:val="20"/>
                  <w:lang w:val="en-GB"/>
                </w:rPr>
                <w:alias w:val="Enter invoice number:"/>
                <w:tag w:val="Enter invoice number:"/>
                <w:id w:val="95537078"/>
                <w:placeholder>
                  <w:docPart w:val="D020F791C5904F4D90C55D2489F54DC2"/>
                </w:placeholder>
                <w:temporary/>
                <w:showingPlcHdr/>
                <w15:appearance w15:val="hidden"/>
              </w:sdtPr>
              <w:sdtEndPr/>
              <w:sdtContent>
                <w:r w:rsidR="00F56085" w:rsidRPr="00960497">
                  <w:rPr>
                    <w:rFonts w:cs="Arial"/>
                    <w:szCs w:val="20"/>
                    <w:lang w:val="en-GB"/>
                  </w:rPr>
                  <w:t>100</w:t>
                </w:r>
              </w:sdtContent>
            </w:sdt>
          </w:p>
          <w:p w14:paraId="01782DB2" w14:textId="77777777" w:rsidR="00F56085" w:rsidRPr="00960497" w:rsidRDefault="000D1556" w:rsidP="00674F0D">
            <w:pPr>
              <w:pStyle w:val="Heading2"/>
              <w:outlineLvl w:val="1"/>
              <w:rPr>
                <w:rFonts w:cs="Arial"/>
                <w:szCs w:val="20"/>
                <w:lang w:val="en-GB"/>
              </w:rPr>
            </w:pPr>
            <w:sdt>
              <w:sdtPr>
                <w:rPr>
                  <w:rFonts w:cs="Arial"/>
                  <w:szCs w:val="20"/>
                  <w:lang w:val="en-GB"/>
                </w:rPr>
                <w:alias w:val="Date:"/>
                <w:tag w:val="Date:"/>
                <w:id w:val="677780987"/>
                <w:placeholder>
                  <w:docPart w:val="30D71EF75508473886796047E61B869E"/>
                </w:placeholder>
                <w:temporary/>
                <w:showingPlcHdr/>
                <w15:appearance w15:val="hidden"/>
              </w:sdtPr>
              <w:sdtEndPr/>
              <w:sdtContent>
                <w:r w:rsidR="00F56085" w:rsidRPr="00960497">
                  <w:rPr>
                    <w:rFonts w:cs="Arial"/>
                    <w:szCs w:val="20"/>
                    <w:lang w:val="en-GB"/>
                  </w:rPr>
                  <w:t>Date:</w:t>
                </w:r>
              </w:sdtContent>
            </w:sdt>
            <w:r w:rsidR="00F56085" w:rsidRPr="00960497">
              <w:rPr>
                <w:rFonts w:cs="Arial"/>
                <w:szCs w:val="20"/>
                <w:lang w:val="en-GB"/>
              </w:rPr>
              <w:t xml:space="preserve"> September 1, 2019</w:t>
            </w:r>
          </w:p>
        </w:tc>
      </w:tr>
      <w:tr w:rsidR="00F56085" w:rsidRPr="00960497" w14:paraId="0EB1E2F2" w14:textId="77777777" w:rsidTr="00674F0D">
        <w:trPr>
          <w:trHeight w:val="1215"/>
        </w:trPr>
        <w:tc>
          <w:tcPr>
            <w:tcW w:w="5032" w:type="dxa"/>
          </w:tcPr>
          <w:p w14:paraId="42B33D15" w14:textId="77777777" w:rsidR="00F56085" w:rsidRPr="00960497" w:rsidRDefault="000D1556" w:rsidP="00674F0D">
            <w:pPr>
              <w:pStyle w:val="Heading3"/>
              <w:outlineLvl w:val="2"/>
              <w:rPr>
                <w:rFonts w:ascii="Arial" w:hAnsi="Arial" w:cs="Arial"/>
                <w:lang w:val="en-GB"/>
              </w:rPr>
            </w:pPr>
            <w:sdt>
              <w:sdtPr>
                <w:rPr>
                  <w:rFonts w:ascii="Arial" w:hAnsi="Arial" w:cs="Arial"/>
                  <w:lang w:val="en-GB"/>
                </w:rPr>
                <w:alias w:val="To:"/>
                <w:tag w:val="To:"/>
                <w:id w:val="1990749598"/>
                <w:placeholder>
                  <w:docPart w:val="2A4042212F4044CB81CE8F599E52CD3D"/>
                </w:placeholder>
                <w:temporary/>
                <w:showingPlcHdr/>
                <w15:appearance w15:val="hidden"/>
              </w:sdtPr>
              <w:sdtEndPr/>
              <w:sdtContent>
                <w:r w:rsidR="00F56085" w:rsidRPr="00960497">
                  <w:rPr>
                    <w:rFonts w:ascii="Arial" w:hAnsi="Arial" w:cs="Arial"/>
                    <w:lang w:val="en-GB"/>
                  </w:rPr>
                  <w:t>To:</w:t>
                </w:r>
              </w:sdtContent>
            </w:sdt>
          </w:p>
          <w:p w14:paraId="713B1C54" w14:textId="45676C6C" w:rsidR="00F56085" w:rsidRPr="00960497" w:rsidRDefault="00F56085" w:rsidP="00674F0D">
            <w:pPr>
              <w:rPr>
                <w:rFonts w:ascii="Arial" w:hAnsi="Arial" w:cs="Arial"/>
                <w:lang w:val="en-GB"/>
              </w:rPr>
            </w:pPr>
            <w:r w:rsidRPr="00960497">
              <w:rPr>
                <w:rFonts w:ascii="Arial" w:hAnsi="Arial" w:cs="Arial"/>
                <w:lang w:val="en-GB"/>
              </w:rPr>
              <w:t xml:space="preserve">Impendium </w:t>
            </w:r>
            <w:r w:rsidR="00507C0B">
              <w:rPr>
                <w:rFonts w:ascii="Arial" w:hAnsi="Arial" w:cs="Arial"/>
                <w:lang w:val="en-GB"/>
              </w:rPr>
              <w:t>Chemicals</w:t>
            </w:r>
          </w:p>
          <w:p w14:paraId="03BAAA38" w14:textId="77777777" w:rsidR="00F56085" w:rsidRPr="00960497" w:rsidRDefault="00F56085" w:rsidP="00674F0D">
            <w:pPr>
              <w:rPr>
                <w:rFonts w:ascii="Arial" w:hAnsi="Arial" w:cs="Arial"/>
                <w:lang w:val="en-GB"/>
              </w:rPr>
            </w:pPr>
            <w:r w:rsidRPr="00960497">
              <w:rPr>
                <w:rFonts w:ascii="Arial" w:hAnsi="Arial" w:cs="Arial"/>
                <w:lang w:val="en-GB"/>
              </w:rPr>
              <w:t>1225 Industrial Parkway</w:t>
            </w:r>
          </w:p>
          <w:p w14:paraId="2B20E8CF" w14:textId="77777777" w:rsidR="00F56085" w:rsidRPr="00960497" w:rsidRDefault="00F56085" w:rsidP="00674F0D">
            <w:pPr>
              <w:rPr>
                <w:rFonts w:ascii="Arial" w:hAnsi="Arial" w:cs="Arial"/>
                <w:lang w:val="en-GB"/>
              </w:rPr>
            </w:pPr>
            <w:r w:rsidRPr="00960497">
              <w:rPr>
                <w:rFonts w:ascii="Arial" w:hAnsi="Arial" w:cs="Arial"/>
                <w:lang w:val="en-GB"/>
              </w:rPr>
              <w:t>Houston, TX</w:t>
            </w:r>
          </w:p>
          <w:p w14:paraId="28900519" w14:textId="77777777" w:rsidR="00F56085" w:rsidRPr="00960497" w:rsidRDefault="00F56085" w:rsidP="00674F0D">
            <w:pPr>
              <w:rPr>
                <w:rFonts w:ascii="Arial" w:hAnsi="Arial" w:cs="Arial"/>
                <w:lang w:val="en-GB"/>
              </w:rPr>
            </w:pPr>
            <w:r w:rsidRPr="00960497">
              <w:rPr>
                <w:rFonts w:ascii="Arial" w:hAnsi="Arial" w:cs="Arial"/>
                <w:lang w:val="en-GB"/>
              </w:rPr>
              <w:t>77029</w:t>
            </w:r>
          </w:p>
          <w:p w14:paraId="382056E4" w14:textId="77777777" w:rsidR="00F56085" w:rsidRPr="00960497" w:rsidRDefault="00F56085" w:rsidP="00674F0D">
            <w:pPr>
              <w:rPr>
                <w:rFonts w:ascii="Arial" w:hAnsi="Arial" w:cs="Arial"/>
                <w:lang w:val="en-GB"/>
              </w:rPr>
            </w:pPr>
          </w:p>
        </w:tc>
        <w:tc>
          <w:tcPr>
            <w:tcW w:w="5048" w:type="dxa"/>
          </w:tcPr>
          <w:p w14:paraId="4BB23541" w14:textId="77777777" w:rsidR="00F56085" w:rsidRPr="00960497" w:rsidRDefault="00F56085" w:rsidP="00674F0D">
            <w:pPr>
              <w:rPr>
                <w:rFonts w:ascii="Arial" w:hAnsi="Arial" w:cs="Arial"/>
                <w:lang w:val="en-GB"/>
              </w:rPr>
            </w:pPr>
          </w:p>
        </w:tc>
      </w:tr>
    </w:tbl>
    <w:p w14:paraId="595C19B5" w14:textId="77777777" w:rsidR="00F56085" w:rsidRPr="00960497" w:rsidRDefault="00F56085" w:rsidP="006A3FDD">
      <w:pPr>
        <w:pStyle w:val="ExhibitText"/>
        <w:rPr>
          <w:sz w:val="12"/>
          <w:szCs w:val="12"/>
          <w:lang w:val="en-GB"/>
        </w:rPr>
      </w:pPr>
    </w:p>
    <w:tbl>
      <w:tblPr>
        <w:tblStyle w:val="TableGrid"/>
        <w:tblW w:w="9355" w:type="dxa"/>
        <w:tblLayout w:type="fixed"/>
        <w:tblLook w:val="04A0" w:firstRow="1" w:lastRow="0" w:firstColumn="1" w:lastColumn="0" w:noHBand="0" w:noVBand="1"/>
      </w:tblPr>
      <w:tblGrid>
        <w:gridCol w:w="1255"/>
        <w:gridCol w:w="900"/>
        <w:gridCol w:w="1350"/>
        <w:gridCol w:w="1350"/>
        <w:gridCol w:w="1350"/>
        <w:gridCol w:w="1260"/>
        <w:gridCol w:w="1080"/>
        <w:gridCol w:w="810"/>
      </w:tblGrid>
      <w:tr w:rsidR="006A3FDD" w:rsidRPr="00960497" w14:paraId="22418A04" w14:textId="77777777" w:rsidTr="00136D05">
        <w:tc>
          <w:tcPr>
            <w:tcW w:w="1255" w:type="dxa"/>
            <w:tcBorders>
              <w:top w:val="single" w:sz="4" w:space="0" w:color="auto"/>
            </w:tcBorders>
            <w:vAlign w:val="center"/>
          </w:tcPr>
          <w:p w14:paraId="3D530CA5" w14:textId="77777777" w:rsidR="00F56085" w:rsidRPr="00960497" w:rsidRDefault="00F56085" w:rsidP="00136D05">
            <w:pPr>
              <w:pStyle w:val="casehead20"/>
              <w:rPr>
                <w:rFonts w:cs="Arial"/>
                <w:sz w:val="18"/>
                <w:szCs w:val="18"/>
                <w:lang w:val="en-GB"/>
              </w:rPr>
            </w:pPr>
            <w:r w:rsidRPr="00960497">
              <w:rPr>
                <w:rFonts w:cs="Arial"/>
                <w:sz w:val="18"/>
                <w:szCs w:val="18"/>
                <w:lang w:val="en-GB"/>
              </w:rPr>
              <w:t>Department</w:t>
            </w:r>
          </w:p>
        </w:tc>
        <w:tc>
          <w:tcPr>
            <w:tcW w:w="900" w:type="dxa"/>
            <w:tcBorders>
              <w:top w:val="single" w:sz="4" w:space="0" w:color="auto"/>
            </w:tcBorders>
            <w:vAlign w:val="center"/>
          </w:tcPr>
          <w:p w14:paraId="3618F241" w14:textId="77777777" w:rsidR="00F56085" w:rsidRPr="00960497" w:rsidRDefault="00F56085" w:rsidP="00136D05">
            <w:pPr>
              <w:pStyle w:val="casehead20"/>
              <w:jc w:val="center"/>
              <w:rPr>
                <w:rFonts w:cs="Arial"/>
                <w:sz w:val="18"/>
                <w:szCs w:val="18"/>
                <w:lang w:val="en-GB"/>
              </w:rPr>
            </w:pPr>
            <w:r w:rsidRPr="00960497">
              <w:rPr>
                <w:rFonts w:cs="Arial"/>
                <w:sz w:val="18"/>
                <w:szCs w:val="18"/>
                <w:lang w:val="en-GB"/>
              </w:rPr>
              <w:t>Volume (kt)</w:t>
            </w:r>
          </w:p>
        </w:tc>
        <w:tc>
          <w:tcPr>
            <w:tcW w:w="1350" w:type="dxa"/>
            <w:tcBorders>
              <w:top w:val="single" w:sz="4" w:space="0" w:color="auto"/>
            </w:tcBorders>
            <w:vAlign w:val="center"/>
          </w:tcPr>
          <w:p w14:paraId="7612790F" w14:textId="77777777" w:rsidR="00F56085" w:rsidRPr="00960497" w:rsidRDefault="00F56085" w:rsidP="00136D05">
            <w:pPr>
              <w:pStyle w:val="casehead20"/>
              <w:jc w:val="center"/>
              <w:rPr>
                <w:rFonts w:cs="Arial"/>
                <w:sz w:val="18"/>
                <w:szCs w:val="18"/>
                <w:lang w:val="en-GB"/>
              </w:rPr>
            </w:pPr>
            <w:r w:rsidRPr="00960497">
              <w:rPr>
                <w:rFonts w:cs="Arial"/>
                <w:sz w:val="18"/>
                <w:szCs w:val="18"/>
                <w:lang w:val="en-GB"/>
              </w:rPr>
              <w:t>Material Cost (per kt)</w:t>
            </w:r>
          </w:p>
        </w:tc>
        <w:tc>
          <w:tcPr>
            <w:tcW w:w="1350" w:type="dxa"/>
            <w:tcBorders>
              <w:top w:val="single" w:sz="4" w:space="0" w:color="auto"/>
            </w:tcBorders>
            <w:vAlign w:val="center"/>
          </w:tcPr>
          <w:p w14:paraId="3DBB1F4C" w14:textId="77777777" w:rsidR="00F56085" w:rsidRPr="00960497" w:rsidRDefault="00F56085" w:rsidP="00136D05">
            <w:pPr>
              <w:pStyle w:val="casehead20"/>
              <w:jc w:val="center"/>
              <w:rPr>
                <w:rFonts w:cs="Arial"/>
                <w:sz w:val="18"/>
                <w:szCs w:val="18"/>
                <w:lang w:val="en-GB"/>
              </w:rPr>
            </w:pPr>
            <w:r w:rsidRPr="00960497">
              <w:rPr>
                <w:rFonts w:cs="Arial"/>
                <w:sz w:val="18"/>
                <w:szCs w:val="18"/>
                <w:lang w:val="en-GB"/>
              </w:rPr>
              <w:t>Labour Rate (per kt)</w:t>
            </w:r>
          </w:p>
        </w:tc>
        <w:tc>
          <w:tcPr>
            <w:tcW w:w="1350" w:type="dxa"/>
            <w:tcBorders>
              <w:top w:val="single" w:sz="4" w:space="0" w:color="auto"/>
            </w:tcBorders>
            <w:vAlign w:val="center"/>
          </w:tcPr>
          <w:p w14:paraId="4EAC8159" w14:textId="77777777" w:rsidR="00F56085" w:rsidRPr="00960497" w:rsidRDefault="00F56085" w:rsidP="00136D05">
            <w:pPr>
              <w:pStyle w:val="casehead20"/>
              <w:jc w:val="center"/>
              <w:rPr>
                <w:rFonts w:cs="Arial"/>
                <w:sz w:val="18"/>
                <w:szCs w:val="18"/>
                <w:lang w:val="en-GB"/>
              </w:rPr>
            </w:pPr>
            <w:r w:rsidRPr="00960497">
              <w:rPr>
                <w:rFonts w:cs="Arial"/>
                <w:sz w:val="18"/>
                <w:szCs w:val="18"/>
                <w:lang w:val="en-GB"/>
              </w:rPr>
              <w:t>Depreciation Cost (per kt)</w:t>
            </w:r>
          </w:p>
        </w:tc>
        <w:tc>
          <w:tcPr>
            <w:tcW w:w="1260" w:type="dxa"/>
            <w:tcBorders>
              <w:top w:val="single" w:sz="4" w:space="0" w:color="auto"/>
            </w:tcBorders>
            <w:vAlign w:val="center"/>
          </w:tcPr>
          <w:p w14:paraId="4AEB0BE6" w14:textId="77777777" w:rsidR="00F56085" w:rsidRPr="00960497" w:rsidRDefault="00F56085" w:rsidP="00136D05">
            <w:pPr>
              <w:pStyle w:val="casehead20"/>
              <w:jc w:val="center"/>
              <w:rPr>
                <w:rFonts w:cs="Arial"/>
                <w:sz w:val="18"/>
                <w:szCs w:val="18"/>
                <w:lang w:val="en-GB"/>
              </w:rPr>
            </w:pPr>
            <w:r w:rsidRPr="00960497">
              <w:rPr>
                <w:rFonts w:cs="Arial"/>
                <w:sz w:val="18"/>
                <w:szCs w:val="18"/>
                <w:lang w:val="en-GB"/>
              </w:rPr>
              <w:t>Cost</w:t>
            </w:r>
          </w:p>
        </w:tc>
        <w:tc>
          <w:tcPr>
            <w:tcW w:w="1080" w:type="dxa"/>
            <w:tcBorders>
              <w:top w:val="single" w:sz="4" w:space="0" w:color="auto"/>
            </w:tcBorders>
            <w:vAlign w:val="center"/>
          </w:tcPr>
          <w:p w14:paraId="363444DB" w14:textId="77777777" w:rsidR="00F56085" w:rsidRPr="00960497" w:rsidRDefault="00F56085" w:rsidP="00136D05">
            <w:pPr>
              <w:pStyle w:val="casehead20"/>
              <w:jc w:val="center"/>
              <w:rPr>
                <w:rFonts w:cs="Arial"/>
                <w:sz w:val="18"/>
                <w:szCs w:val="18"/>
                <w:lang w:val="en-GB"/>
              </w:rPr>
            </w:pPr>
            <w:r w:rsidRPr="00960497">
              <w:rPr>
                <w:rFonts w:cs="Arial"/>
                <w:sz w:val="18"/>
                <w:szCs w:val="18"/>
                <w:lang w:val="en-GB"/>
              </w:rPr>
              <w:t>Overhead Applied</w:t>
            </w:r>
          </w:p>
        </w:tc>
        <w:tc>
          <w:tcPr>
            <w:tcW w:w="810" w:type="dxa"/>
            <w:tcBorders>
              <w:top w:val="single" w:sz="4" w:space="0" w:color="auto"/>
            </w:tcBorders>
            <w:vAlign w:val="center"/>
          </w:tcPr>
          <w:p w14:paraId="0E425848" w14:textId="77777777" w:rsidR="00F56085" w:rsidRPr="00960497" w:rsidRDefault="00F56085" w:rsidP="00136D05">
            <w:pPr>
              <w:pStyle w:val="casehead20"/>
              <w:ind w:right="149"/>
              <w:jc w:val="center"/>
              <w:rPr>
                <w:rFonts w:cs="Arial"/>
                <w:sz w:val="18"/>
                <w:szCs w:val="18"/>
                <w:lang w:val="en-GB"/>
              </w:rPr>
            </w:pPr>
            <w:r w:rsidRPr="00960497">
              <w:rPr>
                <w:rFonts w:cs="Arial"/>
                <w:sz w:val="18"/>
                <w:szCs w:val="18"/>
                <w:lang w:val="en-GB"/>
              </w:rPr>
              <w:t>Total</w:t>
            </w:r>
          </w:p>
        </w:tc>
      </w:tr>
      <w:tr w:rsidR="006A3FDD" w:rsidRPr="00960497" w14:paraId="38EC3617" w14:textId="77777777" w:rsidTr="00136D05">
        <w:tc>
          <w:tcPr>
            <w:tcW w:w="1255" w:type="dxa"/>
            <w:vAlign w:val="center"/>
          </w:tcPr>
          <w:p w14:paraId="47587659" w14:textId="77777777" w:rsidR="00F56085" w:rsidRPr="00960497" w:rsidRDefault="00F56085" w:rsidP="00136D05">
            <w:pPr>
              <w:pStyle w:val="BodyText"/>
              <w:spacing w:after="0"/>
              <w:rPr>
                <w:rFonts w:ascii="Arial" w:hAnsi="Arial" w:cs="Arial"/>
                <w:sz w:val="18"/>
                <w:szCs w:val="18"/>
                <w:lang w:val="en-GB"/>
              </w:rPr>
            </w:pPr>
            <w:r w:rsidRPr="00960497">
              <w:rPr>
                <w:rFonts w:ascii="Arial" w:hAnsi="Arial" w:cs="Arial"/>
                <w:sz w:val="18"/>
                <w:szCs w:val="18"/>
                <w:lang w:val="en-GB"/>
              </w:rPr>
              <w:t>US Basics</w:t>
            </w:r>
          </w:p>
        </w:tc>
        <w:tc>
          <w:tcPr>
            <w:tcW w:w="900" w:type="dxa"/>
            <w:vAlign w:val="center"/>
          </w:tcPr>
          <w:p w14:paraId="27C10555" w14:textId="77777777" w:rsidR="00F56085" w:rsidRPr="00960497" w:rsidRDefault="00F56085" w:rsidP="00136D05">
            <w:pPr>
              <w:pStyle w:val="BodyText"/>
              <w:tabs>
                <w:tab w:val="decimal" w:pos="641"/>
              </w:tabs>
              <w:spacing w:after="0"/>
              <w:jc w:val="right"/>
              <w:rPr>
                <w:rFonts w:ascii="Arial" w:hAnsi="Arial" w:cs="Arial"/>
                <w:sz w:val="18"/>
                <w:szCs w:val="18"/>
                <w:lang w:val="en-GB"/>
              </w:rPr>
            </w:pPr>
            <w:r w:rsidRPr="00960497">
              <w:rPr>
                <w:rFonts w:ascii="Arial" w:hAnsi="Arial" w:cs="Arial"/>
                <w:sz w:val="18"/>
                <w:szCs w:val="18"/>
                <w:lang w:val="en-GB"/>
              </w:rPr>
              <w:t>10.0</w:t>
            </w:r>
          </w:p>
        </w:tc>
        <w:tc>
          <w:tcPr>
            <w:tcW w:w="1350" w:type="dxa"/>
            <w:vAlign w:val="center"/>
          </w:tcPr>
          <w:p w14:paraId="32F64EEB" w14:textId="3309A2BF" w:rsidR="00F56085" w:rsidRPr="00960497" w:rsidRDefault="00F56085" w:rsidP="00136D05">
            <w:pPr>
              <w:pStyle w:val="BodyText"/>
              <w:tabs>
                <w:tab w:val="left" w:pos="162"/>
                <w:tab w:val="decimal" w:pos="788"/>
                <w:tab w:val="right" w:pos="1062"/>
              </w:tabs>
              <w:spacing w:after="0"/>
              <w:jc w:val="right"/>
              <w:rPr>
                <w:rFonts w:ascii="Arial" w:hAnsi="Arial" w:cs="Arial"/>
                <w:sz w:val="18"/>
                <w:szCs w:val="18"/>
                <w:lang w:val="en-GB"/>
              </w:rPr>
            </w:pPr>
            <w:r w:rsidRPr="00960497">
              <w:rPr>
                <w:rFonts w:ascii="Arial" w:hAnsi="Arial" w:cs="Arial"/>
                <w:sz w:val="18"/>
                <w:szCs w:val="18"/>
                <w:lang w:val="en-GB"/>
              </w:rPr>
              <w:t>$</w:t>
            </w:r>
            <w:r w:rsidR="00960497">
              <w:rPr>
                <w:rFonts w:ascii="Arial" w:hAnsi="Arial" w:cs="Arial"/>
                <w:sz w:val="18"/>
                <w:szCs w:val="18"/>
                <w:lang w:val="en-GB"/>
              </w:rPr>
              <w:t xml:space="preserve"> </w:t>
            </w:r>
            <w:r w:rsidRPr="00960497">
              <w:rPr>
                <w:rFonts w:ascii="Arial" w:hAnsi="Arial" w:cs="Arial"/>
                <w:sz w:val="18"/>
                <w:szCs w:val="18"/>
                <w:lang w:val="en-GB"/>
              </w:rPr>
              <w:t>585.00</w:t>
            </w:r>
          </w:p>
        </w:tc>
        <w:tc>
          <w:tcPr>
            <w:tcW w:w="1350" w:type="dxa"/>
            <w:vAlign w:val="center"/>
          </w:tcPr>
          <w:p w14:paraId="2E3E5A53" w14:textId="77777777" w:rsidR="00F56085" w:rsidRPr="00960497" w:rsidRDefault="00F56085" w:rsidP="00136D05">
            <w:pPr>
              <w:pStyle w:val="BodyText"/>
              <w:tabs>
                <w:tab w:val="left" w:pos="216"/>
                <w:tab w:val="decimal" w:pos="666"/>
              </w:tabs>
              <w:spacing w:after="0"/>
              <w:jc w:val="right"/>
              <w:rPr>
                <w:rFonts w:ascii="Arial" w:hAnsi="Arial" w:cs="Arial"/>
                <w:sz w:val="18"/>
                <w:szCs w:val="18"/>
                <w:lang w:val="en-GB"/>
              </w:rPr>
            </w:pPr>
            <w:r w:rsidRPr="00960497">
              <w:rPr>
                <w:rFonts w:ascii="Arial" w:hAnsi="Arial" w:cs="Arial"/>
                <w:sz w:val="18"/>
                <w:szCs w:val="18"/>
                <w:lang w:val="en-GB"/>
              </w:rPr>
              <w:t>$</w:t>
            </w:r>
            <w:r w:rsidRPr="00960497">
              <w:rPr>
                <w:rFonts w:ascii="Arial" w:hAnsi="Arial" w:cs="Arial"/>
                <w:sz w:val="18"/>
                <w:szCs w:val="18"/>
                <w:lang w:val="en-GB"/>
              </w:rPr>
              <w:tab/>
              <w:t>105.00</w:t>
            </w:r>
          </w:p>
        </w:tc>
        <w:tc>
          <w:tcPr>
            <w:tcW w:w="1350" w:type="dxa"/>
            <w:vAlign w:val="center"/>
          </w:tcPr>
          <w:p w14:paraId="291BEA89" w14:textId="77777777" w:rsidR="00F56085" w:rsidRPr="00960497" w:rsidRDefault="00F56085" w:rsidP="00136D05">
            <w:pPr>
              <w:pStyle w:val="BodyText"/>
              <w:tabs>
                <w:tab w:val="left" w:pos="216"/>
                <w:tab w:val="decimal" w:pos="666"/>
              </w:tabs>
              <w:spacing w:after="0"/>
              <w:jc w:val="right"/>
              <w:rPr>
                <w:rFonts w:ascii="Arial" w:hAnsi="Arial" w:cs="Arial"/>
                <w:sz w:val="18"/>
                <w:szCs w:val="18"/>
                <w:lang w:val="en-GB"/>
              </w:rPr>
            </w:pPr>
            <w:r w:rsidRPr="00960497">
              <w:rPr>
                <w:rFonts w:ascii="Arial" w:hAnsi="Arial" w:cs="Arial"/>
                <w:sz w:val="18"/>
                <w:szCs w:val="18"/>
                <w:lang w:val="en-GB"/>
              </w:rPr>
              <w:t>$</w:t>
            </w:r>
            <w:r w:rsidRPr="00960497">
              <w:rPr>
                <w:rFonts w:ascii="Arial" w:hAnsi="Arial" w:cs="Arial"/>
                <w:sz w:val="18"/>
                <w:szCs w:val="18"/>
                <w:lang w:val="en-GB"/>
              </w:rPr>
              <w:tab/>
              <w:t>415.00</w:t>
            </w:r>
          </w:p>
        </w:tc>
        <w:tc>
          <w:tcPr>
            <w:tcW w:w="1260" w:type="dxa"/>
            <w:vAlign w:val="center"/>
          </w:tcPr>
          <w:p w14:paraId="2F014F14" w14:textId="77777777" w:rsidR="00F56085" w:rsidRPr="00960497" w:rsidRDefault="00F56085" w:rsidP="00136D05">
            <w:pPr>
              <w:pStyle w:val="BodyText"/>
              <w:tabs>
                <w:tab w:val="left" w:pos="0"/>
                <w:tab w:val="decimal" w:pos="738"/>
              </w:tabs>
              <w:spacing w:after="0"/>
              <w:jc w:val="right"/>
              <w:rPr>
                <w:rFonts w:ascii="Arial" w:hAnsi="Arial" w:cs="Arial"/>
                <w:sz w:val="18"/>
                <w:szCs w:val="18"/>
                <w:lang w:val="en-GB"/>
              </w:rPr>
            </w:pPr>
            <w:r w:rsidRPr="00960497">
              <w:rPr>
                <w:rFonts w:ascii="Arial" w:hAnsi="Arial" w:cs="Arial"/>
                <w:sz w:val="18"/>
                <w:szCs w:val="18"/>
                <w:lang w:val="en-GB"/>
              </w:rPr>
              <w:t>$</w:t>
            </w:r>
            <w:r w:rsidRPr="00960497">
              <w:rPr>
                <w:rFonts w:ascii="Arial" w:hAnsi="Arial" w:cs="Arial"/>
                <w:sz w:val="18"/>
                <w:szCs w:val="18"/>
                <w:lang w:val="en-GB"/>
              </w:rPr>
              <w:tab/>
              <w:t>11,050.00</w:t>
            </w:r>
          </w:p>
        </w:tc>
        <w:tc>
          <w:tcPr>
            <w:tcW w:w="1080" w:type="dxa"/>
            <w:vAlign w:val="center"/>
          </w:tcPr>
          <w:p w14:paraId="60438CC7" w14:textId="77777777" w:rsidR="00F56085" w:rsidRPr="00960497" w:rsidRDefault="00F56085" w:rsidP="00136D05">
            <w:pPr>
              <w:pStyle w:val="BodyText"/>
              <w:spacing w:after="0"/>
              <w:jc w:val="right"/>
              <w:rPr>
                <w:rFonts w:ascii="Arial" w:hAnsi="Arial" w:cs="Arial"/>
                <w:sz w:val="18"/>
                <w:szCs w:val="18"/>
                <w:lang w:val="en-GB"/>
              </w:rPr>
            </w:pPr>
          </w:p>
        </w:tc>
        <w:tc>
          <w:tcPr>
            <w:tcW w:w="810" w:type="dxa"/>
            <w:vAlign w:val="center"/>
          </w:tcPr>
          <w:p w14:paraId="1A7C9852" w14:textId="77777777" w:rsidR="00F56085" w:rsidRPr="00960497" w:rsidRDefault="00F56085" w:rsidP="00136D05">
            <w:pPr>
              <w:pStyle w:val="BodyText"/>
              <w:spacing w:after="0"/>
              <w:ind w:right="149"/>
              <w:jc w:val="right"/>
              <w:rPr>
                <w:rFonts w:ascii="Arial" w:hAnsi="Arial" w:cs="Arial"/>
                <w:sz w:val="18"/>
                <w:szCs w:val="18"/>
                <w:lang w:val="en-GB"/>
              </w:rPr>
            </w:pPr>
          </w:p>
        </w:tc>
      </w:tr>
      <w:tr w:rsidR="006A3FDD" w:rsidRPr="00960497" w14:paraId="2472801C" w14:textId="77777777" w:rsidTr="00136D05">
        <w:tc>
          <w:tcPr>
            <w:tcW w:w="1255" w:type="dxa"/>
            <w:vAlign w:val="center"/>
          </w:tcPr>
          <w:p w14:paraId="58E3E1F4" w14:textId="77777777" w:rsidR="00F56085" w:rsidRPr="00960497" w:rsidRDefault="00F56085" w:rsidP="00136D05">
            <w:pPr>
              <w:pStyle w:val="BodyText"/>
              <w:spacing w:after="0"/>
              <w:rPr>
                <w:rFonts w:ascii="Arial" w:hAnsi="Arial" w:cs="Arial"/>
                <w:sz w:val="18"/>
                <w:szCs w:val="18"/>
                <w:lang w:val="en-GB"/>
              </w:rPr>
            </w:pPr>
            <w:r w:rsidRPr="00960497">
              <w:rPr>
                <w:rFonts w:ascii="Arial" w:hAnsi="Arial" w:cs="Arial"/>
                <w:sz w:val="18"/>
                <w:szCs w:val="18"/>
                <w:lang w:val="en-GB"/>
              </w:rPr>
              <w:t>Germany Basics</w:t>
            </w:r>
          </w:p>
        </w:tc>
        <w:tc>
          <w:tcPr>
            <w:tcW w:w="900" w:type="dxa"/>
            <w:vAlign w:val="center"/>
          </w:tcPr>
          <w:p w14:paraId="39602010" w14:textId="77777777" w:rsidR="00F56085" w:rsidRPr="00960497" w:rsidRDefault="00F56085" w:rsidP="00136D05">
            <w:pPr>
              <w:pStyle w:val="BodyText"/>
              <w:tabs>
                <w:tab w:val="decimal" w:pos="641"/>
              </w:tabs>
              <w:spacing w:after="0"/>
              <w:jc w:val="right"/>
              <w:rPr>
                <w:rFonts w:ascii="Arial" w:hAnsi="Arial" w:cs="Arial"/>
                <w:sz w:val="18"/>
                <w:szCs w:val="18"/>
                <w:lang w:val="en-GB"/>
              </w:rPr>
            </w:pPr>
            <w:r w:rsidRPr="00960497">
              <w:rPr>
                <w:rFonts w:ascii="Arial" w:hAnsi="Arial" w:cs="Arial"/>
                <w:sz w:val="18"/>
                <w:szCs w:val="18"/>
                <w:lang w:val="en-GB"/>
              </w:rPr>
              <w:t>15.0</w:t>
            </w:r>
          </w:p>
        </w:tc>
        <w:tc>
          <w:tcPr>
            <w:tcW w:w="1350" w:type="dxa"/>
            <w:vAlign w:val="center"/>
          </w:tcPr>
          <w:p w14:paraId="37BAD829" w14:textId="77777777" w:rsidR="00F56085" w:rsidRPr="00960497" w:rsidRDefault="00F56085" w:rsidP="00136D05">
            <w:pPr>
              <w:pStyle w:val="BodyText"/>
              <w:tabs>
                <w:tab w:val="left" w:pos="162"/>
                <w:tab w:val="decimal" w:pos="788"/>
                <w:tab w:val="right" w:pos="1062"/>
              </w:tabs>
              <w:spacing w:after="0"/>
              <w:jc w:val="right"/>
              <w:rPr>
                <w:rFonts w:ascii="Arial" w:hAnsi="Arial" w:cs="Arial"/>
                <w:sz w:val="18"/>
                <w:szCs w:val="18"/>
                <w:lang w:val="en-GB"/>
              </w:rPr>
            </w:pPr>
            <w:r w:rsidRPr="00960497">
              <w:rPr>
                <w:rFonts w:ascii="Arial" w:hAnsi="Arial" w:cs="Arial"/>
                <w:sz w:val="18"/>
                <w:szCs w:val="18"/>
                <w:lang w:val="en-GB"/>
              </w:rPr>
              <w:t>$1,125.00</w:t>
            </w:r>
          </w:p>
        </w:tc>
        <w:tc>
          <w:tcPr>
            <w:tcW w:w="1350" w:type="dxa"/>
            <w:vAlign w:val="center"/>
          </w:tcPr>
          <w:p w14:paraId="16036846" w14:textId="77777777" w:rsidR="00F56085" w:rsidRPr="00960497" w:rsidRDefault="00F56085" w:rsidP="00136D05">
            <w:pPr>
              <w:pStyle w:val="BodyText"/>
              <w:tabs>
                <w:tab w:val="left" w:pos="216"/>
                <w:tab w:val="decimal" w:pos="666"/>
              </w:tabs>
              <w:spacing w:after="0"/>
              <w:jc w:val="right"/>
              <w:rPr>
                <w:rFonts w:ascii="Arial" w:hAnsi="Arial" w:cs="Arial"/>
                <w:sz w:val="18"/>
                <w:szCs w:val="18"/>
                <w:lang w:val="en-GB"/>
              </w:rPr>
            </w:pPr>
            <w:r w:rsidRPr="00960497">
              <w:rPr>
                <w:rFonts w:ascii="Arial" w:hAnsi="Arial" w:cs="Arial"/>
                <w:sz w:val="18"/>
                <w:szCs w:val="18"/>
                <w:lang w:val="en-GB"/>
              </w:rPr>
              <w:t>$</w:t>
            </w:r>
            <w:r w:rsidRPr="00960497">
              <w:rPr>
                <w:rFonts w:ascii="Arial" w:hAnsi="Arial" w:cs="Arial"/>
                <w:sz w:val="18"/>
                <w:szCs w:val="18"/>
                <w:lang w:val="en-GB"/>
              </w:rPr>
              <w:tab/>
              <w:t>150.00</w:t>
            </w:r>
          </w:p>
        </w:tc>
        <w:tc>
          <w:tcPr>
            <w:tcW w:w="1350" w:type="dxa"/>
            <w:vAlign w:val="center"/>
          </w:tcPr>
          <w:p w14:paraId="1BC414EE" w14:textId="77777777" w:rsidR="00F56085" w:rsidRPr="00960497" w:rsidRDefault="00F56085" w:rsidP="00136D05">
            <w:pPr>
              <w:pStyle w:val="BodyText"/>
              <w:tabs>
                <w:tab w:val="left" w:pos="216"/>
                <w:tab w:val="decimal" w:pos="666"/>
              </w:tabs>
              <w:spacing w:after="0"/>
              <w:jc w:val="right"/>
              <w:rPr>
                <w:rFonts w:ascii="Arial" w:hAnsi="Arial" w:cs="Arial"/>
                <w:sz w:val="18"/>
                <w:szCs w:val="18"/>
                <w:lang w:val="en-GB"/>
              </w:rPr>
            </w:pPr>
            <w:r w:rsidRPr="00960497">
              <w:rPr>
                <w:rFonts w:ascii="Arial" w:hAnsi="Arial" w:cs="Arial"/>
                <w:sz w:val="18"/>
                <w:szCs w:val="18"/>
                <w:lang w:val="en-GB"/>
              </w:rPr>
              <w:t>$</w:t>
            </w:r>
            <w:r w:rsidRPr="00960497">
              <w:rPr>
                <w:rFonts w:ascii="Arial" w:hAnsi="Arial" w:cs="Arial"/>
                <w:sz w:val="18"/>
                <w:szCs w:val="18"/>
                <w:lang w:val="en-GB"/>
              </w:rPr>
              <w:tab/>
              <w:t>275.00</w:t>
            </w:r>
          </w:p>
        </w:tc>
        <w:tc>
          <w:tcPr>
            <w:tcW w:w="1260" w:type="dxa"/>
            <w:vAlign w:val="center"/>
          </w:tcPr>
          <w:p w14:paraId="4C63BD96" w14:textId="77777777" w:rsidR="00F56085" w:rsidRPr="00960497" w:rsidRDefault="00F56085" w:rsidP="00136D05">
            <w:pPr>
              <w:pStyle w:val="BodyText"/>
              <w:tabs>
                <w:tab w:val="left" w:pos="185"/>
                <w:tab w:val="decimal" w:pos="738"/>
              </w:tabs>
              <w:spacing w:after="0"/>
              <w:jc w:val="right"/>
              <w:rPr>
                <w:rFonts w:ascii="Arial" w:hAnsi="Arial" w:cs="Arial"/>
                <w:sz w:val="18"/>
                <w:szCs w:val="18"/>
                <w:lang w:val="en-GB"/>
              </w:rPr>
            </w:pPr>
            <w:r w:rsidRPr="00960497">
              <w:rPr>
                <w:rFonts w:ascii="Arial" w:hAnsi="Arial" w:cs="Arial"/>
                <w:sz w:val="18"/>
                <w:szCs w:val="18"/>
                <w:lang w:val="en-GB"/>
              </w:rPr>
              <w:t>$</w:t>
            </w:r>
            <w:r w:rsidRPr="00960497">
              <w:rPr>
                <w:rFonts w:ascii="Arial" w:hAnsi="Arial" w:cs="Arial"/>
                <w:sz w:val="18"/>
                <w:szCs w:val="18"/>
                <w:lang w:val="en-GB"/>
              </w:rPr>
              <w:tab/>
              <w:t>23,250.00</w:t>
            </w:r>
          </w:p>
        </w:tc>
        <w:tc>
          <w:tcPr>
            <w:tcW w:w="1080" w:type="dxa"/>
            <w:vAlign w:val="center"/>
          </w:tcPr>
          <w:p w14:paraId="296CF624" w14:textId="77777777" w:rsidR="00F56085" w:rsidRPr="00960497" w:rsidRDefault="00F56085" w:rsidP="00136D05">
            <w:pPr>
              <w:pStyle w:val="BodyText"/>
              <w:spacing w:after="0"/>
              <w:jc w:val="right"/>
              <w:rPr>
                <w:rFonts w:ascii="Arial" w:hAnsi="Arial" w:cs="Arial"/>
                <w:sz w:val="18"/>
                <w:szCs w:val="18"/>
                <w:lang w:val="en-GB"/>
              </w:rPr>
            </w:pPr>
          </w:p>
        </w:tc>
        <w:tc>
          <w:tcPr>
            <w:tcW w:w="810" w:type="dxa"/>
            <w:vAlign w:val="center"/>
          </w:tcPr>
          <w:p w14:paraId="542B83F7" w14:textId="77777777" w:rsidR="00F56085" w:rsidRPr="00960497" w:rsidRDefault="00F56085" w:rsidP="00136D05">
            <w:pPr>
              <w:pStyle w:val="BodyText"/>
              <w:spacing w:after="0"/>
              <w:ind w:right="149"/>
              <w:jc w:val="right"/>
              <w:rPr>
                <w:rFonts w:ascii="Arial" w:hAnsi="Arial" w:cs="Arial"/>
                <w:sz w:val="18"/>
                <w:szCs w:val="18"/>
                <w:lang w:val="en-GB"/>
              </w:rPr>
            </w:pPr>
          </w:p>
        </w:tc>
      </w:tr>
      <w:tr w:rsidR="006A3FDD" w:rsidRPr="00960497" w14:paraId="7336F140" w14:textId="77777777" w:rsidTr="00136D05">
        <w:tc>
          <w:tcPr>
            <w:tcW w:w="1255" w:type="dxa"/>
            <w:vAlign w:val="center"/>
          </w:tcPr>
          <w:p w14:paraId="57A982CB" w14:textId="77777777" w:rsidR="00F56085" w:rsidRPr="00960497" w:rsidRDefault="00F56085" w:rsidP="00136D05">
            <w:pPr>
              <w:pStyle w:val="BodyText"/>
              <w:spacing w:after="0"/>
              <w:rPr>
                <w:rFonts w:ascii="Arial" w:hAnsi="Arial" w:cs="Arial"/>
                <w:sz w:val="18"/>
                <w:szCs w:val="18"/>
                <w:lang w:val="en-GB"/>
              </w:rPr>
            </w:pPr>
            <w:r w:rsidRPr="00960497">
              <w:rPr>
                <w:rFonts w:ascii="Arial" w:hAnsi="Arial" w:cs="Arial"/>
                <w:sz w:val="18"/>
                <w:szCs w:val="18"/>
                <w:lang w:val="en-GB"/>
              </w:rPr>
              <w:t>Germany Specialties</w:t>
            </w:r>
          </w:p>
        </w:tc>
        <w:tc>
          <w:tcPr>
            <w:tcW w:w="900" w:type="dxa"/>
            <w:vAlign w:val="center"/>
          </w:tcPr>
          <w:p w14:paraId="1D0B90AC" w14:textId="13B53ACD" w:rsidR="00F56085" w:rsidRPr="00960497" w:rsidRDefault="00960497" w:rsidP="00136D05">
            <w:pPr>
              <w:pStyle w:val="BodyText"/>
              <w:tabs>
                <w:tab w:val="decimal" w:pos="641"/>
              </w:tabs>
              <w:spacing w:after="0"/>
              <w:jc w:val="right"/>
              <w:rPr>
                <w:rFonts w:ascii="Arial" w:hAnsi="Arial" w:cs="Arial"/>
                <w:sz w:val="18"/>
                <w:szCs w:val="18"/>
                <w:u w:val="single"/>
                <w:lang w:val="en-GB"/>
              </w:rPr>
            </w:pPr>
            <w:r>
              <w:rPr>
                <w:rFonts w:ascii="Arial" w:hAnsi="Arial" w:cs="Arial"/>
                <w:sz w:val="18"/>
                <w:szCs w:val="18"/>
                <w:u w:val="single"/>
                <w:lang w:val="en-GB"/>
              </w:rPr>
              <w:t xml:space="preserve"> </w:t>
            </w:r>
            <w:r w:rsidR="00F56085" w:rsidRPr="00960497">
              <w:rPr>
                <w:rFonts w:ascii="Arial" w:hAnsi="Arial" w:cs="Arial"/>
                <w:sz w:val="18"/>
                <w:szCs w:val="18"/>
                <w:u w:val="single"/>
                <w:lang w:val="en-GB"/>
              </w:rPr>
              <w:t>1.0</w:t>
            </w:r>
          </w:p>
        </w:tc>
        <w:tc>
          <w:tcPr>
            <w:tcW w:w="1350" w:type="dxa"/>
            <w:vAlign w:val="center"/>
          </w:tcPr>
          <w:p w14:paraId="5FB9D1AD" w14:textId="77777777" w:rsidR="00F56085" w:rsidRPr="00960497" w:rsidRDefault="00F56085" w:rsidP="00136D05">
            <w:pPr>
              <w:pStyle w:val="BodyText"/>
              <w:tabs>
                <w:tab w:val="left" w:pos="162"/>
                <w:tab w:val="decimal" w:pos="749"/>
                <w:tab w:val="decimal" w:pos="788"/>
                <w:tab w:val="right" w:pos="1062"/>
              </w:tabs>
              <w:spacing w:after="0"/>
              <w:jc w:val="right"/>
              <w:rPr>
                <w:rFonts w:ascii="Arial" w:hAnsi="Arial" w:cs="Arial"/>
                <w:sz w:val="18"/>
                <w:szCs w:val="18"/>
                <w:u w:val="single"/>
                <w:lang w:val="en-GB"/>
              </w:rPr>
            </w:pPr>
            <w:r w:rsidRPr="00960497">
              <w:rPr>
                <w:rFonts w:ascii="Arial" w:hAnsi="Arial" w:cs="Arial"/>
                <w:sz w:val="18"/>
                <w:szCs w:val="18"/>
                <w:u w:val="single"/>
                <w:lang w:val="en-GB"/>
              </w:rPr>
              <w:t>$1,698.00</w:t>
            </w:r>
          </w:p>
        </w:tc>
        <w:tc>
          <w:tcPr>
            <w:tcW w:w="1350" w:type="dxa"/>
            <w:vAlign w:val="center"/>
          </w:tcPr>
          <w:p w14:paraId="76ADC6B7" w14:textId="77777777" w:rsidR="00F56085" w:rsidRPr="00960497" w:rsidRDefault="00F56085" w:rsidP="00136D05">
            <w:pPr>
              <w:pStyle w:val="BodyText"/>
              <w:tabs>
                <w:tab w:val="left" w:pos="216"/>
                <w:tab w:val="decimal" w:pos="666"/>
              </w:tabs>
              <w:spacing w:after="0"/>
              <w:jc w:val="right"/>
              <w:rPr>
                <w:rFonts w:ascii="Arial" w:hAnsi="Arial" w:cs="Arial"/>
                <w:sz w:val="18"/>
                <w:szCs w:val="18"/>
                <w:u w:val="single"/>
                <w:lang w:val="en-GB"/>
              </w:rPr>
            </w:pPr>
            <w:r w:rsidRPr="00960497">
              <w:rPr>
                <w:rFonts w:ascii="Arial" w:hAnsi="Arial" w:cs="Arial"/>
                <w:sz w:val="18"/>
                <w:szCs w:val="18"/>
                <w:lang w:val="en-GB"/>
              </w:rPr>
              <w:t>$</w:t>
            </w:r>
            <w:r w:rsidRPr="00960497">
              <w:rPr>
                <w:rFonts w:ascii="Arial" w:hAnsi="Arial" w:cs="Arial"/>
                <w:sz w:val="18"/>
                <w:szCs w:val="18"/>
                <w:u w:val="single"/>
                <w:lang w:val="en-GB"/>
              </w:rPr>
              <w:tab/>
              <w:t>550.00</w:t>
            </w:r>
          </w:p>
        </w:tc>
        <w:tc>
          <w:tcPr>
            <w:tcW w:w="1350" w:type="dxa"/>
            <w:vAlign w:val="center"/>
          </w:tcPr>
          <w:p w14:paraId="03AD57C4" w14:textId="77777777" w:rsidR="00F56085" w:rsidRPr="00960497" w:rsidRDefault="00F56085" w:rsidP="00136D05">
            <w:pPr>
              <w:pStyle w:val="BodyText"/>
              <w:tabs>
                <w:tab w:val="left" w:pos="216"/>
                <w:tab w:val="decimal" w:pos="666"/>
              </w:tabs>
              <w:spacing w:after="0"/>
              <w:jc w:val="right"/>
              <w:rPr>
                <w:rFonts w:ascii="Arial" w:hAnsi="Arial" w:cs="Arial"/>
                <w:sz w:val="18"/>
                <w:szCs w:val="18"/>
                <w:u w:val="single"/>
                <w:lang w:val="en-GB"/>
              </w:rPr>
            </w:pPr>
            <w:r w:rsidRPr="00960497">
              <w:rPr>
                <w:rFonts w:ascii="Arial" w:hAnsi="Arial" w:cs="Arial"/>
                <w:sz w:val="18"/>
                <w:szCs w:val="18"/>
                <w:lang w:val="en-GB"/>
              </w:rPr>
              <w:t>$</w:t>
            </w:r>
            <w:r w:rsidRPr="00960497">
              <w:rPr>
                <w:rFonts w:ascii="Arial" w:hAnsi="Arial" w:cs="Arial"/>
                <w:sz w:val="18"/>
                <w:szCs w:val="18"/>
                <w:u w:val="single"/>
                <w:lang w:val="en-GB"/>
              </w:rPr>
              <w:tab/>
              <w:t>325.00</w:t>
            </w:r>
          </w:p>
        </w:tc>
        <w:tc>
          <w:tcPr>
            <w:tcW w:w="1260" w:type="dxa"/>
            <w:vAlign w:val="center"/>
          </w:tcPr>
          <w:p w14:paraId="2C0CA24B" w14:textId="77777777" w:rsidR="00F56085" w:rsidRPr="00960497" w:rsidRDefault="00F56085" w:rsidP="00136D05">
            <w:pPr>
              <w:pStyle w:val="BodyText"/>
              <w:tabs>
                <w:tab w:val="left" w:pos="185"/>
                <w:tab w:val="decimal" w:pos="738"/>
              </w:tabs>
              <w:spacing w:after="0"/>
              <w:jc w:val="right"/>
              <w:rPr>
                <w:rFonts w:ascii="Arial" w:hAnsi="Arial" w:cs="Arial"/>
                <w:sz w:val="18"/>
                <w:szCs w:val="18"/>
                <w:u w:val="single"/>
                <w:lang w:val="en-GB"/>
              </w:rPr>
            </w:pPr>
            <w:r w:rsidRPr="00960497">
              <w:rPr>
                <w:rFonts w:ascii="Arial" w:hAnsi="Arial" w:cs="Arial"/>
                <w:sz w:val="18"/>
                <w:szCs w:val="18"/>
                <w:u w:val="single"/>
                <w:lang w:val="en-GB"/>
              </w:rPr>
              <w:t>$</w:t>
            </w:r>
            <w:r w:rsidRPr="00960497">
              <w:rPr>
                <w:rFonts w:ascii="Arial" w:hAnsi="Arial" w:cs="Arial"/>
                <w:sz w:val="18"/>
                <w:szCs w:val="18"/>
                <w:u w:val="single"/>
                <w:lang w:val="en-GB"/>
              </w:rPr>
              <w:tab/>
            </w:r>
            <w:r w:rsidRPr="00960497">
              <w:rPr>
                <w:rFonts w:ascii="Arial" w:hAnsi="Arial" w:cs="Arial"/>
                <w:sz w:val="18"/>
                <w:szCs w:val="18"/>
                <w:u w:val="single"/>
                <w:lang w:val="en-GB"/>
              </w:rPr>
              <w:tab/>
              <w:t>2,573.00</w:t>
            </w:r>
          </w:p>
        </w:tc>
        <w:tc>
          <w:tcPr>
            <w:tcW w:w="1080" w:type="dxa"/>
            <w:vAlign w:val="center"/>
          </w:tcPr>
          <w:p w14:paraId="7BBAD189" w14:textId="77777777" w:rsidR="00F56085" w:rsidRPr="00960497" w:rsidRDefault="00F56085" w:rsidP="00136D05">
            <w:pPr>
              <w:pStyle w:val="BodyText"/>
              <w:spacing w:after="0"/>
              <w:jc w:val="right"/>
              <w:rPr>
                <w:rFonts w:ascii="Arial" w:hAnsi="Arial" w:cs="Arial"/>
                <w:sz w:val="18"/>
                <w:szCs w:val="18"/>
                <w:lang w:val="en-GB"/>
              </w:rPr>
            </w:pPr>
          </w:p>
        </w:tc>
        <w:tc>
          <w:tcPr>
            <w:tcW w:w="810" w:type="dxa"/>
            <w:vAlign w:val="center"/>
          </w:tcPr>
          <w:p w14:paraId="4905811C" w14:textId="77777777" w:rsidR="00F56085" w:rsidRPr="00960497" w:rsidRDefault="00F56085" w:rsidP="00136D05">
            <w:pPr>
              <w:pStyle w:val="BodyText"/>
              <w:spacing w:after="0"/>
              <w:ind w:right="149"/>
              <w:jc w:val="right"/>
              <w:rPr>
                <w:rFonts w:ascii="Arial" w:hAnsi="Arial" w:cs="Arial"/>
                <w:sz w:val="18"/>
                <w:szCs w:val="18"/>
                <w:lang w:val="en-GB"/>
              </w:rPr>
            </w:pPr>
          </w:p>
        </w:tc>
      </w:tr>
      <w:tr w:rsidR="006A3FDD" w:rsidRPr="00960497" w14:paraId="631ABF82" w14:textId="77777777" w:rsidTr="00136D05">
        <w:trPr>
          <w:trHeight w:val="71"/>
        </w:trPr>
        <w:tc>
          <w:tcPr>
            <w:tcW w:w="1255" w:type="dxa"/>
            <w:vAlign w:val="center"/>
          </w:tcPr>
          <w:p w14:paraId="1DD21B8A" w14:textId="77777777" w:rsidR="00F56085" w:rsidRPr="00960497" w:rsidRDefault="00F56085" w:rsidP="00136D05">
            <w:pPr>
              <w:pStyle w:val="BodyText"/>
              <w:spacing w:after="0"/>
              <w:rPr>
                <w:rFonts w:ascii="Arial" w:hAnsi="Arial" w:cs="Arial"/>
                <w:sz w:val="18"/>
                <w:szCs w:val="18"/>
                <w:lang w:val="en-GB"/>
              </w:rPr>
            </w:pPr>
            <w:r w:rsidRPr="00960497">
              <w:rPr>
                <w:rFonts w:ascii="Arial" w:hAnsi="Arial" w:cs="Arial"/>
                <w:sz w:val="18"/>
                <w:szCs w:val="18"/>
                <w:lang w:val="en-GB"/>
              </w:rPr>
              <w:t>Total</w:t>
            </w:r>
          </w:p>
        </w:tc>
        <w:tc>
          <w:tcPr>
            <w:tcW w:w="900" w:type="dxa"/>
            <w:vAlign w:val="center"/>
          </w:tcPr>
          <w:p w14:paraId="20773734" w14:textId="77777777" w:rsidR="00F56085" w:rsidRPr="00960497" w:rsidRDefault="00F56085" w:rsidP="00136D05">
            <w:pPr>
              <w:pStyle w:val="BodyText"/>
              <w:tabs>
                <w:tab w:val="decimal" w:pos="641"/>
              </w:tabs>
              <w:spacing w:after="0"/>
              <w:jc w:val="right"/>
              <w:rPr>
                <w:rFonts w:ascii="Arial" w:hAnsi="Arial" w:cs="Arial"/>
                <w:sz w:val="18"/>
                <w:szCs w:val="18"/>
                <w:lang w:val="en-GB"/>
              </w:rPr>
            </w:pPr>
            <w:r w:rsidRPr="00960497">
              <w:rPr>
                <w:rFonts w:ascii="Arial" w:hAnsi="Arial" w:cs="Arial"/>
                <w:sz w:val="18"/>
                <w:szCs w:val="18"/>
                <w:lang w:val="en-GB"/>
              </w:rPr>
              <w:t>26.0</w:t>
            </w:r>
          </w:p>
        </w:tc>
        <w:tc>
          <w:tcPr>
            <w:tcW w:w="1350" w:type="dxa"/>
            <w:vAlign w:val="center"/>
          </w:tcPr>
          <w:p w14:paraId="188D96F7" w14:textId="77777777" w:rsidR="00F56085" w:rsidRPr="00960497" w:rsidRDefault="00F56085" w:rsidP="00136D05">
            <w:pPr>
              <w:pStyle w:val="BodyText"/>
              <w:tabs>
                <w:tab w:val="left" w:pos="162"/>
                <w:tab w:val="decimal" w:pos="749"/>
              </w:tabs>
              <w:spacing w:after="0"/>
              <w:jc w:val="right"/>
              <w:rPr>
                <w:rFonts w:ascii="Arial" w:hAnsi="Arial" w:cs="Arial"/>
                <w:sz w:val="18"/>
                <w:szCs w:val="18"/>
                <w:lang w:val="en-GB"/>
              </w:rPr>
            </w:pPr>
            <w:r w:rsidRPr="00960497">
              <w:rPr>
                <w:rFonts w:ascii="Arial" w:hAnsi="Arial" w:cs="Arial"/>
                <w:sz w:val="18"/>
                <w:szCs w:val="18"/>
                <w:lang w:val="en-GB"/>
              </w:rPr>
              <w:t>––</w:t>
            </w:r>
          </w:p>
        </w:tc>
        <w:tc>
          <w:tcPr>
            <w:tcW w:w="1350" w:type="dxa"/>
            <w:vAlign w:val="center"/>
          </w:tcPr>
          <w:p w14:paraId="0AE549BD" w14:textId="77777777" w:rsidR="00F56085" w:rsidRPr="00960497" w:rsidRDefault="00F56085" w:rsidP="00136D05">
            <w:pPr>
              <w:pStyle w:val="BodyText"/>
              <w:tabs>
                <w:tab w:val="left" w:pos="216"/>
                <w:tab w:val="decimal" w:pos="666"/>
              </w:tabs>
              <w:spacing w:after="0"/>
              <w:jc w:val="right"/>
              <w:rPr>
                <w:rFonts w:ascii="Arial" w:hAnsi="Arial" w:cs="Arial"/>
                <w:sz w:val="18"/>
                <w:szCs w:val="18"/>
                <w:lang w:val="en-GB"/>
              </w:rPr>
            </w:pPr>
            <w:r w:rsidRPr="00960497">
              <w:rPr>
                <w:rFonts w:ascii="Arial" w:hAnsi="Arial" w:cs="Arial"/>
                <w:sz w:val="18"/>
                <w:szCs w:val="18"/>
                <w:lang w:val="en-GB"/>
              </w:rPr>
              <w:t>––</w:t>
            </w:r>
          </w:p>
        </w:tc>
        <w:tc>
          <w:tcPr>
            <w:tcW w:w="1350" w:type="dxa"/>
            <w:vAlign w:val="center"/>
          </w:tcPr>
          <w:p w14:paraId="194AA07E" w14:textId="77777777" w:rsidR="00F56085" w:rsidRPr="00960497" w:rsidRDefault="00F56085" w:rsidP="00136D05">
            <w:pPr>
              <w:pStyle w:val="BodyText"/>
              <w:tabs>
                <w:tab w:val="left" w:pos="216"/>
                <w:tab w:val="decimal" w:pos="666"/>
              </w:tabs>
              <w:spacing w:after="0"/>
              <w:jc w:val="right"/>
              <w:rPr>
                <w:rFonts w:ascii="Arial" w:hAnsi="Arial" w:cs="Arial"/>
                <w:sz w:val="18"/>
                <w:szCs w:val="18"/>
                <w:lang w:val="en-GB"/>
              </w:rPr>
            </w:pPr>
            <w:r w:rsidRPr="00960497">
              <w:rPr>
                <w:rFonts w:ascii="Arial" w:hAnsi="Arial" w:cs="Arial"/>
                <w:sz w:val="18"/>
                <w:szCs w:val="18"/>
                <w:lang w:val="en-GB"/>
              </w:rPr>
              <w:t>––</w:t>
            </w:r>
          </w:p>
        </w:tc>
        <w:tc>
          <w:tcPr>
            <w:tcW w:w="1260" w:type="dxa"/>
            <w:vAlign w:val="center"/>
          </w:tcPr>
          <w:p w14:paraId="5EFBCA87" w14:textId="77777777" w:rsidR="00F56085" w:rsidRPr="00960497" w:rsidRDefault="00F56085" w:rsidP="00136D05">
            <w:pPr>
              <w:pStyle w:val="BodyText"/>
              <w:tabs>
                <w:tab w:val="left" w:pos="185"/>
                <w:tab w:val="decimal" w:pos="738"/>
              </w:tabs>
              <w:spacing w:after="0"/>
              <w:jc w:val="right"/>
              <w:rPr>
                <w:rFonts w:ascii="Arial" w:hAnsi="Arial" w:cs="Arial"/>
                <w:sz w:val="18"/>
                <w:szCs w:val="18"/>
                <w:lang w:val="en-GB"/>
              </w:rPr>
            </w:pPr>
            <w:r w:rsidRPr="00960497">
              <w:rPr>
                <w:rFonts w:ascii="Arial" w:hAnsi="Arial" w:cs="Arial"/>
                <w:sz w:val="18"/>
                <w:szCs w:val="18"/>
                <w:lang w:val="en-GB"/>
              </w:rPr>
              <w:t>$</w:t>
            </w:r>
            <w:r w:rsidRPr="00960497">
              <w:rPr>
                <w:rFonts w:ascii="Arial" w:hAnsi="Arial" w:cs="Arial"/>
                <w:sz w:val="18"/>
                <w:szCs w:val="18"/>
                <w:lang w:val="en-GB"/>
              </w:rPr>
              <w:tab/>
              <w:t>36,873.00</w:t>
            </w:r>
          </w:p>
        </w:tc>
        <w:tc>
          <w:tcPr>
            <w:tcW w:w="1080" w:type="dxa"/>
            <w:vAlign w:val="center"/>
          </w:tcPr>
          <w:p w14:paraId="7C958531" w14:textId="77777777" w:rsidR="00F56085" w:rsidRPr="00960497" w:rsidRDefault="00F56085" w:rsidP="00136D05">
            <w:pPr>
              <w:pStyle w:val="BodyText"/>
              <w:spacing w:after="0"/>
              <w:jc w:val="right"/>
              <w:rPr>
                <w:rFonts w:ascii="Arial" w:hAnsi="Arial" w:cs="Arial"/>
                <w:sz w:val="18"/>
                <w:szCs w:val="18"/>
                <w:lang w:val="en-GB"/>
              </w:rPr>
            </w:pPr>
          </w:p>
        </w:tc>
        <w:tc>
          <w:tcPr>
            <w:tcW w:w="810" w:type="dxa"/>
            <w:vAlign w:val="center"/>
          </w:tcPr>
          <w:p w14:paraId="0F239513" w14:textId="77777777" w:rsidR="00F56085" w:rsidRPr="00960497" w:rsidRDefault="00F56085" w:rsidP="00136D05">
            <w:pPr>
              <w:pStyle w:val="BodyText"/>
              <w:spacing w:after="0"/>
              <w:ind w:right="-18"/>
              <w:jc w:val="right"/>
              <w:rPr>
                <w:rFonts w:ascii="Arial" w:hAnsi="Arial" w:cs="Arial"/>
                <w:sz w:val="18"/>
                <w:szCs w:val="18"/>
                <w:lang w:val="en-GB"/>
              </w:rPr>
            </w:pPr>
          </w:p>
        </w:tc>
      </w:tr>
    </w:tbl>
    <w:p w14:paraId="1431D49E" w14:textId="77BA2A39" w:rsidR="00F56085" w:rsidRPr="00960497" w:rsidRDefault="00F56085" w:rsidP="006A3FDD">
      <w:pPr>
        <w:pStyle w:val="ExhibitText"/>
        <w:rPr>
          <w:sz w:val="12"/>
          <w:szCs w:val="12"/>
          <w:lang w:val="en-GB"/>
        </w:rPr>
      </w:pPr>
    </w:p>
    <w:p w14:paraId="554391BE" w14:textId="64C05203" w:rsidR="0051689D" w:rsidRPr="00960497" w:rsidRDefault="0051689D" w:rsidP="006A3FDD">
      <w:pPr>
        <w:pStyle w:val="Footnote"/>
        <w:rPr>
          <w:lang w:val="en-GB"/>
        </w:rPr>
      </w:pPr>
      <w:r w:rsidRPr="00960497">
        <w:rPr>
          <w:lang w:val="en-GB"/>
        </w:rPr>
        <w:t xml:space="preserve">Note: </w:t>
      </w:r>
      <w:r w:rsidR="00507C0B">
        <w:rPr>
          <w:lang w:val="en-GB"/>
        </w:rPr>
        <w:t xml:space="preserve">All </w:t>
      </w:r>
      <w:r w:rsidR="00517069">
        <w:rPr>
          <w:lang w:val="en-GB"/>
        </w:rPr>
        <w:t>dollar</w:t>
      </w:r>
      <w:r w:rsidR="00507C0B">
        <w:rPr>
          <w:lang w:val="en-GB"/>
        </w:rPr>
        <w:t xml:space="preserve"> amounts are in US dollars; </w:t>
      </w:r>
      <w:r w:rsidRPr="00960497">
        <w:rPr>
          <w:lang w:val="en-GB"/>
        </w:rPr>
        <w:t>kt = kiloton</w:t>
      </w:r>
      <w:r w:rsidR="00FE5B0F" w:rsidRPr="00960497">
        <w:rPr>
          <w:lang w:val="en-GB"/>
        </w:rPr>
        <w:t>.</w:t>
      </w:r>
    </w:p>
    <w:p w14:paraId="3BF2C8DD" w14:textId="1FE79333" w:rsidR="006A3FDD" w:rsidRPr="00960497" w:rsidRDefault="006A3FDD" w:rsidP="006A3FDD">
      <w:pPr>
        <w:pStyle w:val="Footnote"/>
        <w:rPr>
          <w:lang w:val="en-GB"/>
        </w:rPr>
      </w:pPr>
      <w:r w:rsidRPr="00960497">
        <w:rPr>
          <w:lang w:val="en-GB"/>
        </w:rPr>
        <w:t xml:space="preserve">Source: Created by </w:t>
      </w:r>
      <w:r w:rsidR="0051689D" w:rsidRPr="00960497">
        <w:rPr>
          <w:lang w:val="en-GB"/>
        </w:rPr>
        <w:t xml:space="preserve">the </w:t>
      </w:r>
      <w:r w:rsidRPr="00960497">
        <w:rPr>
          <w:lang w:val="en-GB"/>
        </w:rPr>
        <w:t>case writer</w:t>
      </w:r>
      <w:r w:rsidR="0051689D" w:rsidRPr="00960497">
        <w:rPr>
          <w:lang w:val="en-GB"/>
        </w:rPr>
        <w:t>s</w:t>
      </w:r>
      <w:r w:rsidRPr="00960497">
        <w:rPr>
          <w:lang w:val="en-GB"/>
        </w:rPr>
        <w:t>.</w:t>
      </w:r>
    </w:p>
    <w:p w14:paraId="70027E8D" w14:textId="55BE267C" w:rsidR="001E102A" w:rsidRDefault="001E102A" w:rsidP="000D1556">
      <w:pPr>
        <w:pStyle w:val="ExhibitText"/>
        <w:rPr>
          <w:lang w:val="en-GB" w:eastAsia="en-CA"/>
        </w:rPr>
      </w:pPr>
    </w:p>
    <w:p w14:paraId="7AD74F9D" w14:textId="77777777" w:rsidR="000D1556" w:rsidRPr="00960497" w:rsidRDefault="000D1556" w:rsidP="000D1556">
      <w:pPr>
        <w:pStyle w:val="ExhibitText"/>
        <w:rPr>
          <w:lang w:val="en-GB" w:eastAsia="en-CA"/>
        </w:rPr>
      </w:pPr>
      <w:bookmarkStart w:id="0" w:name="_GoBack"/>
      <w:bookmarkEnd w:id="0"/>
    </w:p>
    <w:p w14:paraId="56B66493" w14:textId="2A9D93E7" w:rsidR="00F56085" w:rsidRPr="00960497" w:rsidRDefault="00F56085" w:rsidP="00B3572A">
      <w:pPr>
        <w:pStyle w:val="ExhibitHeading"/>
        <w:rPr>
          <w:lang w:val="en-GB"/>
        </w:rPr>
      </w:pPr>
      <w:r w:rsidRPr="00960497">
        <w:rPr>
          <w:lang w:val="en-GB"/>
        </w:rPr>
        <w:t xml:space="preserve">exhibit 2: </w:t>
      </w:r>
      <w:r w:rsidR="001E102A" w:rsidRPr="00960497">
        <w:rPr>
          <w:lang w:val="en-GB"/>
        </w:rPr>
        <w:t xml:space="preserve">sparrow Gmbh’s </w:t>
      </w:r>
      <w:r w:rsidRPr="00960497">
        <w:rPr>
          <w:lang w:val="en-GB"/>
        </w:rPr>
        <w:t>budgeted costs for 2020</w:t>
      </w:r>
      <w:r w:rsidR="00290E27" w:rsidRPr="00960497">
        <w:rPr>
          <w:lang w:val="en-GB"/>
        </w:rPr>
        <w:t xml:space="preserve"> (US$)</w:t>
      </w:r>
    </w:p>
    <w:p w14:paraId="2E3D3791" w14:textId="77777777" w:rsidR="00F56085" w:rsidRPr="00960497" w:rsidRDefault="00F56085" w:rsidP="006A3FDD">
      <w:pPr>
        <w:pStyle w:val="ExhibitText"/>
        <w:rPr>
          <w:sz w:val="12"/>
          <w:szCs w:val="1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410"/>
      </w:tblGrid>
      <w:tr w:rsidR="00F56085" w:rsidRPr="00960497" w14:paraId="3F4F6C19" w14:textId="77777777" w:rsidTr="00136D05">
        <w:trPr>
          <w:trHeight w:val="64"/>
          <w:jc w:val="center"/>
        </w:trPr>
        <w:tc>
          <w:tcPr>
            <w:tcW w:w="3330" w:type="dxa"/>
            <w:vAlign w:val="center"/>
          </w:tcPr>
          <w:p w14:paraId="7D89792F"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Direct labour</w:t>
            </w:r>
          </w:p>
        </w:tc>
        <w:tc>
          <w:tcPr>
            <w:tcW w:w="1410" w:type="dxa"/>
          </w:tcPr>
          <w:p w14:paraId="1DFAF32B"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t>$</w:t>
            </w:r>
            <w:r w:rsidRPr="00960497">
              <w:rPr>
                <w:rFonts w:ascii="Arial" w:hAnsi="Arial" w:cs="Arial"/>
                <w:lang w:val="en-GB"/>
              </w:rPr>
              <w:tab/>
              <w:t>279,450</w:t>
            </w:r>
          </w:p>
        </w:tc>
      </w:tr>
      <w:tr w:rsidR="00F56085" w:rsidRPr="00960497" w14:paraId="63C8E016" w14:textId="77777777" w:rsidTr="00136D05">
        <w:trPr>
          <w:trHeight w:val="64"/>
          <w:jc w:val="center"/>
        </w:trPr>
        <w:tc>
          <w:tcPr>
            <w:tcW w:w="3330" w:type="dxa"/>
            <w:vAlign w:val="center"/>
          </w:tcPr>
          <w:p w14:paraId="64F2CCC0"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Direct material</w:t>
            </w:r>
          </w:p>
        </w:tc>
        <w:tc>
          <w:tcPr>
            <w:tcW w:w="1410" w:type="dxa"/>
          </w:tcPr>
          <w:p w14:paraId="51A5E181"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 xml:space="preserve">985,500 </w:t>
            </w:r>
          </w:p>
        </w:tc>
      </w:tr>
      <w:tr w:rsidR="00F56085" w:rsidRPr="00960497" w14:paraId="7765E6AF" w14:textId="77777777" w:rsidTr="00136D05">
        <w:trPr>
          <w:jc w:val="center"/>
        </w:trPr>
        <w:tc>
          <w:tcPr>
            <w:tcW w:w="3330" w:type="dxa"/>
            <w:vAlign w:val="center"/>
          </w:tcPr>
          <w:p w14:paraId="2C499E1C"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Supervision</w:t>
            </w:r>
          </w:p>
        </w:tc>
        <w:tc>
          <w:tcPr>
            <w:tcW w:w="1410" w:type="dxa"/>
          </w:tcPr>
          <w:p w14:paraId="1F436427"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200,000</w:t>
            </w:r>
          </w:p>
        </w:tc>
      </w:tr>
      <w:tr w:rsidR="00F56085" w:rsidRPr="00960497" w14:paraId="08E7F4E3" w14:textId="77777777" w:rsidTr="00136D05">
        <w:trPr>
          <w:jc w:val="center"/>
        </w:trPr>
        <w:tc>
          <w:tcPr>
            <w:tcW w:w="3330" w:type="dxa"/>
            <w:vAlign w:val="center"/>
          </w:tcPr>
          <w:p w14:paraId="1B4FC276"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General manager’s salary</w:t>
            </w:r>
          </w:p>
        </w:tc>
        <w:tc>
          <w:tcPr>
            <w:tcW w:w="1410" w:type="dxa"/>
          </w:tcPr>
          <w:p w14:paraId="5DE3D825"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140,000</w:t>
            </w:r>
          </w:p>
        </w:tc>
      </w:tr>
      <w:tr w:rsidR="00F56085" w:rsidRPr="00960497" w14:paraId="78D37DE0" w14:textId="77777777" w:rsidTr="00136D05">
        <w:trPr>
          <w:jc w:val="center"/>
        </w:trPr>
        <w:tc>
          <w:tcPr>
            <w:tcW w:w="3330" w:type="dxa"/>
            <w:vAlign w:val="center"/>
          </w:tcPr>
          <w:p w14:paraId="45AA5C17"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Supplies</w:t>
            </w:r>
          </w:p>
        </w:tc>
        <w:tc>
          <w:tcPr>
            <w:tcW w:w="1410" w:type="dxa"/>
          </w:tcPr>
          <w:p w14:paraId="339BBDF7"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21,000</w:t>
            </w:r>
          </w:p>
        </w:tc>
      </w:tr>
      <w:tr w:rsidR="00F56085" w:rsidRPr="00960497" w14:paraId="373854AC" w14:textId="77777777" w:rsidTr="00136D05">
        <w:trPr>
          <w:jc w:val="center"/>
        </w:trPr>
        <w:tc>
          <w:tcPr>
            <w:tcW w:w="3330" w:type="dxa"/>
            <w:vAlign w:val="center"/>
          </w:tcPr>
          <w:p w14:paraId="6490EFB6"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Shipping and receiving</w:t>
            </w:r>
          </w:p>
        </w:tc>
        <w:tc>
          <w:tcPr>
            <w:tcW w:w="1410" w:type="dxa"/>
          </w:tcPr>
          <w:p w14:paraId="27490457"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34,500</w:t>
            </w:r>
          </w:p>
        </w:tc>
      </w:tr>
      <w:tr w:rsidR="00F56085" w:rsidRPr="00960497" w14:paraId="5F866953" w14:textId="77777777" w:rsidTr="00136D05">
        <w:trPr>
          <w:jc w:val="center"/>
        </w:trPr>
        <w:tc>
          <w:tcPr>
            <w:tcW w:w="3330" w:type="dxa"/>
            <w:vAlign w:val="center"/>
          </w:tcPr>
          <w:p w14:paraId="071526E0"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Power</w:t>
            </w:r>
          </w:p>
        </w:tc>
        <w:tc>
          <w:tcPr>
            <w:tcW w:w="1410" w:type="dxa"/>
          </w:tcPr>
          <w:p w14:paraId="5181116D"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140,000</w:t>
            </w:r>
          </w:p>
        </w:tc>
      </w:tr>
      <w:tr w:rsidR="00F56085" w:rsidRPr="00960497" w14:paraId="539A6CAA" w14:textId="77777777" w:rsidTr="00136D05">
        <w:trPr>
          <w:jc w:val="center"/>
        </w:trPr>
        <w:tc>
          <w:tcPr>
            <w:tcW w:w="3330" w:type="dxa"/>
            <w:vAlign w:val="center"/>
          </w:tcPr>
          <w:p w14:paraId="4283701E"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Warehousing rent</w:t>
            </w:r>
          </w:p>
        </w:tc>
        <w:tc>
          <w:tcPr>
            <w:tcW w:w="1410" w:type="dxa"/>
          </w:tcPr>
          <w:p w14:paraId="4770F601"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120,000</w:t>
            </w:r>
          </w:p>
        </w:tc>
      </w:tr>
      <w:tr w:rsidR="00F56085" w:rsidRPr="00960497" w14:paraId="232E29C0" w14:textId="77777777" w:rsidTr="00136D05">
        <w:trPr>
          <w:jc w:val="center"/>
        </w:trPr>
        <w:tc>
          <w:tcPr>
            <w:tcW w:w="3330" w:type="dxa"/>
            <w:vAlign w:val="center"/>
          </w:tcPr>
          <w:p w14:paraId="6647899A"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Office rent</w:t>
            </w:r>
          </w:p>
        </w:tc>
        <w:tc>
          <w:tcPr>
            <w:tcW w:w="1410" w:type="dxa"/>
          </w:tcPr>
          <w:p w14:paraId="6176BC99"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30,000</w:t>
            </w:r>
          </w:p>
        </w:tc>
      </w:tr>
      <w:tr w:rsidR="00F56085" w:rsidRPr="00960497" w14:paraId="6E195922" w14:textId="77777777" w:rsidTr="00136D05">
        <w:trPr>
          <w:jc w:val="center"/>
        </w:trPr>
        <w:tc>
          <w:tcPr>
            <w:tcW w:w="3330" w:type="dxa"/>
            <w:vAlign w:val="center"/>
          </w:tcPr>
          <w:p w14:paraId="3D04815E" w14:textId="3EE67C0C" w:rsidR="00F56085" w:rsidRPr="00960497" w:rsidRDefault="00F56085" w:rsidP="00136D05">
            <w:pPr>
              <w:pStyle w:val="BodyText"/>
              <w:spacing w:after="0"/>
              <w:rPr>
                <w:rFonts w:ascii="Arial" w:hAnsi="Arial" w:cs="Arial"/>
                <w:lang w:val="en-GB"/>
              </w:rPr>
            </w:pPr>
            <w:r w:rsidRPr="00960497">
              <w:rPr>
                <w:rFonts w:ascii="Arial" w:hAnsi="Arial" w:cs="Arial"/>
                <w:lang w:val="en-GB"/>
              </w:rPr>
              <w:t>Depreciation on machinery</w:t>
            </w:r>
          </w:p>
        </w:tc>
        <w:tc>
          <w:tcPr>
            <w:tcW w:w="1410" w:type="dxa"/>
          </w:tcPr>
          <w:p w14:paraId="70E3CC16"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225,000</w:t>
            </w:r>
          </w:p>
        </w:tc>
      </w:tr>
      <w:tr w:rsidR="00F56085" w:rsidRPr="00960497" w14:paraId="54EE0F79" w14:textId="77777777" w:rsidTr="00136D05">
        <w:trPr>
          <w:jc w:val="center"/>
        </w:trPr>
        <w:tc>
          <w:tcPr>
            <w:tcW w:w="3330" w:type="dxa"/>
            <w:vAlign w:val="center"/>
          </w:tcPr>
          <w:p w14:paraId="5D7D51FB"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Insurance on machinery</w:t>
            </w:r>
          </w:p>
        </w:tc>
        <w:tc>
          <w:tcPr>
            <w:tcW w:w="1410" w:type="dxa"/>
          </w:tcPr>
          <w:p w14:paraId="2BBEE1ED"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24,000</w:t>
            </w:r>
          </w:p>
        </w:tc>
      </w:tr>
      <w:tr w:rsidR="00F56085" w:rsidRPr="00960497" w14:paraId="7F135343" w14:textId="77777777" w:rsidTr="00136D05">
        <w:trPr>
          <w:jc w:val="center"/>
        </w:trPr>
        <w:tc>
          <w:tcPr>
            <w:tcW w:w="3330" w:type="dxa"/>
            <w:vAlign w:val="center"/>
          </w:tcPr>
          <w:p w14:paraId="4BD46EA5"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Repairs</w:t>
            </w:r>
          </w:p>
        </w:tc>
        <w:tc>
          <w:tcPr>
            <w:tcW w:w="1410" w:type="dxa"/>
          </w:tcPr>
          <w:p w14:paraId="2FA59A0B"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63,000</w:t>
            </w:r>
          </w:p>
        </w:tc>
      </w:tr>
      <w:tr w:rsidR="00F56085" w:rsidRPr="00960497" w14:paraId="1C4591CC" w14:textId="77777777" w:rsidTr="00136D05">
        <w:trPr>
          <w:jc w:val="center"/>
        </w:trPr>
        <w:tc>
          <w:tcPr>
            <w:tcW w:w="3330" w:type="dxa"/>
            <w:vAlign w:val="center"/>
          </w:tcPr>
          <w:p w14:paraId="236E252E"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Selling expenses</w:t>
            </w:r>
          </w:p>
        </w:tc>
        <w:tc>
          <w:tcPr>
            <w:tcW w:w="1410" w:type="dxa"/>
          </w:tcPr>
          <w:p w14:paraId="539528A8"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70,000</w:t>
            </w:r>
          </w:p>
        </w:tc>
      </w:tr>
      <w:tr w:rsidR="00F56085" w:rsidRPr="00960497" w14:paraId="719475DC" w14:textId="77777777" w:rsidTr="00136D05">
        <w:trPr>
          <w:jc w:val="center"/>
        </w:trPr>
        <w:tc>
          <w:tcPr>
            <w:tcW w:w="3330" w:type="dxa"/>
            <w:vAlign w:val="center"/>
          </w:tcPr>
          <w:p w14:paraId="33F6EDA4" w14:textId="77777777" w:rsidR="00F56085" w:rsidRPr="00960497" w:rsidRDefault="00F56085" w:rsidP="00136D05">
            <w:pPr>
              <w:pStyle w:val="BodyText"/>
              <w:spacing w:after="0"/>
              <w:rPr>
                <w:rFonts w:ascii="Arial" w:hAnsi="Arial" w:cs="Arial"/>
                <w:lang w:val="en-GB"/>
              </w:rPr>
            </w:pPr>
            <w:r w:rsidRPr="00960497">
              <w:rPr>
                <w:rFonts w:ascii="Arial" w:hAnsi="Arial" w:cs="Arial"/>
                <w:lang w:val="en-GB"/>
              </w:rPr>
              <w:t>Administrative expenses</w:t>
            </w:r>
          </w:p>
        </w:tc>
        <w:tc>
          <w:tcPr>
            <w:tcW w:w="1410" w:type="dxa"/>
          </w:tcPr>
          <w:p w14:paraId="23077EB4" w14:textId="77777777" w:rsidR="00F56085" w:rsidRPr="00960497" w:rsidRDefault="00F56085" w:rsidP="00136D05">
            <w:pPr>
              <w:pStyle w:val="BodyText"/>
              <w:tabs>
                <w:tab w:val="left" w:pos="120"/>
                <w:tab w:val="decimal" w:pos="1092"/>
              </w:tabs>
              <w:spacing w:after="0"/>
              <w:rPr>
                <w:rFonts w:ascii="Arial" w:hAnsi="Arial" w:cs="Arial"/>
                <w:lang w:val="en-GB"/>
              </w:rPr>
            </w:pPr>
            <w:r w:rsidRPr="00960497">
              <w:rPr>
                <w:rFonts w:ascii="Arial" w:hAnsi="Arial" w:cs="Arial"/>
                <w:lang w:val="en-GB"/>
              </w:rPr>
              <w:tab/>
            </w:r>
            <w:r w:rsidRPr="00960497">
              <w:rPr>
                <w:rFonts w:ascii="Arial" w:hAnsi="Arial" w:cs="Arial"/>
                <w:lang w:val="en-GB"/>
              </w:rPr>
              <w:tab/>
              <w:t>33,500</w:t>
            </w:r>
          </w:p>
        </w:tc>
      </w:tr>
    </w:tbl>
    <w:p w14:paraId="677A7B25" w14:textId="42E42BFD" w:rsidR="00F56085" w:rsidRPr="00960497" w:rsidRDefault="00F56085" w:rsidP="006A3FDD">
      <w:pPr>
        <w:pStyle w:val="ExhibitText"/>
        <w:rPr>
          <w:sz w:val="12"/>
          <w:szCs w:val="12"/>
          <w:lang w:val="en-GB"/>
        </w:rPr>
      </w:pPr>
    </w:p>
    <w:p w14:paraId="467865D2" w14:textId="2ECFE635" w:rsidR="006A3FDD" w:rsidRPr="00960497" w:rsidRDefault="006A3FDD" w:rsidP="006A3FDD">
      <w:pPr>
        <w:pStyle w:val="Footnote"/>
        <w:rPr>
          <w:lang w:val="en-GB"/>
        </w:rPr>
      </w:pPr>
      <w:r w:rsidRPr="00960497">
        <w:rPr>
          <w:lang w:val="en-GB"/>
        </w:rPr>
        <w:t xml:space="preserve">Note: </w:t>
      </w:r>
      <w:r w:rsidR="001E102A" w:rsidRPr="00960497">
        <w:rPr>
          <w:lang w:val="en-GB"/>
        </w:rPr>
        <w:t>To calculate depreciation on machinery, Sparrow used t</w:t>
      </w:r>
      <w:r w:rsidR="0051689D" w:rsidRPr="00960497">
        <w:rPr>
          <w:lang w:val="en-GB"/>
        </w:rPr>
        <w:t>he u</w:t>
      </w:r>
      <w:r w:rsidRPr="00960497">
        <w:rPr>
          <w:lang w:val="en-GB"/>
        </w:rPr>
        <w:t xml:space="preserve">nits of output method based on kilotons of chemicals produced. The US reactors were depreciated </w:t>
      </w:r>
      <w:r w:rsidR="0051689D" w:rsidRPr="00960497">
        <w:rPr>
          <w:lang w:val="en-GB"/>
        </w:rPr>
        <w:t xml:space="preserve">at a rate of </w:t>
      </w:r>
      <w:r w:rsidRPr="00960497">
        <w:rPr>
          <w:lang w:val="en-GB"/>
        </w:rPr>
        <w:t xml:space="preserve">$415 per kiloton. The Germany basic chemical reactors were depreciated at </w:t>
      </w:r>
      <w:r w:rsidR="0051689D" w:rsidRPr="00960497">
        <w:rPr>
          <w:lang w:val="en-GB"/>
        </w:rPr>
        <w:t xml:space="preserve">a rate of </w:t>
      </w:r>
      <w:r w:rsidRPr="00960497">
        <w:rPr>
          <w:lang w:val="en-GB"/>
        </w:rPr>
        <w:t>$275 per kiloton</w:t>
      </w:r>
      <w:r w:rsidR="0051689D" w:rsidRPr="00960497">
        <w:rPr>
          <w:lang w:val="en-GB"/>
        </w:rPr>
        <w:t>,</w:t>
      </w:r>
      <w:r w:rsidRPr="00960497">
        <w:rPr>
          <w:lang w:val="en-GB"/>
        </w:rPr>
        <w:t xml:space="preserve"> and the Germany specialty chemical reactors were depreciated at </w:t>
      </w:r>
      <w:r w:rsidR="0051689D" w:rsidRPr="00960497">
        <w:rPr>
          <w:lang w:val="en-GB"/>
        </w:rPr>
        <w:t xml:space="preserve">a rate of </w:t>
      </w:r>
      <w:r w:rsidRPr="00960497">
        <w:rPr>
          <w:lang w:val="en-GB"/>
        </w:rPr>
        <w:t>$325 per kiloton.</w:t>
      </w:r>
    </w:p>
    <w:p w14:paraId="09FA2D7A" w14:textId="54ED77AD" w:rsidR="006A3FDD" w:rsidRPr="00960497" w:rsidRDefault="006A3FDD" w:rsidP="006A3FDD">
      <w:pPr>
        <w:pStyle w:val="Footnote"/>
        <w:rPr>
          <w:lang w:val="en-GB"/>
        </w:rPr>
      </w:pPr>
      <w:r w:rsidRPr="00960497">
        <w:rPr>
          <w:lang w:val="en-GB"/>
        </w:rPr>
        <w:t xml:space="preserve">Source: Created by </w:t>
      </w:r>
      <w:r w:rsidR="0051689D" w:rsidRPr="00960497">
        <w:rPr>
          <w:lang w:val="en-GB"/>
        </w:rPr>
        <w:t xml:space="preserve">the </w:t>
      </w:r>
      <w:r w:rsidRPr="00960497">
        <w:rPr>
          <w:lang w:val="en-GB"/>
        </w:rPr>
        <w:t>case writer</w:t>
      </w:r>
      <w:r w:rsidR="0051689D" w:rsidRPr="00960497">
        <w:rPr>
          <w:lang w:val="en-GB"/>
        </w:rPr>
        <w:t>s</w:t>
      </w:r>
      <w:r w:rsidRPr="00960497">
        <w:rPr>
          <w:lang w:val="en-GB"/>
        </w:rPr>
        <w:t>.</w:t>
      </w:r>
    </w:p>
    <w:p w14:paraId="51615DFC" w14:textId="77777777" w:rsidR="001E102A" w:rsidRPr="00960497" w:rsidRDefault="001E102A" w:rsidP="00F56085">
      <w:pPr>
        <w:pStyle w:val="casehead10"/>
        <w:jc w:val="center"/>
        <w:rPr>
          <w:lang w:val="en-GB"/>
        </w:rPr>
      </w:pPr>
    </w:p>
    <w:p w14:paraId="28F9205F" w14:textId="77777777" w:rsidR="001E102A" w:rsidRPr="00960497" w:rsidRDefault="001E102A" w:rsidP="00F56085">
      <w:pPr>
        <w:pStyle w:val="casehead10"/>
        <w:jc w:val="center"/>
        <w:rPr>
          <w:lang w:val="en-GB"/>
        </w:rPr>
      </w:pPr>
    </w:p>
    <w:p w14:paraId="5541946E" w14:textId="77777777" w:rsidR="001E102A" w:rsidRPr="00960497" w:rsidRDefault="001E102A">
      <w:pPr>
        <w:spacing w:after="200" w:line="276" w:lineRule="auto"/>
        <w:rPr>
          <w:rFonts w:ascii="Arial" w:hAnsi="Arial"/>
          <w:b/>
          <w:caps/>
          <w:lang w:val="en-GB" w:eastAsia="en-CA"/>
        </w:rPr>
      </w:pPr>
      <w:r w:rsidRPr="00960497">
        <w:rPr>
          <w:lang w:val="en-GB"/>
        </w:rPr>
        <w:br w:type="page"/>
      </w:r>
    </w:p>
    <w:p w14:paraId="60D32EF4" w14:textId="7A3FDF0E" w:rsidR="00F56085" w:rsidRPr="00960497" w:rsidRDefault="00F56085" w:rsidP="00B3572A">
      <w:pPr>
        <w:pStyle w:val="ExhibitHeading"/>
        <w:rPr>
          <w:lang w:val="en-GB"/>
        </w:rPr>
      </w:pPr>
      <w:r w:rsidRPr="00960497">
        <w:rPr>
          <w:lang w:val="en-GB"/>
        </w:rPr>
        <w:lastRenderedPageBreak/>
        <w:t xml:space="preserve">Exhibit 3: </w:t>
      </w:r>
      <w:r w:rsidR="001E102A" w:rsidRPr="00960497">
        <w:rPr>
          <w:lang w:val="en-GB"/>
        </w:rPr>
        <w:t xml:space="preserve">sparrow Gmbh’s </w:t>
      </w:r>
      <w:r w:rsidRPr="00960497">
        <w:rPr>
          <w:lang w:val="en-GB"/>
        </w:rPr>
        <w:t>Annual Cost Assignment and Allocation Worksheet</w:t>
      </w:r>
      <w:r w:rsidR="001E102A" w:rsidRPr="00960497">
        <w:rPr>
          <w:lang w:val="en-GB"/>
        </w:rPr>
        <w:t xml:space="preserve"> (US$)</w:t>
      </w:r>
    </w:p>
    <w:p w14:paraId="139BBFF7" w14:textId="77777777" w:rsidR="003C51F9" w:rsidRPr="00960497" w:rsidRDefault="003C51F9" w:rsidP="003C51F9">
      <w:pPr>
        <w:pStyle w:val="ExhibitText"/>
        <w:rPr>
          <w:lang w:val="en-GB" w:eastAsia="en-CA"/>
        </w:rPr>
      </w:pPr>
    </w:p>
    <w:tbl>
      <w:tblPr>
        <w:tblStyle w:val="TableGrid"/>
        <w:tblW w:w="0" w:type="auto"/>
        <w:jc w:val="center"/>
        <w:tblCellMar>
          <w:left w:w="115" w:type="dxa"/>
          <w:right w:w="115" w:type="dxa"/>
        </w:tblCellMar>
        <w:tblLook w:val="04A0" w:firstRow="1" w:lastRow="0" w:firstColumn="1" w:lastColumn="0" w:noHBand="0" w:noVBand="1"/>
      </w:tblPr>
      <w:tblGrid>
        <w:gridCol w:w="3129"/>
        <w:gridCol w:w="1673"/>
        <w:gridCol w:w="1421"/>
        <w:gridCol w:w="1349"/>
        <w:gridCol w:w="1778"/>
      </w:tblGrid>
      <w:tr w:rsidR="003C51F9" w:rsidRPr="00960497" w14:paraId="7C4F87EF" w14:textId="77777777" w:rsidTr="00136D05">
        <w:trPr>
          <w:trHeight w:val="350"/>
          <w:jc w:val="center"/>
        </w:trPr>
        <w:tc>
          <w:tcPr>
            <w:tcW w:w="3129" w:type="dxa"/>
          </w:tcPr>
          <w:p w14:paraId="152BE27C" w14:textId="77777777" w:rsidR="00F56085" w:rsidRPr="00960497" w:rsidRDefault="00F56085" w:rsidP="003C51F9">
            <w:pPr>
              <w:pStyle w:val="ExhibitText"/>
              <w:rPr>
                <w:lang w:val="en-GB"/>
              </w:rPr>
            </w:pPr>
          </w:p>
        </w:tc>
        <w:tc>
          <w:tcPr>
            <w:tcW w:w="1673" w:type="dxa"/>
            <w:vAlign w:val="center"/>
          </w:tcPr>
          <w:p w14:paraId="4F9C6931" w14:textId="77777777" w:rsidR="00F56085" w:rsidRPr="00960497" w:rsidRDefault="00F56085" w:rsidP="00136D05">
            <w:pPr>
              <w:pStyle w:val="ExhibitText"/>
              <w:jc w:val="center"/>
              <w:rPr>
                <w:b/>
                <w:lang w:val="en-GB"/>
              </w:rPr>
            </w:pPr>
            <w:r w:rsidRPr="00960497">
              <w:rPr>
                <w:b/>
                <w:lang w:val="en-GB"/>
              </w:rPr>
              <w:t>Total</w:t>
            </w:r>
          </w:p>
        </w:tc>
        <w:tc>
          <w:tcPr>
            <w:tcW w:w="1421" w:type="dxa"/>
            <w:vAlign w:val="center"/>
          </w:tcPr>
          <w:p w14:paraId="3E7C54D8" w14:textId="1A4FE679" w:rsidR="00F56085" w:rsidRPr="00960497" w:rsidRDefault="00F56085" w:rsidP="00136D05">
            <w:pPr>
              <w:pStyle w:val="ExhibitText"/>
              <w:jc w:val="center"/>
              <w:rPr>
                <w:b/>
                <w:lang w:val="en-GB"/>
              </w:rPr>
            </w:pPr>
            <w:r w:rsidRPr="00960497">
              <w:rPr>
                <w:b/>
                <w:lang w:val="en-GB"/>
              </w:rPr>
              <w:t>US</w:t>
            </w:r>
            <w:r w:rsidR="00F06D1B" w:rsidRPr="00960497">
              <w:rPr>
                <w:b/>
                <w:lang w:val="en-GB"/>
              </w:rPr>
              <w:t xml:space="preserve"> </w:t>
            </w:r>
            <w:r w:rsidRPr="00960497">
              <w:rPr>
                <w:b/>
                <w:lang w:val="en-GB"/>
              </w:rPr>
              <w:t>Basics</w:t>
            </w:r>
          </w:p>
        </w:tc>
        <w:tc>
          <w:tcPr>
            <w:tcW w:w="1349" w:type="dxa"/>
            <w:vAlign w:val="center"/>
          </w:tcPr>
          <w:p w14:paraId="42CFA65B" w14:textId="77777777" w:rsidR="00F56085" w:rsidRPr="00960497" w:rsidRDefault="00F56085" w:rsidP="00136D05">
            <w:pPr>
              <w:pStyle w:val="ExhibitText"/>
              <w:jc w:val="center"/>
              <w:rPr>
                <w:b/>
                <w:lang w:val="en-GB"/>
              </w:rPr>
            </w:pPr>
            <w:r w:rsidRPr="00960497">
              <w:rPr>
                <w:b/>
                <w:lang w:val="en-GB"/>
              </w:rPr>
              <w:t>Germany Basics</w:t>
            </w:r>
          </w:p>
        </w:tc>
        <w:tc>
          <w:tcPr>
            <w:tcW w:w="1778" w:type="dxa"/>
            <w:vAlign w:val="center"/>
          </w:tcPr>
          <w:p w14:paraId="332DBA44" w14:textId="77777777" w:rsidR="00F56085" w:rsidRPr="00960497" w:rsidRDefault="00F56085" w:rsidP="00136D05">
            <w:pPr>
              <w:pStyle w:val="ExhibitText"/>
              <w:jc w:val="center"/>
              <w:rPr>
                <w:b/>
                <w:lang w:val="en-GB"/>
              </w:rPr>
            </w:pPr>
            <w:r w:rsidRPr="00960497">
              <w:rPr>
                <w:b/>
                <w:lang w:val="en-GB"/>
              </w:rPr>
              <w:t>Germany Specialties</w:t>
            </w:r>
          </w:p>
        </w:tc>
      </w:tr>
      <w:tr w:rsidR="003C51F9" w:rsidRPr="00960497" w14:paraId="3AF20CB7" w14:textId="77777777" w:rsidTr="002A7F0F">
        <w:trPr>
          <w:jc w:val="center"/>
        </w:trPr>
        <w:tc>
          <w:tcPr>
            <w:tcW w:w="9350" w:type="dxa"/>
            <w:gridSpan w:val="5"/>
            <w:vAlign w:val="center"/>
          </w:tcPr>
          <w:p w14:paraId="7D6586D1" w14:textId="10C6F3C7" w:rsidR="003C51F9" w:rsidRPr="00960497" w:rsidRDefault="003C51F9" w:rsidP="003C51F9">
            <w:pPr>
              <w:pStyle w:val="ExhibitText"/>
              <w:rPr>
                <w:lang w:val="en-GB"/>
              </w:rPr>
            </w:pPr>
            <w:r w:rsidRPr="00960497">
              <w:rPr>
                <w:b/>
                <w:lang w:val="en-GB"/>
              </w:rPr>
              <w:t>Direct Costs:</w:t>
            </w:r>
          </w:p>
        </w:tc>
      </w:tr>
      <w:tr w:rsidR="003C51F9" w:rsidRPr="00960497" w14:paraId="7F51D8BA" w14:textId="77777777" w:rsidTr="00136D05">
        <w:trPr>
          <w:jc w:val="center"/>
        </w:trPr>
        <w:tc>
          <w:tcPr>
            <w:tcW w:w="3129" w:type="dxa"/>
            <w:vAlign w:val="center"/>
          </w:tcPr>
          <w:p w14:paraId="72DEAE01" w14:textId="189787C2" w:rsidR="00F56085" w:rsidRPr="00B3572A" w:rsidRDefault="00F56085" w:rsidP="003C51F9">
            <w:pPr>
              <w:pStyle w:val="ExhibitText"/>
              <w:jc w:val="left"/>
              <w:rPr>
                <w:lang w:val="en-GB"/>
              </w:rPr>
            </w:pPr>
            <w:r w:rsidRPr="00B3572A">
              <w:rPr>
                <w:lang w:val="en-GB"/>
              </w:rPr>
              <w:t>Direct labour</w:t>
            </w:r>
          </w:p>
        </w:tc>
        <w:tc>
          <w:tcPr>
            <w:tcW w:w="1673" w:type="dxa"/>
            <w:vAlign w:val="center"/>
          </w:tcPr>
          <w:p w14:paraId="63C66149" w14:textId="6BD86AD0" w:rsidR="00F56085" w:rsidRPr="00960497" w:rsidRDefault="00F56085" w:rsidP="00136D05">
            <w:pPr>
              <w:pStyle w:val="ExhibitText"/>
              <w:jc w:val="right"/>
              <w:rPr>
                <w:lang w:val="en-GB"/>
              </w:rPr>
            </w:pPr>
            <w:r w:rsidRPr="00960497">
              <w:rPr>
                <w:lang w:val="en-GB"/>
              </w:rPr>
              <w:t>$279,450</w:t>
            </w:r>
          </w:p>
        </w:tc>
        <w:tc>
          <w:tcPr>
            <w:tcW w:w="1421" w:type="dxa"/>
          </w:tcPr>
          <w:p w14:paraId="4C8F1059" w14:textId="77777777" w:rsidR="00F56085" w:rsidRPr="00960497" w:rsidRDefault="00F56085" w:rsidP="003C51F9">
            <w:pPr>
              <w:pStyle w:val="ExhibitText"/>
              <w:rPr>
                <w:lang w:val="en-GB"/>
              </w:rPr>
            </w:pPr>
            <w:r w:rsidRPr="00960497">
              <w:rPr>
                <w:lang w:val="en-GB"/>
              </w:rPr>
              <w:t>__________</w:t>
            </w:r>
          </w:p>
        </w:tc>
        <w:tc>
          <w:tcPr>
            <w:tcW w:w="1349" w:type="dxa"/>
          </w:tcPr>
          <w:p w14:paraId="27731694" w14:textId="77777777" w:rsidR="00F56085" w:rsidRPr="00960497" w:rsidRDefault="00F56085" w:rsidP="003C51F9">
            <w:pPr>
              <w:pStyle w:val="ExhibitText"/>
              <w:rPr>
                <w:lang w:val="en-GB"/>
              </w:rPr>
            </w:pPr>
            <w:r w:rsidRPr="00960497">
              <w:rPr>
                <w:lang w:val="en-GB"/>
              </w:rPr>
              <w:t>__________</w:t>
            </w:r>
          </w:p>
        </w:tc>
        <w:tc>
          <w:tcPr>
            <w:tcW w:w="1778" w:type="dxa"/>
          </w:tcPr>
          <w:p w14:paraId="0535E2FE" w14:textId="77777777" w:rsidR="00F56085" w:rsidRPr="00960497" w:rsidRDefault="00F56085" w:rsidP="003C51F9">
            <w:pPr>
              <w:pStyle w:val="ExhibitText"/>
              <w:rPr>
                <w:lang w:val="en-GB"/>
              </w:rPr>
            </w:pPr>
            <w:r w:rsidRPr="00960497">
              <w:rPr>
                <w:lang w:val="en-GB"/>
              </w:rPr>
              <w:t>__________</w:t>
            </w:r>
          </w:p>
        </w:tc>
      </w:tr>
      <w:tr w:rsidR="003C51F9" w:rsidRPr="00960497" w14:paraId="62613973" w14:textId="77777777" w:rsidTr="00136D05">
        <w:trPr>
          <w:jc w:val="center"/>
        </w:trPr>
        <w:tc>
          <w:tcPr>
            <w:tcW w:w="3129" w:type="dxa"/>
            <w:vAlign w:val="center"/>
          </w:tcPr>
          <w:p w14:paraId="01F44917" w14:textId="4271F7A4" w:rsidR="00F56085" w:rsidRPr="00B3572A" w:rsidRDefault="00F56085" w:rsidP="003C51F9">
            <w:pPr>
              <w:pStyle w:val="ExhibitText"/>
              <w:jc w:val="left"/>
              <w:rPr>
                <w:lang w:val="en-GB"/>
              </w:rPr>
            </w:pPr>
            <w:r w:rsidRPr="00B3572A">
              <w:rPr>
                <w:lang w:val="en-GB"/>
              </w:rPr>
              <w:t>Direct material</w:t>
            </w:r>
          </w:p>
        </w:tc>
        <w:tc>
          <w:tcPr>
            <w:tcW w:w="1673" w:type="dxa"/>
            <w:vAlign w:val="center"/>
          </w:tcPr>
          <w:p w14:paraId="13A4B207" w14:textId="7989D613" w:rsidR="00F56085" w:rsidRPr="00960497" w:rsidRDefault="00F56085" w:rsidP="00136D05">
            <w:pPr>
              <w:pStyle w:val="ExhibitText"/>
              <w:jc w:val="right"/>
              <w:rPr>
                <w:lang w:val="en-GB"/>
              </w:rPr>
            </w:pPr>
            <w:r w:rsidRPr="00960497">
              <w:rPr>
                <w:lang w:val="en-GB"/>
              </w:rPr>
              <w:t>985,500</w:t>
            </w:r>
          </w:p>
        </w:tc>
        <w:tc>
          <w:tcPr>
            <w:tcW w:w="1421" w:type="dxa"/>
          </w:tcPr>
          <w:p w14:paraId="304E72A4" w14:textId="77777777" w:rsidR="00F56085" w:rsidRPr="00960497" w:rsidRDefault="00F56085" w:rsidP="003C51F9">
            <w:pPr>
              <w:pStyle w:val="ExhibitText"/>
              <w:rPr>
                <w:u w:val="single"/>
                <w:lang w:val="en-GB"/>
              </w:rPr>
            </w:pPr>
            <w:r w:rsidRPr="00960497">
              <w:rPr>
                <w:lang w:val="en-GB"/>
              </w:rPr>
              <w:t>__________</w:t>
            </w:r>
          </w:p>
        </w:tc>
        <w:tc>
          <w:tcPr>
            <w:tcW w:w="1349" w:type="dxa"/>
          </w:tcPr>
          <w:p w14:paraId="4C90BB9E" w14:textId="77777777" w:rsidR="00F56085" w:rsidRPr="00960497" w:rsidRDefault="00F56085" w:rsidP="003C51F9">
            <w:pPr>
              <w:pStyle w:val="ExhibitText"/>
              <w:rPr>
                <w:u w:val="single"/>
                <w:lang w:val="en-GB"/>
              </w:rPr>
            </w:pPr>
            <w:r w:rsidRPr="00960497">
              <w:rPr>
                <w:lang w:val="en-GB"/>
              </w:rPr>
              <w:t>__________</w:t>
            </w:r>
          </w:p>
        </w:tc>
        <w:tc>
          <w:tcPr>
            <w:tcW w:w="1778" w:type="dxa"/>
          </w:tcPr>
          <w:p w14:paraId="677A8585" w14:textId="77777777" w:rsidR="00F56085" w:rsidRPr="00960497" w:rsidRDefault="00F56085" w:rsidP="003C51F9">
            <w:pPr>
              <w:pStyle w:val="ExhibitText"/>
              <w:rPr>
                <w:u w:val="single"/>
                <w:lang w:val="en-GB"/>
              </w:rPr>
            </w:pPr>
            <w:r w:rsidRPr="00960497">
              <w:rPr>
                <w:lang w:val="en-GB"/>
              </w:rPr>
              <w:t>__________</w:t>
            </w:r>
          </w:p>
        </w:tc>
      </w:tr>
      <w:tr w:rsidR="003C51F9" w:rsidRPr="00960497" w14:paraId="43BCE99D" w14:textId="77777777" w:rsidTr="00136D05">
        <w:trPr>
          <w:jc w:val="center"/>
        </w:trPr>
        <w:tc>
          <w:tcPr>
            <w:tcW w:w="3129" w:type="dxa"/>
            <w:vAlign w:val="center"/>
          </w:tcPr>
          <w:p w14:paraId="46E5CD77" w14:textId="34F50C13" w:rsidR="00F56085" w:rsidRPr="00B3572A" w:rsidRDefault="00F56085" w:rsidP="003C51F9">
            <w:pPr>
              <w:pStyle w:val="ExhibitText"/>
              <w:jc w:val="left"/>
              <w:rPr>
                <w:lang w:val="en-GB"/>
              </w:rPr>
            </w:pPr>
            <w:r w:rsidRPr="00B3572A">
              <w:rPr>
                <w:lang w:val="en-GB"/>
              </w:rPr>
              <w:t>Depreciation on machinery</w:t>
            </w:r>
          </w:p>
        </w:tc>
        <w:tc>
          <w:tcPr>
            <w:tcW w:w="1673" w:type="dxa"/>
            <w:vAlign w:val="center"/>
          </w:tcPr>
          <w:p w14:paraId="79081C27" w14:textId="6DE46825" w:rsidR="00F56085" w:rsidRPr="00960497" w:rsidRDefault="00F56085" w:rsidP="00136D05">
            <w:pPr>
              <w:pStyle w:val="ExhibitText"/>
              <w:jc w:val="right"/>
              <w:rPr>
                <w:u w:val="single"/>
                <w:lang w:val="en-GB"/>
              </w:rPr>
            </w:pPr>
            <w:r w:rsidRPr="00960497">
              <w:rPr>
                <w:u w:val="single"/>
                <w:lang w:val="en-GB"/>
              </w:rPr>
              <w:t>224,850</w:t>
            </w:r>
          </w:p>
        </w:tc>
        <w:tc>
          <w:tcPr>
            <w:tcW w:w="1421" w:type="dxa"/>
          </w:tcPr>
          <w:p w14:paraId="472D00C6" w14:textId="77777777" w:rsidR="00F56085" w:rsidRPr="00960497" w:rsidRDefault="00F56085" w:rsidP="003C51F9">
            <w:pPr>
              <w:pStyle w:val="ExhibitText"/>
              <w:rPr>
                <w:u w:val="single"/>
                <w:lang w:val="en-GB"/>
              </w:rPr>
            </w:pPr>
            <w:r w:rsidRPr="00960497">
              <w:rPr>
                <w:lang w:val="en-GB"/>
              </w:rPr>
              <w:t>__________</w:t>
            </w:r>
          </w:p>
        </w:tc>
        <w:tc>
          <w:tcPr>
            <w:tcW w:w="1349" w:type="dxa"/>
          </w:tcPr>
          <w:p w14:paraId="24838878" w14:textId="77777777" w:rsidR="00F56085" w:rsidRPr="00960497" w:rsidRDefault="00F56085" w:rsidP="003C51F9">
            <w:pPr>
              <w:pStyle w:val="ExhibitText"/>
              <w:rPr>
                <w:u w:val="single"/>
                <w:lang w:val="en-GB"/>
              </w:rPr>
            </w:pPr>
            <w:r w:rsidRPr="00960497">
              <w:rPr>
                <w:lang w:val="en-GB"/>
              </w:rPr>
              <w:t>__________</w:t>
            </w:r>
          </w:p>
        </w:tc>
        <w:tc>
          <w:tcPr>
            <w:tcW w:w="1778" w:type="dxa"/>
          </w:tcPr>
          <w:p w14:paraId="65172395" w14:textId="77777777" w:rsidR="00F56085" w:rsidRPr="00960497" w:rsidRDefault="00F56085" w:rsidP="003C51F9">
            <w:pPr>
              <w:pStyle w:val="ExhibitText"/>
              <w:rPr>
                <w:u w:val="single"/>
                <w:lang w:val="en-GB"/>
              </w:rPr>
            </w:pPr>
            <w:r w:rsidRPr="00960497">
              <w:rPr>
                <w:lang w:val="en-GB"/>
              </w:rPr>
              <w:t>__________</w:t>
            </w:r>
          </w:p>
        </w:tc>
      </w:tr>
      <w:tr w:rsidR="003C51F9" w:rsidRPr="00960497" w14:paraId="272D6E0B" w14:textId="77777777" w:rsidTr="00136D05">
        <w:trPr>
          <w:jc w:val="center"/>
        </w:trPr>
        <w:tc>
          <w:tcPr>
            <w:tcW w:w="3129" w:type="dxa"/>
            <w:vAlign w:val="center"/>
          </w:tcPr>
          <w:p w14:paraId="415B07BF" w14:textId="77777777" w:rsidR="00F56085" w:rsidRPr="00B3572A" w:rsidRDefault="00F56085" w:rsidP="003C51F9">
            <w:pPr>
              <w:pStyle w:val="ExhibitText"/>
              <w:jc w:val="left"/>
              <w:rPr>
                <w:lang w:val="en-GB"/>
              </w:rPr>
            </w:pPr>
            <w:r w:rsidRPr="00B3572A">
              <w:rPr>
                <w:lang w:val="en-GB"/>
              </w:rPr>
              <w:t xml:space="preserve">Total direct costs </w:t>
            </w:r>
          </w:p>
        </w:tc>
        <w:tc>
          <w:tcPr>
            <w:tcW w:w="1673" w:type="dxa"/>
            <w:vAlign w:val="center"/>
          </w:tcPr>
          <w:p w14:paraId="5C4510D0" w14:textId="6DBEB24F" w:rsidR="00F56085" w:rsidRPr="00960497" w:rsidRDefault="001E102A" w:rsidP="00136D05">
            <w:pPr>
              <w:pStyle w:val="ExhibitText"/>
              <w:jc w:val="right"/>
              <w:rPr>
                <w:lang w:val="en-GB"/>
              </w:rPr>
            </w:pPr>
            <w:r w:rsidRPr="00960497">
              <w:rPr>
                <w:lang w:val="en-GB"/>
              </w:rPr>
              <w:t xml:space="preserve">$ </w:t>
            </w:r>
            <w:r w:rsidR="00F56085" w:rsidRPr="00960497">
              <w:rPr>
                <w:lang w:val="en-GB"/>
              </w:rPr>
              <w:t>1,489,800</w:t>
            </w:r>
          </w:p>
        </w:tc>
        <w:tc>
          <w:tcPr>
            <w:tcW w:w="1421" w:type="dxa"/>
          </w:tcPr>
          <w:p w14:paraId="60A2E104" w14:textId="77777777" w:rsidR="00F56085" w:rsidRPr="00960497" w:rsidRDefault="00F56085" w:rsidP="003C51F9">
            <w:pPr>
              <w:pStyle w:val="ExhibitText"/>
              <w:rPr>
                <w:lang w:val="en-GB"/>
              </w:rPr>
            </w:pPr>
            <w:r w:rsidRPr="00960497">
              <w:rPr>
                <w:lang w:val="en-GB"/>
              </w:rPr>
              <w:t>__________</w:t>
            </w:r>
          </w:p>
        </w:tc>
        <w:tc>
          <w:tcPr>
            <w:tcW w:w="1349" w:type="dxa"/>
          </w:tcPr>
          <w:p w14:paraId="639F2E0B" w14:textId="77777777" w:rsidR="00F56085" w:rsidRPr="00960497" w:rsidRDefault="00F56085" w:rsidP="003C51F9">
            <w:pPr>
              <w:pStyle w:val="ExhibitText"/>
              <w:rPr>
                <w:lang w:val="en-GB"/>
              </w:rPr>
            </w:pPr>
            <w:r w:rsidRPr="00960497">
              <w:rPr>
                <w:lang w:val="en-GB"/>
              </w:rPr>
              <w:t>__________</w:t>
            </w:r>
          </w:p>
        </w:tc>
        <w:tc>
          <w:tcPr>
            <w:tcW w:w="1778" w:type="dxa"/>
          </w:tcPr>
          <w:p w14:paraId="6CB642CC" w14:textId="77777777" w:rsidR="00F56085" w:rsidRPr="00960497" w:rsidRDefault="00F56085" w:rsidP="003C51F9">
            <w:pPr>
              <w:pStyle w:val="ExhibitText"/>
              <w:rPr>
                <w:lang w:val="en-GB"/>
              </w:rPr>
            </w:pPr>
            <w:r w:rsidRPr="00960497">
              <w:rPr>
                <w:lang w:val="en-GB"/>
              </w:rPr>
              <w:t>__________</w:t>
            </w:r>
          </w:p>
        </w:tc>
      </w:tr>
      <w:tr w:rsidR="003C51F9" w:rsidRPr="00960497" w14:paraId="32C8B2C8" w14:textId="77777777" w:rsidTr="00651C7B">
        <w:trPr>
          <w:jc w:val="center"/>
        </w:trPr>
        <w:tc>
          <w:tcPr>
            <w:tcW w:w="9350" w:type="dxa"/>
            <w:gridSpan w:val="5"/>
            <w:vAlign w:val="center"/>
          </w:tcPr>
          <w:p w14:paraId="05EEBCAB" w14:textId="41C3B5F2" w:rsidR="003C51F9" w:rsidRPr="00960497" w:rsidRDefault="003C51F9" w:rsidP="003C51F9">
            <w:pPr>
              <w:pStyle w:val="ExhibitText"/>
              <w:rPr>
                <w:lang w:val="en-GB"/>
              </w:rPr>
            </w:pPr>
            <w:r w:rsidRPr="00960497">
              <w:rPr>
                <w:b/>
                <w:lang w:val="en-GB"/>
              </w:rPr>
              <w:t>Factory Overhead Costs</w:t>
            </w:r>
          </w:p>
        </w:tc>
      </w:tr>
      <w:tr w:rsidR="003C51F9" w:rsidRPr="00960497" w14:paraId="0E5415BB" w14:textId="77777777" w:rsidTr="00136D05">
        <w:trPr>
          <w:jc w:val="center"/>
        </w:trPr>
        <w:tc>
          <w:tcPr>
            <w:tcW w:w="3129" w:type="dxa"/>
            <w:vAlign w:val="center"/>
          </w:tcPr>
          <w:p w14:paraId="587F6125" w14:textId="7D5897BA" w:rsidR="00F56085" w:rsidRPr="00B3572A" w:rsidRDefault="00F56085" w:rsidP="003C51F9">
            <w:pPr>
              <w:pStyle w:val="ExhibitText"/>
              <w:jc w:val="left"/>
              <w:rPr>
                <w:lang w:val="en-GB"/>
              </w:rPr>
            </w:pPr>
            <w:r w:rsidRPr="00B3572A">
              <w:rPr>
                <w:lang w:val="en-GB"/>
              </w:rPr>
              <w:t>Supervision</w:t>
            </w:r>
          </w:p>
        </w:tc>
        <w:tc>
          <w:tcPr>
            <w:tcW w:w="1673" w:type="dxa"/>
            <w:vAlign w:val="center"/>
          </w:tcPr>
          <w:p w14:paraId="29BEB504" w14:textId="6C685D55" w:rsidR="00F56085" w:rsidRPr="00960497" w:rsidRDefault="001E102A" w:rsidP="00136D05">
            <w:pPr>
              <w:pStyle w:val="ExhibitText"/>
              <w:jc w:val="right"/>
              <w:rPr>
                <w:lang w:val="en-GB"/>
              </w:rPr>
            </w:pPr>
            <w:r w:rsidRPr="00960497">
              <w:rPr>
                <w:lang w:val="en-GB"/>
              </w:rPr>
              <w:t xml:space="preserve">$ </w:t>
            </w:r>
            <w:r w:rsidR="00F56085" w:rsidRPr="00960497">
              <w:rPr>
                <w:lang w:val="en-GB"/>
              </w:rPr>
              <w:t xml:space="preserve">200,000 </w:t>
            </w:r>
          </w:p>
        </w:tc>
        <w:tc>
          <w:tcPr>
            <w:tcW w:w="1421" w:type="dxa"/>
          </w:tcPr>
          <w:p w14:paraId="14331580" w14:textId="77777777" w:rsidR="00F56085" w:rsidRPr="00960497" w:rsidRDefault="00F56085" w:rsidP="003C51F9">
            <w:pPr>
              <w:pStyle w:val="ExhibitText"/>
              <w:rPr>
                <w:lang w:val="en-GB"/>
              </w:rPr>
            </w:pPr>
            <w:r w:rsidRPr="00960497">
              <w:rPr>
                <w:lang w:val="en-GB"/>
              </w:rPr>
              <w:t>__________</w:t>
            </w:r>
          </w:p>
        </w:tc>
        <w:tc>
          <w:tcPr>
            <w:tcW w:w="1349" w:type="dxa"/>
          </w:tcPr>
          <w:p w14:paraId="06CC8813" w14:textId="77777777" w:rsidR="00F56085" w:rsidRPr="00960497" w:rsidRDefault="00F56085" w:rsidP="003C51F9">
            <w:pPr>
              <w:pStyle w:val="ExhibitText"/>
              <w:rPr>
                <w:lang w:val="en-GB"/>
              </w:rPr>
            </w:pPr>
            <w:r w:rsidRPr="00960497">
              <w:rPr>
                <w:lang w:val="en-GB"/>
              </w:rPr>
              <w:t>__________</w:t>
            </w:r>
          </w:p>
        </w:tc>
        <w:tc>
          <w:tcPr>
            <w:tcW w:w="1778" w:type="dxa"/>
          </w:tcPr>
          <w:p w14:paraId="6F8CF9B2" w14:textId="77777777" w:rsidR="00F56085" w:rsidRPr="00960497" w:rsidRDefault="00F56085" w:rsidP="003C51F9">
            <w:pPr>
              <w:pStyle w:val="ExhibitText"/>
              <w:rPr>
                <w:lang w:val="en-GB"/>
              </w:rPr>
            </w:pPr>
            <w:r w:rsidRPr="00960497">
              <w:rPr>
                <w:lang w:val="en-GB"/>
              </w:rPr>
              <w:t>__________</w:t>
            </w:r>
          </w:p>
        </w:tc>
      </w:tr>
      <w:tr w:rsidR="003C51F9" w:rsidRPr="00960497" w14:paraId="532977D0" w14:textId="77777777" w:rsidTr="00136D05">
        <w:trPr>
          <w:jc w:val="center"/>
        </w:trPr>
        <w:tc>
          <w:tcPr>
            <w:tcW w:w="3129" w:type="dxa"/>
            <w:vAlign w:val="center"/>
          </w:tcPr>
          <w:p w14:paraId="4AD26858" w14:textId="6A15B7A6" w:rsidR="00F56085" w:rsidRPr="00B3572A" w:rsidRDefault="00F56085" w:rsidP="003C51F9">
            <w:pPr>
              <w:pStyle w:val="ExhibitText"/>
              <w:jc w:val="left"/>
              <w:rPr>
                <w:lang w:val="en-GB"/>
              </w:rPr>
            </w:pPr>
            <w:r w:rsidRPr="00B3572A">
              <w:rPr>
                <w:lang w:val="en-GB"/>
              </w:rPr>
              <w:t>Supplies</w:t>
            </w:r>
          </w:p>
        </w:tc>
        <w:tc>
          <w:tcPr>
            <w:tcW w:w="1673" w:type="dxa"/>
            <w:vAlign w:val="center"/>
          </w:tcPr>
          <w:p w14:paraId="04F9E7C4" w14:textId="225BC6C0" w:rsidR="00F56085" w:rsidRPr="00960497" w:rsidRDefault="00F56085" w:rsidP="00136D05">
            <w:pPr>
              <w:pStyle w:val="ExhibitText"/>
              <w:jc w:val="right"/>
              <w:rPr>
                <w:lang w:val="en-GB"/>
              </w:rPr>
            </w:pPr>
            <w:r w:rsidRPr="00960497">
              <w:rPr>
                <w:lang w:val="en-GB"/>
              </w:rPr>
              <w:t xml:space="preserve">21,000 </w:t>
            </w:r>
          </w:p>
        </w:tc>
        <w:tc>
          <w:tcPr>
            <w:tcW w:w="1421" w:type="dxa"/>
          </w:tcPr>
          <w:p w14:paraId="023CFDFC" w14:textId="77777777" w:rsidR="00F56085" w:rsidRPr="00960497" w:rsidRDefault="00F56085" w:rsidP="003C51F9">
            <w:pPr>
              <w:pStyle w:val="ExhibitText"/>
              <w:rPr>
                <w:u w:val="single"/>
                <w:lang w:val="en-GB"/>
              </w:rPr>
            </w:pPr>
            <w:r w:rsidRPr="00960497">
              <w:rPr>
                <w:lang w:val="en-GB"/>
              </w:rPr>
              <w:t>__________</w:t>
            </w:r>
          </w:p>
        </w:tc>
        <w:tc>
          <w:tcPr>
            <w:tcW w:w="1349" w:type="dxa"/>
          </w:tcPr>
          <w:p w14:paraId="78E84D5D" w14:textId="77777777" w:rsidR="00F56085" w:rsidRPr="00960497" w:rsidRDefault="00F56085" w:rsidP="003C51F9">
            <w:pPr>
              <w:pStyle w:val="ExhibitText"/>
              <w:rPr>
                <w:u w:val="single"/>
                <w:lang w:val="en-GB"/>
              </w:rPr>
            </w:pPr>
            <w:r w:rsidRPr="00960497">
              <w:rPr>
                <w:lang w:val="en-GB"/>
              </w:rPr>
              <w:t>__________</w:t>
            </w:r>
          </w:p>
        </w:tc>
        <w:tc>
          <w:tcPr>
            <w:tcW w:w="1778" w:type="dxa"/>
          </w:tcPr>
          <w:p w14:paraId="02ECD80F" w14:textId="77777777" w:rsidR="00F56085" w:rsidRPr="00960497" w:rsidRDefault="00F56085" w:rsidP="003C51F9">
            <w:pPr>
              <w:pStyle w:val="ExhibitText"/>
              <w:rPr>
                <w:u w:val="single"/>
                <w:lang w:val="en-GB"/>
              </w:rPr>
            </w:pPr>
            <w:r w:rsidRPr="00960497">
              <w:rPr>
                <w:lang w:val="en-GB"/>
              </w:rPr>
              <w:t>__________</w:t>
            </w:r>
          </w:p>
        </w:tc>
      </w:tr>
      <w:tr w:rsidR="003C51F9" w:rsidRPr="00960497" w14:paraId="7FB36A4F" w14:textId="77777777" w:rsidTr="00136D05">
        <w:trPr>
          <w:jc w:val="center"/>
        </w:trPr>
        <w:tc>
          <w:tcPr>
            <w:tcW w:w="3129" w:type="dxa"/>
            <w:vAlign w:val="center"/>
          </w:tcPr>
          <w:p w14:paraId="78E64186" w14:textId="0DAC749C" w:rsidR="00F56085" w:rsidRPr="00B3572A" w:rsidRDefault="00F56085" w:rsidP="003C51F9">
            <w:pPr>
              <w:pStyle w:val="ExhibitText"/>
              <w:jc w:val="left"/>
              <w:rPr>
                <w:lang w:val="en-GB"/>
              </w:rPr>
            </w:pPr>
            <w:r w:rsidRPr="00B3572A">
              <w:rPr>
                <w:lang w:val="en-GB"/>
              </w:rPr>
              <w:t>Power</w:t>
            </w:r>
          </w:p>
        </w:tc>
        <w:tc>
          <w:tcPr>
            <w:tcW w:w="1673" w:type="dxa"/>
            <w:vAlign w:val="center"/>
          </w:tcPr>
          <w:p w14:paraId="346CB627" w14:textId="1AB6325F" w:rsidR="00F56085" w:rsidRPr="00960497" w:rsidRDefault="00F56085" w:rsidP="00136D05">
            <w:pPr>
              <w:pStyle w:val="ExhibitText"/>
              <w:jc w:val="right"/>
              <w:rPr>
                <w:lang w:val="en-GB"/>
              </w:rPr>
            </w:pPr>
            <w:r w:rsidRPr="00960497">
              <w:rPr>
                <w:lang w:val="en-GB"/>
              </w:rPr>
              <w:t xml:space="preserve">140,000 </w:t>
            </w:r>
          </w:p>
        </w:tc>
        <w:tc>
          <w:tcPr>
            <w:tcW w:w="1421" w:type="dxa"/>
          </w:tcPr>
          <w:p w14:paraId="4994D567" w14:textId="77777777" w:rsidR="00F56085" w:rsidRPr="00960497" w:rsidRDefault="00F56085" w:rsidP="003C51F9">
            <w:pPr>
              <w:pStyle w:val="ExhibitText"/>
              <w:rPr>
                <w:lang w:val="en-GB"/>
              </w:rPr>
            </w:pPr>
            <w:r w:rsidRPr="00960497">
              <w:rPr>
                <w:lang w:val="en-GB"/>
              </w:rPr>
              <w:t>__________</w:t>
            </w:r>
          </w:p>
        </w:tc>
        <w:tc>
          <w:tcPr>
            <w:tcW w:w="1349" w:type="dxa"/>
          </w:tcPr>
          <w:p w14:paraId="6DCBA516" w14:textId="77777777" w:rsidR="00F56085" w:rsidRPr="00960497" w:rsidRDefault="00F56085" w:rsidP="003C51F9">
            <w:pPr>
              <w:pStyle w:val="ExhibitText"/>
              <w:rPr>
                <w:lang w:val="en-GB"/>
              </w:rPr>
            </w:pPr>
            <w:r w:rsidRPr="00960497">
              <w:rPr>
                <w:lang w:val="en-GB"/>
              </w:rPr>
              <w:t>__________</w:t>
            </w:r>
          </w:p>
        </w:tc>
        <w:tc>
          <w:tcPr>
            <w:tcW w:w="1778" w:type="dxa"/>
          </w:tcPr>
          <w:p w14:paraId="38892093" w14:textId="77777777" w:rsidR="00F56085" w:rsidRPr="00960497" w:rsidRDefault="00F56085" w:rsidP="003C51F9">
            <w:pPr>
              <w:pStyle w:val="ExhibitText"/>
              <w:rPr>
                <w:lang w:val="en-GB"/>
              </w:rPr>
            </w:pPr>
            <w:r w:rsidRPr="00960497">
              <w:rPr>
                <w:lang w:val="en-GB"/>
              </w:rPr>
              <w:t>__________</w:t>
            </w:r>
          </w:p>
        </w:tc>
      </w:tr>
      <w:tr w:rsidR="003C51F9" w:rsidRPr="00960497" w14:paraId="48522BD1" w14:textId="77777777" w:rsidTr="00136D05">
        <w:trPr>
          <w:jc w:val="center"/>
        </w:trPr>
        <w:tc>
          <w:tcPr>
            <w:tcW w:w="3129" w:type="dxa"/>
            <w:vAlign w:val="center"/>
          </w:tcPr>
          <w:p w14:paraId="210260C5" w14:textId="30CE14C9" w:rsidR="00F56085" w:rsidRPr="00B3572A" w:rsidRDefault="00F56085" w:rsidP="003C51F9">
            <w:pPr>
              <w:pStyle w:val="ExhibitText"/>
              <w:jc w:val="left"/>
              <w:rPr>
                <w:lang w:val="en-GB"/>
              </w:rPr>
            </w:pPr>
            <w:r w:rsidRPr="00B3572A">
              <w:rPr>
                <w:lang w:val="en-GB"/>
              </w:rPr>
              <w:t>Warehouse rent</w:t>
            </w:r>
          </w:p>
        </w:tc>
        <w:tc>
          <w:tcPr>
            <w:tcW w:w="1673" w:type="dxa"/>
            <w:vAlign w:val="center"/>
          </w:tcPr>
          <w:p w14:paraId="73473A02" w14:textId="6B92A51A" w:rsidR="00F56085" w:rsidRPr="00960497" w:rsidRDefault="00F56085" w:rsidP="00136D05">
            <w:pPr>
              <w:pStyle w:val="ExhibitText"/>
              <w:jc w:val="right"/>
              <w:rPr>
                <w:lang w:val="en-GB"/>
              </w:rPr>
            </w:pPr>
            <w:r w:rsidRPr="00960497">
              <w:rPr>
                <w:lang w:val="en-GB"/>
              </w:rPr>
              <w:t xml:space="preserve">120,000 </w:t>
            </w:r>
          </w:p>
        </w:tc>
        <w:tc>
          <w:tcPr>
            <w:tcW w:w="1421" w:type="dxa"/>
          </w:tcPr>
          <w:p w14:paraId="0E8953C5" w14:textId="77777777" w:rsidR="00F56085" w:rsidRPr="00960497" w:rsidRDefault="00F56085" w:rsidP="003C51F9">
            <w:pPr>
              <w:pStyle w:val="ExhibitText"/>
              <w:rPr>
                <w:lang w:val="en-GB"/>
              </w:rPr>
            </w:pPr>
            <w:r w:rsidRPr="00960497">
              <w:rPr>
                <w:lang w:val="en-GB"/>
              </w:rPr>
              <w:t>__________</w:t>
            </w:r>
          </w:p>
        </w:tc>
        <w:tc>
          <w:tcPr>
            <w:tcW w:w="1349" w:type="dxa"/>
          </w:tcPr>
          <w:p w14:paraId="455F558D" w14:textId="77777777" w:rsidR="00F56085" w:rsidRPr="00960497" w:rsidRDefault="00F56085" w:rsidP="003C51F9">
            <w:pPr>
              <w:pStyle w:val="ExhibitText"/>
              <w:rPr>
                <w:lang w:val="en-GB"/>
              </w:rPr>
            </w:pPr>
            <w:r w:rsidRPr="00960497">
              <w:rPr>
                <w:lang w:val="en-GB"/>
              </w:rPr>
              <w:t>__________</w:t>
            </w:r>
          </w:p>
        </w:tc>
        <w:tc>
          <w:tcPr>
            <w:tcW w:w="1778" w:type="dxa"/>
          </w:tcPr>
          <w:p w14:paraId="7561E9C5" w14:textId="77777777" w:rsidR="00F56085" w:rsidRPr="00960497" w:rsidRDefault="00F56085" w:rsidP="003C51F9">
            <w:pPr>
              <w:pStyle w:val="ExhibitText"/>
              <w:rPr>
                <w:lang w:val="en-GB"/>
              </w:rPr>
            </w:pPr>
            <w:r w:rsidRPr="00960497">
              <w:rPr>
                <w:lang w:val="en-GB"/>
              </w:rPr>
              <w:t>__________</w:t>
            </w:r>
          </w:p>
        </w:tc>
      </w:tr>
      <w:tr w:rsidR="003C51F9" w:rsidRPr="00960497" w14:paraId="367B0A8E" w14:textId="77777777" w:rsidTr="00136D05">
        <w:trPr>
          <w:jc w:val="center"/>
        </w:trPr>
        <w:tc>
          <w:tcPr>
            <w:tcW w:w="3129" w:type="dxa"/>
            <w:vAlign w:val="center"/>
          </w:tcPr>
          <w:p w14:paraId="1367D781" w14:textId="38168BD4" w:rsidR="00F56085" w:rsidRPr="00B3572A" w:rsidRDefault="00F56085" w:rsidP="003C51F9">
            <w:pPr>
              <w:pStyle w:val="ExhibitText"/>
              <w:jc w:val="left"/>
              <w:rPr>
                <w:lang w:val="en-GB"/>
              </w:rPr>
            </w:pPr>
            <w:r w:rsidRPr="00B3572A">
              <w:rPr>
                <w:lang w:val="en-GB"/>
              </w:rPr>
              <w:t>Insurance on machinery</w:t>
            </w:r>
          </w:p>
        </w:tc>
        <w:tc>
          <w:tcPr>
            <w:tcW w:w="1673" w:type="dxa"/>
            <w:vAlign w:val="center"/>
          </w:tcPr>
          <w:p w14:paraId="11C33CE5" w14:textId="79C09F41" w:rsidR="00F56085" w:rsidRPr="00960497" w:rsidRDefault="00F56085" w:rsidP="00136D05">
            <w:pPr>
              <w:pStyle w:val="ExhibitText"/>
              <w:jc w:val="right"/>
              <w:rPr>
                <w:lang w:val="en-GB"/>
              </w:rPr>
            </w:pPr>
            <w:r w:rsidRPr="00960497">
              <w:rPr>
                <w:lang w:val="en-GB"/>
              </w:rPr>
              <w:t xml:space="preserve">24,000 </w:t>
            </w:r>
          </w:p>
        </w:tc>
        <w:tc>
          <w:tcPr>
            <w:tcW w:w="1421" w:type="dxa"/>
          </w:tcPr>
          <w:p w14:paraId="0A03C62E" w14:textId="77777777" w:rsidR="00F56085" w:rsidRPr="00960497" w:rsidRDefault="00F56085" w:rsidP="003C51F9">
            <w:pPr>
              <w:pStyle w:val="ExhibitText"/>
              <w:rPr>
                <w:lang w:val="en-GB"/>
              </w:rPr>
            </w:pPr>
            <w:r w:rsidRPr="00960497">
              <w:rPr>
                <w:lang w:val="en-GB"/>
              </w:rPr>
              <w:t>__________</w:t>
            </w:r>
          </w:p>
        </w:tc>
        <w:tc>
          <w:tcPr>
            <w:tcW w:w="1349" w:type="dxa"/>
          </w:tcPr>
          <w:p w14:paraId="4DD693E6" w14:textId="77777777" w:rsidR="00F56085" w:rsidRPr="00960497" w:rsidRDefault="00F56085" w:rsidP="003C51F9">
            <w:pPr>
              <w:pStyle w:val="ExhibitText"/>
              <w:rPr>
                <w:lang w:val="en-GB"/>
              </w:rPr>
            </w:pPr>
            <w:r w:rsidRPr="00960497">
              <w:rPr>
                <w:lang w:val="en-GB"/>
              </w:rPr>
              <w:t>__________</w:t>
            </w:r>
          </w:p>
        </w:tc>
        <w:tc>
          <w:tcPr>
            <w:tcW w:w="1778" w:type="dxa"/>
          </w:tcPr>
          <w:p w14:paraId="3BF4B971" w14:textId="77777777" w:rsidR="00F56085" w:rsidRPr="00960497" w:rsidRDefault="00F56085" w:rsidP="003C51F9">
            <w:pPr>
              <w:pStyle w:val="ExhibitText"/>
              <w:rPr>
                <w:lang w:val="en-GB"/>
              </w:rPr>
            </w:pPr>
            <w:r w:rsidRPr="00960497">
              <w:rPr>
                <w:lang w:val="en-GB"/>
              </w:rPr>
              <w:t>__________</w:t>
            </w:r>
          </w:p>
        </w:tc>
      </w:tr>
      <w:tr w:rsidR="003C51F9" w:rsidRPr="00960497" w14:paraId="4445ED9D" w14:textId="77777777" w:rsidTr="00136D05">
        <w:trPr>
          <w:jc w:val="center"/>
        </w:trPr>
        <w:tc>
          <w:tcPr>
            <w:tcW w:w="3129" w:type="dxa"/>
            <w:vAlign w:val="center"/>
          </w:tcPr>
          <w:p w14:paraId="2950AFA5" w14:textId="0089A507" w:rsidR="00F56085" w:rsidRPr="00B3572A" w:rsidRDefault="00F56085" w:rsidP="003C51F9">
            <w:pPr>
              <w:pStyle w:val="ExhibitText"/>
              <w:jc w:val="left"/>
              <w:rPr>
                <w:lang w:val="en-GB"/>
              </w:rPr>
            </w:pPr>
            <w:r w:rsidRPr="00B3572A">
              <w:rPr>
                <w:lang w:val="en-GB"/>
              </w:rPr>
              <w:t>Repairs</w:t>
            </w:r>
          </w:p>
        </w:tc>
        <w:tc>
          <w:tcPr>
            <w:tcW w:w="1673" w:type="dxa"/>
            <w:vAlign w:val="center"/>
          </w:tcPr>
          <w:p w14:paraId="176F206A" w14:textId="6C5993CB" w:rsidR="00F56085" w:rsidRPr="00960497" w:rsidRDefault="00F56085" w:rsidP="00136D05">
            <w:pPr>
              <w:pStyle w:val="ExhibitText"/>
              <w:jc w:val="right"/>
              <w:rPr>
                <w:u w:val="single"/>
                <w:lang w:val="en-GB"/>
              </w:rPr>
            </w:pPr>
            <w:r w:rsidRPr="00960497">
              <w:rPr>
                <w:u w:val="single"/>
                <w:lang w:val="en-GB"/>
              </w:rPr>
              <w:t xml:space="preserve">63,000 </w:t>
            </w:r>
          </w:p>
        </w:tc>
        <w:tc>
          <w:tcPr>
            <w:tcW w:w="1421" w:type="dxa"/>
          </w:tcPr>
          <w:p w14:paraId="1D3B4353" w14:textId="77777777" w:rsidR="00F56085" w:rsidRPr="00960497" w:rsidRDefault="00F56085" w:rsidP="003C51F9">
            <w:pPr>
              <w:pStyle w:val="ExhibitText"/>
              <w:rPr>
                <w:lang w:val="en-GB"/>
              </w:rPr>
            </w:pPr>
            <w:r w:rsidRPr="00960497">
              <w:rPr>
                <w:lang w:val="en-GB"/>
              </w:rPr>
              <w:t>__________</w:t>
            </w:r>
          </w:p>
        </w:tc>
        <w:tc>
          <w:tcPr>
            <w:tcW w:w="1349" w:type="dxa"/>
          </w:tcPr>
          <w:p w14:paraId="05927F34" w14:textId="77777777" w:rsidR="00F56085" w:rsidRPr="00960497" w:rsidRDefault="00F56085" w:rsidP="003C51F9">
            <w:pPr>
              <w:pStyle w:val="ExhibitText"/>
              <w:rPr>
                <w:lang w:val="en-GB"/>
              </w:rPr>
            </w:pPr>
            <w:r w:rsidRPr="00960497">
              <w:rPr>
                <w:lang w:val="en-GB"/>
              </w:rPr>
              <w:t>__________</w:t>
            </w:r>
          </w:p>
        </w:tc>
        <w:tc>
          <w:tcPr>
            <w:tcW w:w="1778" w:type="dxa"/>
          </w:tcPr>
          <w:p w14:paraId="60269C45" w14:textId="77777777" w:rsidR="00F56085" w:rsidRPr="00960497" w:rsidRDefault="00F56085" w:rsidP="003C51F9">
            <w:pPr>
              <w:pStyle w:val="ExhibitText"/>
              <w:rPr>
                <w:lang w:val="en-GB"/>
              </w:rPr>
            </w:pPr>
            <w:r w:rsidRPr="00960497">
              <w:rPr>
                <w:lang w:val="en-GB"/>
              </w:rPr>
              <w:t>__________</w:t>
            </w:r>
          </w:p>
        </w:tc>
      </w:tr>
      <w:tr w:rsidR="003C51F9" w:rsidRPr="00960497" w14:paraId="6403E73C" w14:textId="77777777" w:rsidTr="00136D05">
        <w:trPr>
          <w:jc w:val="center"/>
        </w:trPr>
        <w:tc>
          <w:tcPr>
            <w:tcW w:w="3129" w:type="dxa"/>
            <w:vAlign w:val="center"/>
          </w:tcPr>
          <w:p w14:paraId="49B9851D" w14:textId="77777777" w:rsidR="00F56085" w:rsidRPr="00B3572A" w:rsidRDefault="00F56085" w:rsidP="003C51F9">
            <w:pPr>
              <w:pStyle w:val="ExhibitText"/>
              <w:jc w:val="left"/>
              <w:rPr>
                <w:lang w:val="en-GB"/>
              </w:rPr>
            </w:pPr>
            <w:r w:rsidRPr="00B3572A">
              <w:rPr>
                <w:lang w:val="en-GB"/>
              </w:rPr>
              <w:t>Total factory overhead costs</w:t>
            </w:r>
          </w:p>
        </w:tc>
        <w:tc>
          <w:tcPr>
            <w:tcW w:w="1673" w:type="dxa"/>
            <w:vAlign w:val="center"/>
          </w:tcPr>
          <w:p w14:paraId="6D3484A5" w14:textId="76F2A0C4" w:rsidR="00F56085" w:rsidRPr="00960497" w:rsidRDefault="001E102A" w:rsidP="00136D05">
            <w:pPr>
              <w:pStyle w:val="ExhibitText"/>
              <w:jc w:val="right"/>
              <w:rPr>
                <w:lang w:val="en-GB"/>
              </w:rPr>
            </w:pPr>
            <w:r w:rsidRPr="00960497">
              <w:rPr>
                <w:lang w:val="en-GB"/>
              </w:rPr>
              <w:t xml:space="preserve">$ </w:t>
            </w:r>
            <w:r w:rsidR="00F56085" w:rsidRPr="00960497">
              <w:rPr>
                <w:lang w:val="en-GB"/>
              </w:rPr>
              <w:t xml:space="preserve">568,000 </w:t>
            </w:r>
          </w:p>
        </w:tc>
        <w:tc>
          <w:tcPr>
            <w:tcW w:w="1421" w:type="dxa"/>
          </w:tcPr>
          <w:p w14:paraId="12D1A95A" w14:textId="77777777" w:rsidR="00F56085" w:rsidRPr="00960497" w:rsidRDefault="00F56085" w:rsidP="003C51F9">
            <w:pPr>
              <w:pStyle w:val="ExhibitText"/>
              <w:rPr>
                <w:u w:val="single"/>
                <w:lang w:val="en-GB"/>
              </w:rPr>
            </w:pPr>
            <w:r w:rsidRPr="00960497">
              <w:rPr>
                <w:lang w:val="en-GB"/>
              </w:rPr>
              <w:t>__________</w:t>
            </w:r>
          </w:p>
        </w:tc>
        <w:tc>
          <w:tcPr>
            <w:tcW w:w="1349" w:type="dxa"/>
          </w:tcPr>
          <w:p w14:paraId="105A9B78" w14:textId="77777777" w:rsidR="00F56085" w:rsidRPr="00960497" w:rsidRDefault="00F56085" w:rsidP="003C51F9">
            <w:pPr>
              <w:pStyle w:val="ExhibitText"/>
              <w:rPr>
                <w:u w:val="single"/>
                <w:lang w:val="en-GB"/>
              </w:rPr>
            </w:pPr>
            <w:r w:rsidRPr="00960497">
              <w:rPr>
                <w:lang w:val="en-GB"/>
              </w:rPr>
              <w:t>__________</w:t>
            </w:r>
          </w:p>
        </w:tc>
        <w:tc>
          <w:tcPr>
            <w:tcW w:w="1778" w:type="dxa"/>
          </w:tcPr>
          <w:p w14:paraId="7F0AFFCA" w14:textId="77777777" w:rsidR="00F56085" w:rsidRPr="00960497" w:rsidRDefault="00F56085" w:rsidP="003C51F9">
            <w:pPr>
              <w:pStyle w:val="ExhibitText"/>
              <w:rPr>
                <w:u w:val="single"/>
                <w:lang w:val="en-GB"/>
              </w:rPr>
            </w:pPr>
            <w:r w:rsidRPr="00960497">
              <w:rPr>
                <w:lang w:val="en-GB"/>
              </w:rPr>
              <w:t>__________</w:t>
            </w:r>
          </w:p>
        </w:tc>
      </w:tr>
      <w:tr w:rsidR="003C51F9" w:rsidRPr="00960497" w14:paraId="3768C4C0" w14:textId="77777777" w:rsidTr="00E66492">
        <w:trPr>
          <w:jc w:val="center"/>
        </w:trPr>
        <w:tc>
          <w:tcPr>
            <w:tcW w:w="9350" w:type="dxa"/>
            <w:gridSpan w:val="5"/>
            <w:vAlign w:val="center"/>
          </w:tcPr>
          <w:p w14:paraId="6D60D8C4" w14:textId="06159803" w:rsidR="003C51F9" w:rsidRPr="00960497" w:rsidRDefault="003C51F9" w:rsidP="003C51F9">
            <w:pPr>
              <w:pStyle w:val="ExhibitText"/>
              <w:rPr>
                <w:lang w:val="en-GB"/>
              </w:rPr>
            </w:pPr>
            <w:r w:rsidRPr="00960497">
              <w:rPr>
                <w:b/>
                <w:lang w:val="en-GB"/>
              </w:rPr>
              <w:t>Administrative Costs</w:t>
            </w:r>
          </w:p>
        </w:tc>
      </w:tr>
      <w:tr w:rsidR="003C51F9" w:rsidRPr="00960497" w14:paraId="66BA30C1" w14:textId="77777777" w:rsidTr="00136D05">
        <w:trPr>
          <w:jc w:val="center"/>
        </w:trPr>
        <w:tc>
          <w:tcPr>
            <w:tcW w:w="3129" w:type="dxa"/>
            <w:vAlign w:val="center"/>
          </w:tcPr>
          <w:p w14:paraId="4950C2CE" w14:textId="212F623E" w:rsidR="00F56085" w:rsidRPr="00B3572A" w:rsidRDefault="00F56085" w:rsidP="003C51F9">
            <w:pPr>
              <w:pStyle w:val="ExhibitText"/>
              <w:jc w:val="left"/>
              <w:rPr>
                <w:lang w:val="en-GB"/>
              </w:rPr>
            </w:pPr>
            <w:r w:rsidRPr="00B3572A">
              <w:rPr>
                <w:lang w:val="en-GB"/>
              </w:rPr>
              <w:t>General manager</w:t>
            </w:r>
          </w:p>
        </w:tc>
        <w:tc>
          <w:tcPr>
            <w:tcW w:w="1673" w:type="dxa"/>
            <w:vAlign w:val="center"/>
          </w:tcPr>
          <w:p w14:paraId="3A4E367F" w14:textId="3E07C0B6" w:rsidR="00F56085" w:rsidRPr="00960497" w:rsidRDefault="001E102A" w:rsidP="00136D05">
            <w:pPr>
              <w:pStyle w:val="ExhibitText"/>
              <w:jc w:val="right"/>
              <w:rPr>
                <w:lang w:val="en-GB"/>
              </w:rPr>
            </w:pPr>
            <w:r w:rsidRPr="00960497">
              <w:rPr>
                <w:lang w:val="en-GB"/>
              </w:rPr>
              <w:t xml:space="preserve">$ </w:t>
            </w:r>
            <w:r w:rsidR="00F56085" w:rsidRPr="00960497">
              <w:rPr>
                <w:lang w:val="en-GB"/>
              </w:rPr>
              <w:t xml:space="preserve">140,000 </w:t>
            </w:r>
          </w:p>
        </w:tc>
        <w:tc>
          <w:tcPr>
            <w:tcW w:w="1421" w:type="dxa"/>
          </w:tcPr>
          <w:p w14:paraId="658D81EC" w14:textId="77777777" w:rsidR="00F56085" w:rsidRPr="00960497" w:rsidRDefault="00F56085" w:rsidP="003C51F9">
            <w:pPr>
              <w:pStyle w:val="ExhibitText"/>
              <w:rPr>
                <w:lang w:val="en-GB"/>
              </w:rPr>
            </w:pPr>
            <w:r w:rsidRPr="00960497">
              <w:rPr>
                <w:lang w:val="en-GB"/>
              </w:rPr>
              <w:t>__________</w:t>
            </w:r>
          </w:p>
        </w:tc>
        <w:tc>
          <w:tcPr>
            <w:tcW w:w="1349" w:type="dxa"/>
          </w:tcPr>
          <w:p w14:paraId="00BE2822" w14:textId="77777777" w:rsidR="00F56085" w:rsidRPr="00960497" w:rsidRDefault="00F56085" w:rsidP="003C51F9">
            <w:pPr>
              <w:pStyle w:val="ExhibitText"/>
              <w:rPr>
                <w:lang w:val="en-GB"/>
              </w:rPr>
            </w:pPr>
            <w:r w:rsidRPr="00960497">
              <w:rPr>
                <w:lang w:val="en-GB"/>
              </w:rPr>
              <w:t>__________</w:t>
            </w:r>
          </w:p>
        </w:tc>
        <w:tc>
          <w:tcPr>
            <w:tcW w:w="1778" w:type="dxa"/>
          </w:tcPr>
          <w:p w14:paraId="1A165B53" w14:textId="77777777" w:rsidR="00F56085" w:rsidRPr="00960497" w:rsidRDefault="00F56085" w:rsidP="003C51F9">
            <w:pPr>
              <w:pStyle w:val="ExhibitText"/>
              <w:rPr>
                <w:lang w:val="en-GB"/>
              </w:rPr>
            </w:pPr>
            <w:r w:rsidRPr="00960497">
              <w:rPr>
                <w:lang w:val="en-GB"/>
              </w:rPr>
              <w:t>__________</w:t>
            </w:r>
          </w:p>
        </w:tc>
      </w:tr>
      <w:tr w:rsidR="003C51F9" w:rsidRPr="00960497" w14:paraId="7E649000" w14:textId="77777777" w:rsidTr="00136D05">
        <w:trPr>
          <w:jc w:val="center"/>
        </w:trPr>
        <w:tc>
          <w:tcPr>
            <w:tcW w:w="3129" w:type="dxa"/>
            <w:vAlign w:val="center"/>
          </w:tcPr>
          <w:p w14:paraId="0FED4AE6" w14:textId="3955D8D7" w:rsidR="00F56085" w:rsidRPr="00B3572A" w:rsidRDefault="00F56085" w:rsidP="003C51F9">
            <w:pPr>
              <w:pStyle w:val="ExhibitText"/>
              <w:jc w:val="left"/>
              <w:rPr>
                <w:lang w:val="en-GB"/>
              </w:rPr>
            </w:pPr>
            <w:r w:rsidRPr="00B3572A">
              <w:rPr>
                <w:lang w:val="en-GB"/>
              </w:rPr>
              <w:t>Shipping and receiving</w:t>
            </w:r>
          </w:p>
        </w:tc>
        <w:tc>
          <w:tcPr>
            <w:tcW w:w="1673" w:type="dxa"/>
            <w:vAlign w:val="center"/>
          </w:tcPr>
          <w:p w14:paraId="1D5F0F35" w14:textId="0799AD6A" w:rsidR="00F56085" w:rsidRPr="00960497" w:rsidRDefault="00F56085" w:rsidP="00136D05">
            <w:pPr>
              <w:pStyle w:val="ExhibitText"/>
              <w:jc w:val="right"/>
              <w:rPr>
                <w:lang w:val="en-GB"/>
              </w:rPr>
            </w:pPr>
            <w:r w:rsidRPr="00960497">
              <w:rPr>
                <w:lang w:val="en-GB"/>
              </w:rPr>
              <w:t xml:space="preserve">34,500 </w:t>
            </w:r>
          </w:p>
        </w:tc>
        <w:tc>
          <w:tcPr>
            <w:tcW w:w="1421" w:type="dxa"/>
          </w:tcPr>
          <w:p w14:paraId="62D719D3" w14:textId="77777777" w:rsidR="00F56085" w:rsidRPr="00960497" w:rsidRDefault="00F56085" w:rsidP="003C51F9">
            <w:pPr>
              <w:pStyle w:val="ExhibitText"/>
              <w:rPr>
                <w:u w:val="single"/>
                <w:lang w:val="en-GB"/>
              </w:rPr>
            </w:pPr>
            <w:r w:rsidRPr="00960497">
              <w:rPr>
                <w:lang w:val="en-GB"/>
              </w:rPr>
              <w:t>__________</w:t>
            </w:r>
          </w:p>
        </w:tc>
        <w:tc>
          <w:tcPr>
            <w:tcW w:w="1349" w:type="dxa"/>
          </w:tcPr>
          <w:p w14:paraId="7106AEFB" w14:textId="77777777" w:rsidR="00F56085" w:rsidRPr="00960497" w:rsidRDefault="00F56085" w:rsidP="003C51F9">
            <w:pPr>
              <w:pStyle w:val="ExhibitText"/>
              <w:rPr>
                <w:u w:val="single"/>
                <w:lang w:val="en-GB"/>
              </w:rPr>
            </w:pPr>
            <w:r w:rsidRPr="00960497">
              <w:rPr>
                <w:lang w:val="en-GB"/>
              </w:rPr>
              <w:t>__________</w:t>
            </w:r>
          </w:p>
        </w:tc>
        <w:tc>
          <w:tcPr>
            <w:tcW w:w="1778" w:type="dxa"/>
          </w:tcPr>
          <w:p w14:paraId="2873D2A3" w14:textId="77777777" w:rsidR="00F56085" w:rsidRPr="00960497" w:rsidRDefault="00F56085" w:rsidP="003C51F9">
            <w:pPr>
              <w:pStyle w:val="ExhibitText"/>
              <w:rPr>
                <w:u w:val="single"/>
                <w:lang w:val="en-GB"/>
              </w:rPr>
            </w:pPr>
            <w:r w:rsidRPr="00960497">
              <w:rPr>
                <w:lang w:val="en-GB"/>
              </w:rPr>
              <w:t>__________</w:t>
            </w:r>
          </w:p>
        </w:tc>
      </w:tr>
      <w:tr w:rsidR="003C51F9" w:rsidRPr="00960497" w14:paraId="05F060A8" w14:textId="77777777" w:rsidTr="00136D05">
        <w:trPr>
          <w:jc w:val="center"/>
        </w:trPr>
        <w:tc>
          <w:tcPr>
            <w:tcW w:w="3129" w:type="dxa"/>
            <w:vAlign w:val="center"/>
          </w:tcPr>
          <w:p w14:paraId="72F55991" w14:textId="1B48EC68" w:rsidR="00F56085" w:rsidRPr="00B3572A" w:rsidRDefault="00F56085" w:rsidP="003C51F9">
            <w:pPr>
              <w:pStyle w:val="ExhibitText"/>
              <w:jc w:val="left"/>
              <w:rPr>
                <w:lang w:val="en-GB"/>
              </w:rPr>
            </w:pPr>
            <w:r w:rsidRPr="00B3572A">
              <w:rPr>
                <w:lang w:val="en-GB"/>
              </w:rPr>
              <w:t>Office rent</w:t>
            </w:r>
          </w:p>
        </w:tc>
        <w:tc>
          <w:tcPr>
            <w:tcW w:w="1673" w:type="dxa"/>
            <w:vAlign w:val="center"/>
          </w:tcPr>
          <w:p w14:paraId="4979FC66" w14:textId="43C233A8" w:rsidR="00F56085" w:rsidRPr="00960497" w:rsidRDefault="00F56085" w:rsidP="00136D05">
            <w:pPr>
              <w:pStyle w:val="ExhibitText"/>
              <w:jc w:val="right"/>
              <w:rPr>
                <w:lang w:val="en-GB"/>
              </w:rPr>
            </w:pPr>
            <w:r w:rsidRPr="00960497">
              <w:rPr>
                <w:lang w:val="en-GB"/>
              </w:rPr>
              <w:t xml:space="preserve">30,000 </w:t>
            </w:r>
          </w:p>
        </w:tc>
        <w:tc>
          <w:tcPr>
            <w:tcW w:w="1421" w:type="dxa"/>
          </w:tcPr>
          <w:p w14:paraId="67D49E1C" w14:textId="77777777" w:rsidR="00F56085" w:rsidRPr="00960497" w:rsidRDefault="00F56085" w:rsidP="003C51F9">
            <w:pPr>
              <w:pStyle w:val="ExhibitText"/>
              <w:rPr>
                <w:lang w:val="en-GB"/>
              </w:rPr>
            </w:pPr>
            <w:r w:rsidRPr="00960497">
              <w:rPr>
                <w:lang w:val="en-GB"/>
              </w:rPr>
              <w:t>__________</w:t>
            </w:r>
          </w:p>
        </w:tc>
        <w:tc>
          <w:tcPr>
            <w:tcW w:w="1349" w:type="dxa"/>
          </w:tcPr>
          <w:p w14:paraId="62C275D5" w14:textId="77777777" w:rsidR="00F56085" w:rsidRPr="00960497" w:rsidRDefault="00F56085" w:rsidP="003C51F9">
            <w:pPr>
              <w:pStyle w:val="ExhibitText"/>
              <w:rPr>
                <w:lang w:val="en-GB"/>
              </w:rPr>
            </w:pPr>
            <w:r w:rsidRPr="00960497">
              <w:rPr>
                <w:lang w:val="en-GB"/>
              </w:rPr>
              <w:t>__________</w:t>
            </w:r>
          </w:p>
        </w:tc>
        <w:tc>
          <w:tcPr>
            <w:tcW w:w="1778" w:type="dxa"/>
          </w:tcPr>
          <w:p w14:paraId="592F482A" w14:textId="77777777" w:rsidR="00F56085" w:rsidRPr="00960497" w:rsidRDefault="00F56085" w:rsidP="003C51F9">
            <w:pPr>
              <w:pStyle w:val="ExhibitText"/>
              <w:rPr>
                <w:lang w:val="en-GB"/>
              </w:rPr>
            </w:pPr>
            <w:r w:rsidRPr="00960497">
              <w:rPr>
                <w:lang w:val="en-GB"/>
              </w:rPr>
              <w:t>__________</w:t>
            </w:r>
          </w:p>
        </w:tc>
      </w:tr>
      <w:tr w:rsidR="003C51F9" w:rsidRPr="00960497" w14:paraId="7BAC687A" w14:textId="77777777" w:rsidTr="00136D05">
        <w:trPr>
          <w:jc w:val="center"/>
        </w:trPr>
        <w:tc>
          <w:tcPr>
            <w:tcW w:w="3129" w:type="dxa"/>
            <w:vAlign w:val="center"/>
          </w:tcPr>
          <w:p w14:paraId="71B8C7FF" w14:textId="05920FA4" w:rsidR="00F56085" w:rsidRPr="00B3572A" w:rsidRDefault="00F56085" w:rsidP="003C51F9">
            <w:pPr>
              <w:pStyle w:val="ExhibitText"/>
              <w:jc w:val="left"/>
              <w:rPr>
                <w:lang w:val="en-GB"/>
              </w:rPr>
            </w:pPr>
            <w:r w:rsidRPr="00B3572A">
              <w:rPr>
                <w:lang w:val="en-GB"/>
              </w:rPr>
              <w:t>Selling expenses</w:t>
            </w:r>
          </w:p>
        </w:tc>
        <w:tc>
          <w:tcPr>
            <w:tcW w:w="1673" w:type="dxa"/>
            <w:vAlign w:val="center"/>
          </w:tcPr>
          <w:p w14:paraId="58DD7FF7" w14:textId="36B7A8E7" w:rsidR="00F56085" w:rsidRPr="00960497" w:rsidRDefault="00F56085" w:rsidP="00136D05">
            <w:pPr>
              <w:pStyle w:val="ExhibitText"/>
              <w:jc w:val="right"/>
              <w:rPr>
                <w:lang w:val="en-GB"/>
              </w:rPr>
            </w:pPr>
            <w:r w:rsidRPr="00960497">
              <w:rPr>
                <w:lang w:val="en-GB"/>
              </w:rPr>
              <w:t xml:space="preserve">90,000 </w:t>
            </w:r>
          </w:p>
        </w:tc>
        <w:tc>
          <w:tcPr>
            <w:tcW w:w="1421" w:type="dxa"/>
          </w:tcPr>
          <w:p w14:paraId="44830A29" w14:textId="77777777" w:rsidR="00F56085" w:rsidRPr="00960497" w:rsidRDefault="00F56085" w:rsidP="003C51F9">
            <w:pPr>
              <w:pStyle w:val="ExhibitText"/>
              <w:rPr>
                <w:lang w:val="en-GB"/>
              </w:rPr>
            </w:pPr>
            <w:r w:rsidRPr="00960497">
              <w:rPr>
                <w:lang w:val="en-GB"/>
              </w:rPr>
              <w:t>__________</w:t>
            </w:r>
          </w:p>
        </w:tc>
        <w:tc>
          <w:tcPr>
            <w:tcW w:w="1349" w:type="dxa"/>
          </w:tcPr>
          <w:p w14:paraId="7229A228" w14:textId="77777777" w:rsidR="00F56085" w:rsidRPr="00960497" w:rsidRDefault="00F56085" w:rsidP="003C51F9">
            <w:pPr>
              <w:pStyle w:val="ExhibitText"/>
              <w:rPr>
                <w:lang w:val="en-GB"/>
              </w:rPr>
            </w:pPr>
            <w:r w:rsidRPr="00960497">
              <w:rPr>
                <w:lang w:val="en-GB"/>
              </w:rPr>
              <w:t>__________</w:t>
            </w:r>
          </w:p>
        </w:tc>
        <w:tc>
          <w:tcPr>
            <w:tcW w:w="1778" w:type="dxa"/>
          </w:tcPr>
          <w:p w14:paraId="423EBB83" w14:textId="77777777" w:rsidR="00F56085" w:rsidRPr="00960497" w:rsidRDefault="00F56085" w:rsidP="003C51F9">
            <w:pPr>
              <w:pStyle w:val="ExhibitText"/>
              <w:rPr>
                <w:lang w:val="en-GB"/>
              </w:rPr>
            </w:pPr>
            <w:r w:rsidRPr="00960497">
              <w:rPr>
                <w:lang w:val="en-GB"/>
              </w:rPr>
              <w:t>__________</w:t>
            </w:r>
          </w:p>
        </w:tc>
      </w:tr>
      <w:tr w:rsidR="003C51F9" w:rsidRPr="00960497" w14:paraId="493028D8" w14:textId="77777777" w:rsidTr="00136D05">
        <w:trPr>
          <w:jc w:val="center"/>
        </w:trPr>
        <w:tc>
          <w:tcPr>
            <w:tcW w:w="3129" w:type="dxa"/>
            <w:vAlign w:val="center"/>
          </w:tcPr>
          <w:p w14:paraId="203112FF" w14:textId="67CE4BC8" w:rsidR="00F56085" w:rsidRPr="00B3572A" w:rsidRDefault="00F56085" w:rsidP="003C51F9">
            <w:pPr>
              <w:pStyle w:val="ExhibitText"/>
              <w:jc w:val="left"/>
              <w:rPr>
                <w:lang w:val="en-GB"/>
              </w:rPr>
            </w:pPr>
            <w:r w:rsidRPr="00B3572A">
              <w:rPr>
                <w:lang w:val="en-GB"/>
              </w:rPr>
              <w:t>Administrative expenses</w:t>
            </w:r>
          </w:p>
        </w:tc>
        <w:tc>
          <w:tcPr>
            <w:tcW w:w="1673" w:type="dxa"/>
            <w:vAlign w:val="center"/>
          </w:tcPr>
          <w:p w14:paraId="15B29216" w14:textId="168A8371" w:rsidR="00F56085" w:rsidRPr="00960497" w:rsidRDefault="00F56085" w:rsidP="00136D05">
            <w:pPr>
              <w:pStyle w:val="ExhibitText"/>
              <w:jc w:val="right"/>
              <w:rPr>
                <w:u w:val="single"/>
                <w:lang w:val="en-GB"/>
              </w:rPr>
            </w:pPr>
            <w:r w:rsidRPr="00960497">
              <w:rPr>
                <w:u w:val="single"/>
                <w:lang w:val="en-GB"/>
              </w:rPr>
              <w:t xml:space="preserve">30,000 </w:t>
            </w:r>
          </w:p>
        </w:tc>
        <w:tc>
          <w:tcPr>
            <w:tcW w:w="1421" w:type="dxa"/>
          </w:tcPr>
          <w:p w14:paraId="7E9B1A79" w14:textId="77777777" w:rsidR="00F56085" w:rsidRPr="00960497" w:rsidRDefault="00F56085" w:rsidP="003C51F9">
            <w:pPr>
              <w:pStyle w:val="ExhibitText"/>
              <w:rPr>
                <w:u w:val="single"/>
                <w:lang w:val="en-GB"/>
              </w:rPr>
            </w:pPr>
            <w:r w:rsidRPr="00960497">
              <w:rPr>
                <w:lang w:val="en-GB"/>
              </w:rPr>
              <w:t>__________</w:t>
            </w:r>
          </w:p>
        </w:tc>
        <w:tc>
          <w:tcPr>
            <w:tcW w:w="1349" w:type="dxa"/>
          </w:tcPr>
          <w:p w14:paraId="1F5394E9" w14:textId="77777777" w:rsidR="00F56085" w:rsidRPr="00960497" w:rsidRDefault="00F56085" w:rsidP="003C51F9">
            <w:pPr>
              <w:pStyle w:val="ExhibitText"/>
              <w:rPr>
                <w:u w:val="single"/>
                <w:lang w:val="en-GB"/>
              </w:rPr>
            </w:pPr>
            <w:r w:rsidRPr="00960497">
              <w:rPr>
                <w:lang w:val="en-GB"/>
              </w:rPr>
              <w:t>__________</w:t>
            </w:r>
          </w:p>
        </w:tc>
        <w:tc>
          <w:tcPr>
            <w:tcW w:w="1778" w:type="dxa"/>
          </w:tcPr>
          <w:p w14:paraId="64847959" w14:textId="77777777" w:rsidR="00F56085" w:rsidRPr="00960497" w:rsidRDefault="00F56085" w:rsidP="003C51F9">
            <w:pPr>
              <w:pStyle w:val="ExhibitText"/>
              <w:rPr>
                <w:u w:val="single"/>
                <w:lang w:val="en-GB"/>
              </w:rPr>
            </w:pPr>
            <w:r w:rsidRPr="00960497">
              <w:rPr>
                <w:lang w:val="en-GB"/>
              </w:rPr>
              <w:t>__________</w:t>
            </w:r>
          </w:p>
        </w:tc>
      </w:tr>
      <w:tr w:rsidR="003C51F9" w:rsidRPr="00960497" w14:paraId="5E8F311C" w14:textId="77777777" w:rsidTr="00136D05">
        <w:trPr>
          <w:jc w:val="center"/>
        </w:trPr>
        <w:tc>
          <w:tcPr>
            <w:tcW w:w="3129" w:type="dxa"/>
            <w:vAlign w:val="center"/>
          </w:tcPr>
          <w:p w14:paraId="579BB451" w14:textId="77777777" w:rsidR="00F56085" w:rsidRPr="00B3572A" w:rsidRDefault="00F56085" w:rsidP="003C51F9">
            <w:pPr>
              <w:pStyle w:val="ExhibitText"/>
              <w:jc w:val="left"/>
              <w:rPr>
                <w:lang w:val="en-GB"/>
              </w:rPr>
            </w:pPr>
            <w:r w:rsidRPr="00B3572A">
              <w:rPr>
                <w:lang w:val="en-GB"/>
              </w:rPr>
              <w:t>Total administrative expenses</w:t>
            </w:r>
          </w:p>
        </w:tc>
        <w:tc>
          <w:tcPr>
            <w:tcW w:w="1673" w:type="dxa"/>
            <w:vAlign w:val="center"/>
          </w:tcPr>
          <w:p w14:paraId="0B617D11" w14:textId="3EA4E26F" w:rsidR="00F56085" w:rsidRPr="00960497" w:rsidRDefault="001E102A" w:rsidP="00136D05">
            <w:pPr>
              <w:pStyle w:val="ExhibitText"/>
              <w:jc w:val="right"/>
              <w:rPr>
                <w:lang w:val="en-GB"/>
              </w:rPr>
            </w:pPr>
            <w:r w:rsidRPr="00960497">
              <w:rPr>
                <w:lang w:val="en-GB"/>
              </w:rPr>
              <w:t xml:space="preserve">$ </w:t>
            </w:r>
            <w:r w:rsidR="00F56085" w:rsidRPr="00960497">
              <w:rPr>
                <w:lang w:val="en-GB"/>
              </w:rPr>
              <w:t xml:space="preserve">324,500 </w:t>
            </w:r>
          </w:p>
        </w:tc>
        <w:tc>
          <w:tcPr>
            <w:tcW w:w="1421" w:type="dxa"/>
          </w:tcPr>
          <w:p w14:paraId="3607AF65" w14:textId="77777777" w:rsidR="00F56085" w:rsidRPr="00960497" w:rsidRDefault="00F56085" w:rsidP="003C51F9">
            <w:pPr>
              <w:pStyle w:val="ExhibitText"/>
              <w:rPr>
                <w:lang w:val="en-GB"/>
              </w:rPr>
            </w:pPr>
            <w:r w:rsidRPr="00960497">
              <w:rPr>
                <w:lang w:val="en-GB"/>
              </w:rPr>
              <w:t>__________</w:t>
            </w:r>
          </w:p>
        </w:tc>
        <w:tc>
          <w:tcPr>
            <w:tcW w:w="1349" w:type="dxa"/>
          </w:tcPr>
          <w:p w14:paraId="5FE094B3" w14:textId="77777777" w:rsidR="00F56085" w:rsidRPr="00960497" w:rsidRDefault="00F56085" w:rsidP="003C51F9">
            <w:pPr>
              <w:pStyle w:val="ExhibitText"/>
              <w:rPr>
                <w:lang w:val="en-GB"/>
              </w:rPr>
            </w:pPr>
            <w:r w:rsidRPr="00960497">
              <w:rPr>
                <w:lang w:val="en-GB"/>
              </w:rPr>
              <w:t>__________</w:t>
            </w:r>
          </w:p>
        </w:tc>
        <w:tc>
          <w:tcPr>
            <w:tcW w:w="1778" w:type="dxa"/>
          </w:tcPr>
          <w:p w14:paraId="45B57D28" w14:textId="77777777" w:rsidR="00F56085" w:rsidRPr="00960497" w:rsidRDefault="00F56085" w:rsidP="003C51F9">
            <w:pPr>
              <w:pStyle w:val="ExhibitText"/>
              <w:rPr>
                <w:lang w:val="en-GB"/>
              </w:rPr>
            </w:pPr>
            <w:r w:rsidRPr="00960497">
              <w:rPr>
                <w:lang w:val="en-GB"/>
              </w:rPr>
              <w:t>__________</w:t>
            </w:r>
          </w:p>
        </w:tc>
      </w:tr>
      <w:tr w:rsidR="003C51F9" w:rsidRPr="00960497" w14:paraId="0930F9DE" w14:textId="77777777" w:rsidTr="008D4457">
        <w:trPr>
          <w:jc w:val="center"/>
        </w:trPr>
        <w:tc>
          <w:tcPr>
            <w:tcW w:w="9350" w:type="dxa"/>
            <w:gridSpan w:val="5"/>
            <w:vAlign w:val="center"/>
          </w:tcPr>
          <w:p w14:paraId="3940E228" w14:textId="787080F8" w:rsidR="003C51F9" w:rsidRPr="00960497" w:rsidRDefault="003C51F9" w:rsidP="003C51F9">
            <w:pPr>
              <w:pStyle w:val="ExhibitText"/>
              <w:rPr>
                <w:lang w:val="en-GB"/>
              </w:rPr>
            </w:pPr>
            <w:r w:rsidRPr="00960497">
              <w:rPr>
                <w:b/>
                <w:lang w:val="en-GB"/>
              </w:rPr>
              <w:t>Overhead Application Rates</w:t>
            </w:r>
          </w:p>
        </w:tc>
      </w:tr>
      <w:tr w:rsidR="003C51F9" w:rsidRPr="00960497" w14:paraId="09FDF2F9" w14:textId="77777777" w:rsidTr="003C51F9">
        <w:trPr>
          <w:jc w:val="center"/>
        </w:trPr>
        <w:tc>
          <w:tcPr>
            <w:tcW w:w="3129" w:type="dxa"/>
            <w:vAlign w:val="center"/>
          </w:tcPr>
          <w:p w14:paraId="36EE6B40" w14:textId="539A3499" w:rsidR="00F56085" w:rsidRPr="00B3572A" w:rsidRDefault="00F56085" w:rsidP="003C51F9">
            <w:pPr>
              <w:pStyle w:val="ExhibitText"/>
              <w:jc w:val="left"/>
              <w:rPr>
                <w:lang w:val="en-GB"/>
              </w:rPr>
            </w:pPr>
            <w:r w:rsidRPr="00B3572A">
              <w:rPr>
                <w:lang w:val="en-GB"/>
              </w:rPr>
              <w:t>Factory overhead application rate</w:t>
            </w:r>
          </w:p>
        </w:tc>
        <w:tc>
          <w:tcPr>
            <w:tcW w:w="1673" w:type="dxa"/>
          </w:tcPr>
          <w:p w14:paraId="73955987" w14:textId="77777777" w:rsidR="00F56085" w:rsidRPr="00960497" w:rsidRDefault="00F56085" w:rsidP="003C51F9">
            <w:pPr>
              <w:pStyle w:val="ExhibitText"/>
              <w:rPr>
                <w:lang w:val="en-GB"/>
              </w:rPr>
            </w:pPr>
          </w:p>
        </w:tc>
        <w:tc>
          <w:tcPr>
            <w:tcW w:w="1421" w:type="dxa"/>
          </w:tcPr>
          <w:p w14:paraId="439883BB" w14:textId="77777777" w:rsidR="00F56085" w:rsidRPr="00960497" w:rsidRDefault="00F56085" w:rsidP="003C51F9">
            <w:pPr>
              <w:pStyle w:val="ExhibitText"/>
              <w:rPr>
                <w:lang w:val="en-GB"/>
              </w:rPr>
            </w:pPr>
            <w:r w:rsidRPr="00960497">
              <w:rPr>
                <w:lang w:val="en-GB"/>
              </w:rPr>
              <w:t>__________</w:t>
            </w:r>
          </w:p>
        </w:tc>
        <w:tc>
          <w:tcPr>
            <w:tcW w:w="1349" w:type="dxa"/>
          </w:tcPr>
          <w:p w14:paraId="4D028828" w14:textId="77777777" w:rsidR="00F56085" w:rsidRPr="00960497" w:rsidRDefault="00F56085" w:rsidP="003C51F9">
            <w:pPr>
              <w:pStyle w:val="ExhibitText"/>
              <w:rPr>
                <w:lang w:val="en-GB"/>
              </w:rPr>
            </w:pPr>
            <w:r w:rsidRPr="00960497">
              <w:rPr>
                <w:lang w:val="en-GB"/>
              </w:rPr>
              <w:t>__________</w:t>
            </w:r>
          </w:p>
        </w:tc>
        <w:tc>
          <w:tcPr>
            <w:tcW w:w="1778" w:type="dxa"/>
          </w:tcPr>
          <w:p w14:paraId="752E3D98" w14:textId="77777777" w:rsidR="00F56085" w:rsidRPr="00960497" w:rsidRDefault="00F56085" w:rsidP="003C51F9">
            <w:pPr>
              <w:pStyle w:val="ExhibitText"/>
              <w:rPr>
                <w:lang w:val="en-GB"/>
              </w:rPr>
            </w:pPr>
            <w:r w:rsidRPr="00960497">
              <w:rPr>
                <w:lang w:val="en-GB"/>
              </w:rPr>
              <w:t>__________</w:t>
            </w:r>
          </w:p>
        </w:tc>
      </w:tr>
      <w:tr w:rsidR="003C51F9" w:rsidRPr="00960497" w14:paraId="123B0AF4" w14:textId="77777777" w:rsidTr="003C51F9">
        <w:trPr>
          <w:jc w:val="center"/>
        </w:trPr>
        <w:tc>
          <w:tcPr>
            <w:tcW w:w="3129" w:type="dxa"/>
            <w:vAlign w:val="center"/>
          </w:tcPr>
          <w:p w14:paraId="6E5EEC95" w14:textId="4C50D21F" w:rsidR="00F56085" w:rsidRPr="00B3572A" w:rsidRDefault="00F56085" w:rsidP="003C51F9">
            <w:pPr>
              <w:pStyle w:val="ExhibitText"/>
              <w:jc w:val="left"/>
              <w:rPr>
                <w:lang w:val="en-GB"/>
              </w:rPr>
            </w:pPr>
            <w:r w:rsidRPr="00B3572A">
              <w:rPr>
                <w:lang w:val="en-GB"/>
              </w:rPr>
              <w:t>(FOH expenses ÷ Production volume)</w:t>
            </w:r>
          </w:p>
        </w:tc>
        <w:tc>
          <w:tcPr>
            <w:tcW w:w="1673" w:type="dxa"/>
          </w:tcPr>
          <w:p w14:paraId="4AA6FDD3" w14:textId="77777777" w:rsidR="00F56085" w:rsidRPr="00960497" w:rsidRDefault="00F56085" w:rsidP="003C51F9">
            <w:pPr>
              <w:pStyle w:val="ExhibitText"/>
              <w:rPr>
                <w:lang w:val="en-GB"/>
              </w:rPr>
            </w:pPr>
          </w:p>
        </w:tc>
        <w:tc>
          <w:tcPr>
            <w:tcW w:w="1421" w:type="dxa"/>
          </w:tcPr>
          <w:p w14:paraId="03645E80" w14:textId="77777777" w:rsidR="00F56085" w:rsidRPr="00960497" w:rsidRDefault="00F56085" w:rsidP="003C51F9">
            <w:pPr>
              <w:pStyle w:val="ExhibitText"/>
              <w:rPr>
                <w:lang w:val="en-GB"/>
              </w:rPr>
            </w:pPr>
          </w:p>
        </w:tc>
        <w:tc>
          <w:tcPr>
            <w:tcW w:w="1349" w:type="dxa"/>
          </w:tcPr>
          <w:p w14:paraId="3C89F59E" w14:textId="77777777" w:rsidR="00F56085" w:rsidRPr="00960497" w:rsidRDefault="00F56085" w:rsidP="003C51F9">
            <w:pPr>
              <w:pStyle w:val="ExhibitText"/>
              <w:rPr>
                <w:lang w:val="en-GB"/>
              </w:rPr>
            </w:pPr>
          </w:p>
        </w:tc>
        <w:tc>
          <w:tcPr>
            <w:tcW w:w="1778" w:type="dxa"/>
          </w:tcPr>
          <w:p w14:paraId="13A0932E" w14:textId="77777777" w:rsidR="00F56085" w:rsidRPr="00960497" w:rsidRDefault="00F56085" w:rsidP="003C51F9">
            <w:pPr>
              <w:pStyle w:val="ExhibitText"/>
              <w:rPr>
                <w:lang w:val="en-GB"/>
              </w:rPr>
            </w:pPr>
          </w:p>
        </w:tc>
      </w:tr>
      <w:tr w:rsidR="003C51F9" w:rsidRPr="00960497" w14:paraId="73FA3689" w14:textId="77777777" w:rsidTr="003C51F9">
        <w:trPr>
          <w:jc w:val="center"/>
        </w:trPr>
        <w:tc>
          <w:tcPr>
            <w:tcW w:w="3129" w:type="dxa"/>
            <w:vAlign w:val="center"/>
          </w:tcPr>
          <w:p w14:paraId="6B65A802" w14:textId="27F2642C" w:rsidR="00F56085" w:rsidRPr="00B3572A" w:rsidRDefault="00F56085" w:rsidP="003C51F9">
            <w:pPr>
              <w:pStyle w:val="ExhibitText"/>
              <w:jc w:val="left"/>
              <w:rPr>
                <w:lang w:val="en-GB"/>
              </w:rPr>
            </w:pPr>
            <w:r w:rsidRPr="00B3572A">
              <w:rPr>
                <w:lang w:val="en-GB"/>
              </w:rPr>
              <w:t>Total overhead application rate</w:t>
            </w:r>
          </w:p>
        </w:tc>
        <w:tc>
          <w:tcPr>
            <w:tcW w:w="1673" w:type="dxa"/>
          </w:tcPr>
          <w:p w14:paraId="35EB35AF" w14:textId="77777777" w:rsidR="00F56085" w:rsidRPr="00960497" w:rsidRDefault="00F56085" w:rsidP="003C51F9">
            <w:pPr>
              <w:pStyle w:val="ExhibitText"/>
              <w:rPr>
                <w:lang w:val="en-GB"/>
              </w:rPr>
            </w:pPr>
          </w:p>
        </w:tc>
        <w:tc>
          <w:tcPr>
            <w:tcW w:w="1421" w:type="dxa"/>
          </w:tcPr>
          <w:p w14:paraId="1B775637" w14:textId="77777777" w:rsidR="00F56085" w:rsidRPr="00960497" w:rsidRDefault="00F56085" w:rsidP="003C51F9">
            <w:pPr>
              <w:pStyle w:val="ExhibitText"/>
              <w:rPr>
                <w:lang w:val="en-GB"/>
              </w:rPr>
            </w:pPr>
            <w:r w:rsidRPr="00960497">
              <w:rPr>
                <w:lang w:val="en-GB"/>
              </w:rPr>
              <w:t>__________</w:t>
            </w:r>
          </w:p>
        </w:tc>
        <w:tc>
          <w:tcPr>
            <w:tcW w:w="1349" w:type="dxa"/>
          </w:tcPr>
          <w:p w14:paraId="4C333513" w14:textId="77777777" w:rsidR="00F56085" w:rsidRPr="00960497" w:rsidRDefault="00F56085" w:rsidP="003C51F9">
            <w:pPr>
              <w:pStyle w:val="ExhibitText"/>
              <w:rPr>
                <w:lang w:val="en-GB"/>
              </w:rPr>
            </w:pPr>
            <w:r w:rsidRPr="00960497">
              <w:rPr>
                <w:lang w:val="en-GB"/>
              </w:rPr>
              <w:t>__________</w:t>
            </w:r>
          </w:p>
        </w:tc>
        <w:tc>
          <w:tcPr>
            <w:tcW w:w="1778" w:type="dxa"/>
          </w:tcPr>
          <w:p w14:paraId="63880379" w14:textId="77777777" w:rsidR="00F56085" w:rsidRPr="00960497" w:rsidRDefault="00F56085" w:rsidP="003C51F9">
            <w:pPr>
              <w:pStyle w:val="ExhibitText"/>
              <w:rPr>
                <w:lang w:val="en-GB"/>
              </w:rPr>
            </w:pPr>
            <w:r w:rsidRPr="00960497">
              <w:rPr>
                <w:lang w:val="en-GB"/>
              </w:rPr>
              <w:t>__________</w:t>
            </w:r>
          </w:p>
        </w:tc>
      </w:tr>
      <w:tr w:rsidR="003C51F9" w:rsidRPr="00960497" w14:paraId="6084BB5C" w14:textId="77777777" w:rsidTr="003C51F9">
        <w:trPr>
          <w:jc w:val="center"/>
        </w:trPr>
        <w:tc>
          <w:tcPr>
            <w:tcW w:w="3129" w:type="dxa"/>
            <w:vAlign w:val="center"/>
          </w:tcPr>
          <w:p w14:paraId="610B1017" w14:textId="7F5D09A1" w:rsidR="00F56085" w:rsidRPr="00B3572A" w:rsidRDefault="00F56085" w:rsidP="003C51F9">
            <w:pPr>
              <w:pStyle w:val="ExhibitText"/>
              <w:jc w:val="left"/>
              <w:rPr>
                <w:lang w:val="en-GB"/>
              </w:rPr>
            </w:pPr>
            <w:r w:rsidRPr="00B3572A">
              <w:rPr>
                <w:lang w:val="en-GB"/>
              </w:rPr>
              <w:t xml:space="preserve">(Total </w:t>
            </w:r>
            <w:r w:rsidR="00517069" w:rsidRPr="00B3572A">
              <w:rPr>
                <w:lang w:val="en-GB"/>
              </w:rPr>
              <w:t xml:space="preserve">expenses </w:t>
            </w:r>
            <w:r w:rsidRPr="00B3572A">
              <w:rPr>
                <w:lang w:val="en-GB"/>
              </w:rPr>
              <w:t>÷ Production volume)</w:t>
            </w:r>
          </w:p>
        </w:tc>
        <w:tc>
          <w:tcPr>
            <w:tcW w:w="1673" w:type="dxa"/>
          </w:tcPr>
          <w:p w14:paraId="007538F9" w14:textId="77777777" w:rsidR="00F56085" w:rsidRPr="00960497" w:rsidRDefault="00F56085" w:rsidP="003C51F9">
            <w:pPr>
              <w:pStyle w:val="ExhibitText"/>
              <w:rPr>
                <w:lang w:val="en-GB"/>
              </w:rPr>
            </w:pPr>
          </w:p>
        </w:tc>
        <w:tc>
          <w:tcPr>
            <w:tcW w:w="1421" w:type="dxa"/>
          </w:tcPr>
          <w:p w14:paraId="2C174A2D" w14:textId="77777777" w:rsidR="00F56085" w:rsidRPr="00960497" w:rsidRDefault="00F56085" w:rsidP="003C51F9">
            <w:pPr>
              <w:pStyle w:val="ExhibitText"/>
              <w:rPr>
                <w:lang w:val="en-GB"/>
              </w:rPr>
            </w:pPr>
          </w:p>
        </w:tc>
        <w:tc>
          <w:tcPr>
            <w:tcW w:w="1349" w:type="dxa"/>
          </w:tcPr>
          <w:p w14:paraId="14857027" w14:textId="77777777" w:rsidR="00F56085" w:rsidRPr="00960497" w:rsidRDefault="00F56085" w:rsidP="003C51F9">
            <w:pPr>
              <w:pStyle w:val="ExhibitText"/>
              <w:rPr>
                <w:lang w:val="en-GB"/>
              </w:rPr>
            </w:pPr>
          </w:p>
        </w:tc>
        <w:tc>
          <w:tcPr>
            <w:tcW w:w="1778" w:type="dxa"/>
          </w:tcPr>
          <w:p w14:paraId="5E2C31F0" w14:textId="77777777" w:rsidR="00F56085" w:rsidRPr="00960497" w:rsidRDefault="00F56085" w:rsidP="003C51F9">
            <w:pPr>
              <w:pStyle w:val="ExhibitText"/>
              <w:rPr>
                <w:lang w:val="en-GB"/>
              </w:rPr>
            </w:pPr>
          </w:p>
        </w:tc>
      </w:tr>
    </w:tbl>
    <w:p w14:paraId="2980FDA6" w14:textId="34282A06" w:rsidR="00B87DC0" w:rsidRPr="00960497" w:rsidRDefault="00B87DC0" w:rsidP="006A3FDD">
      <w:pPr>
        <w:pStyle w:val="ExhibitText"/>
        <w:rPr>
          <w:sz w:val="12"/>
          <w:szCs w:val="12"/>
          <w:lang w:val="en-GB"/>
        </w:rPr>
      </w:pPr>
    </w:p>
    <w:p w14:paraId="7F680D9A" w14:textId="1617C8F4" w:rsidR="0051689D" w:rsidRPr="00960497" w:rsidRDefault="0051689D" w:rsidP="006A3FDD">
      <w:pPr>
        <w:pStyle w:val="Footnote"/>
        <w:rPr>
          <w:lang w:val="en-GB"/>
        </w:rPr>
      </w:pPr>
      <w:r w:rsidRPr="00960497">
        <w:rPr>
          <w:lang w:val="en-GB"/>
        </w:rPr>
        <w:t>Note: FOH = factory overhead</w:t>
      </w:r>
      <w:r w:rsidR="00FE5B0F" w:rsidRPr="00960497">
        <w:rPr>
          <w:lang w:val="en-GB"/>
        </w:rPr>
        <w:t>.</w:t>
      </w:r>
    </w:p>
    <w:p w14:paraId="03E0FF07" w14:textId="12F5EBE9" w:rsidR="006A3FDD" w:rsidRPr="00960497" w:rsidRDefault="006A3FDD" w:rsidP="006A3FDD">
      <w:pPr>
        <w:pStyle w:val="Footnote"/>
        <w:rPr>
          <w:lang w:val="en-GB"/>
        </w:rPr>
      </w:pPr>
      <w:r w:rsidRPr="00960497">
        <w:rPr>
          <w:lang w:val="en-GB"/>
        </w:rPr>
        <w:t xml:space="preserve">Source: Created by </w:t>
      </w:r>
      <w:r w:rsidR="0051689D" w:rsidRPr="00960497">
        <w:rPr>
          <w:lang w:val="en-GB"/>
        </w:rPr>
        <w:t xml:space="preserve">the </w:t>
      </w:r>
      <w:r w:rsidRPr="00960497">
        <w:rPr>
          <w:lang w:val="en-GB"/>
        </w:rPr>
        <w:t>case writer</w:t>
      </w:r>
      <w:r w:rsidR="0051689D" w:rsidRPr="00960497">
        <w:rPr>
          <w:lang w:val="en-GB"/>
        </w:rPr>
        <w:t>s</w:t>
      </w:r>
      <w:r w:rsidRPr="00960497">
        <w:rPr>
          <w:lang w:val="en-GB"/>
        </w:rPr>
        <w:t>.</w:t>
      </w:r>
    </w:p>
    <w:sectPr w:rsidR="006A3FDD" w:rsidRPr="00960497"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84EB0" w14:textId="77777777" w:rsidR="006B1C24" w:rsidRDefault="006B1C24" w:rsidP="00D75295">
      <w:r>
        <w:separator/>
      </w:r>
    </w:p>
  </w:endnote>
  <w:endnote w:type="continuationSeparator" w:id="0">
    <w:p w14:paraId="1325CCD3" w14:textId="77777777" w:rsidR="006B1C24" w:rsidRDefault="006B1C2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E532" w14:textId="77777777" w:rsidR="006B1C24" w:rsidRDefault="006B1C24" w:rsidP="00D75295">
      <w:r>
        <w:separator/>
      </w:r>
    </w:p>
  </w:footnote>
  <w:footnote w:type="continuationSeparator" w:id="0">
    <w:p w14:paraId="6F8CBCFA" w14:textId="77777777" w:rsidR="006B1C24" w:rsidRDefault="006B1C24" w:rsidP="00D75295">
      <w:r>
        <w:continuationSeparator/>
      </w:r>
    </w:p>
  </w:footnote>
  <w:footnote w:id="1">
    <w:p w14:paraId="03A16EBE" w14:textId="78BF41F0" w:rsidR="00F56085" w:rsidRPr="00960497" w:rsidRDefault="00F56085" w:rsidP="00F56085">
      <w:pPr>
        <w:pStyle w:val="Footnote"/>
        <w:rPr>
          <w:lang w:val="en-GB"/>
        </w:rPr>
      </w:pPr>
      <w:r w:rsidRPr="00960497">
        <w:rPr>
          <w:rStyle w:val="FootnoteReference"/>
          <w:lang w:val="en-GB"/>
        </w:rPr>
        <w:footnoteRef/>
      </w:r>
      <w:r w:rsidRPr="00960497">
        <w:rPr>
          <w:lang w:val="en-GB"/>
        </w:rPr>
        <w:t xml:space="preserve"> A Gesellschaft mit beschränkter Haftung (abbreviated GmbH) </w:t>
      </w:r>
      <w:r w:rsidR="0041396A" w:rsidRPr="00960497">
        <w:rPr>
          <w:lang w:val="en-GB"/>
        </w:rPr>
        <w:t xml:space="preserve">was </w:t>
      </w:r>
      <w:r w:rsidRPr="00960497">
        <w:rPr>
          <w:lang w:val="en-GB"/>
        </w:rPr>
        <w:t>a private company with limited liability, usually found in Germany, Austria, Switzerland</w:t>
      </w:r>
      <w:r w:rsidR="0041396A" w:rsidRPr="00960497">
        <w:rPr>
          <w:lang w:val="en-GB"/>
        </w:rPr>
        <w:t>,</w:t>
      </w:r>
      <w:r w:rsidRPr="00960497">
        <w:rPr>
          <w:lang w:val="en-GB"/>
        </w:rPr>
        <w:t xml:space="preserve"> and Liechtenstein.</w:t>
      </w:r>
    </w:p>
  </w:footnote>
  <w:footnote w:id="2">
    <w:p w14:paraId="632216A9" w14:textId="605796C4" w:rsidR="00F56085" w:rsidRPr="00960497" w:rsidRDefault="00F56085" w:rsidP="00F56085">
      <w:pPr>
        <w:pStyle w:val="Footnote"/>
        <w:rPr>
          <w:b/>
          <w:bCs/>
          <w:lang w:val="en-GB"/>
        </w:rPr>
      </w:pPr>
      <w:r w:rsidRPr="00960497">
        <w:rPr>
          <w:rStyle w:val="FootnoteReference"/>
          <w:lang w:val="en-GB"/>
        </w:rPr>
        <w:footnoteRef/>
      </w:r>
      <w:r w:rsidRPr="00960497">
        <w:rPr>
          <w:lang w:val="en-GB"/>
        </w:rPr>
        <w:t xml:space="preserve"> </w:t>
      </w:r>
      <w:r w:rsidRPr="00960497">
        <w:rPr>
          <w:rStyle w:val="FootnoteChar"/>
          <w:lang w:val="en-GB"/>
        </w:rPr>
        <w:t>Company files.</w:t>
      </w:r>
    </w:p>
  </w:footnote>
  <w:footnote w:id="3">
    <w:p w14:paraId="1872DB67" w14:textId="5E912604" w:rsidR="00480E86" w:rsidRPr="00960497" w:rsidRDefault="00480E86" w:rsidP="003C51F9">
      <w:pPr>
        <w:pStyle w:val="Footnote"/>
        <w:rPr>
          <w:lang w:val="en-GB"/>
        </w:rPr>
      </w:pPr>
      <w:r w:rsidRPr="00960497">
        <w:rPr>
          <w:rStyle w:val="FootnoteReference"/>
          <w:lang w:val="en-GB"/>
        </w:rPr>
        <w:footnoteRef/>
      </w:r>
      <w:r w:rsidRPr="00960497">
        <w:rPr>
          <w:lang w:val="en-GB"/>
        </w:rPr>
        <w:t xml:space="preserve"> All </w:t>
      </w:r>
      <w:r w:rsidR="001273AD">
        <w:rPr>
          <w:lang w:val="en-GB"/>
        </w:rPr>
        <w:t>dollar amounts</w:t>
      </w:r>
      <w:r w:rsidRPr="00960497">
        <w:rPr>
          <w:lang w:val="en-GB"/>
        </w:rPr>
        <w:t xml:space="preserve"> are in US</w:t>
      </w:r>
      <w:r w:rsidR="001273AD">
        <w:rPr>
          <w:lang w:val="en-GB"/>
        </w:rPr>
        <w:t xml:space="preserve"> dollars</w:t>
      </w:r>
      <w:r w:rsidRPr="00960497">
        <w:rPr>
          <w:lang w:val="en-GB"/>
        </w:rPr>
        <w:t>.</w:t>
      </w:r>
    </w:p>
  </w:footnote>
  <w:footnote w:id="4">
    <w:p w14:paraId="2DCC2E9B" w14:textId="5C51875A" w:rsidR="00F56085" w:rsidRPr="00960497" w:rsidRDefault="00F56085" w:rsidP="00F56085">
      <w:pPr>
        <w:pStyle w:val="Footnote"/>
        <w:rPr>
          <w:lang w:val="en-GB"/>
        </w:rPr>
      </w:pPr>
      <w:r w:rsidRPr="00960497">
        <w:rPr>
          <w:rStyle w:val="FootnoteReference"/>
          <w:lang w:val="en-GB"/>
        </w:rPr>
        <w:footnoteRef/>
      </w:r>
      <w:r w:rsidRPr="00960497">
        <w:rPr>
          <w:lang w:val="en-GB"/>
        </w:rPr>
        <w:t xml:space="preserve"> </w:t>
      </w:r>
      <w:r w:rsidR="0041396A" w:rsidRPr="00960497">
        <w:rPr>
          <w:lang w:val="en-GB"/>
        </w:rPr>
        <w:t>Company files.</w:t>
      </w:r>
    </w:p>
  </w:footnote>
  <w:footnote w:id="5">
    <w:p w14:paraId="0D24C8A7" w14:textId="50B868C0" w:rsidR="00F56085" w:rsidRPr="00960497" w:rsidRDefault="00F56085" w:rsidP="00F56085">
      <w:pPr>
        <w:pStyle w:val="Footnote"/>
        <w:rPr>
          <w:lang w:val="en-GB"/>
        </w:rPr>
      </w:pPr>
      <w:r w:rsidRPr="00960497">
        <w:rPr>
          <w:rStyle w:val="FootnoteReference"/>
          <w:lang w:val="en-GB"/>
        </w:rPr>
        <w:footnoteRef/>
      </w:r>
      <w:r w:rsidRPr="00960497">
        <w:rPr>
          <w:lang w:val="en-GB"/>
        </w:rPr>
        <w:t xml:space="preserve"> Ibid</w:t>
      </w:r>
      <w:r w:rsidR="00931B80">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CB3B3CC"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F1296">
      <w:rPr>
        <w:rFonts w:ascii="Arial" w:hAnsi="Arial"/>
        <w:b/>
        <w:noProof/>
      </w:rPr>
      <w:t>6</w:t>
    </w:r>
    <w:r>
      <w:rPr>
        <w:rFonts w:ascii="Arial" w:hAnsi="Arial"/>
        <w:b/>
      </w:rPr>
      <w:fldChar w:fldCharType="end"/>
    </w:r>
    <w:r>
      <w:rPr>
        <w:rFonts w:ascii="Arial" w:hAnsi="Arial"/>
        <w:b/>
      </w:rPr>
      <w:tab/>
    </w:r>
    <w:r w:rsidR="000D1556">
      <w:rPr>
        <w:rFonts w:ascii="Arial" w:hAnsi="Arial"/>
        <w:b/>
      </w:rPr>
      <w:t>9B21B003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25B5"/>
    <w:rsid w:val="00086B26"/>
    <w:rsid w:val="00094C0E"/>
    <w:rsid w:val="000A146D"/>
    <w:rsid w:val="000D1556"/>
    <w:rsid w:val="000D2A2F"/>
    <w:rsid w:val="000D7091"/>
    <w:rsid w:val="000F0C22"/>
    <w:rsid w:val="000F6B09"/>
    <w:rsid w:val="000F6FDC"/>
    <w:rsid w:val="00104567"/>
    <w:rsid w:val="00104916"/>
    <w:rsid w:val="00104AA7"/>
    <w:rsid w:val="0012732D"/>
    <w:rsid w:val="001273AD"/>
    <w:rsid w:val="00136D05"/>
    <w:rsid w:val="00143F25"/>
    <w:rsid w:val="00152682"/>
    <w:rsid w:val="00154FC9"/>
    <w:rsid w:val="001901C0"/>
    <w:rsid w:val="0019241A"/>
    <w:rsid w:val="00192A18"/>
    <w:rsid w:val="001A22D1"/>
    <w:rsid w:val="001A752D"/>
    <w:rsid w:val="001A757E"/>
    <w:rsid w:val="001B5032"/>
    <w:rsid w:val="001C7777"/>
    <w:rsid w:val="001D344B"/>
    <w:rsid w:val="001E102A"/>
    <w:rsid w:val="001E364F"/>
    <w:rsid w:val="001F4222"/>
    <w:rsid w:val="00203AA1"/>
    <w:rsid w:val="00213E98"/>
    <w:rsid w:val="00230150"/>
    <w:rsid w:val="0023081A"/>
    <w:rsid w:val="00233111"/>
    <w:rsid w:val="00246782"/>
    <w:rsid w:val="00265FA8"/>
    <w:rsid w:val="00290E27"/>
    <w:rsid w:val="002B40FF"/>
    <w:rsid w:val="002C4E29"/>
    <w:rsid w:val="002F460C"/>
    <w:rsid w:val="002F48D6"/>
    <w:rsid w:val="00315536"/>
    <w:rsid w:val="00317391"/>
    <w:rsid w:val="00326216"/>
    <w:rsid w:val="00336580"/>
    <w:rsid w:val="00354899"/>
    <w:rsid w:val="00355FD6"/>
    <w:rsid w:val="00364A5C"/>
    <w:rsid w:val="00373FB1"/>
    <w:rsid w:val="00396C76"/>
    <w:rsid w:val="003B30D8"/>
    <w:rsid w:val="003B7EF2"/>
    <w:rsid w:val="003C3FA4"/>
    <w:rsid w:val="003C51F9"/>
    <w:rsid w:val="003D0BA1"/>
    <w:rsid w:val="003F2B0C"/>
    <w:rsid w:val="004105B2"/>
    <w:rsid w:val="0041145A"/>
    <w:rsid w:val="00412900"/>
    <w:rsid w:val="0041396A"/>
    <w:rsid w:val="004221E4"/>
    <w:rsid w:val="004273F8"/>
    <w:rsid w:val="004355A3"/>
    <w:rsid w:val="00446546"/>
    <w:rsid w:val="00452769"/>
    <w:rsid w:val="00454FA7"/>
    <w:rsid w:val="00465348"/>
    <w:rsid w:val="00480E86"/>
    <w:rsid w:val="004979A5"/>
    <w:rsid w:val="004A25E0"/>
    <w:rsid w:val="004B1CCB"/>
    <w:rsid w:val="004B632F"/>
    <w:rsid w:val="004D3FB1"/>
    <w:rsid w:val="004D6F21"/>
    <w:rsid w:val="004D73A5"/>
    <w:rsid w:val="004E08C9"/>
    <w:rsid w:val="00507C0B"/>
    <w:rsid w:val="005160F1"/>
    <w:rsid w:val="0051689D"/>
    <w:rsid w:val="00517069"/>
    <w:rsid w:val="00524F2F"/>
    <w:rsid w:val="00527E5C"/>
    <w:rsid w:val="00532CF5"/>
    <w:rsid w:val="005374CD"/>
    <w:rsid w:val="005528CB"/>
    <w:rsid w:val="00565465"/>
    <w:rsid w:val="00566771"/>
    <w:rsid w:val="00581E2E"/>
    <w:rsid w:val="00584F15"/>
    <w:rsid w:val="0059514B"/>
    <w:rsid w:val="005A1B0F"/>
    <w:rsid w:val="005B4CE6"/>
    <w:rsid w:val="005B5EFE"/>
    <w:rsid w:val="005D1DDA"/>
    <w:rsid w:val="006163F7"/>
    <w:rsid w:val="00627C63"/>
    <w:rsid w:val="0063350B"/>
    <w:rsid w:val="00652606"/>
    <w:rsid w:val="006946EE"/>
    <w:rsid w:val="006A3FDD"/>
    <w:rsid w:val="006A58A9"/>
    <w:rsid w:val="006A606D"/>
    <w:rsid w:val="006B1C24"/>
    <w:rsid w:val="006B413A"/>
    <w:rsid w:val="006C0371"/>
    <w:rsid w:val="006C08B6"/>
    <w:rsid w:val="006C0B1A"/>
    <w:rsid w:val="006C6065"/>
    <w:rsid w:val="006C7F9F"/>
    <w:rsid w:val="006D2A4A"/>
    <w:rsid w:val="006E2F6D"/>
    <w:rsid w:val="006E58F6"/>
    <w:rsid w:val="006E77E1"/>
    <w:rsid w:val="006F131D"/>
    <w:rsid w:val="006F2EB0"/>
    <w:rsid w:val="00711642"/>
    <w:rsid w:val="00713041"/>
    <w:rsid w:val="007507C6"/>
    <w:rsid w:val="00751E0B"/>
    <w:rsid w:val="00752BCD"/>
    <w:rsid w:val="00766DA1"/>
    <w:rsid w:val="00767550"/>
    <w:rsid w:val="00780D94"/>
    <w:rsid w:val="007866A6"/>
    <w:rsid w:val="007A130D"/>
    <w:rsid w:val="007D1A2D"/>
    <w:rsid w:val="007D32E6"/>
    <w:rsid w:val="007D4102"/>
    <w:rsid w:val="007E54A7"/>
    <w:rsid w:val="007F43B7"/>
    <w:rsid w:val="00821FFC"/>
    <w:rsid w:val="008271CA"/>
    <w:rsid w:val="008467D5"/>
    <w:rsid w:val="008902EA"/>
    <w:rsid w:val="008A4DC4"/>
    <w:rsid w:val="008B438C"/>
    <w:rsid w:val="008D06CA"/>
    <w:rsid w:val="008D3A46"/>
    <w:rsid w:val="008F2385"/>
    <w:rsid w:val="009003AE"/>
    <w:rsid w:val="009067A4"/>
    <w:rsid w:val="00930885"/>
    <w:rsid w:val="00931B80"/>
    <w:rsid w:val="00933D68"/>
    <w:rsid w:val="009340DB"/>
    <w:rsid w:val="0094618C"/>
    <w:rsid w:val="0095684B"/>
    <w:rsid w:val="00960497"/>
    <w:rsid w:val="00972498"/>
    <w:rsid w:val="0097481F"/>
    <w:rsid w:val="00974CC6"/>
    <w:rsid w:val="00976AD4"/>
    <w:rsid w:val="00995547"/>
    <w:rsid w:val="009A0691"/>
    <w:rsid w:val="009A312F"/>
    <w:rsid w:val="009A5348"/>
    <w:rsid w:val="009B0AB7"/>
    <w:rsid w:val="009C76D5"/>
    <w:rsid w:val="009D32D2"/>
    <w:rsid w:val="009F7AA4"/>
    <w:rsid w:val="00A10AD7"/>
    <w:rsid w:val="00A11507"/>
    <w:rsid w:val="00A323B0"/>
    <w:rsid w:val="00A559DB"/>
    <w:rsid w:val="00A569EA"/>
    <w:rsid w:val="00A676A0"/>
    <w:rsid w:val="00AA59A2"/>
    <w:rsid w:val="00AF35FC"/>
    <w:rsid w:val="00AF5556"/>
    <w:rsid w:val="00B03639"/>
    <w:rsid w:val="00B0652A"/>
    <w:rsid w:val="00B1013A"/>
    <w:rsid w:val="00B33D5C"/>
    <w:rsid w:val="00B3572A"/>
    <w:rsid w:val="00B40937"/>
    <w:rsid w:val="00B423EF"/>
    <w:rsid w:val="00B453DE"/>
    <w:rsid w:val="00B62497"/>
    <w:rsid w:val="00B72597"/>
    <w:rsid w:val="00B87DC0"/>
    <w:rsid w:val="00B901F9"/>
    <w:rsid w:val="00BC4D98"/>
    <w:rsid w:val="00BD6EFB"/>
    <w:rsid w:val="00BE3DF5"/>
    <w:rsid w:val="00BF1296"/>
    <w:rsid w:val="00BF5EAB"/>
    <w:rsid w:val="00C02410"/>
    <w:rsid w:val="00C07B0F"/>
    <w:rsid w:val="00C1584D"/>
    <w:rsid w:val="00C15BE2"/>
    <w:rsid w:val="00C3447F"/>
    <w:rsid w:val="00C44714"/>
    <w:rsid w:val="00C6219A"/>
    <w:rsid w:val="00C67102"/>
    <w:rsid w:val="00C81491"/>
    <w:rsid w:val="00C81676"/>
    <w:rsid w:val="00C85C5D"/>
    <w:rsid w:val="00C92CC4"/>
    <w:rsid w:val="00CA0AFB"/>
    <w:rsid w:val="00CA2CE1"/>
    <w:rsid w:val="00CA3976"/>
    <w:rsid w:val="00CA4027"/>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4BB"/>
    <w:rsid w:val="00D76CE9"/>
    <w:rsid w:val="00D97F12"/>
    <w:rsid w:val="00DA6095"/>
    <w:rsid w:val="00DB42E7"/>
    <w:rsid w:val="00DC09D8"/>
    <w:rsid w:val="00DE01A6"/>
    <w:rsid w:val="00DE4BAF"/>
    <w:rsid w:val="00DE7A98"/>
    <w:rsid w:val="00DF32C2"/>
    <w:rsid w:val="00DF498A"/>
    <w:rsid w:val="00E471A7"/>
    <w:rsid w:val="00E635CF"/>
    <w:rsid w:val="00EB1E3B"/>
    <w:rsid w:val="00EC6E0A"/>
    <w:rsid w:val="00ED4E18"/>
    <w:rsid w:val="00ED7922"/>
    <w:rsid w:val="00EE02C4"/>
    <w:rsid w:val="00EE1F37"/>
    <w:rsid w:val="00F0159C"/>
    <w:rsid w:val="00F06D1B"/>
    <w:rsid w:val="00F105B7"/>
    <w:rsid w:val="00F13220"/>
    <w:rsid w:val="00F153C4"/>
    <w:rsid w:val="00F17A21"/>
    <w:rsid w:val="00F36FC2"/>
    <w:rsid w:val="00F37B27"/>
    <w:rsid w:val="00F46556"/>
    <w:rsid w:val="00F50E91"/>
    <w:rsid w:val="00F56085"/>
    <w:rsid w:val="00F56799"/>
    <w:rsid w:val="00F57D29"/>
    <w:rsid w:val="00F60786"/>
    <w:rsid w:val="00F67475"/>
    <w:rsid w:val="00F91BC7"/>
    <w:rsid w:val="00F940F7"/>
    <w:rsid w:val="00F96201"/>
    <w:rsid w:val="00FA1BBC"/>
    <w:rsid w:val="00FD0B18"/>
    <w:rsid w:val="00FD2FAD"/>
    <w:rsid w:val="00FE5B0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styleId="TableSubtle2">
    <w:name w:val="Table Subtle 2"/>
    <w:basedOn w:val="TableNormal"/>
    <w:uiPriority w:val="99"/>
    <w:rsid w:val="00F56085"/>
    <w:pPr>
      <w:spacing w:after="0" w:line="264" w:lineRule="auto"/>
    </w:pPr>
    <w:rPr>
      <w:rFonts w:eastAsiaTheme="minorEastAsia"/>
      <w:sz w:val="18"/>
      <w:szCs w:val="18"/>
      <w:lang w:eastAsia="ja-JP"/>
    </w:rPr>
    <w:tblPr/>
    <w:tblStylePr w:type="firstRow">
      <w:tblPr/>
      <w:tcPr>
        <w:tcBorders>
          <w:top w:val="nil"/>
          <w:left w:val="nil"/>
          <w:bottom w:val="nil"/>
          <w:right w:val="nil"/>
          <w:insideH w:val="nil"/>
          <w:insideV w:val="nil"/>
          <w:tl2br w:val="nil"/>
          <w:tr2bl w:val="nil"/>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top w:val="nil"/>
          <w:left w:val="nil"/>
          <w:bottom w:val="nil"/>
          <w:right w:val="nil"/>
          <w:insideH w:val="nil"/>
          <w:insideV w:val="nil"/>
          <w:tl2br w:val="nil"/>
          <w:tr2bl w:val="nil"/>
        </w:tcBorders>
        <w:shd w:val="clear" w:color="008000" w:fill="auto"/>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03C23AFBAE44F89E189D31637A90C9"/>
        <w:category>
          <w:name w:val="General"/>
          <w:gallery w:val="placeholder"/>
        </w:category>
        <w:types>
          <w:type w:val="bbPlcHdr"/>
        </w:types>
        <w:behaviors>
          <w:behavior w:val="content"/>
        </w:behaviors>
        <w:guid w:val="{BB554163-0808-485E-9979-0EA5A3C1A3FF}"/>
      </w:docPartPr>
      <w:docPartBody>
        <w:p w:rsidR="00386ECF" w:rsidRDefault="004B1848" w:rsidP="004B1848">
          <w:pPr>
            <w:pStyle w:val="7E03C23AFBAE44F89E189D31637A90C9"/>
          </w:pPr>
          <w:r>
            <w:t>Company Name</w:t>
          </w:r>
        </w:p>
      </w:docPartBody>
    </w:docPart>
    <w:docPart>
      <w:docPartPr>
        <w:name w:val="E2059775D24946F38B5C79F1DF321F12"/>
        <w:category>
          <w:name w:val="General"/>
          <w:gallery w:val="placeholder"/>
        </w:category>
        <w:types>
          <w:type w:val="bbPlcHdr"/>
        </w:types>
        <w:behaviors>
          <w:behavior w:val="content"/>
        </w:behaviors>
        <w:guid w:val="{D75D94D9-30F6-487B-A6F2-751D89677E2E}"/>
      </w:docPartPr>
      <w:docPartBody>
        <w:p w:rsidR="00386ECF" w:rsidRDefault="004B1848" w:rsidP="004B1848">
          <w:pPr>
            <w:pStyle w:val="E2059775D24946F38B5C79F1DF321F12"/>
          </w:pPr>
          <w:r>
            <w:t>Invoice #</w:t>
          </w:r>
        </w:p>
      </w:docPartBody>
    </w:docPart>
    <w:docPart>
      <w:docPartPr>
        <w:name w:val="D020F791C5904F4D90C55D2489F54DC2"/>
        <w:category>
          <w:name w:val="General"/>
          <w:gallery w:val="placeholder"/>
        </w:category>
        <w:types>
          <w:type w:val="bbPlcHdr"/>
        </w:types>
        <w:behaviors>
          <w:behavior w:val="content"/>
        </w:behaviors>
        <w:guid w:val="{311ED02F-CE73-4BE9-8171-1456F1AA50BE}"/>
      </w:docPartPr>
      <w:docPartBody>
        <w:p w:rsidR="00386ECF" w:rsidRDefault="004B1848" w:rsidP="004B1848">
          <w:pPr>
            <w:pStyle w:val="D020F791C5904F4D90C55D2489F54DC2"/>
          </w:pPr>
          <w:r>
            <w:t>100</w:t>
          </w:r>
        </w:p>
      </w:docPartBody>
    </w:docPart>
    <w:docPart>
      <w:docPartPr>
        <w:name w:val="30D71EF75508473886796047E61B869E"/>
        <w:category>
          <w:name w:val="General"/>
          <w:gallery w:val="placeholder"/>
        </w:category>
        <w:types>
          <w:type w:val="bbPlcHdr"/>
        </w:types>
        <w:behaviors>
          <w:behavior w:val="content"/>
        </w:behaviors>
        <w:guid w:val="{E2B26255-F778-4BEE-AF0A-DA6DA851EBB2}"/>
      </w:docPartPr>
      <w:docPartBody>
        <w:p w:rsidR="00386ECF" w:rsidRDefault="004B1848" w:rsidP="004B1848">
          <w:pPr>
            <w:pStyle w:val="30D71EF75508473886796047E61B869E"/>
          </w:pPr>
          <w:r>
            <w:t>Date:</w:t>
          </w:r>
        </w:p>
      </w:docPartBody>
    </w:docPart>
    <w:docPart>
      <w:docPartPr>
        <w:name w:val="2A4042212F4044CB81CE8F599E52CD3D"/>
        <w:category>
          <w:name w:val="General"/>
          <w:gallery w:val="placeholder"/>
        </w:category>
        <w:types>
          <w:type w:val="bbPlcHdr"/>
        </w:types>
        <w:behaviors>
          <w:behavior w:val="content"/>
        </w:behaviors>
        <w:guid w:val="{DDB0895F-015B-472B-90F3-258499616617}"/>
      </w:docPartPr>
      <w:docPartBody>
        <w:p w:rsidR="00386ECF" w:rsidRDefault="004B1848" w:rsidP="004B1848">
          <w:pPr>
            <w:pStyle w:val="2A4042212F4044CB81CE8F599E52CD3D"/>
          </w:pPr>
          <w: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848"/>
    <w:rsid w:val="0012031A"/>
    <w:rsid w:val="002C76E5"/>
    <w:rsid w:val="00386ECF"/>
    <w:rsid w:val="004B18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03C23AFBAE44F89E189D31637A90C9">
    <w:name w:val="7E03C23AFBAE44F89E189D31637A90C9"/>
    <w:rsid w:val="004B1848"/>
  </w:style>
  <w:style w:type="paragraph" w:customStyle="1" w:styleId="E2059775D24946F38B5C79F1DF321F12">
    <w:name w:val="E2059775D24946F38B5C79F1DF321F12"/>
    <w:rsid w:val="004B1848"/>
  </w:style>
  <w:style w:type="paragraph" w:customStyle="1" w:styleId="D020F791C5904F4D90C55D2489F54DC2">
    <w:name w:val="D020F791C5904F4D90C55D2489F54DC2"/>
    <w:rsid w:val="004B1848"/>
  </w:style>
  <w:style w:type="paragraph" w:customStyle="1" w:styleId="30D71EF75508473886796047E61B869E">
    <w:name w:val="30D71EF75508473886796047E61B869E"/>
    <w:rsid w:val="004B1848"/>
  </w:style>
  <w:style w:type="paragraph" w:customStyle="1" w:styleId="2A4042212F4044CB81CE8F599E52CD3D">
    <w:name w:val="2A4042212F4044CB81CE8F599E52CD3D"/>
    <w:rsid w:val="004B18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8A813-AC44-4A46-9F8F-0F0A080A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2015-03-04T20:34:00Z</cp:lastPrinted>
  <dcterms:created xsi:type="dcterms:W3CDTF">2021-02-26T15:16:00Z</dcterms:created>
  <dcterms:modified xsi:type="dcterms:W3CDTF">2021-03-01T13:31:00Z</dcterms:modified>
</cp:coreProperties>
</file>