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2775" w14:textId="7FCAD96C" w:rsidR="004D4552" w:rsidRPr="00CA617A" w:rsidRDefault="007117FA" w:rsidP="00C02410">
      <w:pPr>
        <w:pBdr>
          <w:bottom w:val="single" w:sz="18" w:space="1" w:color="auto"/>
        </w:pBdr>
        <w:tabs>
          <w:tab w:val="left" w:pos="-1440"/>
          <w:tab w:val="left" w:pos="-720"/>
          <w:tab w:val="left" w:pos="1"/>
        </w:tabs>
        <w:jc w:val="both"/>
        <w:rPr>
          <w:rFonts w:ascii="Arial" w:hAnsi="Arial"/>
          <w:b/>
          <w:sz w:val="24"/>
          <w:lang w:val="en-GB" w:eastAsia="en-CA"/>
        </w:rPr>
      </w:pPr>
      <w:r w:rsidRPr="007117FA">
        <w:rPr>
          <w:rFonts w:ascii="Arial" w:hAnsi="Arial"/>
          <w:b/>
          <w:noProof/>
          <w:sz w:val="24"/>
          <w:lang w:val="en-CA" w:eastAsia="en-CA"/>
        </w:rPr>
        <w:drawing>
          <wp:inline distT="0" distB="0" distL="0" distR="0" wp14:anchorId="31F939AE" wp14:editId="4126926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D2AE3CE" w:rsidR="00C02410" w:rsidRPr="00CA617A" w:rsidRDefault="007117FA" w:rsidP="00C02410">
      <w:pPr>
        <w:pStyle w:val="ProductNumber"/>
        <w:rPr>
          <w:lang w:val="en-GB"/>
        </w:rPr>
      </w:pPr>
      <w:r>
        <w:rPr>
          <w:lang w:val="en-GB"/>
        </w:rPr>
        <w:t>9B21B006</w:t>
      </w:r>
    </w:p>
    <w:p w14:paraId="4E057522" w14:textId="7A113CB1" w:rsidR="00D75295" w:rsidRPr="00CA617A" w:rsidRDefault="00D75295" w:rsidP="00D75295">
      <w:pPr>
        <w:jc w:val="right"/>
        <w:rPr>
          <w:rFonts w:ascii="Arial" w:hAnsi="Arial"/>
          <w:b/>
          <w:lang w:val="en-GB"/>
        </w:rPr>
      </w:pPr>
    </w:p>
    <w:p w14:paraId="02524312" w14:textId="77777777" w:rsidR="001901C0" w:rsidRPr="00CA617A" w:rsidRDefault="001901C0" w:rsidP="00D75295">
      <w:pPr>
        <w:jc w:val="right"/>
        <w:rPr>
          <w:rFonts w:ascii="Arial" w:hAnsi="Arial"/>
          <w:b/>
          <w:lang w:val="en-GB"/>
        </w:rPr>
      </w:pPr>
    </w:p>
    <w:p w14:paraId="2F03D26A" w14:textId="45A87987" w:rsidR="00013360" w:rsidRPr="00CA617A" w:rsidRDefault="00CF6B0D" w:rsidP="00013360">
      <w:pPr>
        <w:pStyle w:val="CaseTitle"/>
        <w:spacing w:after="0" w:line="240" w:lineRule="auto"/>
        <w:rPr>
          <w:sz w:val="20"/>
          <w:szCs w:val="20"/>
          <w:lang w:val="en-GB"/>
        </w:rPr>
      </w:pPr>
      <w:r>
        <w:rPr>
          <w:lang w:val="en-GB"/>
        </w:rPr>
        <w:t>BEANCOUNTR</w:t>
      </w:r>
      <w:r w:rsidR="004D4552" w:rsidRPr="00CA617A">
        <w:rPr>
          <w:lang w:val="en-GB"/>
        </w:rPr>
        <w:t xml:space="preserve"> INC.: A FINANCING and INVESTING </w:t>
      </w:r>
      <w:r w:rsidR="00F32713">
        <w:rPr>
          <w:lang w:val="en-GB"/>
        </w:rPr>
        <w:t>Exer</w:t>
      </w:r>
      <w:r w:rsidR="004D4552" w:rsidRPr="00CA617A">
        <w:rPr>
          <w:lang w:val="en-GB"/>
        </w:rPr>
        <w:t>C</w:t>
      </w:r>
      <w:r w:rsidR="00F32713">
        <w:rPr>
          <w:lang w:val="en-GB"/>
        </w:rPr>
        <w:t>i</w:t>
      </w:r>
      <w:r w:rsidR="004D4552" w:rsidRPr="00CA617A">
        <w:rPr>
          <w:lang w:val="en-GB"/>
        </w:rPr>
        <w:t>SE</w:t>
      </w:r>
    </w:p>
    <w:p w14:paraId="40ABF6FD" w14:textId="77777777" w:rsidR="00CA3976" w:rsidRPr="00CA617A" w:rsidRDefault="00CA3976" w:rsidP="00013360">
      <w:pPr>
        <w:pStyle w:val="CaseTitle"/>
        <w:spacing w:after="0" w:line="240" w:lineRule="auto"/>
        <w:rPr>
          <w:sz w:val="20"/>
          <w:szCs w:val="20"/>
          <w:lang w:val="en-GB"/>
        </w:rPr>
      </w:pPr>
    </w:p>
    <w:p w14:paraId="202F1085" w14:textId="77777777" w:rsidR="00013360" w:rsidRPr="00CA617A" w:rsidRDefault="00013360" w:rsidP="00013360">
      <w:pPr>
        <w:pStyle w:val="CaseTitle"/>
        <w:spacing w:after="0" w:line="240" w:lineRule="auto"/>
        <w:rPr>
          <w:sz w:val="20"/>
          <w:szCs w:val="20"/>
          <w:lang w:val="en-GB"/>
        </w:rPr>
      </w:pPr>
    </w:p>
    <w:p w14:paraId="58B0C73F" w14:textId="2E0C078D" w:rsidR="00086B26" w:rsidRPr="00CA617A" w:rsidRDefault="004D4552" w:rsidP="00086B26">
      <w:pPr>
        <w:pStyle w:val="StyleCopyrightStatementAfter0ptBottomSinglesolidline1"/>
        <w:rPr>
          <w:lang w:val="en-GB"/>
        </w:rPr>
      </w:pPr>
      <w:r w:rsidRPr="00CA617A">
        <w:rPr>
          <w:lang w:val="en-GB"/>
        </w:rPr>
        <w:t xml:space="preserve">Kaitlyn Oh wrote this exercise under the supervision of Ian Dunn </w:t>
      </w:r>
      <w:r w:rsidR="00086B26" w:rsidRPr="00CA617A">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3236709" w:rsidR="00086B26" w:rsidRPr="00CA617A" w:rsidRDefault="00086B26" w:rsidP="00086B26">
      <w:pPr>
        <w:pStyle w:val="StyleCopyrightStatementAfter0ptBottomSinglesolidline1"/>
        <w:rPr>
          <w:lang w:val="en-GB"/>
        </w:rPr>
      </w:pPr>
    </w:p>
    <w:p w14:paraId="579755B0" w14:textId="77777777" w:rsidR="00CD2920" w:rsidRPr="00F630D9" w:rsidRDefault="00CD2920" w:rsidP="00CD292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r w:rsidRPr="005D0C0B">
        <w:rPr>
          <w:rFonts w:ascii="Arial" w:hAnsi="Arial"/>
          <w:i/>
          <w:iCs/>
          <w:color w:val="000000"/>
          <w:sz w:val="16"/>
        </w:rPr>
        <w:t>www.iveypublishing.ca</w:t>
      </w:r>
      <w:r w:rsidRPr="00E23AB7">
        <w:rPr>
          <w:rFonts w:ascii="Arial" w:hAnsi="Arial"/>
          <w:i/>
          <w:iCs/>
          <w:color w:val="000000"/>
          <w:sz w:val="16"/>
        </w:rPr>
        <w:t>.</w:t>
      </w:r>
      <w:r>
        <w:rPr>
          <w:rFonts w:ascii="Arial" w:hAnsi="Arial"/>
          <w:i/>
          <w:iCs/>
          <w:color w:val="000000"/>
          <w:sz w:val="16"/>
        </w:rPr>
        <w:t xml:space="preserve"> Our goal is to publish materials of the highest quality; submit any errata to </w:t>
      </w:r>
      <w:r w:rsidRPr="00923EE0">
        <w:rPr>
          <w:rFonts w:ascii="Arial" w:hAnsi="Arial"/>
          <w:i/>
          <w:iCs/>
          <w:color w:val="000000"/>
          <w:sz w:val="16"/>
        </w:rPr>
        <w:t>publishcases@ivey.ca</w:t>
      </w:r>
      <w:r>
        <w:rPr>
          <w:rFonts w:ascii="Arial" w:hAnsi="Arial"/>
          <w:i/>
          <w:iCs/>
          <w:color w:val="000000"/>
          <w:sz w:val="16"/>
        </w:rPr>
        <w:t xml:space="preserve">. </w:t>
      </w:r>
      <w:r w:rsidRPr="00923EE0">
        <w:rPr>
          <w:rFonts w:ascii="Arial" w:hAnsi="Arial"/>
          <w:i/>
          <w:iCs/>
          <w:color w:val="FFFFFF" w:themeColor="background1"/>
          <w:sz w:val="16"/>
        </w:rPr>
        <w:t>i1v2e5y5pubs</w:t>
      </w:r>
    </w:p>
    <w:p w14:paraId="67AA1CD3" w14:textId="77777777" w:rsidR="007117FA" w:rsidRDefault="007117FA" w:rsidP="007117FA">
      <w:pPr>
        <w:pStyle w:val="StyleStyleCopyrightStatementAfter0ptBottomSinglesolid"/>
        <w:rPr>
          <w:rFonts w:cs="Arial"/>
          <w:iCs w:val="0"/>
          <w:color w:val="auto"/>
          <w:szCs w:val="16"/>
        </w:rPr>
      </w:pPr>
    </w:p>
    <w:p w14:paraId="3922E14F" w14:textId="0C25131D" w:rsidR="00751E0B" w:rsidRPr="007117FA" w:rsidRDefault="007117FA"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CA617A">
        <w:rPr>
          <w:rFonts w:cs="Arial"/>
          <w:iCs w:val="0"/>
          <w:color w:val="auto"/>
          <w:szCs w:val="16"/>
          <w:lang w:val="en-GB"/>
        </w:rPr>
        <w:tab/>
      </w:r>
      <w:r w:rsidR="004D4552" w:rsidRPr="00CA617A">
        <w:rPr>
          <w:rFonts w:cs="Arial"/>
          <w:iCs w:val="0"/>
          <w:color w:val="auto"/>
          <w:szCs w:val="16"/>
          <w:lang w:val="en-GB"/>
        </w:rPr>
        <w:t>Version: 202</w:t>
      </w:r>
      <w:r w:rsidR="009748C7">
        <w:rPr>
          <w:rFonts w:cs="Arial"/>
          <w:iCs w:val="0"/>
          <w:color w:val="auto"/>
          <w:szCs w:val="16"/>
          <w:lang w:val="en-GB"/>
        </w:rPr>
        <w:t>3-03-07</w:t>
      </w:r>
    </w:p>
    <w:p w14:paraId="0A2A54E4" w14:textId="6B98DA73" w:rsidR="00751E0B" w:rsidRPr="00CA617A" w:rsidRDefault="00751E0B" w:rsidP="00751E0B">
      <w:pPr>
        <w:pStyle w:val="StyleCopyrightStatementAfter0ptBottomSinglesolidline1"/>
        <w:rPr>
          <w:rFonts w:ascii="Times New Roman" w:hAnsi="Times New Roman"/>
          <w:sz w:val="20"/>
          <w:lang w:val="en-GB"/>
        </w:rPr>
      </w:pPr>
    </w:p>
    <w:p w14:paraId="6201600B" w14:textId="77777777" w:rsidR="004D4552" w:rsidRPr="00CA617A" w:rsidRDefault="004D4552" w:rsidP="00751E0B">
      <w:pPr>
        <w:pStyle w:val="StyleCopyrightStatementAfter0ptBottomSinglesolidline1"/>
        <w:rPr>
          <w:rFonts w:ascii="Times New Roman" w:hAnsi="Times New Roman"/>
          <w:sz w:val="20"/>
          <w:lang w:val="en-GB"/>
        </w:rPr>
      </w:pPr>
    </w:p>
    <w:p w14:paraId="23883DCC" w14:textId="08E20956" w:rsidR="004D4552" w:rsidRPr="00CA617A" w:rsidRDefault="004D4552" w:rsidP="004D4552">
      <w:pPr>
        <w:pStyle w:val="BodyTextMain"/>
        <w:rPr>
          <w:lang w:val="en-GB"/>
        </w:rPr>
      </w:pPr>
      <w:r w:rsidRPr="00CA617A">
        <w:rPr>
          <w:lang w:val="en-GB"/>
        </w:rPr>
        <w:t>I</w:t>
      </w:r>
      <w:r w:rsidR="00CA617A">
        <w:rPr>
          <w:lang w:val="en-GB"/>
        </w:rPr>
        <w:t>n</w:t>
      </w:r>
      <w:r w:rsidRPr="00CA617A">
        <w:rPr>
          <w:lang w:val="en-GB"/>
        </w:rPr>
        <w:t xml:space="preserve"> April 2020, Lindy Supert, owner and founder of </w:t>
      </w:r>
      <w:r w:rsidR="00CF6B0D">
        <w:rPr>
          <w:lang w:val="en-GB"/>
        </w:rPr>
        <w:t>BeanCountr</w:t>
      </w:r>
      <w:r w:rsidRPr="00CA617A">
        <w:rPr>
          <w:lang w:val="en-GB"/>
        </w:rPr>
        <w:t xml:space="preserve"> Inc.</w:t>
      </w:r>
      <w:r w:rsidR="00B060B9">
        <w:rPr>
          <w:lang w:val="en-GB"/>
        </w:rPr>
        <w:t xml:space="preserve"> (</w:t>
      </w:r>
      <w:r w:rsidR="00CF6B0D">
        <w:rPr>
          <w:lang w:val="en-GB"/>
        </w:rPr>
        <w:t>BeanCountr</w:t>
      </w:r>
      <w:r w:rsidR="00B060B9">
        <w:rPr>
          <w:lang w:val="en-GB"/>
        </w:rPr>
        <w:t>)</w:t>
      </w:r>
      <w:r w:rsidRPr="00CA617A">
        <w:rPr>
          <w:lang w:val="en-GB"/>
        </w:rPr>
        <w:t>, was reviewing he</w:t>
      </w:r>
      <w:r w:rsidR="00F32713">
        <w:rPr>
          <w:lang w:val="en-GB"/>
        </w:rPr>
        <w:t>r</w:t>
      </w:r>
      <w:r w:rsidRPr="00CA617A">
        <w:rPr>
          <w:lang w:val="en-GB"/>
        </w:rPr>
        <w:t xml:space="preserve"> company’s financial performance for its third fiscal year</w:t>
      </w:r>
      <w:r w:rsidR="00CA617A">
        <w:rPr>
          <w:lang w:val="en-GB"/>
        </w:rPr>
        <w:t xml:space="preserve"> (FY)</w:t>
      </w:r>
      <w:r w:rsidRPr="00CA617A">
        <w:rPr>
          <w:lang w:val="en-GB"/>
        </w:rPr>
        <w:t xml:space="preserve">. </w:t>
      </w:r>
      <w:r w:rsidR="00CF6B0D">
        <w:rPr>
          <w:lang w:val="en-GB"/>
        </w:rPr>
        <w:t>BeanCountr</w:t>
      </w:r>
      <w:r w:rsidRPr="00CA617A">
        <w:rPr>
          <w:lang w:val="en-GB"/>
        </w:rPr>
        <w:t xml:space="preserve"> was a financial technology start-up located in London, Ontario, Canada. Supert had already reviewed the company’s operating decisions over the p</w:t>
      </w:r>
      <w:r w:rsidR="00CA617A">
        <w:rPr>
          <w:lang w:val="en-GB"/>
        </w:rPr>
        <w:t>revious</w:t>
      </w:r>
      <w:r w:rsidRPr="00CA617A">
        <w:rPr>
          <w:lang w:val="en-GB"/>
        </w:rPr>
        <w:t xml:space="preserve"> year and was now eager to review the company’s financing and investing transactions. Supert downloaded </w:t>
      </w:r>
      <w:r w:rsidR="00CF6B0D">
        <w:rPr>
          <w:lang w:val="en-GB"/>
        </w:rPr>
        <w:t>BeanCountr</w:t>
      </w:r>
      <w:r w:rsidRPr="00CA617A">
        <w:rPr>
          <w:lang w:val="en-GB"/>
        </w:rPr>
        <w:t xml:space="preserve">’s </w:t>
      </w:r>
      <w:r w:rsidR="009748C7">
        <w:rPr>
          <w:lang w:val="en-GB"/>
        </w:rPr>
        <w:t>fiscal 2019</w:t>
      </w:r>
      <w:r w:rsidRPr="00CA617A">
        <w:rPr>
          <w:lang w:val="en-GB"/>
        </w:rPr>
        <w:t xml:space="preserve"> balance sheet (</w:t>
      </w:r>
      <w:r w:rsidR="00CA617A">
        <w:rPr>
          <w:lang w:val="en-GB"/>
        </w:rPr>
        <w:t xml:space="preserve">see </w:t>
      </w:r>
      <w:r w:rsidRPr="00CA617A">
        <w:rPr>
          <w:lang w:val="en-GB"/>
        </w:rPr>
        <w:t>Exhibit 1)</w:t>
      </w:r>
      <w:bookmarkStart w:id="0" w:name="_GoBack"/>
      <w:bookmarkEnd w:id="0"/>
      <w:r w:rsidRPr="00CA617A">
        <w:rPr>
          <w:lang w:val="en-GB"/>
        </w:rPr>
        <w:t xml:space="preserve">, prepared </w:t>
      </w:r>
      <w:r w:rsidR="00CA617A">
        <w:rPr>
          <w:lang w:val="en-GB"/>
        </w:rPr>
        <w:t>u</w:t>
      </w:r>
      <w:r w:rsidR="00F32713">
        <w:rPr>
          <w:lang w:val="en-GB"/>
        </w:rPr>
        <w:t>s</w:t>
      </w:r>
      <w:r w:rsidR="00CA617A">
        <w:rPr>
          <w:lang w:val="en-GB"/>
        </w:rPr>
        <w:t>ing</w:t>
      </w:r>
      <w:r w:rsidRPr="00CA617A">
        <w:rPr>
          <w:lang w:val="en-GB"/>
        </w:rPr>
        <w:t xml:space="preserve"> International Financial Reporting Standards (IFRS), and began to work.</w:t>
      </w:r>
    </w:p>
    <w:p w14:paraId="3CB78FDB" w14:textId="77777777" w:rsidR="004D4552" w:rsidRPr="00CA617A" w:rsidRDefault="004D4552" w:rsidP="004D4552">
      <w:pPr>
        <w:pStyle w:val="BodyTextMain"/>
        <w:rPr>
          <w:lang w:val="en-GB"/>
        </w:rPr>
      </w:pPr>
    </w:p>
    <w:p w14:paraId="691688BE" w14:textId="77777777" w:rsidR="004D4552" w:rsidRPr="00CA617A" w:rsidRDefault="004D4552" w:rsidP="004D4552">
      <w:pPr>
        <w:pStyle w:val="BodyTextMain"/>
        <w:rPr>
          <w:lang w:val="en-GB"/>
        </w:rPr>
      </w:pPr>
    </w:p>
    <w:p w14:paraId="2088C61B" w14:textId="77777777" w:rsidR="004D4552" w:rsidRPr="00CA617A" w:rsidRDefault="004D4552" w:rsidP="004D4552">
      <w:pPr>
        <w:pStyle w:val="Casehead1"/>
        <w:rPr>
          <w:lang w:val="en-GB"/>
        </w:rPr>
      </w:pPr>
      <w:r w:rsidRPr="00CA617A">
        <w:rPr>
          <w:lang w:val="en-GB"/>
        </w:rPr>
        <w:t>TRADING INVESTMENTS</w:t>
      </w:r>
    </w:p>
    <w:p w14:paraId="3A24AE8F" w14:textId="77777777" w:rsidR="004D4552" w:rsidRPr="00CA617A" w:rsidRDefault="004D4552" w:rsidP="004D4552">
      <w:pPr>
        <w:pStyle w:val="Casehead1"/>
        <w:rPr>
          <w:lang w:val="en-GB"/>
        </w:rPr>
      </w:pPr>
    </w:p>
    <w:p w14:paraId="2C4978FF" w14:textId="66B94E0D" w:rsidR="004D4552" w:rsidRPr="00CA617A" w:rsidRDefault="004D4552" w:rsidP="004D4552">
      <w:pPr>
        <w:pStyle w:val="BodyTextMain"/>
        <w:rPr>
          <w:lang w:val="en-GB"/>
        </w:rPr>
      </w:pPr>
      <w:r w:rsidRPr="00CA617A">
        <w:rPr>
          <w:lang w:val="en-GB"/>
        </w:rPr>
        <w:t xml:space="preserve">On May 2, 2019, </w:t>
      </w:r>
      <w:r w:rsidR="00CF6B0D">
        <w:rPr>
          <w:lang w:val="en-GB"/>
        </w:rPr>
        <w:t>BeanCountr</w:t>
      </w:r>
      <w:r w:rsidRPr="00CA617A">
        <w:rPr>
          <w:lang w:val="en-GB"/>
        </w:rPr>
        <w:t xml:space="preserve"> purchased 120 PortKey Electric Corp. </w:t>
      </w:r>
      <w:r w:rsidR="00B060B9">
        <w:rPr>
          <w:lang w:val="en-GB"/>
        </w:rPr>
        <w:t xml:space="preserve">10-year </w:t>
      </w:r>
      <w:r w:rsidRPr="00CA617A">
        <w:rPr>
          <w:lang w:val="en-GB"/>
        </w:rPr>
        <w:t xml:space="preserve">bonds when the market interest rate was </w:t>
      </w:r>
      <w:r w:rsidR="00CA617A">
        <w:rPr>
          <w:lang w:val="en-GB"/>
        </w:rPr>
        <w:t>6</w:t>
      </w:r>
      <w:r w:rsidRPr="00CA617A">
        <w:rPr>
          <w:lang w:val="en-GB"/>
        </w:rPr>
        <w:t xml:space="preserve"> per cent. </w:t>
      </w:r>
      <w:r w:rsidR="00B060B9">
        <w:rPr>
          <w:lang w:val="en-GB"/>
        </w:rPr>
        <w:t>To</w:t>
      </w:r>
      <w:r w:rsidR="00B060B9" w:rsidRPr="00CA617A">
        <w:rPr>
          <w:lang w:val="en-GB"/>
        </w:rPr>
        <w:t xml:space="preserve"> </w:t>
      </w:r>
      <w:r w:rsidRPr="00CA617A">
        <w:rPr>
          <w:lang w:val="en-GB"/>
        </w:rPr>
        <w:t>purchas</w:t>
      </w:r>
      <w:r w:rsidR="00B060B9">
        <w:rPr>
          <w:lang w:val="en-GB"/>
        </w:rPr>
        <w:t>e</w:t>
      </w:r>
      <w:r w:rsidRPr="00CA617A">
        <w:rPr>
          <w:lang w:val="en-GB"/>
        </w:rPr>
        <w:t xml:space="preserve"> the bonds, </w:t>
      </w:r>
      <w:r w:rsidR="00CF6B0D">
        <w:rPr>
          <w:lang w:val="en-GB"/>
        </w:rPr>
        <w:t>BeanCountr</w:t>
      </w:r>
      <w:r w:rsidRPr="00CA617A">
        <w:rPr>
          <w:lang w:val="en-GB"/>
        </w:rPr>
        <w:t xml:space="preserve"> paid </w:t>
      </w:r>
      <w:r w:rsidR="00CA617A">
        <w:rPr>
          <w:lang w:val="en-GB"/>
        </w:rPr>
        <w:t>CA</w:t>
      </w:r>
      <w:r w:rsidRPr="00CA617A">
        <w:rPr>
          <w:lang w:val="en-GB"/>
        </w:rPr>
        <w:t>$138,416</w:t>
      </w:r>
      <w:r w:rsidR="00B060B9">
        <w:rPr>
          <w:lang w:val="en-GB"/>
        </w:rPr>
        <w:t>.</w:t>
      </w:r>
      <w:r w:rsidR="00B060B9">
        <w:rPr>
          <w:rStyle w:val="FootnoteReference"/>
          <w:lang w:val="en-GB"/>
        </w:rPr>
        <w:footnoteReference w:id="1"/>
      </w:r>
      <w:r w:rsidR="00B060B9">
        <w:rPr>
          <w:lang w:val="en-GB"/>
        </w:rPr>
        <w:t xml:space="preserve"> The price</w:t>
      </w:r>
      <w:r w:rsidRPr="00CA617A">
        <w:rPr>
          <w:lang w:val="en-GB"/>
        </w:rPr>
        <w:t xml:space="preserve"> included accrued interest and a $460 brokerage fee. The bonds were first issued on November 15, 2015</w:t>
      </w:r>
      <w:r w:rsidR="00B060B9">
        <w:rPr>
          <w:lang w:val="en-GB"/>
        </w:rPr>
        <w:t>,</w:t>
      </w:r>
      <w:r w:rsidRPr="00CA617A">
        <w:rPr>
          <w:lang w:val="en-GB"/>
        </w:rPr>
        <w:t xml:space="preserve"> when the market interest rate was </w:t>
      </w:r>
      <w:r w:rsidR="00B060B9">
        <w:rPr>
          <w:lang w:val="en-GB"/>
        </w:rPr>
        <w:t>4</w:t>
      </w:r>
      <w:r w:rsidRPr="00CA617A">
        <w:rPr>
          <w:lang w:val="en-GB"/>
        </w:rPr>
        <w:t xml:space="preserve"> per cent. The bond paid an annual coupon rate of </w:t>
      </w:r>
      <w:r w:rsidR="00B060B9">
        <w:rPr>
          <w:lang w:val="en-GB"/>
        </w:rPr>
        <w:t>8</w:t>
      </w:r>
      <w:r w:rsidRPr="00CA617A">
        <w:rPr>
          <w:lang w:val="en-GB"/>
        </w:rPr>
        <w:t xml:space="preserve"> per cent on November 15 and May 15 </w:t>
      </w:r>
      <w:r w:rsidR="00B060B9">
        <w:rPr>
          <w:lang w:val="en-GB"/>
        </w:rPr>
        <w:t xml:space="preserve">of </w:t>
      </w:r>
      <w:r w:rsidRPr="00CA617A">
        <w:rPr>
          <w:lang w:val="en-GB"/>
        </w:rPr>
        <w:t xml:space="preserve">each year. On August 30, 2019, </w:t>
      </w:r>
      <w:r w:rsidR="00CF6B0D">
        <w:rPr>
          <w:lang w:val="en-GB"/>
        </w:rPr>
        <w:t>BeanCountr</w:t>
      </w:r>
      <w:r w:rsidRPr="00CA617A">
        <w:rPr>
          <w:lang w:val="en-GB"/>
        </w:rPr>
        <w:t xml:space="preserve"> sold 100 per cent of the PortKey Electric Corp. bonds when the market interest rate was </w:t>
      </w:r>
      <w:r w:rsidR="00B060B9">
        <w:rPr>
          <w:lang w:val="en-GB"/>
        </w:rPr>
        <w:t>5</w:t>
      </w:r>
      <w:r w:rsidRPr="00CA617A">
        <w:rPr>
          <w:lang w:val="en-GB"/>
        </w:rPr>
        <w:t xml:space="preserve"> per cent, incurring a brokerage commission of $270.  </w:t>
      </w:r>
    </w:p>
    <w:p w14:paraId="19B38856" w14:textId="77777777" w:rsidR="004D4552" w:rsidRPr="00CA617A" w:rsidRDefault="004D4552" w:rsidP="004D4552">
      <w:pPr>
        <w:pStyle w:val="BodyTextMain"/>
        <w:rPr>
          <w:lang w:val="en-GB"/>
        </w:rPr>
      </w:pPr>
    </w:p>
    <w:p w14:paraId="70A4B8B3" w14:textId="6DF42AA7" w:rsidR="00664DEA" w:rsidRDefault="008A4A6D" w:rsidP="004D4552">
      <w:pPr>
        <w:pStyle w:val="BodyTextMain"/>
        <w:rPr>
          <w:lang w:val="en-GB"/>
        </w:rPr>
      </w:pPr>
      <w:r>
        <w:rPr>
          <w:lang w:val="en-GB"/>
        </w:rPr>
        <w:t>A</w:t>
      </w:r>
      <w:r w:rsidRPr="00CA617A">
        <w:rPr>
          <w:lang w:val="en-GB"/>
        </w:rPr>
        <w:t>t the beginning of fiscal 2020</w:t>
      </w:r>
      <w:r w:rsidR="00664DEA">
        <w:rPr>
          <w:lang w:val="en-GB"/>
        </w:rPr>
        <w:t xml:space="preserve">, </w:t>
      </w:r>
      <w:r w:rsidR="00CF6B0D">
        <w:rPr>
          <w:lang w:val="en-GB"/>
        </w:rPr>
        <w:t>BeanCountr</w:t>
      </w:r>
      <w:r w:rsidR="004D4552" w:rsidRPr="00CA617A">
        <w:rPr>
          <w:lang w:val="en-GB"/>
        </w:rPr>
        <w:t xml:space="preserve"> owned 1,800 common shares of Persimmon Ltd. On September 12, 2019, Persimmon declared a common dividend of $0.35 per share. The date of record for the dividend was September 19, 2019, and the date of distribution was October 2, 2019.</w:t>
      </w:r>
    </w:p>
    <w:p w14:paraId="3684AE2F" w14:textId="77777777" w:rsidR="00664DEA" w:rsidRDefault="00664DEA" w:rsidP="004D4552">
      <w:pPr>
        <w:pStyle w:val="BodyTextMain"/>
        <w:rPr>
          <w:lang w:val="en-GB"/>
        </w:rPr>
      </w:pPr>
    </w:p>
    <w:p w14:paraId="6511B669" w14:textId="32A3ABD8" w:rsidR="00664DEA" w:rsidRDefault="004D4552" w:rsidP="004D4552">
      <w:pPr>
        <w:pStyle w:val="BodyTextMain"/>
        <w:rPr>
          <w:lang w:val="en-GB"/>
        </w:rPr>
      </w:pPr>
      <w:r w:rsidRPr="00CA617A">
        <w:rPr>
          <w:lang w:val="en-GB"/>
        </w:rPr>
        <w:t xml:space="preserve">On December 21, 2019, Persimmon declared a </w:t>
      </w:r>
      <w:r w:rsidR="00664DEA">
        <w:rPr>
          <w:lang w:val="en-GB"/>
        </w:rPr>
        <w:t>5</w:t>
      </w:r>
      <w:r w:rsidRPr="00CA617A">
        <w:rPr>
          <w:lang w:val="en-GB"/>
        </w:rPr>
        <w:t xml:space="preserve"> per cent stock dividend when the shares were trading at $14.10. The date of record for the dividend was January 3, 2020</w:t>
      </w:r>
      <w:r w:rsidR="00A17841">
        <w:rPr>
          <w:lang w:val="en-GB"/>
        </w:rPr>
        <w:t>,</w:t>
      </w:r>
      <w:r w:rsidRPr="00CA617A">
        <w:rPr>
          <w:lang w:val="en-GB"/>
        </w:rPr>
        <w:t xml:space="preserve"> and the date of distribution was January 15, 2020. On the date of record, the shares were trading at $14.25. On the date of distribution, the share price had fallen to $13.70.</w:t>
      </w:r>
    </w:p>
    <w:p w14:paraId="701D20FC" w14:textId="77777777" w:rsidR="00664DEA" w:rsidRDefault="00664DEA" w:rsidP="004D4552">
      <w:pPr>
        <w:pStyle w:val="BodyTextMain"/>
        <w:rPr>
          <w:lang w:val="en-GB"/>
        </w:rPr>
      </w:pPr>
    </w:p>
    <w:p w14:paraId="1781F97A" w14:textId="4B153204" w:rsidR="004D4552" w:rsidRPr="00CA617A" w:rsidRDefault="004D4552" w:rsidP="004D4552">
      <w:pPr>
        <w:pStyle w:val="BodyTextMain"/>
        <w:rPr>
          <w:lang w:val="en-GB"/>
        </w:rPr>
      </w:pPr>
      <w:r w:rsidRPr="00CA617A">
        <w:rPr>
          <w:lang w:val="en-GB"/>
        </w:rPr>
        <w:t xml:space="preserve">At </w:t>
      </w:r>
      <w:r w:rsidR="00CF6B0D">
        <w:rPr>
          <w:lang w:val="en-GB"/>
        </w:rPr>
        <w:t>BeanCountr</w:t>
      </w:r>
      <w:r w:rsidRPr="00CA617A">
        <w:rPr>
          <w:lang w:val="en-GB"/>
        </w:rPr>
        <w:t xml:space="preserve">’s 2020 fiscal year-end, Persimmon’s common shares were trading at $13.85 per share. </w:t>
      </w:r>
    </w:p>
    <w:p w14:paraId="704C7391" w14:textId="77777777" w:rsidR="004D4552" w:rsidRPr="00CA617A" w:rsidRDefault="004D4552" w:rsidP="004D4552">
      <w:pPr>
        <w:pStyle w:val="BodyTextMain"/>
        <w:rPr>
          <w:lang w:val="en-GB"/>
        </w:rPr>
      </w:pPr>
    </w:p>
    <w:p w14:paraId="3FFA6EFF" w14:textId="77777777" w:rsidR="004D4552" w:rsidRPr="00CA617A" w:rsidRDefault="004D4552" w:rsidP="004D4552">
      <w:pPr>
        <w:pStyle w:val="BodyTextMain"/>
        <w:rPr>
          <w:lang w:val="en-GB"/>
        </w:rPr>
      </w:pPr>
    </w:p>
    <w:p w14:paraId="05810714" w14:textId="1F97F630" w:rsidR="004D4552" w:rsidRPr="00CA617A" w:rsidRDefault="004D4552" w:rsidP="006E523C">
      <w:pPr>
        <w:pStyle w:val="Casehead1"/>
        <w:keepNext/>
        <w:rPr>
          <w:lang w:val="en-GB"/>
        </w:rPr>
      </w:pPr>
      <w:r w:rsidRPr="00CA617A">
        <w:rPr>
          <w:lang w:val="en-GB"/>
        </w:rPr>
        <w:lastRenderedPageBreak/>
        <w:t>EQUITY FINANCING</w:t>
      </w:r>
    </w:p>
    <w:p w14:paraId="41F946F5" w14:textId="77777777" w:rsidR="004D4552" w:rsidRPr="00CA617A" w:rsidRDefault="004D4552" w:rsidP="006E523C">
      <w:pPr>
        <w:pStyle w:val="Casehead1"/>
        <w:keepNext/>
        <w:rPr>
          <w:lang w:val="en-GB"/>
        </w:rPr>
      </w:pPr>
    </w:p>
    <w:p w14:paraId="132403CB" w14:textId="072CAC48" w:rsidR="004D4552" w:rsidRPr="00CA617A" w:rsidRDefault="004D4552" w:rsidP="006E523C">
      <w:pPr>
        <w:pStyle w:val="BodyTextMain"/>
        <w:keepNext/>
        <w:rPr>
          <w:lang w:val="en-GB"/>
        </w:rPr>
      </w:pPr>
      <w:r w:rsidRPr="00CA617A">
        <w:rPr>
          <w:lang w:val="en-GB"/>
        </w:rPr>
        <w:t xml:space="preserve">On the date of incorporation, Supert contributed $68,000 in exchange for 4,000 </w:t>
      </w:r>
      <w:r w:rsidR="00CF6B0D">
        <w:rPr>
          <w:lang w:val="en-GB"/>
        </w:rPr>
        <w:t>BeanCountr</w:t>
      </w:r>
      <w:r w:rsidRPr="00CA617A">
        <w:rPr>
          <w:lang w:val="en-GB"/>
        </w:rPr>
        <w:t xml:space="preserve"> common shares. On that same date, Supert issued 1,000 cumulative</w:t>
      </w:r>
      <w:r w:rsidR="00664DEA">
        <w:rPr>
          <w:lang w:val="en-GB"/>
        </w:rPr>
        <w:t xml:space="preserve"> and</w:t>
      </w:r>
      <w:r w:rsidRPr="00CA617A">
        <w:rPr>
          <w:lang w:val="en-GB"/>
        </w:rPr>
        <w:t xml:space="preserve"> convertible </w:t>
      </w:r>
      <w:r w:rsidR="00664DEA">
        <w:rPr>
          <w:lang w:val="en-GB"/>
        </w:rPr>
        <w:t xml:space="preserve">$2 </w:t>
      </w:r>
      <w:r w:rsidRPr="00CA617A">
        <w:rPr>
          <w:lang w:val="en-GB"/>
        </w:rPr>
        <w:t>preferred shares to her friends and family in exchange for $52,000. Preferred shares could be converted at any time to common shares at a rate of four common shares for each preferred share.</w:t>
      </w:r>
    </w:p>
    <w:p w14:paraId="7A08A457" w14:textId="77777777" w:rsidR="00664DEA" w:rsidRDefault="00664DEA" w:rsidP="004D4552">
      <w:pPr>
        <w:pStyle w:val="BodyTextMain"/>
        <w:rPr>
          <w:lang w:val="en-GB"/>
        </w:rPr>
      </w:pPr>
    </w:p>
    <w:p w14:paraId="398C6941" w14:textId="78276D74" w:rsidR="004D4552" w:rsidRPr="00CA617A" w:rsidRDefault="00CF6B0D" w:rsidP="004D4552">
      <w:pPr>
        <w:pStyle w:val="BodyTextMain"/>
        <w:rPr>
          <w:lang w:val="en-GB"/>
        </w:rPr>
      </w:pPr>
      <w:r>
        <w:rPr>
          <w:lang w:val="en-GB"/>
        </w:rPr>
        <w:t>BeanCountr</w:t>
      </w:r>
      <w:r w:rsidR="004D4552" w:rsidRPr="00CA617A">
        <w:rPr>
          <w:lang w:val="en-GB"/>
        </w:rPr>
        <w:t xml:space="preserve"> declared a </w:t>
      </w:r>
      <w:r w:rsidR="00664DEA">
        <w:rPr>
          <w:lang w:val="en-GB"/>
        </w:rPr>
        <w:t>2</w:t>
      </w:r>
      <w:r w:rsidR="004D4552" w:rsidRPr="00CA617A">
        <w:rPr>
          <w:lang w:val="en-GB"/>
        </w:rPr>
        <w:t xml:space="preserve"> per cent stock dividend to common shareholders on April 10, 2019</w:t>
      </w:r>
      <w:r w:rsidR="00664DEA">
        <w:rPr>
          <w:lang w:val="en-GB"/>
        </w:rPr>
        <w:t>,</w:t>
      </w:r>
      <w:r w:rsidR="004D4552" w:rsidRPr="00CA617A">
        <w:rPr>
          <w:lang w:val="en-GB"/>
        </w:rPr>
        <w:t xml:space="preserve"> when its shares were trading at $15.20. The dividend had a date of record of April 16, 2019 and would be distributed on April 28, 2019. On the date of record, the shares were trading at $15.35</w:t>
      </w:r>
      <w:r w:rsidR="00A17841">
        <w:rPr>
          <w:lang w:val="en-GB"/>
        </w:rPr>
        <w:t>; o</w:t>
      </w:r>
      <w:r w:rsidR="004D4552" w:rsidRPr="00CA617A">
        <w:rPr>
          <w:lang w:val="en-GB"/>
        </w:rPr>
        <w:t>n the date of distribution, the share price had increased to $15.60.</w:t>
      </w:r>
    </w:p>
    <w:p w14:paraId="5AAEA333" w14:textId="77777777" w:rsidR="004D4552" w:rsidRPr="00CA617A" w:rsidRDefault="004D4552" w:rsidP="004D4552">
      <w:pPr>
        <w:pStyle w:val="BodyTextMain"/>
        <w:rPr>
          <w:lang w:val="en-GB"/>
        </w:rPr>
      </w:pPr>
    </w:p>
    <w:p w14:paraId="78B7CB64" w14:textId="51B339FA" w:rsidR="004D4552" w:rsidRPr="00CA617A" w:rsidRDefault="00664DEA" w:rsidP="004D4552">
      <w:pPr>
        <w:pStyle w:val="BodyTextMain"/>
        <w:rPr>
          <w:lang w:val="en-GB"/>
        </w:rPr>
      </w:pPr>
      <w:r>
        <w:rPr>
          <w:lang w:val="en-GB"/>
        </w:rPr>
        <w:t>O</w:t>
      </w:r>
      <w:r w:rsidR="004D4552" w:rsidRPr="00CA617A">
        <w:rPr>
          <w:lang w:val="en-GB"/>
        </w:rPr>
        <w:t>f the outstanding preferred shares</w:t>
      </w:r>
      <w:r>
        <w:rPr>
          <w:lang w:val="en-GB"/>
        </w:rPr>
        <w:t>, 20 per cent</w:t>
      </w:r>
      <w:r w:rsidR="004D4552" w:rsidRPr="00CA617A">
        <w:rPr>
          <w:lang w:val="en-GB"/>
        </w:rPr>
        <w:t xml:space="preserve"> were converted to common shares on August 21, 2019. On the date of conversion, common shares were trading at $16.70</w:t>
      </w:r>
      <w:r w:rsidR="00A17841">
        <w:rPr>
          <w:lang w:val="en-GB"/>
        </w:rPr>
        <w:t>,</w:t>
      </w:r>
      <w:r w:rsidR="004D4552" w:rsidRPr="00CA617A">
        <w:rPr>
          <w:lang w:val="en-GB"/>
        </w:rPr>
        <w:t xml:space="preserve"> and preferred shares were trading at $48.30. </w:t>
      </w:r>
    </w:p>
    <w:p w14:paraId="3E02C2CD" w14:textId="77777777" w:rsidR="004D4552" w:rsidRPr="00CA617A" w:rsidRDefault="004D4552" w:rsidP="004D4552">
      <w:pPr>
        <w:pStyle w:val="BodyTextMain"/>
        <w:rPr>
          <w:lang w:val="en-GB"/>
        </w:rPr>
      </w:pPr>
    </w:p>
    <w:p w14:paraId="0AF7F589" w14:textId="63C41997" w:rsidR="004D4552" w:rsidRPr="00CA617A" w:rsidRDefault="00CF6B0D" w:rsidP="004D4552">
      <w:pPr>
        <w:pStyle w:val="BodyTextMain"/>
        <w:rPr>
          <w:lang w:val="en-GB"/>
        </w:rPr>
      </w:pPr>
      <w:r>
        <w:rPr>
          <w:lang w:val="en-GB"/>
        </w:rPr>
        <w:t>BeanCountr</w:t>
      </w:r>
      <w:r w:rsidR="004D4552" w:rsidRPr="00CA617A">
        <w:rPr>
          <w:lang w:val="en-GB"/>
        </w:rPr>
        <w:t xml:space="preserve"> declared </w:t>
      </w:r>
      <w:r w:rsidR="00664DEA">
        <w:rPr>
          <w:lang w:val="en-GB"/>
        </w:rPr>
        <w:t xml:space="preserve">a </w:t>
      </w:r>
      <w:r w:rsidR="004D4552" w:rsidRPr="00CA617A">
        <w:rPr>
          <w:lang w:val="en-GB"/>
        </w:rPr>
        <w:t>$0.50 per share cash dividend to common shareholders on March 21, 2020</w:t>
      </w:r>
      <w:r w:rsidR="00664DEA">
        <w:rPr>
          <w:lang w:val="en-GB"/>
        </w:rPr>
        <w:t>,</w:t>
      </w:r>
      <w:r w:rsidR="004D4552" w:rsidRPr="00CA617A">
        <w:rPr>
          <w:lang w:val="en-GB"/>
        </w:rPr>
        <w:t xml:space="preserve"> when its shares were trading at $12.50. The dividend had a date of record of March 28, 2020 and would be distributed on April 15, 2020. At fiscal year-end, common and preferred shares were trading at $16.70 and $48.25</w:t>
      </w:r>
      <w:r w:rsidR="00A17841">
        <w:rPr>
          <w:lang w:val="en-GB"/>
        </w:rPr>
        <w:t>,</w:t>
      </w:r>
      <w:r w:rsidR="004D4552" w:rsidRPr="00CA617A">
        <w:rPr>
          <w:lang w:val="en-GB"/>
        </w:rPr>
        <w:t xml:space="preserve"> respectively.</w:t>
      </w:r>
    </w:p>
    <w:p w14:paraId="6593520C" w14:textId="77777777" w:rsidR="004D4552" w:rsidRPr="00CA617A" w:rsidRDefault="004D4552" w:rsidP="004D4552">
      <w:pPr>
        <w:pStyle w:val="BodyTextMain"/>
        <w:rPr>
          <w:lang w:val="en-GB"/>
        </w:rPr>
      </w:pPr>
    </w:p>
    <w:p w14:paraId="5FBF88EC" w14:textId="77777777" w:rsidR="004D4552" w:rsidRPr="00CA617A" w:rsidRDefault="004D4552" w:rsidP="004D4552">
      <w:pPr>
        <w:pStyle w:val="BodyTextMain"/>
        <w:rPr>
          <w:rFonts w:ascii="Arial" w:hAnsi="Arial" w:cs="Arial"/>
          <w:b/>
          <w:sz w:val="20"/>
          <w:szCs w:val="20"/>
          <w:lang w:val="en-GB"/>
        </w:rPr>
      </w:pPr>
    </w:p>
    <w:p w14:paraId="51F4BB85" w14:textId="77777777" w:rsidR="004D4552" w:rsidRPr="00CA617A" w:rsidRDefault="004D4552" w:rsidP="004D4552">
      <w:pPr>
        <w:pStyle w:val="Casehead1"/>
        <w:rPr>
          <w:lang w:val="en-GB"/>
        </w:rPr>
      </w:pPr>
      <w:r w:rsidRPr="00CA617A">
        <w:rPr>
          <w:lang w:val="en-GB"/>
        </w:rPr>
        <w:t>DEBT FINANCING</w:t>
      </w:r>
    </w:p>
    <w:p w14:paraId="34CACBD6" w14:textId="77777777" w:rsidR="004D4552" w:rsidRPr="00CA617A" w:rsidRDefault="004D4552" w:rsidP="004D4552">
      <w:pPr>
        <w:pStyle w:val="Casehead1"/>
        <w:rPr>
          <w:lang w:val="en-GB"/>
        </w:rPr>
      </w:pPr>
    </w:p>
    <w:p w14:paraId="62FAA782" w14:textId="490AECBA" w:rsidR="004D4552" w:rsidRPr="00CA617A" w:rsidRDefault="004D4552" w:rsidP="004D4552">
      <w:pPr>
        <w:pStyle w:val="BodyTextMain"/>
        <w:rPr>
          <w:lang w:val="en-GB"/>
        </w:rPr>
      </w:pPr>
      <w:r w:rsidRPr="00CA617A">
        <w:rPr>
          <w:lang w:val="en-GB"/>
        </w:rPr>
        <w:t xml:space="preserve">On February 3, 2020, </w:t>
      </w:r>
      <w:r w:rsidR="00CF6B0D">
        <w:rPr>
          <w:lang w:val="en-GB"/>
        </w:rPr>
        <w:t>BeanCountr</w:t>
      </w:r>
      <w:r w:rsidRPr="00CA617A">
        <w:rPr>
          <w:lang w:val="en-GB"/>
        </w:rPr>
        <w:t xml:space="preserve"> secured a $25,000 line of credit from the bank. Interest was charged at a floating interest rate on the amount borrowed. On February 17, 2020, </w:t>
      </w:r>
      <w:r w:rsidR="00CF6B0D">
        <w:rPr>
          <w:lang w:val="en-GB"/>
        </w:rPr>
        <w:t>BeanCountr</w:t>
      </w:r>
      <w:r w:rsidRPr="00CA617A">
        <w:rPr>
          <w:lang w:val="en-GB"/>
        </w:rPr>
        <w:t xml:space="preserve"> borrowed $14,500 on the line of credit. On March 31, 2020, </w:t>
      </w:r>
      <w:r w:rsidR="00CF6B0D">
        <w:rPr>
          <w:lang w:val="en-GB"/>
        </w:rPr>
        <w:t>BeanCountr</w:t>
      </w:r>
      <w:r w:rsidRPr="00CA617A">
        <w:rPr>
          <w:lang w:val="en-GB"/>
        </w:rPr>
        <w:t xml:space="preserve"> paid $66 in cash for the accrued interest for the months of February and March. </w:t>
      </w:r>
    </w:p>
    <w:p w14:paraId="44F90D1A" w14:textId="77777777" w:rsidR="004D4552" w:rsidRPr="00CA617A" w:rsidRDefault="004D4552" w:rsidP="004D4552">
      <w:pPr>
        <w:pStyle w:val="BodyTextMain"/>
        <w:rPr>
          <w:lang w:val="en-GB"/>
        </w:rPr>
      </w:pPr>
    </w:p>
    <w:p w14:paraId="21788759" w14:textId="3F0453F1" w:rsidR="004D4552" w:rsidRPr="00CA617A" w:rsidRDefault="004D4552" w:rsidP="004D4552">
      <w:pPr>
        <w:pStyle w:val="BodyTextMain"/>
        <w:rPr>
          <w:lang w:val="en-GB"/>
        </w:rPr>
      </w:pPr>
      <w:r w:rsidRPr="00CA617A">
        <w:rPr>
          <w:lang w:val="en-GB"/>
        </w:rPr>
        <w:t xml:space="preserve">On July 15, 2017, </w:t>
      </w:r>
      <w:r w:rsidR="00CF6B0D">
        <w:rPr>
          <w:lang w:val="en-GB"/>
        </w:rPr>
        <w:t>BeanCountr</w:t>
      </w:r>
      <w:r w:rsidRPr="00CA617A">
        <w:rPr>
          <w:lang w:val="en-GB"/>
        </w:rPr>
        <w:t xml:space="preserve"> issued 50 callable</w:t>
      </w:r>
      <w:r w:rsidRPr="00CA617A">
        <w:rPr>
          <w:rStyle w:val="FootnoteReference"/>
          <w:color w:val="000000"/>
          <w:lang w:val="en-GB"/>
        </w:rPr>
        <w:footnoteReference w:id="2"/>
      </w:r>
      <w:r w:rsidRPr="00CA617A">
        <w:rPr>
          <w:lang w:val="en-GB"/>
        </w:rPr>
        <w:t xml:space="preserve"> </w:t>
      </w:r>
      <w:r w:rsidR="00664DEA">
        <w:rPr>
          <w:lang w:val="en-GB"/>
        </w:rPr>
        <w:t>10</w:t>
      </w:r>
      <w:r w:rsidRPr="00CA617A">
        <w:rPr>
          <w:lang w:val="en-GB"/>
        </w:rPr>
        <w:t xml:space="preserve">-year bonds. The bonds paid an annual coupon rate of 8.5 per cent that was distributed semi-annually on January 15 and July 15. At the time the bonds were issued, the market interest rate was </w:t>
      </w:r>
      <w:r w:rsidR="00664DEA">
        <w:rPr>
          <w:lang w:val="en-GB"/>
        </w:rPr>
        <w:t>7</w:t>
      </w:r>
      <w:r w:rsidRPr="00CA617A">
        <w:rPr>
          <w:lang w:val="en-GB"/>
        </w:rPr>
        <w:t xml:space="preserve"> per cent. </w:t>
      </w:r>
      <w:r w:rsidR="00CF6B0D">
        <w:rPr>
          <w:lang w:val="en-GB"/>
        </w:rPr>
        <w:t>BeanCountr</w:t>
      </w:r>
      <w:r w:rsidRPr="00CA617A">
        <w:rPr>
          <w:lang w:val="en-GB"/>
        </w:rPr>
        <w:t xml:space="preserve"> recalled 20 per cent of the outstanding bonds on March 1, 2020</w:t>
      </w:r>
      <w:r w:rsidR="00664DEA">
        <w:rPr>
          <w:lang w:val="en-GB"/>
        </w:rPr>
        <w:t>,</w:t>
      </w:r>
      <w:r w:rsidRPr="00CA617A">
        <w:rPr>
          <w:lang w:val="en-GB"/>
        </w:rPr>
        <w:t xml:space="preserve"> when the market interest rate was </w:t>
      </w:r>
      <w:r w:rsidR="00664DEA">
        <w:rPr>
          <w:lang w:val="en-GB"/>
        </w:rPr>
        <w:t>8</w:t>
      </w:r>
      <w:r w:rsidRPr="00CA617A">
        <w:rPr>
          <w:lang w:val="en-GB"/>
        </w:rPr>
        <w:t xml:space="preserve"> per cent. </w:t>
      </w:r>
    </w:p>
    <w:p w14:paraId="27ED2033" w14:textId="77777777" w:rsidR="004D4552" w:rsidRPr="00CA617A" w:rsidRDefault="004D4552" w:rsidP="004D4552">
      <w:pPr>
        <w:rPr>
          <w:rFonts w:ascii="Arial" w:hAnsi="Arial" w:cs="Arial"/>
          <w:b/>
          <w:lang w:val="en-GB"/>
        </w:rPr>
      </w:pPr>
    </w:p>
    <w:p w14:paraId="4EF90737" w14:textId="77777777" w:rsidR="004D4552" w:rsidRPr="00CA617A" w:rsidRDefault="004D4552" w:rsidP="004D4552">
      <w:pPr>
        <w:spacing w:line="360" w:lineRule="auto"/>
        <w:rPr>
          <w:rFonts w:ascii="Arial" w:hAnsi="Arial" w:cs="Arial"/>
          <w:b/>
          <w:lang w:val="en-GB"/>
        </w:rPr>
      </w:pPr>
    </w:p>
    <w:p w14:paraId="429695C8" w14:textId="77777777" w:rsidR="004D4552" w:rsidRPr="00CA617A" w:rsidRDefault="004D4552" w:rsidP="004D4552">
      <w:pPr>
        <w:pStyle w:val="Casehead1"/>
        <w:rPr>
          <w:lang w:val="en-GB"/>
        </w:rPr>
      </w:pPr>
      <w:r w:rsidRPr="00CA617A">
        <w:rPr>
          <w:lang w:val="en-GB"/>
        </w:rPr>
        <w:t>REQUIRED</w:t>
      </w:r>
    </w:p>
    <w:p w14:paraId="25FCFA77" w14:textId="77777777" w:rsidR="004D4552" w:rsidRPr="00CA617A" w:rsidRDefault="004D4552" w:rsidP="004D4552">
      <w:pPr>
        <w:pStyle w:val="BodyTextMain"/>
        <w:rPr>
          <w:lang w:val="en-GB"/>
        </w:rPr>
      </w:pPr>
    </w:p>
    <w:p w14:paraId="752174C7" w14:textId="241509CA" w:rsidR="004D4552" w:rsidRPr="00CA617A" w:rsidRDefault="004D4552" w:rsidP="004D4552">
      <w:pPr>
        <w:pStyle w:val="BodyTextMain"/>
        <w:rPr>
          <w:lang w:val="en-GB"/>
        </w:rPr>
      </w:pPr>
      <w:r w:rsidRPr="00CA617A">
        <w:rPr>
          <w:lang w:val="en-GB"/>
        </w:rPr>
        <w:t>Supert</w:t>
      </w:r>
      <w:r w:rsidR="00664DEA">
        <w:rPr>
          <w:lang w:val="en-GB"/>
        </w:rPr>
        <w:t xml:space="preserve"> must</w:t>
      </w:r>
      <w:r w:rsidRPr="00CA617A">
        <w:rPr>
          <w:lang w:val="en-GB"/>
        </w:rPr>
        <w:t xml:space="preserve"> </w:t>
      </w:r>
      <w:r w:rsidR="00664DEA">
        <w:rPr>
          <w:lang w:val="en-GB"/>
        </w:rPr>
        <w:t xml:space="preserve">now </w:t>
      </w:r>
      <w:r w:rsidRPr="00CA617A">
        <w:rPr>
          <w:lang w:val="en-GB"/>
        </w:rPr>
        <w:t xml:space="preserve">record the opening balances and all necessary transactions for </w:t>
      </w:r>
      <w:r w:rsidR="00CF6B0D">
        <w:rPr>
          <w:lang w:val="en-GB"/>
        </w:rPr>
        <w:t>BeanCountr</w:t>
      </w:r>
      <w:r w:rsidRPr="00CA617A">
        <w:rPr>
          <w:lang w:val="en-GB"/>
        </w:rPr>
        <w:t xml:space="preserve"> Inc.’s fiscal year, ending March 31, 2020. </w:t>
      </w:r>
    </w:p>
    <w:p w14:paraId="1F89F66C" w14:textId="77777777" w:rsidR="004D4552" w:rsidRPr="00CA617A" w:rsidRDefault="004D4552" w:rsidP="004D4552">
      <w:pPr>
        <w:spacing w:line="360" w:lineRule="auto"/>
        <w:jc w:val="center"/>
        <w:rPr>
          <w:rFonts w:ascii="Arial" w:hAnsi="Arial" w:cs="Arial"/>
          <w:b/>
          <w:lang w:val="en-GB"/>
        </w:rPr>
      </w:pPr>
      <w:r w:rsidRPr="00CA617A">
        <w:rPr>
          <w:lang w:val="en-GB"/>
        </w:rPr>
        <w:br w:type="page"/>
      </w:r>
    </w:p>
    <w:p w14:paraId="69A32F70" w14:textId="56254E91" w:rsidR="004D4552" w:rsidRPr="00CA617A" w:rsidRDefault="004D4552" w:rsidP="004D4552">
      <w:pPr>
        <w:pStyle w:val="ExhibitHeading"/>
        <w:rPr>
          <w:lang w:val="en-GB"/>
        </w:rPr>
      </w:pPr>
      <w:r w:rsidRPr="00CA617A">
        <w:rPr>
          <w:lang w:val="en-GB"/>
        </w:rPr>
        <w:lastRenderedPageBreak/>
        <w:t xml:space="preserve">Exhibit 1: </w:t>
      </w:r>
      <w:r w:rsidR="00CF6B0D">
        <w:rPr>
          <w:lang w:val="en-GB"/>
        </w:rPr>
        <w:t>BeanCountr</w:t>
      </w:r>
      <w:r w:rsidR="00664DEA">
        <w:rPr>
          <w:lang w:val="en-GB"/>
        </w:rPr>
        <w:t xml:space="preserve"> Inc. </w:t>
      </w:r>
      <w:r w:rsidRPr="00CA617A">
        <w:rPr>
          <w:lang w:val="en-GB"/>
        </w:rPr>
        <w:t>STATEMENT OF FINANCIAL POSITION</w:t>
      </w:r>
      <w:r w:rsidR="001B59E4">
        <w:rPr>
          <w:lang w:val="en-GB"/>
        </w:rPr>
        <w:t>,</w:t>
      </w:r>
      <w:r w:rsidRPr="00CA617A">
        <w:rPr>
          <w:lang w:val="en-GB"/>
        </w:rPr>
        <w:t xml:space="preserve"> March 31, 2019</w:t>
      </w:r>
      <w:r w:rsidR="001B59E4">
        <w:rPr>
          <w:lang w:val="en-GB"/>
        </w:rPr>
        <w:t xml:space="preserve"> (in CA$)</w:t>
      </w:r>
    </w:p>
    <w:p w14:paraId="345FC7A9" w14:textId="77777777" w:rsidR="004D4552" w:rsidRPr="00CA617A" w:rsidRDefault="004D4552" w:rsidP="004D4552">
      <w:pPr>
        <w:jc w:val="center"/>
        <w:rPr>
          <w:rFonts w:ascii="Arial" w:hAnsi="Arial" w:cs="Arial"/>
          <w:b/>
          <w:lang w:val="en-GB"/>
        </w:rPr>
      </w:pPr>
    </w:p>
    <w:tbl>
      <w:tblPr>
        <w:tblW w:w="9541" w:type="dxa"/>
        <w:jc w:val="center"/>
        <w:tblLook w:val="04A0" w:firstRow="1" w:lastRow="0" w:firstColumn="1" w:lastColumn="0" w:noHBand="0" w:noVBand="1"/>
      </w:tblPr>
      <w:tblGrid>
        <w:gridCol w:w="6480"/>
        <w:gridCol w:w="1350"/>
        <w:gridCol w:w="1716"/>
      </w:tblGrid>
      <w:tr w:rsidR="001D7BB6" w:rsidRPr="00CA617A" w14:paraId="2D3EC61D"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35C40FBD" w14:textId="77777777" w:rsidR="001D7BB6" w:rsidRPr="00CA617A" w:rsidRDefault="001D7BB6" w:rsidP="00023CB9">
            <w:pPr>
              <w:tabs>
                <w:tab w:val="left" w:pos="387"/>
              </w:tabs>
              <w:rPr>
                <w:rFonts w:ascii="Arial" w:hAnsi="Arial" w:cs="Arial"/>
                <w:b/>
                <w:bCs/>
                <w:color w:val="000000"/>
                <w:lang w:val="en-GB"/>
              </w:rPr>
            </w:pPr>
            <w:r w:rsidRPr="00CA617A">
              <w:rPr>
                <w:rFonts w:ascii="Arial" w:hAnsi="Arial" w:cs="Arial"/>
                <w:b/>
                <w:bCs/>
                <w:color w:val="000000"/>
                <w:lang w:val="en-GB"/>
              </w:rPr>
              <w:t>ASSETS</w:t>
            </w:r>
          </w:p>
        </w:tc>
        <w:tc>
          <w:tcPr>
            <w:tcW w:w="1350" w:type="dxa"/>
            <w:tcBorders>
              <w:top w:val="nil"/>
              <w:left w:val="nil"/>
              <w:bottom w:val="nil"/>
              <w:right w:val="nil"/>
            </w:tcBorders>
            <w:shd w:val="clear" w:color="auto" w:fill="auto"/>
            <w:noWrap/>
            <w:vAlign w:val="bottom"/>
            <w:hideMark/>
          </w:tcPr>
          <w:p w14:paraId="3D9C8B1F"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hideMark/>
          </w:tcPr>
          <w:p w14:paraId="3991E659" w14:textId="77777777" w:rsidR="001D7BB6" w:rsidRPr="00CA617A" w:rsidRDefault="001D7BB6" w:rsidP="001D7BB6">
            <w:pPr>
              <w:rPr>
                <w:rFonts w:ascii="Arial" w:hAnsi="Arial" w:cs="Arial"/>
                <w:color w:val="000000"/>
                <w:lang w:val="en-GB"/>
              </w:rPr>
            </w:pPr>
          </w:p>
        </w:tc>
      </w:tr>
      <w:tr w:rsidR="001D7BB6" w:rsidRPr="00CA617A" w14:paraId="092A71BD" w14:textId="77777777" w:rsidTr="00023CB9">
        <w:trPr>
          <w:trHeight w:val="288"/>
          <w:jc w:val="center"/>
        </w:trPr>
        <w:tc>
          <w:tcPr>
            <w:tcW w:w="6480" w:type="dxa"/>
            <w:tcBorders>
              <w:top w:val="nil"/>
              <w:left w:val="nil"/>
              <w:bottom w:val="nil"/>
              <w:right w:val="nil"/>
            </w:tcBorders>
            <w:shd w:val="clear" w:color="auto" w:fill="auto"/>
            <w:noWrap/>
            <w:vAlign w:val="bottom"/>
          </w:tcPr>
          <w:p w14:paraId="5C4321F2" w14:textId="77777777" w:rsidR="001D7BB6" w:rsidRPr="00CA617A" w:rsidRDefault="001D7BB6" w:rsidP="00023CB9">
            <w:pPr>
              <w:tabs>
                <w:tab w:val="left" w:pos="387"/>
              </w:tabs>
              <w:rPr>
                <w:rFonts w:ascii="Arial" w:hAnsi="Arial" w:cs="Arial"/>
                <w:b/>
                <w:bCs/>
                <w:color w:val="000000"/>
                <w:lang w:val="en-GB"/>
              </w:rPr>
            </w:pPr>
          </w:p>
        </w:tc>
        <w:tc>
          <w:tcPr>
            <w:tcW w:w="1350" w:type="dxa"/>
            <w:tcBorders>
              <w:top w:val="nil"/>
              <w:left w:val="nil"/>
              <w:bottom w:val="nil"/>
              <w:right w:val="nil"/>
            </w:tcBorders>
            <w:shd w:val="clear" w:color="auto" w:fill="auto"/>
            <w:noWrap/>
            <w:vAlign w:val="bottom"/>
          </w:tcPr>
          <w:p w14:paraId="167A31D5"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tcPr>
          <w:p w14:paraId="68D687F3" w14:textId="77777777" w:rsidR="001D7BB6" w:rsidRPr="00CA617A" w:rsidRDefault="001D7BB6" w:rsidP="001D7BB6">
            <w:pPr>
              <w:rPr>
                <w:rFonts w:ascii="Arial" w:hAnsi="Arial" w:cs="Arial"/>
                <w:color w:val="000000"/>
                <w:lang w:val="en-GB"/>
              </w:rPr>
            </w:pPr>
          </w:p>
        </w:tc>
      </w:tr>
      <w:tr w:rsidR="001D7BB6" w:rsidRPr="00CA617A" w14:paraId="5AB8A4AA"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3C5A07D3" w14:textId="77777777" w:rsidR="001D7BB6" w:rsidRPr="00CA617A" w:rsidRDefault="001D7BB6" w:rsidP="00023CB9">
            <w:pPr>
              <w:tabs>
                <w:tab w:val="left" w:pos="387"/>
              </w:tabs>
              <w:rPr>
                <w:rFonts w:ascii="Arial" w:hAnsi="Arial" w:cs="Arial"/>
                <w:b/>
                <w:bCs/>
                <w:color w:val="000000"/>
                <w:lang w:val="en-GB"/>
              </w:rPr>
            </w:pPr>
            <w:r w:rsidRPr="00CA617A">
              <w:rPr>
                <w:rFonts w:ascii="Arial" w:hAnsi="Arial" w:cs="Arial"/>
                <w:b/>
                <w:bCs/>
                <w:color w:val="000000"/>
                <w:lang w:val="en-GB"/>
              </w:rPr>
              <w:t>Current assets:</w:t>
            </w:r>
          </w:p>
        </w:tc>
        <w:tc>
          <w:tcPr>
            <w:tcW w:w="1350" w:type="dxa"/>
            <w:tcBorders>
              <w:top w:val="nil"/>
              <w:left w:val="nil"/>
              <w:bottom w:val="nil"/>
              <w:right w:val="nil"/>
            </w:tcBorders>
            <w:shd w:val="clear" w:color="auto" w:fill="auto"/>
            <w:noWrap/>
            <w:vAlign w:val="bottom"/>
            <w:hideMark/>
          </w:tcPr>
          <w:p w14:paraId="64EAEAEA"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hideMark/>
          </w:tcPr>
          <w:p w14:paraId="2342F4DE" w14:textId="77777777" w:rsidR="001D7BB6" w:rsidRPr="00CA617A" w:rsidRDefault="001D7BB6" w:rsidP="001D7BB6">
            <w:pPr>
              <w:rPr>
                <w:rFonts w:ascii="Arial" w:hAnsi="Arial" w:cs="Arial"/>
                <w:color w:val="000000"/>
                <w:lang w:val="en-GB"/>
              </w:rPr>
            </w:pPr>
          </w:p>
        </w:tc>
      </w:tr>
      <w:tr w:rsidR="001D7BB6" w:rsidRPr="00CA617A" w14:paraId="7F7F6CC1"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7891FA8D" w14:textId="5CA92528" w:rsidR="001D7BB6" w:rsidRPr="00CA617A" w:rsidRDefault="001D7BB6" w:rsidP="001D7BB6">
            <w:pPr>
              <w:ind w:firstLine="321"/>
              <w:rPr>
                <w:rFonts w:ascii="Arial" w:hAnsi="Arial" w:cs="Arial"/>
                <w:color w:val="000000"/>
                <w:lang w:val="en-GB"/>
              </w:rPr>
            </w:pPr>
            <w:r w:rsidRPr="00CA617A">
              <w:rPr>
                <w:rFonts w:ascii="Arial" w:hAnsi="Arial" w:cs="Arial"/>
                <w:color w:val="000000"/>
                <w:lang w:val="en-GB"/>
              </w:rPr>
              <w:t>Cash</w:t>
            </w:r>
          </w:p>
        </w:tc>
        <w:tc>
          <w:tcPr>
            <w:tcW w:w="1350" w:type="dxa"/>
            <w:tcBorders>
              <w:top w:val="nil"/>
              <w:left w:val="nil"/>
              <w:bottom w:val="nil"/>
              <w:right w:val="nil"/>
            </w:tcBorders>
            <w:shd w:val="clear" w:color="auto" w:fill="auto"/>
            <w:noWrap/>
            <w:vAlign w:val="bottom"/>
            <w:hideMark/>
          </w:tcPr>
          <w:p w14:paraId="1345E98A"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hideMark/>
          </w:tcPr>
          <w:p w14:paraId="7C1CFF69" w14:textId="77777777" w:rsidR="001D7BB6" w:rsidRPr="00CA617A" w:rsidRDefault="001D7BB6" w:rsidP="001D7BB6">
            <w:pPr>
              <w:jc w:val="right"/>
              <w:rPr>
                <w:rFonts w:ascii="Arial" w:hAnsi="Arial" w:cs="Arial"/>
                <w:color w:val="000000"/>
                <w:lang w:val="en-GB"/>
              </w:rPr>
            </w:pPr>
            <w:r w:rsidRPr="00CA617A">
              <w:rPr>
                <w:rFonts w:ascii="Arial" w:hAnsi="Arial" w:cs="Arial"/>
                <w:color w:val="000000"/>
                <w:lang w:val="en-GB"/>
              </w:rPr>
              <w:t>$159,481</w:t>
            </w:r>
          </w:p>
        </w:tc>
      </w:tr>
      <w:tr w:rsidR="001D7BB6" w:rsidRPr="00CA617A" w14:paraId="7DA396DA"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567C3401" w14:textId="6003543C" w:rsidR="001D7BB6" w:rsidRPr="00CA617A" w:rsidRDefault="001D7BB6" w:rsidP="001D7BB6">
            <w:pPr>
              <w:ind w:firstLine="321"/>
              <w:rPr>
                <w:rFonts w:ascii="Arial" w:hAnsi="Arial" w:cs="Arial"/>
                <w:color w:val="000000"/>
                <w:lang w:val="en-GB"/>
              </w:rPr>
            </w:pPr>
            <w:r w:rsidRPr="00CA617A">
              <w:rPr>
                <w:rFonts w:ascii="Arial" w:hAnsi="Arial" w:cs="Arial"/>
                <w:color w:val="000000"/>
                <w:lang w:val="en-GB"/>
              </w:rPr>
              <w:t>Accounts receivable</w:t>
            </w:r>
          </w:p>
        </w:tc>
        <w:tc>
          <w:tcPr>
            <w:tcW w:w="1350" w:type="dxa"/>
            <w:tcBorders>
              <w:top w:val="nil"/>
              <w:left w:val="nil"/>
              <w:bottom w:val="nil"/>
              <w:right w:val="nil"/>
            </w:tcBorders>
            <w:shd w:val="clear" w:color="auto" w:fill="auto"/>
            <w:noWrap/>
            <w:vAlign w:val="bottom"/>
            <w:hideMark/>
          </w:tcPr>
          <w:p w14:paraId="75E3E8FF" w14:textId="77777777" w:rsidR="001D7BB6" w:rsidRPr="00CA617A" w:rsidRDefault="001D7BB6" w:rsidP="001D7BB6">
            <w:pPr>
              <w:rPr>
                <w:rFonts w:ascii="Arial" w:hAnsi="Arial" w:cs="Arial"/>
                <w:color w:val="000000"/>
                <w:lang w:val="en-GB"/>
              </w:rPr>
            </w:pPr>
          </w:p>
        </w:tc>
        <w:tc>
          <w:tcPr>
            <w:tcW w:w="1711" w:type="dxa"/>
            <w:tcBorders>
              <w:top w:val="nil"/>
              <w:left w:val="nil"/>
              <w:right w:val="nil"/>
            </w:tcBorders>
            <w:shd w:val="clear" w:color="auto" w:fill="auto"/>
            <w:noWrap/>
            <w:vAlign w:val="bottom"/>
            <w:hideMark/>
          </w:tcPr>
          <w:p w14:paraId="436E6849" w14:textId="77777777" w:rsidR="001D7BB6" w:rsidRPr="00CA617A" w:rsidRDefault="001D7BB6" w:rsidP="001D7BB6">
            <w:pPr>
              <w:jc w:val="right"/>
              <w:rPr>
                <w:rFonts w:ascii="Arial" w:hAnsi="Arial" w:cs="Arial"/>
                <w:color w:val="000000"/>
                <w:lang w:val="en-GB"/>
              </w:rPr>
            </w:pPr>
            <w:r w:rsidRPr="00CA617A">
              <w:rPr>
                <w:rFonts w:ascii="Arial" w:hAnsi="Arial" w:cs="Arial"/>
                <w:color w:val="000000"/>
                <w:lang w:val="en-GB"/>
              </w:rPr>
              <w:t>10,062</w:t>
            </w:r>
          </w:p>
        </w:tc>
      </w:tr>
      <w:tr w:rsidR="001D7BB6" w:rsidRPr="00CA617A" w14:paraId="06811DBB" w14:textId="77777777" w:rsidTr="00023CB9">
        <w:trPr>
          <w:trHeight w:val="288"/>
          <w:jc w:val="center"/>
        </w:trPr>
        <w:tc>
          <w:tcPr>
            <w:tcW w:w="6480" w:type="dxa"/>
            <w:tcBorders>
              <w:top w:val="nil"/>
              <w:left w:val="nil"/>
              <w:bottom w:val="nil"/>
              <w:right w:val="nil"/>
            </w:tcBorders>
            <w:shd w:val="clear" w:color="auto" w:fill="auto"/>
            <w:noWrap/>
            <w:vAlign w:val="bottom"/>
          </w:tcPr>
          <w:p w14:paraId="07DF1D57" w14:textId="7AC3606E" w:rsidR="001D7BB6" w:rsidRPr="00CA617A" w:rsidRDefault="001D7BB6" w:rsidP="001D7BB6">
            <w:pPr>
              <w:ind w:firstLine="321"/>
              <w:rPr>
                <w:rFonts w:ascii="Arial" w:hAnsi="Arial" w:cs="Arial"/>
                <w:color w:val="000000"/>
                <w:lang w:val="en-GB"/>
              </w:rPr>
            </w:pPr>
            <w:r w:rsidRPr="00CA617A">
              <w:rPr>
                <w:rFonts w:ascii="Arial" w:hAnsi="Arial" w:cs="Arial"/>
                <w:color w:val="000000"/>
                <w:lang w:val="en-GB"/>
              </w:rPr>
              <w:t>Trading investment, stock</w:t>
            </w:r>
          </w:p>
        </w:tc>
        <w:tc>
          <w:tcPr>
            <w:tcW w:w="1350" w:type="dxa"/>
            <w:tcBorders>
              <w:top w:val="nil"/>
              <w:left w:val="nil"/>
              <w:bottom w:val="nil"/>
              <w:right w:val="nil"/>
            </w:tcBorders>
            <w:shd w:val="clear" w:color="auto" w:fill="auto"/>
            <w:noWrap/>
            <w:vAlign w:val="bottom"/>
          </w:tcPr>
          <w:p w14:paraId="157534B3" w14:textId="77777777" w:rsidR="001D7BB6" w:rsidRPr="00CA617A" w:rsidRDefault="001D7BB6" w:rsidP="001D7BB6">
            <w:pPr>
              <w:rPr>
                <w:rFonts w:ascii="Arial" w:hAnsi="Arial" w:cs="Arial"/>
                <w:color w:val="000000"/>
                <w:lang w:val="en-GB"/>
              </w:rPr>
            </w:pPr>
          </w:p>
        </w:tc>
        <w:tc>
          <w:tcPr>
            <w:tcW w:w="1711" w:type="dxa"/>
            <w:tcBorders>
              <w:top w:val="nil"/>
              <w:left w:val="nil"/>
              <w:bottom w:val="single" w:sz="2" w:space="0" w:color="auto"/>
              <w:right w:val="nil"/>
            </w:tcBorders>
            <w:shd w:val="clear" w:color="auto" w:fill="auto"/>
            <w:noWrap/>
            <w:vAlign w:val="bottom"/>
          </w:tcPr>
          <w:p w14:paraId="4C73834E" w14:textId="77777777" w:rsidR="001D7BB6" w:rsidRPr="00860DEC" w:rsidRDefault="001D7BB6" w:rsidP="001D7BB6">
            <w:pPr>
              <w:jc w:val="right"/>
              <w:rPr>
                <w:rFonts w:ascii="Arial" w:hAnsi="Arial" w:cs="Arial"/>
                <w:color w:val="000000"/>
                <w:lang w:val="en-GB"/>
              </w:rPr>
            </w:pPr>
            <w:r w:rsidRPr="00860DEC">
              <w:rPr>
                <w:rFonts w:ascii="Arial" w:hAnsi="Arial" w:cs="Arial"/>
                <w:color w:val="000000"/>
                <w:lang w:val="en-GB"/>
              </w:rPr>
              <w:t>27,000</w:t>
            </w:r>
          </w:p>
        </w:tc>
      </w:tr>
      <w:tr w:rsidR="001D7BB6" w:rsidRPr="00CA617A" w14:paraId="2752CC77"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225E52F8" w14:textId="77777777" w:rsidR="001D7BB6" w:rsidRPr="00CA617A" w:rsidRDefault="001D7BB6" w:rsidP="00023CB9">
            <w:pPr>
              <w:tabs>
                <w:tab w:val="left" w:pos="387"/>
              </w:tabs>
              <w:rPr>
                <w:rFonts w:ascii="Arial" w:hAnsi="Arial" w:cs="Arial"/>
                <w:color w:val="000000"/>
                <w:lang w:val="en-GB"/>
              </w:rPr>
            </w:pPr>
            <w:r w:rsidRPr="00CA617A">
              <w:rPr>
                <w:rFonts w:ascii="Arial" w:hAnsi="Arial" w:cs="Arial"/>
                <w:color w:val="000000"/>
                <w:lang w:val="en-GB"/>
              </w:rPr>
              <w:t>Total current assets</w:t>
            </w:r>
          </w:p>
        </w:tc>
        <w:tc>
          <w:tcPr>
            <w:tcW w:w="1350" w:type="dxa"/>
            <w:tcBorders>
              <w:top w:val="nil"/>
              <w:left w:val="nil"/>
              <w:bottom w:val="nil"/>
              <w:right w:val="nil"/>
            </w:tcBorders>
            <w:shd w:val="clear" w:color="auto" w:fill="auto"/>
            <w:noWrap/>
            <w:vAlign w:val="bottom"/>
            <w:hideMark/>
          </w:tcPr>
          <w:p w14:paraId="17A1CB3D" w14:textId="77777777" w:rsidR="001D7BB6" w:rsidRPr="00CA617A" w:rsidRDefault="001D7BB6" w:rsidP="001D7BB6">
            <w:pPr>
              <w:rPr>
                <w:rFonts w:ascii="Arial" w:hAnsi="Arial" w:cs="Arial"/>
                <w:color w:val="000000"/>
                <w:lang w:val="en-GB"/>
              </w:rPr>
            </w:pPr>
          </w:p>
        </w:tc>
        <w:tc>
          <w:tcPr>
            <w:tcW w:w="1711" w:type="dxa"/>
            <w:tcBorders>
              <w:top w:val="single" w:sz="2" w:space="0" w:color="auto"/>
              <w:left w:val="nil"/>
              <w:bottom w:val="single" w:sz="2" w:space="0" w:color="auto"/>
              <w:right w:val="nil"/>
            </w:tcBorders>
            <w:shd w:val="clear" w:color="auto" w:fill="auto"/>
            <w:noWrap/>
            <w:vAlign w:val="bottom"/>
            <w:hideMark/>
          </w:tcPr>
          <w:p w14:paraId="34FEA027" w14:textId="77777777" w:rsidR="001D7BB6" w:rsidRPr="00860DEC" w:rsidRDefault="001D7BB6" w:rsidP="001D7BB6">
            <w:pPr>
              <w:jc w:val="right"/>
              <w:rPr>
                <w:rFonts w:ascii="Arial" w:hAnsi="Arial" w:cs="Arial"/>
                <w:color w:val="000000"/>
                <w:lang w:val="en-GB"/>
              </w:rPr>
            </w:pPr>
            <w:r w:rsidRPr="00860DEC">
              <w:rPr>
                <w:rFonts w:ascii="Arial" w:hAnsi="Arial" w:cs="Arial"/>
                <w:color w:val="000000"/>
                <w:lang w:val="en-GB"/>
              </w:rPr>
              <w:t>196,543</w:t>
            </w:r>
          </w:p>
        </w:tc>
      </w:tr>
      <w:tr w:rsidR="001D7BB6" w:rsidRPr="00CA617A" w14:paraId="14324F07"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2E7AB1F8" w14:textId="77777777" w:rsidR="001D7BB6" w:rsidRPr="00CA617A" w:rsidRDefault="001D7BB6" w:rsidP="00023CB9">
            <w:pPr>
              <w:tabs>
                <w:tab w:val="left" w:pos="387"/>
              </w:tabs>
              <w:rPr>
                <w:rFonts w:ascii="Arial" w:hAnsi="Arial" w:cs="Arial"/>
                <w:color w:val="000000"/>
                <w:lang w:val="en-GB"/>
              </w:rPr>
            </w:pPr>
          </w:p>
        </w:tc>
        <w:tc>
          <w:tcPr>
            <w:tcW w:w="1350" w:type="dxa"/>
            <w:tcBorders>
              <w:top w:val="nil"/>
              <w:left w:val="nil"/>
              <w:bottom w:val="nil"/>
              <w:right w:val="nil"/>
            </w:tcBorders>
            <w:shd w:val="clear" w:color="auto" w:fill="auto"/>
            <w:noWrap/>
            <w:vAlign w:val="bottom"/>
            <w:hideMark/>
          </w:tcPr>
          <w:p w14:paraId="340A4E89" w14:textId="77777777" w:rsidR="001D7BB6" w:rsidRPr="00CA617A" w:rsidRDefault="001D7BB6" w:rsidP="001D7BB6">
            <w:pPr>
              <w:rPr>
                <w:rFonts w:ascii="Arial" w:hAnsi="Arial" w:cs="Arial"/>
                <w:color w:val="000000"/>
                <w:lang w:val="en-GB"/>
              </w:rPr>
            </w:pPr>
          </w:p>
        </w:tc>
        <w:tc>
          <w:tcPr>
            <w:tcW w:w="1711" w:type="dxa"/>
            <w:tcBorders>
              <w:top w:val="single" w:sz="2" w:space="0" w:color="auto"/>
              <w:left w:val="nil"/>
              <w:right w:val="nil"/>
            </w:tcBorders>
            <w:shd w:val="clear" w:color="auto" w:fill="auto"/>
            <w:noWrap/>
            <w:vAlign w:val="bottom"/>
            <w:hideMark/>
          </w:tcPr>
          <w:p w14:paraId="0A73B6A3" w14:textId="77777777" w:rsidR="001D7BB6" w:rsidRPr="00CA617A" w:rsidRDefault="001D7BB6" w:rsidP="001D7BB6">
            <w:pPr>
              <w:rPr>
                <w:rFonts w:ascii="Arial" w:hAnsi="Arial" w:cs="Arial"/>
                <w:color w:val="000000"/>
                <w:lang w:val="en-GB"/>
              </w:rPr>
            </w:pPr>
          </w:p>
        </w:tc>
      </w:tr>
      <w:tr w:rsidR="001D7BB6" w:rsidRPr="00CA617A" w14:paraId="402A1ACB"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690E81C7" w14:textId="77777777" w:rsidR="001D7BB6" w:rsidRPr="00CA617A" w:rsidRDefault="001D7BB6" w:rsidP="00023CB9">
            <w:pPr>
              <w:tabs>
                <w:tab w:val="left" w:pos="387"/>
              </w:tabs>
              <w:rPr>
                <w:rFonts w:ascii="Arial" w:hAnsi="Arial" w:cs="Arial"/>
                <w:b/>
                <w:bCs/>
                <w:color w:val="000000"/>
                <w:lang w:val="en-GB"/>
              </w:rPr>
            </w:pPr>
            <w:r w:rsidRPr="00CA617A">
              <w:rPr>
                <w:rFonts w:ascii="Arial" w:hAnsi="Arial" w:cs="Arial"/>
                <w:b/>
                <w:bCs/>
                <w:color w:val="000000"/>
                <w:lang w:val="en-GB"/>
              </w:rPr>
              <w:t>Total assets</w:t>
            </w:r>
          </w:p>
        </w:tc>
        <w:tc>
          <w:tcPr>
            <w:tcW w:w="1350" w:type="dxa"/>
            <w:tcBorders>
              <w:top w:val="nil"/>
              <w:left w:val="nil"/>
              <w:right w:val="nil"/>
            </w:tcBorders>
            <w:shd w:val="clear" w:color="auto" w:fill="auto"/>
            <w:noWrap/>
            <w:vAlign w:val="bottom"/>
            <w:hideMark/>
          </w:tcPr>
          <w:p w14:paraId="6C959F02" w14:textId="77777777" w:rsidR="001D7BB6" w:rsidRPr="00CA617A" w:rsidRDefault="001D7BB6" w:rsidP="001D7BB6">
            <w:pPr>
              <w:rPr>
                <w:rFonts w:ascii="Arial" w:hAnsi="Arial" w:cs="Arial"/>
                <w:bCs/>
                <w:color w:val="000000"/>
                <w:lang w:val="en-GB"/>
              </w:rPr>
            </w:pPr>
          </w:p>
        </w:tc>
        <w:tc>
          <w:tcPr>
            <w:tcW w:w="1711" w:type="dxa"/>
            <w:tcBorders>
              <w:top w:val="nil"/>
              <w:left w:val="nil"/>
              <w:bottom w:val="double" w:sz="4" w:space="0" w:color="auto"/>
              <w:right w:val="nil"/>
            </w:tcBorders>
            <w:shd w:val="clear" w:color="auto" w:fill="auto"/>
            <w:noWrap/>
            <w:vAlign w:val="bottom"/>
            <w:hideMark/>
          </w:tcPr>
          <w:p w14:paraId="43020943" w14:textId="77777777" w:rsidR="001D7BB6" w:rsidRPr="00860DEC" w:rsidRDefault="001D7BB6" w:rsidP="001D7BB6">
            <w:pPr>
              <w:jc w:val="right"/>
              <w:rPr>
                <w:rFonts w:ascii="Arial" w:hAnsi="Arial" w:cs="Arial"/>
                <w:bCs/>
                <w:color w:val="000000"/>
                <w:lang w:val="en-GB"/>
              </w:rPr>
            </w:pPr>
            <w:r w:rsidRPr="00860DEC">
              <w:rPr>
                <w:rFonts w:ascii="Arial" w:hAnsi="Arial" w:cs="Arial"/>
                <w:color w:val="000000"/>
                <w:lang w:val="en-GB"/>
              </w:rPr>
              <w:t>$196,543</w:t>
            </w:r>
          </w:p>
        </w:tc>
      </w:tr>
      <w:tr w:rsidR="001D7BB6" w:rsidRPr="00CA617A" w14:paraId="0D6FE869" w14:textId="77777777" w:rsidTr="00023CB9">
        <w:trPr>
          <w:trHeight w:val="288"/>
          <w:jc w:val="center"/>
        </w:trPr>
        <w:tc>
          <w:tcPr>
            <w:tcW w:w="6480" w:type="dxa"/>
            <w:tcBorders>
              <w:top w:val="nil"/>
              <w:left w:val="nil"/>
              <w:bottom w:val="nil"/>
              <w:right w:val="nil"/>
            </w:tcBorders>
            <w:shd w:val="clear" w:color="auto" w:fill="auto"/>
            <w:noWrap/>
            <w:vAlign w:val="bottom"/>
          </w:tcPr>
          <w:p w14:paraId="2A52B437" w14:textId="77777777" w:rsidR="001D7BB6" w:rsidRPr="00CA617A" w:rsidRDefault="001D7BB6" w:rsidP="00023CB9">
            <w:pPr>
              <w:tabs>
                <w:tab w:val="left" w:pos="387"/>
              </w:tabs>
              <w:rPr>
                <w:rFonts w:ascii="Arial" w:hAnsi="Arial" w:cs="Arial"/>
                <w:b/>
                <w:bCs/>
                <w:color w:val="000000"/>
                <w:lang w:val="en-GB"/>
              </w:rPr>
            </w:pPr>
          </w:p>
        </w:tc>
        <w:tc>
          <w:tcPr>
            <w:tcW w:w="1350" w:type="dxa"/>
            <w:tcBorders>
              <w:top w:val="nil"/>
              <w:left w:val="nil"/>
              <w:right w:val="nil"/>
            </w:tcBorders>
            <w:shd w:val="clear" w:color="auto" w:fill="auto"/>
            <w:noWrap/>
            <w:vAlign w:val="bottom"/>
          </w:tcPr>
          <w:p w14:paraId="41D86CFC" w14:textId="77777777" w:rsidR="001D7BB6" w:rsidRPr="00CA617A" w:rsidRDefault="001D7BB6" w:rsidP="001D7BB6">
            <w:pPr>
              <w:rPr>
                <w:rFonts w:ascii="Arial" w:hAnsi="Arial" w:cs="Arial"/>
                <w:bCs/>
                <w:color w:val="000000"/>
                <w:lang w:val="en-GB"/>
              </w:rPr>
            </w:pPr>
          </w:p>
        </w:tc>
        <w:tc>
          <w:tcPr>
            <w:tcW w:w="1711" w:type="dxa"/>
            <w:tcBorders>
              <w:top w:val="double" w:sz="4" w:space="0" w:color="auto"/>
              <w:left w:val="nil"/>
              <w:right w:val="nil"/>
            </w:tcBorders>
            <w:shd w:val="clear" w:color="auto" w:fill="auto"/>
            <w:noWrap/>
            <w:vAlign w:val="bottom"/>
          </w:tcPr>
          <w:p w14:paraId="26D9D292" w14:textId="77777777" w:rsidR="001D7BB6" w:rsidRPr="00CA617A" w:rsidRDefault="001D7BB6" w:rsidP="001D7BB6">
            <w:pPr>
              <w:rPr>
                <w:rFonts w:ascii="Arial" w:hAnsi="Arial" w:cs="Arial"/>
                <w:color w:val="000000"/>
                <w:u w:val="double"/>
                <w:lang w:val="en-GB"/>
              </w:rPr>
            </w:pPr>
          </w:p>
        </w:tc>
      </w:tr>
      <w:tr w:rsidR="001D7BB6" w:rsidRPr="00CA617A" w14:paraId="789F212B"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1933AE8F" w14:textId="77777777" w:rsidR="001D7BB6" w:rsidRPr="00CA617A" w:rsidRDefault="001D7BB6" w:rsidP="00023CB9">
            <w:pPr>
              <w:tabs>
                <w:tab w:val="left" w:pos="387"/>
              </w:tabs>
              <w:rPr>
                <w:rFonts w:ascii="Arial" w:hAnsi="Arial" w:cs="Arial"/>
                <w:b/>
                <w:bCs/>
                <w:color w:val="000000"/>
                <w:lang w:val="en-GB"/>
              </w:rPr>
            </w:pPr>
            <w:r w:rsidRPr="00CA617A">
              <w:rPr>
                <w:rFonts w:ascii="Arial" w:hAnsi="Arial" w:cs="Arial"/>
                <w:lang w:val="en-GB"/>
              </w:rPr>
              <w:br w:type="page"/>
            </w:r>
            <w:r w:rsidRPr="00CA617A">
              <w:rPr>
                <w:rFonts w:ascii="Arial" w:hAnsi="Arial" w:cs="Arial"/>
                <w:b/>
                <w:bCs/>
                <w:color w:val="000000"/>
                <w:lang w:val="en-GB"/>
              </w:rPr>
              <w:t>LIABILITIES AND SHAREHOLDERS’ EQUITY</w:t>
            </w:r>
          </w:p>
        </w:tc>
        <w:tc>
          <w:tcPr>
            <w:tcW w:w="1350" w:type="dxa"/>
            <w:tcBorders>
              <w:top w:val="nil"/>
              <w:left w:val="nil"/>
              <w:bottom w:val="nil"/>
              <w:right w:val="nil"/>
            </w:tcBorders>
            <w:shd w:val="clear" w:color="auto" w:fill="auto"/>
            <w:noWrap/>
            <w:vAlign w:val="bottom"/>
            <w:hideMark/>
          </w:tcPr>
          <w:p w14:paraId="6EBC5014"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hideMark/>
          </w:tcPr>
          <w:p w14:paraId="49590EF1" w14:textId="77777777" w:rsidR="001D7BB6" w:rsidRPr="00CA617A" w:rsidRDefault="001D7BB6" w:rsidP="001D7BB6">
            <w:pPr>
              <w:rPr>
                <w:rFonts w:ascii="Arial" w:hAnsi="Arial" w:cs="Arial"/>
                <w:color w:val="000000"/>
                <w:lang w:val="en-GB"/>
              </w:rPr>
            </w:pPr>
          </w:p>
        </w:tc>
      </w:tr>
      <w:tr w:rsidR="001D7BB6" w:rsidRPr="00CA617A" w14:paraId="097C668A" w14:textId="77777777" w:rsidTr="00023CB9">
        <w:trPr>
          <w:trHeight w:val="288"/>
          <w:jc w:val="center"/>
        </w:trPr>
        <w:tc>
          <w:tcPr>
            <w:tcW w:w="6480" w:type="dxa"/>
            <w:tcBorders>
              <w:top w:val="nil"/>
              <w:left w:val="nil"/>
              <w:bottom w:val="nil"/>
              <w:right w:val="nil"/>
            </w:tcBorders>
            <w:shd w:val="clear" w:color="auto" w:fill="auto"/>
            <w:noWrap/>
            <w:vAlign w:val="bottom"/>
          </w:tcPr>
          <w:p w14:paraId="0BC864DD" w14:textId="77777777" w:rsidR="001D7BB6" w:rsidRPr="00CA617A" w:rsidRDefault="001D7BB6" w:rsidP="00023CB9">
            <w:pPr>
              <w:tabs>
                <w:tab w:val="left" w:pos="387"/>
              </w:tabs>
              <w:rPr>
                <w:rFonts w:ascii="Arial" w:hAnsi="Arial" w:cs="Arial"/>
                <w:b/>
                <w:bCs/>
                <w:color w:val="000000"/>
                <w:lang w:val="en-GB"/>
              </w:rPr>
            </w:pPr>
          </w:p>
        </w:tc>
        <w:tc>
          <w:tcPr>
            <w:tcW w:w="1350" w:type="dxa"/>
            <w:tcBorders>
              <w:top w:val="nil"/>
              <w:left w:val="nil"/>
              <w:bottom w:val="nil"/>
              <w:right w:val="nil"/>
            </w:tcBorders>
            <w:shd w:val="clear" w:color="auto" w:fill="auto"/>
            <w:noWrap/>
            <w:vAlign w:val="bottom"/>
          </w:tcPr>
          <w:p w14:paraId="21D217AD"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tcPr>
          <w:p w14:paraId="13E313D4" w14:textId="77777777" w:rsidR="001D7BB6" w:rsidRPr="00CA617A" w:rsidRDefault="001D7BB6" w:rsidP="001D7BB6">
            <w:pPr>
              <w:rPr>
                <w:rFonts w:ascii="Arial" w:hAnsi="Arial" w:cs="Arial"/>
                <w:color w:val="000000"/>
                <w:lang w:val="en-GB"/>
              </w:rPr>
            </w:pPr>
          </w:p>
        </w:tc>
      </w:tr>
      <w:tr w:rsidR="001D7BB6" w:rsidRPr="00CA617A" w14:paraId="57190B40"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04766A4B" w14:textId="77777777" w:rsidR="001D7BB6" w:rsidRPr="00CA617A" w:rsidRDefault="001D7BB6" w:rsidP="00023CB9">
            <w:pPr>
              <w:tabs>
                <w:tab w:val="left" w:pos="387"/>
              </w:tabs>
              <w:rPr>
                <w:rFonts w:ascii="Arial" w:hAnsi="Arial" w:cs="Arial"/>
                <w:b/>
                <w:bCs/>
                <w:color w:val="000000"/>
                <w:lang w:val="en-GB"/>
              </w:rPr>
            </w:pPr>
            <w:r w:rsidRPr="00CA617A">
              <w:rPr>
                <w:rFonts w:ascii="Arial" w:hAnsi="Arial" w:cs="Arial"/>
                <w:b/>
                <w:bCs/>
                <w:color w:val="000000"/>
                <w:lang w:val="en-GB"/>
              </w:rPr>
              <w:t>Current liabilities:</w:t>
            </w:r>
          </w:p>
        </w:tc>
        <w:tc>
          <w:tcPr>
            <w:tcW w:w="1350" w:type="dxa"/>
            <w:tcBorders>
              <w:top w:val="nil"/>
              <w:left w:val="nil"/>
              <w:bottom w:val="nil"/>
              <w:right w:val="nil"/>
            </w:tcBorders>
            <w:shd w:val="clear" w:color="auto" w:fill="auto"/>
            <w:noWrap/>
            <w:vAlign w:val="bottom"/>
            <w:hideMark/>
          </w:tcPr>
          <w:p w14:paraId="4DD86E86" w14:textId="77777777" w:rsidR="001D7BB6" w:rsidRPr="00CA617A" w:rsidRDefault="001D7BB6" w:rsidP="001D7BB6">
            <w:pPr>
              <w:rPr>
                <w:rFonts w:ascii="Arial" w:hAnsi="Arial" w:cs="Arial"/>
                <w:color w:val="000000"/>
                <w:lang w:val="en-GB"/>
              </w:rPr>
            </w:pPr>
          </w:p>
        </w:tc>
        <w:tc>
          <w:tcPr>
            <w:tcW w:w="1711" w:type="dxa"/>
            <w:tcBorders>
              <w:top w:val="nil"/>
              <w:left w:val="nil"/>
              <w:right w:val="nil"/>
            </w:tcBorders>
            <w:shd w:val="clear" w:color="auto" w:fill="auto"/>
            <w:noWrap/>
            <w:vAlign w:val="bottom"/>
            <w:hideMark/>
          </w:tcPr>
          <w:p w14:paraId="0314FC20" w14:textId="77777777" w:rsidR="001D7BB6" w:rsidRPr="00CA617A" w:rsidRDefault="001D7BB6" w:rsidP="001D7BB6">
            <w:pPr>
              <w:rPr>
                <w:rFonts w:ascii="Arial" w:hAnsi="Arial" w:cs="Arial"/>
                <w:color w:val="000000"/>
                <w:lang w:val="en-GB"/>
              </w:rPr>
            </w:pPr>
          </w:p>
        </w:tc>
      </w:tr>
      <w:tr w:rsidR="001D7BB6" w:rsidRPr="00CA617A" w14:paraId="7B363FD6" w14:textId="77777777" w:rsidTr="00023CB9">
        <w:trPr>
          <w:trHeight w:val="288"/>
          <w:jc w:val="center"/>
        </w:trPr>
        <w:tc>
          <w:tcPr>
            <w:tcW w:w="6480" w:type="dxa"/>
            <w:tcBorders>
              <w:top w:val="nil"/>
              <w:left w:val="nil"/>
              <w:bottom w:val="nil"/>
              <w:right w:val="nil"/>
            </w:tcBorders>
            <w:shd w:val="clear" w:color="auto" w:fill="auto"/>
            <w:noWrap/>
            <w:vAlign w:val="bottom"/>
          </w:tcPr>
          <w:p w14:paraId="76D175DC" w14:textId="2EAD1F56" w:rsidR="001D7BB6" w:rsidRPr="00CA617A" w:rsidRDefault="001D7BB6" w:rsidP="001D7BB6">
            <w:pPr>
              <w:ind w:firstLine="321"/>
              <w:rPr>
                <w:rFonts w:ascii="Arial" w:hAnsi="Arial" w:cs="Arial"/>
                <w:color w:val="000000"/>
                <w:lang w:val="en-GB"/>
              </w:rPr>
            </w:pPr>
            <w:r w:rsidRPr="00CA617A">
              <w:rPr>
                <w:rFonts w:ascii="Arial" w:hAnsi="Arial" w:cs="Arial"/>
                <w:color w:val="000000"/>
                <w:lang w:val="en-GB"/>
              </w:rPr>
              <w:t>Bond interest payable</w:t>
            </w:r>
          </w:p>
        </w:tc>
        <w:tc>
          <w:tcPr>
            <w:tcW w:w="1350" w:type="dxa"/>
            <w:tcBorders>
              <w:top w:val="nil"/>
              <w:left w:val="nil"/>
              <w:bottom w:val="nil"/>
              <w:right w:val="nil"/>
            </w:tcBorders>
            <w:shd w:val="clear" w:color="auto" w:fill="auto"/>
            <w:noWrap/>
            <w:vAlign w:val="bottom"/>
          </w:tcPr>
          <w:p w14:paraId="5CA36112" w14:textId="77777777" w:rsidR="001D7BB6" w:rsidRPr="00CA617A" w:rsidRDefault="001D7BB6" w:rsidP="001D7BB6">
            <w:pPr>
              <w:rPr>
                <w:rFonts w:ascii="Arial" w:hAnsi="Arial" w:cs="Arial"/>
                <w:color w:val="000000"/>
                <w:lang w:val="en-GB"/>
              </w:rPr>
            </w:pPr>
          </w:p>
        </w:tc>
        <w:tc>
          <w:tcPr>
            <w:tcW w:w="1711" w:type="dxa"/>
            <w:tcBorders>
              <w:top w:val="nil"/>
              <w:left w:val="nil"/>
              <w:bottom w:val="single" w:sz="2" w:space="0" w:color="auto"/>
              <w:right w:val="nil"/>
            </w:tcBorders>
            <w:shd w:val="clear" w:color="auto" w:fill="auto"/>
            <w:noWrap/>
            <w:vAlign w:val="bottom"/>
          </w:tcPr>
          <w:p w14:paraId="02CFDBF7" w14:textId="77777777" w:rsidR="001D7BB6" w:rsidRPr="00860DEC" w:rsidRDefault="001D7BB6" w:rsidP="001D7BB6">
            <w:pPr>
              <w:jc w:val="right"/>
              <w:rPr>
                <w:rFonts w:ascii="Arial" w:hAnsi="Arial" w:cs="Arial"/>
                <w:color w:val="000000"/>
                <w:lang w:val="en-GB"/>
              </w:rPr>
            </w:pPr>
            <w:r w:rsidRPr="00860DEC">
              <w:rPr>
                <w:rFonts w:ascii="Arial" w:hAnsi="Arial" w:cs="Arial"/>
                <w:color w:val="000000"/>
                <w:lang w:val="en-GB"/>
              </w:rPr>
              <w:t>$885</w:t>
            </w:r>
          </w:p>
        </w:tc>
      </w:tr>
      <w:tr w:rsidR="001D7BB6" w:rsidRPr="00CA617A" w14:paraId="720F4CFB"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6B3BDBEB" w14:textId="77777777" w:rsidR="001D7BB6" w:rsidRPr="00CA617A" w:rsidRDefault="001D7BB6" w:rsidP="00023CB9">
            <w:pPr>
              <w:tabs>
                <w:tab w:val="left" w:pos="387"/>
              </w:tabs>
              <w:rPr>
                <w:rFonts w:ascii="Arial" w:hAnsi="Arial" w:cs="Arial"/>
                <w:color w:val="000000"/>
                <w:lang w:val="en-GB"/>
              </w:rPr>
            </w:pPr>
            <w:r w:rsidRPr="00CA617A">
              <w:rPr>
                <w:rFonts w:ascii="Arial" w:hAnsi="Arial" w:cs="Arial"/>
                <w:color w:val="000000"/>
                <w:lang w:val="en-GB"/>
              </w:rPr>
              <w:t>Total current liabilities</w:t>
            </w:r>
          </w:p>
        </w:tc>
        <w:tc>
          <w:tcPr>
            <w:tcW w:w="1350" w:type="dxa"/>
            <w:tcBorders>
              <w:top w:val="nil"/>
              <w:left w:val="nil"/>
              <w:bottom w:val="nil"/>
              <w:right w:val="nil"/>
            </w:tcBorders>
            <w:shd w:val="clear" w:color="auto" w:fill="auto"/>
            <w:noWrap/>
            <w:vAlign w:val="bottom"/>
            <w:hideMark/>
          </w:tcPr>
          <w:p w14:paraId="7270BBC8" w14:textId="77777777" w:rsidR="001D7BB6" w:rsidRPr="00CA617A" w:rsidRDefault="001D7BB6" w:rsidP="001D7BB6">
            <w:pPr>
              <w:rPr>
                <w:rFonts w:ascii="Arial" w:hAnsi="Arial" w:cs="Arial"/>
                <w:color w:val="000000"/>
                <w:lang w:val="en-GB"/>
              </w:rPr>
            </w:pPr>
          </w:p>
        </w:tc>
        <w:tc>
          <w:tcPr>
            <w:tcW w:w="1711" w:type="dxa"/>
            <w:tcBorders>
              <w:top w:val="single" w:sz="2" w:space="0" w:color="auto"/>
              <w:left w:val="nil"/>
              <w:bottom w:val="nil"/>
              <w:right w:val="nil"/>
            </w:tcBorders>
            <w:shd w:val="clear" w:color="auto" w:fill="auto"/>
            <w:noWrap/>
            <w:vAlign w:val="bottom"/>
            <w:hideMark/>
          </w:tcPr>
          <w:p w14:paraId="69E0D9C5" w14:textId="77777777" w:rsidR="001D7BB6" w:rsidRPr="00CA617A" w:rsidRDefault="001D7BB6" w:rsidP="001D7BB6">
            <w:pPr>
              <w:jc w:val="right"/>
              <w:rPr>
                <w:rFonts w:ascii="Arial" w:hAnsi="Arial" w:cs="Arial"/>
                <w:color w:val="000000"/>
                <w:lang w:val="en-GB"/>
              </w:rPr>
            </w:pPr>
            <w:r w:rsidRPr="00CA617A">
              <w:rPr>
                <w:rFonts w:ascii="Arial" w:hAnsi="Arial" w:cs="Arial"/>
                <w:color w:val="000000"/>
                <w:lang w:val="en-GB"/>
              </w:rPr>
              <w:t>885</w:t>
            </w:r>
          </w:p>
        </w:tc>
      </w:tr>
      <w:tr w:rsidR="001D7BB6" w:rsidRPr="00CA617A" w14:paraId="3874B46B"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50092109" w14:textId="77777777" w:rsidR="001D7BB6" w:rsidRPr="00CA617A" w:rsidRDefault="001D7BB6" w:rsidP="00023CB9">
            <w:pPr>
              <w:tabs>
                <w:tab w:val="left" w:pos="387"/>
              </w:tabs>
              <w:rPr>
                <w:rFonts w:ascii="Arial" w:hAnsi="Arial" w:cs="Arial"/>
                <w:color w:val="000000"/>
                <w:lang w:val="en-GB"/>
              </w:rPr>
            </w:pPr>
          </w:p>
        </w:tc>
        <w:tc>
          <w:tcPr>
            <w:tcW w:w="1350" w:type="dxa"/>
            <w:tcBorders>
              <w:top w:val="nil"/>
              <w:left w:val="nil"/>
              <w:bottom w:val="nil"/>
              <w:right w:val="nil"/>
            </w:tcBorders>
            <w:shd w:val="clear" w:color="auto" w:fill="auto"/>
            <w:noWrap/>
            <w:vAlign w:val="bottom"/>
            <w:hideMark/>
          </w:tcPr>
          <w:p w14:paraId="094526D2"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hideMark/>
          </w:tcPr>
          <w:p w14:paraId="3CEF03E1" w14:textId="77777777" w:rsidR="001D7BB6" w:rsidRPr="00CA617A" w:rsidRDefault="001D7BB6" w:rsidP="001D7BB6">
            <w:pPr>
              <w:rPr>
                <w:rFonts w:ascii="Arial" w:hAnsi="Arial" w:cs="Arial"/>
                <w:color w:val="000000"/>
                <w:lang w:val="en-GB"/>
              </w:rPr>
            </w:pPr>
          </w:p>
        </w:tc>
      </w:tr>
      <w:tr w:rsidR="001D7BB6" w:rsidRPr="00CA617A" w14:paraId="7B2D47B2"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703A3300" w14:textId="77777777" w:rsidR="001D7BB6" w:rsidRPr="00CA617A" w:rsidRDefault="001D7BB6" w:rsidP="00023CB9">
            <w:pPr>
              <w:tabs>
                <w:tab w:val="left" w:pos="387"/>
              </w:tabs>
              <w:rPr>
                <w:rFonts w:ascii="Arial" w:hAnsi="Arial" w:cs="Arial"/>
                <w:b/>
                <w:bCs/>
                <w:color w:val="000000"/>
                <w:lang w:val="en-GB"/>
              </w:rPr>
            </w:pPr>
            <w:r w:rsidRPr="00CA617A">
              <w:rPr>
                <w:rFonts w:ascii="Arial" w:hAnsi="Arial" w:cs="Arial"/>
                <w:b/>
                <w:bCs/>
                <w:color w:val="000000"/>
                <w:lang w:val="en-GB"/>
              </w:rPr>
              <w:t>Long-term liabilities:</w:t>
            </w:r>
          </w:p>
        </w:tc>
        <w:tc>
          <w:tcPr>
            <w:tcW w:w="1350" w:type="dxa"/>
            <w:tcBorders>
              <w:top w:val="nil"/>
              <w:left w:val="nil"/>
              <w:bottom w:val="nil"/>
              <w:right w:val="nil"/>
            </w:tcBorders>
            <w:shd w:val="clear" w:color="auto" w:fill="auto"/>
            <w:noWrap/>
            <w:vAlign w:val="bottom"/>
            <w:hideMark/>
          </w:tcPr>
          <w:p w14:paraId="03C387CE" w14:textId="77777777" w:rsidR="001D7BB6" w:rsidRPr="00CA617A" w:rsidRDefault="001D7BB6" w:rsidP="001D7BB6">
            <w:pPr>
              <w:rPr>
                <w:rFonts w:ascii="Arial" w:hAnsi="Arial" w:cs="Arial"/>
                <w:color w:val="000000"/>
                <w:lang w:val="en-GB"/>
              </w:rPr>
            </w:pPr>
          </w:p>
        </w:tc>
        <w:tc>
          <w:tcPr>
            <w:tcW w:w="1711" w:type="dxa"/>
            <w:tcBorders>
              <w:top w:val="nil"/>
              <w:left w:val="nil"/>
              <w:right w:val="nil"/>
            </w:tcBorders>
            <w:shd w:val="clear" w:color="auto" w:fill="auto"/>
            <w:noWrap/>
            <w:vAlign w:val="bottom"/>
            <w:hideMark/>
          </w:tcPr>
          <w:p w14:paraId="7F3DA699" w14:textId="77777777" w:rsidR="001D7BB6" w:rsidRPr="00CA617A" w:rsidRDefault="001D7BB6" w:rsidP="001D7BB6">
            <w:pPr>
              <w:rPr>
                <w:rFonts w:ascii="Arial" w:hAnsi="Arial" w:cs="Arial"/>
                <w:color w:val="000000"/>
                <w:lang w:val="en-GB"/>
              </w:rPr>
            </w:pPr>
          </w:p>
        </w:tc>
      </w:tr>
      <w:tr w:rsidR="001D7BB6" w:rsidRPr="00CA617A" w14:paraId="2BB4CAEA"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13246B48" w14:textId="4BDD8826" w:rsidR="001D7BB6" w:rsidRPr="00CA617A" w:rsidRDefault="001D7BB6" w:rsidP="001D7BB6">
            <w:pPr>
              <w:ind w:firstLine="321"/>
              <w:rPr>
                <w:rFonts w:ascii="Arial" w:hAnsi="Arial" w:cs="Arial"/>
                <w:color w:val="000000"/>
                <w:lang w:val="en-GB"/>
              </w:rPr>
            </w:pPr>
            <w:r w:rsidRPr="00CA617A">
              <w:rPr>
                <w:rFonts w:ascii="Arial" w:hAnsi="Arial" w:cs="Arial"/>
                <w:color w:val="000000"/>
                <w:lang w:val="en-GB"/>
              </w:rPr>
              <w:t>8.5% Bond payable</w:t>
            </w:r>
            <w:r>
              <w:rPr>
                <w:rFonts w:ascii="Arial" w:hAnsi="Arial" w:cs="Arial"/>
                <w:color w:val="000000"/>
                <w:lang w:val="en-GB"/>
              </w:rPr>
              <w:t>*</w:t>
            </w:r>
          </w:p>
        </w:tc>
        <w:tc>
          <w:tcPr>
            <w:tcW w:w="1350" w:type="dxa"/>
            <w:tcBorders>
              <w:top w:val="nil"/>
              <w:left w:val="nil"/>
              <w:right w:val="nil"/>
            </w:tcBorders>
            <w:shd w:val="clear" w:color="auto" w:fill="auto"/>
            <w:noWrap/>
            <w:vAlign w:val="bottom"/>
            <w:hideMark/>
          </w:tcPr>
          <w:p w14:paraId="7734671E" w14:textId="77777777" w:rsidR="001D7BB6" w:rsidRPr="00CA617A" w:rsidRDefault="001D7BB6" w:rsidP="001D7BB6">
            <w:pPr>
              <w:rPr>
                <w:rFonts w:ascii="Arial" w:hAnsi="Arial" w:cs="Arial"/>
                <w:color w:val="000000"/>
                <w:lang w:val="en-GB"/>
              </w:rPr>
            </w:pPr>
          </w:p>
        </w:tc>
        <w:tc>
          <w:tcPr>
            <w:tcW w:w="1711" w:type="dxa"/>
            <w:tcBorders>
              <w:top w:val="nil"/>
              <w:left w:val="nil"/>
              <w:bottom w:val="single" w:sz="2" w:space="0" w:color="auto"/>
              <w:right w:val="nil"/>
            </w:tcBorders>
            <w:shd w:val="clear" w:color="auto" w:fill="auto"/>
            <w:noWrap/>
            <w:vAlign w:val="bottom"/>
            <w:hideMark/>
          </w:tcPr>
          <w:p w14:paraId="3064F26B" w14:textId="77777777" w:rsidR="001D7BB6" w:rsidRPr="00860DEC" w:rsidRDefault="001D7BB6" w:rsidP="001D7BB6">
            <w:pPr>
              <w:jc w:val="right"/>
              <w:rPr>
                <w:rFonts w:ascii="Arial" w:hAnsi="Arial" w:cs="Arial"/>
                <w:color w:val="000000"/>
                <w:lang w:val="en-GB"/>
              </w:rPr>
            </w:pPr>
            <w:r w:rsidRPr="00860DEC">
              <w:rPr>
                <w:rFonts w:ascii="Arial" w:hAnsi="Arial" w:cs="Arial"/>
                <w:color w:val="000000"/>
                <w:lang w:val="en-GB"/>
              </w:rPr>
              <w:t>54,658</w:t>
            </w:r>
          </w:p>
        </w:tc>
      </w:tr>
      <w:tr w:rsidR="001D7BB6" w:rsidRPr="00CA617A" w14:paraId="6FF8786D"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51D936E4" w14:textId="77777777" w:rsidR="001D7BB6" w:rsidRPr="00CA617A" w:rsidRDefault="001D7BB6" w:rsidP="00023CB9">
            <w:pPr>
              <w:tabs>
                <w:tab w:val="left" w:pos="387"/>
              </w:tabs>
              <w:rPr>
                <w:rFonts w:ascii="Arial" w:hAnsi="Arial" w:cs="Arial"/>
                <w:color w:val="000000"/>
                <w:lang w:val="en-GB"/>
              </w:rPr>
            </w:pPr>
            <w:r w:rsidRPr="00CA617A">
              <w:rPr>
                <w:rFonts w:ascii="Arial" w:hAnsi="Arial" w:cs="Arial"/>
                <w:color w:val="000000"/>
                <w:lang w:val="en-GB"/>
              </w:rPr>
              <w:t>Total long-term liabilities</w:t>
            </w:r>
          </w:p>
        </w:tc>
        <w:tc>
          <w:tcPr>
            <w:tcW w:w="1350" w:type="dxa"/>
            <w:tcBorders>
              <w:top w:val="nil"/>
              <w:left w:val="nil"/>
              <w:right w:val="nil"/>
            </w:tcBorders>
            <w:shd w:val="clear" w:color="auto" w:fill="auto"/>
            <w:noWrap/>
            <w:vAlign w:val="bottom"/>
            <w:hideMark/>
          </w:tcPr>
          <w:p w14:paraId="151BB866" w14:textId="77777777" w:rsidR="001D7BB6" w:rsidRPr="00CA617A" w:rsidRDefault="001D7BB6" w:rsidP="001D7BB6">
            <w:pPr>
              <w:rPr>
                <w:rFonts w:ascii="Arial" w:hAnsi="Arial" w:cs="Arial"/>
                <w:color w:val="000000"/>
                <w:lang w:val="en-GB"/>
              </w:rPr>
            </w:pPr>
          </w:p>
        </w:tc>
        <w:tc>
          <w:tcPr>
            <w:tcW w:w="1711" w:type="dxa"/>
            <w:tcBorders>
              <w:top w:val="single" w:sz="2" w:space="0" w:color="auto"/>
              <w:left w:val="nil"/>
              <w:bottom w:val="single" w:sz="2" w:space="0" w:color="auto"/>
              <w:right w:val="nil"/>
            </w:tcBorders>
            <w:shd w:val="clear" w:color="auto" w:fill="auto"/>
            <w:noWrap/>
            <w:vAlign w:val="bottom"/>
            <w:hideMark/>
          </w:tcPr>
          <w:p w14:paraId="637DE649" w14:textId="77777777" w:rsidR="001D7BB6" w:rsidRPr="00860DEC" w:rsidRDefault="001D7BB6" w:rsidP="001D7BB6">
            <w:pPr>
              <w:jc w:val="right"/>
              <w:rPr>
                <w:rFonts w:ascii="Arial" w:hAnsi="Arial" w:cs="Arial"/>
                <w:color w:val="000000"/>
                <w:lang w:val="en-GB"/>
              </w:rPr>
            </w:pPr>
            <w:r w:rsidRPr="00860DEC">
              <w:rPr>
                <w:rFonts w:ascii="Arial" w:hAnsi="Arial" w:cs="Arial"/>
                <w:color w:val="000000"/>
                <w:lang w:val="en-GB"/>
              </w:rPr>
              <w:t>54,658</w:t>
            </w:r>
          </w:p>
        </w:tc>
      </w:tr>
      <w:tr w:rsidR="001D7BB6" w:rsidRPr="00CA617A" w14:paraId="40965B85" w14:textId="77777777" w:rsidTr="00023CB9">
        <w:trPr>
          <w:trHeight w:val="288"/>
          <w:jc w:val="center"/>
        </w:trPr>
        <w:tc>
          <w:tcPr>
            <w:tcW w:w="6480" w:type="dxa"/>
            <w:tcBorders>
              <w:top w:val="nil"/>
              <w:left w:val="nil"/>
              <w:bottom w:val="nil"/>
              <w:right w:val="nil"/>
            </w:tcBorders>
            <w:shd w:val="clear" w:color="auto" w:fill="auto"/>
            <w:noWrap/>
            <w:vAlign w:val="bottom"/>
          </w:tcPr>
          <w:p w14:paraId="2A30DBBE" w14:textId="77777777" w:rsidR="001D7BB6" w:rsidRPr="00CA617A" w:rsidRDefault="001D7BB6" w:rsidP="00023CB9">
            <w:pPr>
              <w:tabs>
                <w:tab w:val="left" w:pos="387"/>
              </w:tabs>
              <w:rPr>
                <w:rFonts w:ascii="Arial" w:hAnsi="Arial" w:cs="Arial"/>
                <w:color w:val="000000"/>
                <w:lang w:val="en-GB"/>
              </w:rPr>
            </w:pPr>
          </w:p>
        </w:tc>
        <w:tc>
          <w:tcPr>
            <w:tcW w:w="1350" w:type="dxa"/>
            <w:tcBorders>
              <w:top w:val="nil"/>
              <w:left w:val="nil"/>
              <w:bottom w:val="nil"/>
              <w:right w:val="nil"/>
            </w:tcBorders>
            <w:shd w:val="clear" w:color="auto" w:fill="auto"/>
            <w:noWrap/>
            <w:vAlign w:val="bottom"/>
          </w:tcPr>
          <w:p w14:paraId="2F6AE277" w14:textId="77777777" w:rsidR="001D7BB6" w:rsidRPr="00CA617A" w:rsidRDefault="001D7BB6" w:rsidP="001D7BB6">
            <w:pPr>
              <w:rPr>
                <w:rFonts w:ascii="Arial" w:hAnsi="Arial" w:cs="Arial"/>
                <w:color w:val="000000"/>
                <w:lang w:val="en-GB"/>
              </w:rPr>
            </w:pPr>
          </w:p>
        </w:tc>
        <w:tc>
          <w:tcPr>
            <w:tcW w:w="1711" w:type="dxa"/>
            <w:tcBorders>
              <w:top w:val="single" w:sz="2" w:space="0" w:color="auto"/>
              <w:left w:val="nil"/>
              <w:bottom w:val="nil"/>
              <w:right w:val="nil"/>
            </w:tcBorders>
            <w:shd w:val="clear" w:color="auto" w:fill="auto"/>
            <w:noWrap/>
            <w:vAlign w:val="bottom"/>
          </w:tcPr>
          <w:p w14:paraId="327EABEC" w14:textId="77777777" w:rsidR="001D7BB6" w:rsidRPr="00CA617A" w:rsidRDefault="001D7BB6" w:rsidP="001D7BB6">
            <w:pPr>
              <w:rPr>
                <w:rFonts w:ascii="Arial" w:hAnsi="Arial" w:cs="Arial"/>
                <w:color w:val="000000"/>
                <w:lang w:val="en-GB"/>
              </w:rPr>
            </w:pPr>
          </w:p>
        </w:tc>
      </w:tr>
      <w:tr w:rsidR="001D7BB6" w:rsidRPr="00CA617A" w14:paraId="713DA836"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6341CE89" w14:textId="77777777" w:rsidR="001D7BB6" w:rsidRPr="00CA617A" w:rsidRDefault="001D7BB6" w:rsidP="00023CB9">
            <w:pPr>
              <w:tabs>
                <w:tab w:val="left" w:pos="387"/>
              </w:tabs>
              <w:rPr>
                <w:rFonts w:ascii="Arial" w:hAnsi="Arial" w:cs="Arial"/>
                <w:color w:val="000000"/>
                <w:lang w:val="en-GB"/>
              </w:rPr>
            </w:pPr>
            <w:r w:rsidRPr="00CA617A">
              <w:rPr>
                <w:rFonts w:ascii="Arial" w:hAnsi="Arial" w:cs="Arial"/>
                <w:color w:val="000000"/>
                <w:lang w:val="en-GB"/>
              </w:rPr>
              <w:t>Total liabilities</w:t>
            </w:r>
          </w:p>
        </w:tc>
        <w:tc>
          <w:tcPr>
            <w:tcW w:w="1350" w:type="dxa"/>
            <w:tcBorders>
              <w:top w:val="nil"/>
              <w:left w:val="nil"/>
              <w:bottom w:val="nil"/>
              <w:right w:val="nil"/>
            </w:tcBorders>
            <w:shd w:val="clear" w:color="auto" w:fill="auto"/>
            <w:noWrap/>
            <w:vAlign w:val="bottom"/>
            <w:hideMark/>
          </w:tcPr>
          <w:p w14:paraId="6E9D5A13"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hideMark/>
          </w:tcPr>
          <w:p w14:paraId="259571DB" w14:textId="77777777" w:rsidR="001D7BB6" w:rsidRPr="00CA617A" w:rsidRDefault="001D7BB6" w:rsidP="001D7BB6">
            <w:pPr>
              <w:jc w:val="right"/>
              <w:rPr>
                <w:rFonts w:ascii="Arial" w:hAnsi="Arial" w:cs="Arial"/>
                <w:color w:val="000000"/>
                <w:lang w:val="en-GB"/>
              </w:rPr>
            </w:pPr>
            <w:r w:rsidRPr="00CA617A">
              <w:rPr>
                <w:rFonts w:ascii="Arial" w:hAnsi="Arial" w:cs="Arial"/>
                <w:color w:val="000000"/>
                <w:lang w:val="en-GB"/>
              </w:rPr>
              <w:t>55,543</w:t>
            </w:r>
          </w:p>
        </w:tc>
      </w:tr>
      <w:tr w:rsidR="001D7BB6" w:rsidRPr="00CA617A" w14:paraId="7D80000C"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656B0EA9" w14:textId="77777777" w:rsidR="001D7BB6" w:rsidRPr="00CA617A" w:rsidRDefault="001D7BB6" w:rsidP="00023CB9">
            <w:pPr>
              <w:tabs>
                <w:tab w:val="left" w:pos="387"/>
              </w:tabs>
              <w:rPr>
                <w:rFonts w:ascii="Arial" w:hAnsi="Arial" w:cs="Arial"/>
                <w:color w:val="000000"/>
                <w:lang w:val="en-GB"/>
              </w:rPr>
            </w:pPr>
          </w:p>
        </w:tc>
        <w:tc>
          <w:tcPr>
            <w:tcW w:w="1350" w:type="dxa"/>
            <w:tcBorders>
              <w:top w:val="nil"/>
              <w:left w:val="nil"/>
              <w:bottom w:val="nil"/>
              <w:right w:val="nil"/>
            </w:tcBorders>
            <w:shd w:val="clear" w:color="auto" w:fill="auto"/>
            <w:noWrap/>
            <w:vAlign w:val="bottom"/>
            <w:hideMark/>
          </w:tcPr>
          <w:p w14:paraId="571E4ABA"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hideMark/>
          </w:tcPr>
          <w:p w14:paraId="40259989" w14:textId="77777777" w:rsidR="001D7BB6" w:rsidRPr="00CA617A" w:rsidRDefault="001D7BB6" w:rsidP="001D7BB6">
            <w:pPr>
              <w:rPr>
                <w:rFonts w:ascii="Arial" w:hAnsi="Arial" w:cs="Arial"/>
                <w:color w:val="000000"/>
                <w:lang w:val="en-GB"/>
              </w:rPr>
            </w:pPr>
          </w:p>
        </w:tc>
      </w:tr>
      <w:tr w:rsidR="001D7BB6" w:rsidRPr="00CA617A" w14:paraId="16AF688E"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328EC00D" w14:textId="77777777" w:rsidR="001D7BB6" w:rsidRPr="00CA617A" w:rsidRDefault="001D7BB6" w:rsidP="00023CB9">
            <w:pPr>
              <w:tabs>
                <w:tab w:val="left" w:pos="387"/>
              </w:tabs>
              <w:rPr>
                <w:rFonts w:ascii="Arial" w:hAnsi="Arial" w:cs="Arial"/>
                <w:b/>
                <w:bCs/>
                <w:color w:val="000000"/>
                <w:lang w:val="en-GB"/>
              </w:rPr>
            </w:pPr>
            <w:r w:rsidRPr="00CA617A">
              <w:rPr>
                <w:rFonts w:ascii="Arial" w:hAnsi="Arial" w:cs="Arial"/>
                <w:b/>
                <w:bCs/>
                <w:color w:val="000000"/>
                <w:lang w:val="en-GB"/>
              </w:rPr>
              <w:t>Shareholders’ equity:</w:t>
            </w:r>
          </w:p>
        </w:tc>
        <w:tc>
          <w:tcPr>
            <w:tcW w:w="1350" w:type="dxa"/>
            <w:tcBorders>
              <w:top w:val="nil"/>
              <w:left w:val="nil"/>
              <w:bottom w:val="nil"/>
              <w:right w:val="nil"/>
            </w:tcBorders>
            <w:shd w:val="clear" w:color="auto" w:fill="auto"/>
            <w:noWrap/>
            <w:vAlign w:val="bottom"/>
            <w:hideMark/>
          </w:tcPr>
          <w:p w14:paraId="296A7795"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hideMark/>
          </w:tcPr>
          <w:p w14:paraId="747A6631" w14:textId="77777777" w:rsidR="001D7BB6" w:rsidRPr="00CA617A" w:rsidRDefault="001D7BB6" w:rsidP="001D7BB6">
            <w:pPr>
              <w:rPr>
                <w:rFonts w:ascii="Arial" w:hAnsi="Arial" w:cs="Arial"/>
                <w:color w:val="000000"/>
                <w:lang w:val="en-GB"/>
              </w:rPr>
            </w:pPr>
          </w:p>
        </w:tc>
      </w:tr>
      <w:tr w:rsidR="001D7BB6" w:rsidRPr="00CA617A" w14:paraId="74D9E743"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624AC1B6" w14:textId="096C8FA8" w:rsidR="001D7BB6" w:rsidRPr="00CA617A" w:rsidRDefault="001D7BB6" w:rsidP="001D7BB6">
            <w:pPr>
              <w:ind w:firstLine="321"/>
              <w:rPr>
                <w:rFonts w:ascii="Arial" w:hAnsi="Arial" w:cs="Arial"/>
                <w:color w:val="000000"/>
                <w:lang w:val="en-GB"/>
              </w:rPr>
            </w:pPr>
            <w:r w:rsidRPr="00CA617A">
              <w:rPr>
                <w:rFonts w:ascii="Arial" w:hAnsi="Arial" w:cs="Arial"/>
                <w:color w:val="000000"/>
                <w:lang w:val="en-GB"/>
              </w:rPr>
              <w:t>Common stock (4,000 outstanding, unlimited authorized)</w:t>
            </w:r>
          </w:p>
        </w:tc>
        <w:tc>
          <w:tcPr>
            <w:tcW w:w="1350" w:type="dxa"/>
            <w:tcBorders>
              <w:top w:val="nil"/>
              <w:left w:val="nil"/>
              <w:bottom w:val="nil"/>
              <w:right w:val="nil"/>
            </w:tcBorders>
            <w:shd w:val="clear" w:color="auto" w:fill="auto"/>
            <w:noWrap/>
            <w:vAlign w:val="bottom"/>
            <w:hideMark/>
          </w:tcPr>
          <w:p w14:paraId="68F650CF"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hideMark/>
          </w:tcPr>
          <w:p w14:paraId="4C871267" w14:textId="77777777" w:rsidR="001D7BB6" w:rsidRPr="00CA617A" w:rsidRDefault="001D7BB6" w:rsidP="001D7BB6">
            <w:pPr>
              <w:jc w:val="right"/>
              <w:rPr>
                <w:rFonts w:ascii="Arial" w:hAnsi="Arial" w:cs="Arial"/>
                <w:color w:val="000000"/>
                <w:lang w:val="en-GB"/>
              </w:rPr>
            </w:pPr>
            <w:r w:rsidRPr="00CA617A">
              <w:rPr>
                <w:rFonts w:ascii="Arial" w:hAnsi="Arial" w:cs="Arial"/>
                <w:color w:val="000000"/>
                <w:lang w:val="en-GB"/>
              </w:rPr>
              <w:t>68,000</w:t>
            </w:r>
          </w:p>
        </w:tc>
      </w:tr>
      <w:tr w:rsidR="001D7BB6" w:rsidRPr="00CA617A" w14:paraId="3B705EFE"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6689DA1E" w14:textId="24CFD6A8" w:rsidR="001D7BB6" w:rsidRPr="00CA617A" w:rsidRDefault="001D7BB6" w:rsidP="001D7BB6">
            <w:pPr>
              <w:ind w:firstLine="321"/>
              <w:rPr>
                <w:rFonts w:ascii="Arial" w:hAnsi="Arial" w:cs="Arial"/>
                <w:color w:val="000000"/>
                <w:lang w:val="en-GB"/>
              </w:rPr>
            </w:pPr>
            <w:r w:rsidRPr="00CA617A">
              <w:rPr>
                <w:rFonts w:ascii="Arial" w:hAnsi="Arial" w:cs="Arial"/>
                <w:color w:val="000000"/>
                <w:lang w:val="en-GB"/>
              </w:rPr>
              <w:t>Contributed capital, preferred stock</w:t>
            </w:r>
          </w:p>
        </w:tc>
        <w:tc>
          <w:tcPr>
            <w:tcW w:w="1350" w:type="dxa"/>
            <w:tcBorders>
              <w:top w:val="nil"/>
              <w:left w:val="nil"/>
              <w:bottom w:val="nil"/>
              <w:right w:val="nil"/>
            </w:tcBorders>
            <w:shd w:val="clear" w:color="auto" w:fill="auto"/>
            <w:noWrap/>
            <w:vAlign w:val="bottom"/>
            <w:hideMark/>
          </w:tcPr>
          <w:p w14:paraId="51819693" w14:textId="77777777" w:rsidR="001D7BB6" w:rsidRPr="00CA617A" w:rsidRDefault="001D7BB6" w:rsidP="001D7BB6">
            <w:pPr>
              <w:rPr>
                <w:rFonts w:ascii="Arial" w:hAnsi="Arial" w:cs="Arial"/>
                <w:color w:val="000000"/>
                <w:lang w:val="en-GB"/>
              </w:rPr>
            </w:pPr>
          </w:p>
        </w:tc>
        <w:tc>
          <w:tcPr>
            <w:tcW w:w="1711" w:type="dxa"/>
            <w:tcBorders>
              <w:top w:val="nil"/>
              <w:left w:val="nil"/>
              <w:bottom w:val="nil"/>
              <w:right w:val="nil"/>
            </w:tcBorders>
            <w:shd w:val="clear" w:color="auto" w:fill="auto"/>
            <w:noWrap/>
            <w:vAlign w:val="bottom"/>
            <w:hideMark/>
          </w:tcPr>
          <w:p w14:paraId="737A71E5" w14:textId="77777777" w:rsidR="001D7BB6" w:rsidRPr="00CA617A" w:rsidRDefault="001D7BB6" w:rsidP="001D7BB6">
            <w:pPr>
              <w:jc w:val="right"/>
              <w:rPr>
                <w:rFonts w:ascii="Arial" w:hAnsi="Arial" w:cs="Arial"/>
                <w:color w:val="000000"/>
                <w:lang w:val="en-GB"/>
              </w:rPr>
            </w:pPr>
            <w:r w:rsidRPr="00CA617A">
              <w:rPr>
                <w:rFonts w:ascii="Arial" w:hAnsi="Arial" w:cs="Arial"/>
                <w:color w:val="000000"/>
                <w:lang w:val="en-GB"/>
              </w:rPr>
              <w:t>620</w:t>
            </w:r>
          </w:p>
        </w:tc>
      </w:tr>
      <w:tr w:rsidR="001D7BB6" w:rsidRPr="00CA617A" w14:paraId="5B05E716" w14:textId="77777777" w:rsidTr="00023CB9">
        <w:trPr>
          <w:trHeight w:val="288"/>
          <w:jc w:val="center"/>
        </w:trPr>
        <w:tc>
          <w:tcPr>
            <w:tcW w:w="7830" w:type="dxa"/>
            <w:gridSpan w:val="2"/>
            <w:tcBorders>
              <w:top w:val="nil"/>
              <w:left w:val="nil"/>
              <w:bottom w:val="nil"/>
              <w:right w:val="nil"/>
            </w:tcBorders>
            <w:shd w:val="clear" w:color="auto" w:fill="auto"/>
            <w:noWrap/>
            <w:vAlign w:val="bottom"/>
            <w:hideMark/>
          </w:tcPr>
          <w:p w14:paraId="60F91967" w14:textId="546AAE77" w:rsidR="001D7BB6" w:rsidRPr="00CA617A" w:rsidRDefault="001D7BB6" w:rsidP="001D7BB6">
            <w:pPr>
              <w:ind w:firstLine="321"/>
              <w:rPr>
                <w:rFonts w:ascii="Arial" w:hAnsi="Arial" w:cs="Arial"/>
                <w:color w:val="000000"/>
                <w:lang w:val="en-GB"/>
              </w:rPr>
            </w:pPr>
            <w:r w:rsidRPr="00CA617A">
              <w:rPr>
                <w:rFonts w:ascii="Arial" w:hAnsi="Arial" w:cs="Arial"/>
                <w:color w:val="000000"/>
                <w:lang w:val="en-GB"/>
              </w:rPr>
              <w:t xml:space="preserve">$2 cumulative, convertible, preferred stock (800 outstanding, 5,000 </w:t>
            </w:r>
            <w:proofErr w:type="gramStart"/>
            <w:r w:rsidRPr="00CA617A">
              <w:rPr>
                <w:rFonts w:ascii="Arial" w:hAnsi="Arial" w:cs="Arial"/>
                <w:color w:val="000000"/>
                <w:lang w:val="en-GB"/>
              </w:rPr>
              <w:t>authorized)</w:t>
            </w:r>
            <w:r>
              <w:rPr>
                <w:rFonts w:ascii="Arial" w:hAnsi="Arial" w:cs="Arial"/>
                <w:color w:val="000000"/>
                <w:lang w:val="en-GB"/>
              </w:rPr>
              <w:t>*</w:t>
            </w:r>
            <w:proofErr w:type="gramEnd"/>
            <w:r>
              <w:rPr>
                <w:rFonts w:ascii="Arial" w:hAnsi="Arial" w:cs="Arial"/>
                <w:color w:val="000000"/>
                <w:lang w:val="en-GB"/>
              </w:rPr>
              <w:t>*</w:t>
            </w:r>
          </w:p>
        </w:tc>
        <w:tc>
          <w:tcPr>
            <w:tcW w:w="1711" w:type="dxa"/>
            <w:tcBorders>
              <w:top w:val="nil"/>
              <w:left w:val="nil"/>
            </w:tcBorders>
            <w:shd w:val="clear" w:color="auto" w:fill="auto"/>
            <w:noWrap/>
            <w:vAlign w:val="bottom"/>
            <w:hideMark/>
          </w:tcPr>
          <w:p w14:paraId="4F506A2C" w14:textId="77777777" w:rsidR="001D7BB6" w:rsidRPr="00CA617A" w:rsidRDefault="001D7BB6" w:rsidP="001D7BB6">
            <w:pPr>
              <w:tabs>
                <w:tab w:val="decimal" w:pos="1500"/>
              </w:tabs>
              <w:jc w:val="right"/>
              <w:rPr>
                <w:rFonts w:ascii="Arial" w:hAnsi="Arial" w:cs="Arial"/>
                <w:color w:val="000000"/>
                <w:lang w:val="en-GB"/>
              </w:rPr>
            </w:pPr>
            <w:r w:rsidRPr="00CA617A">
              <w:rPr>
                <w:rFonts w:ascii="Arial" w:hAnsi="Arial" w:cs="Arial"/>
                <w:color w:val="000000"/>
                <w:lang w:val="en-GB"/>
              </w:rPr>
              <w:t>41,600</w:t>
            </w:r>
          </w:p>
        </w:tc>
      </w:tr>
      <w:tr w:rsidR="001D7BB6" w:rsidRPr="00CA617A" w14:paraId="1A5B3E3C" w14:textId="77777777" w:rsidTr="00023CB9">
        <w:trPr>
          <w:trHeight w:val="288"/>
          <w:jc w:val="center"/>
        </w:trPr>
        <w:tc>
          <w:tcPr>
            <w:tcW w:w="6480" w:type="dxa"/>
            <w:tcBorders>
              <w:top w:val="nil"/>
              <w:left w:val="nil"/>
              <w:bottom w:val="nil"/>
              <w:right w:val="nil"/>
            </w:tcBorders>
            <w:shd w:val="clear" w:color="auto" w:fill="auto"/>
            <w:noWrap/>
            <w:vAlign w:val="bottom"/>
          </w:tcPr>
          <w:p w14:paraId="0C7F0D50" w14:textId="1BB3F75B" w:rsidR="001D7BB6" w:rsidRPr="00CA617A" w:rsidRDefault="001D7BB6" w:rsidP="001D7BB6">
            <w:pPr>
              <w:ind w:firstLine="321"/>
              <w:rPr>
                <w:rFonts w:ascii="Arial" w:hAnsi="Arial" w:cs="Arial"/>
                <w:color w:val="000000"/>
                <w:lang w:val="en-GB"/>
              </w:rPr>
            </w:pPr>
            <w:r w:rsidRPr="00CA617A">
              <w:rPr>
                <w:rFonts w:ascii="Arial" w:hAnsi="Arial" w:cs="Arial"/>
                <w:color w:val="000000"/>
                <w:lang w:val="en-GB"/>
              </w:rPr>
              <w:t>Retained earnings</w:t>
            </w:r>
          </w:p>
        </w:tc>
        <w:tc>
          <w:tcPr>
            <w:tcW w:w="1350" w:type="dxa"/>
            <w:tcBorders>
              <w:top w:val="nil"/>
              <w:left w:val="nil"/>
              <w:bottom w:val="nil"/>
              <w:right w:val="nil"/>
            </w:tcBorders>
            <w:shd w:val="clear" w:color="auto" w:fill="auto"/>
            <w:noWrap/>
            <w:vAlign w:val="bottom"/>
          </w:tcPr>
          <w:p w14:paraId="012E7322" w14:textId="77777777" w:rsidR="001D7BB6" w:rsidRPr="00CA617A" w:rsidRDefault="001D7BB6" w:rsidP="001D7BB6">
            <w:pPr>
              <w:rPr>
                <w:rFonts w:ascii="Arial" w:hAnsi="Arial" w:cs="Arial"/>
                <w:color w:val="000000"/>
                <w:lang w:val="en-GB"/>
              </w:rPr>
            </w:pPr>
          </w:p>
        </w:tc>
        <w:tc>
          <w:tcPr>
            <w:tcW w:w="1711" w:type="dxa"/>
            <w:tcBorders>
              <w:top w:val="nil"/>
              <w:left w:val="nil"/>
              <w:bottom w:val="single" w:sz="2" w:space="0" w:color="auto"/>
              <w:right w:val="nil"/>
            </w:tcBorders>
            <w:shd w:val="clear" w:color="auto" w:fill="auto"/>
            <w:noWrap/>
            <w:vAlign w:val="bottom"/>
          </w:tcPr>
          <w:p w14:paraId="6E039440" w14:textId="77777777" w:rsidR="001D7BB6" w:rsidRPr="00860DEC" w:rsidRDefault="001D7BB6" w:rsidP="001D7BB6">
            <w:pPr>
              <w:jc w:val="right"/>
              <w:rPr>
                <w:rFonts w:ascii="Arial" w:hAnsi="Arial" w:cs="Arial"/>
                <w:color w:val="000000"/>
                <w:lang w:val="en-GB"/>
              </w:rPr>
            </w:pPr>
            <w:r w:rsidRPr="00860DEC">
              <w:rPr>
                <w:rFonts w:ascii="Arial" w:hAnsi="Arial" w:cs="Arial"/>
                <w:color w:val="000000"/>
                <w:lang w:val="en-GB"/>
              </w:rPr>
              <w:t>30,780</w:t>
            </w:r>
          </w:p>
        </w:tc>
      </w:tr>
      <w:tr w:rsidR="001D7BB6" w:rsidRPr="00CA617A" w14:paraId="556219FF"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396F40DD" w14:textId="77777777" w:rsidR="001D7BB6" w:rsidRPr="00CA617A" w:rsidRDefault="001D7BB6" w:rsidP="00023CB9">
            <w:pPr>
              <w:tabs>
                <w:tab w:val="left" w:pos="387"/>
              </w:tabs>
              <w:rPr>
                <w:rFonts w:ascii="Arial" w:hAnsi="Arial" w:cs="Arial"/>
                <w:color w:val="000000"/>
                <w:lang w:val="en-GB"/>
              </w:rPr>
            </w:pPr>
            <w:r w:rsidRPr="00CA617A">
              <w:rPr>
                <w:rFonts w:ascii="Arial" w:hAnsi="Arial" w:cs="Arial"/>
                <w:color w:val="000000"/>
                <w:lang w:val="en-GB"/>
              </w:rPr>
              <w:t>Total shareholders’ equity</w:t>
            </w:r>
          </w:p>
        </w:tc>
        <w:tc>
          <w:tcPr>
            <w:tcW w:w="1350" w:type="dxa"/>
            <w:tcBorders>
              <w:left w:val="nil"/>
              <w:bottom w:val="nil"/>
              <w:right w:val="nil"/>
            </w:tcBorders>
            <w:shd w:val="clear" w:color="auto" w:fill="auto"/>
            <w:noWrap/>
            <w:vAlign w:val="bottom"/>
            <w:hideMark/>
          </w:tcPr>
          <w:p w14:paraId="7C18398B" w14:textId="77777777" w:rsidR="001D7BB6" w:rsidRPr="00CA617A" w:rsidRDefault="001D7BB6" w:rsidP="001D7BB6">
            <w:pPr>
              <w:rPr>
                <w:rFonts w:ascii="Arial" w:hAnsi="Arial" w:cs="Arial"/>
                <w:color w:val="000000"/>
                <w:lang w:val="en-GB"/>
              </w:rPr>
            </w:pPr>
          </w:p>
        </w:tc>
        <w:tc>
          <w:tcPr>
            <w:tcW w:w="1711" w:type="dxa"/>
            <w:tcBorders>
              <w:top w:val="single" w:sz="2" w:space="0" w:color="auto"/>
              <w:left w:val="nil"/>
              <w:bottom w:val="single" w:sz="2" w:space="0" w:color="auto"/>
              <w:right w:val="nil"/>
            </w:tcBorders>
            <w:shd w:val="clear" w:color="auto" w:fill="auto"/>
            <w:noWrap/>
            <w:vAlign w:val="bottom"/>
          </w:tcPr>
          <w:p w14:paraId="486492D7" w14:textId="77777777" w:rsidR="001D7BB6" w:rsidRPr="00860DEC" w:rsidRDefault="001D7BB6" w:rsidP="001D7BB6">
            <w:pPr>
              <w:jc w:val="right"/>
              <w:rPr>
                <w:rFonts w:ascii="Arial" w:hAnsi="Arial" w:cs="Arial"/>
                <w:color w:val="000000"/>
                <w:lang w:val="en-GB"/>
              </w:rPr>
            </w:pPr>
            <w:r w:rsidRPr="00860DEC">
              <w:rPr>
                <w:rFonts w:ascii="Arial" w:hAnsi="Arial" w:cs="Arial"/>
                <w:color w:val="000000"/>
                <w:lang w:val="en-GB"/>
              </w:rPr>
              <w:t>141,000</w:t>
            </w:r>
          </w:p>
        </w:tc>
      </w:tr>
      <w:tr w:rsidR="001D7BB6" w:rsidRPr="00CA617A" w14:paraId="49959DAD" w14:textId="77777777" w:rsidTr="00023CB9">
        <w:trPr>
          <w:trHeight w:val="288"/>
          <w:jc w:val="center"/>
        </w:trPr>
        <w:tc>
          <w:tcPr>
            <w:tcW w:w="6480" w:type="dxa"/>
            <w:tcBorders>
              <w:top w:val="nil"/>
              <w:left w:val="nil"/>
              <w:bottom w:val="nil"/>
              <w:right w:val="nil"/>
            </w:tcBorders>
            <w:shd w:val="clear" w:color="auto" w:fill="auto"/>
            <w:noWrap/>
            <w:vAlign w:val="bottom"/>
            <w:hideMark/>
          </w:tcPr>
          <w:p w14:paraId="2F8C27F3" w14:textId="77777777" w:rsidR="001D7BB6" w:rsidRPr="00CA617A" w:rsidRDefault="001D7BB6" w:rsidP="00023CB9">
            <w:pPr>
              <w:tabs>
                <w:tab w:val="left" w:pos="387"/>
              </w:tabs>
              <w:rPr>
                <w:rFonts w:ascii="Arial" w:hAnsi="Arial" w:cs="Arial"/>
                <w:color w:val="000000"/>
                <w:lang w:val="en-GB"/>
              </w:rPr>
            </w:pPr>
          </w:p>
        </w:tc>
        <w:tc>
          <w:tcPr>
            <w:tcW w:w="1350" w:type="dxa"/>
            <w:tcBorders>
              <w:top w:val="nil"/>
              <w:left w:val="nil"/>
              <w:right w:val="nil"/>
            </w:tcBorders>
            <w:shd w:val="clear" w:color="auto" w:fill="auto"/>
            <w:noWrap/>
            <w:vAlign w:val="bottom"/>
            <w:hideMark/>
          </w:tcPr>
          <w:p w14:paraId="2EE566BA" w14:textId="77777777" w:rsidR="001D7BB6" w:rsidRPr="00CA617A" w:rsidRDefault="001D7BB6" w:rsidP="001D7BB6">
            <w:pPr>
              <w:rPr>
                <w:rFonts w:ascii="Arial" w:hAnsi="Arial" w:cs="Arial"/>
                <w:color w:val="000000"/>
                <w:lang w:val="en-GB"/>
              </w:rPr>
            </w:pPr>
          </w:p>
        </w:tc>
        <w:tc>
          <w:tcPr>
            <w:tcW w:w="1711" w:type="dxa"/>
            <w:tcBorders>
              <w:top w:val="single" w:sz="2" w:space="0" w:color="auto"/>
              <w:left w:val="nil"/>
              <w:right w:val="nil"/>
            </w:tcBorders>
            <w:shd w:val="clear" w:color="auto" w:fill="auto"/>
            <w:noWrap/>
            <w:vAlign w:val="bottom"/>
          </w:tcPr>
          <w:p w14:paraId="31A2B20E" w14:textId="77777777" w:rsidR="001D7BB6" w:rsidRPr="00CA617A" w:rsidRDefault="001D7BB6" w:rsidP="001D7BB6">
            <w:pPr>
              <w:rPr>
                <w:rFonts w:ascii="Arial" w:hAnsi="Arial" w:cs="Arial"/>
                <w:color w:val="000000"/>
                <w:lang w:val="en-GB"/>
              </w:rPr>
            </w:pPr>
          </w:p>
        </w:tc>
      </w:tr>
      <w:tr w:rsidR="001D7BB6" w:rsidRPr="00CA617A" w14:paraId="740530E0" w14:textId="77777777" w:rsidTr="00023CB9">
        <w:trPr>
          <w:trHeight w:val="288"/>
          <w:jc w:val="center"/>
        </w:trPr>
        <w:tc>
          <w:tcPr>
            <w:tcW w:w="6480" w:type="dxa"/>
            <w:tcBorders>
              <w:top w:val="nil"/>
              <w:left w:val="nil"/>
              <w:bottom w:val="nil"/>
              <w:right w:val="nil"/>
            </w:tcBorders>
            <w:shd w:val="clear" w:color="auto" w:fill="auto"/>
            <w:noWrap/>
            <w:vAlign w:val="bottom"/>
          </w:tcPr>
          <w:p w14:paraId="0BCEC07B" w14:textId="77777777" w:rsidR="001D7BB6" w:rsidRPr="00CA617A" w:rsidRDefault="001D7BB6" w:rsidP="00023CB9">
            <w:pPr>
              <w:tabs>
                <w:tab w:val="left" w:pos="387"/>
              </w:tabs>
              <w:rPr>
                <w:rFonts w:ascii="Arial" w:hAnsi="Arial" w:cs="Arial"/>
                <w:b/>
                <w:bCs/>
                <w:color w:val="000000"/>
                <w:lang w:val="en-GB"/>
              </w:rPr>
            </w:pPr>
            <w:r w:rsidRPr="00CA617A">
              <w:rPr>
                <w:rFonts w:ascii="Arial" w:hAnsi="Arial" w:cs="Arial"/>
                <w:b/>
                <w:bCs/>
                <w:color w:val="000000"/>
                <w:lang w:val="en-GB"/>
              </w:rPr>
              <w:t>Total liabilities and shareholders’ equity</w:t>
            </w:r>
          </w:p>
        </w:tc>
        <w:tc>
          <w:tcPr>
            <w:tcW w:w="1350" w:type="dxa"/>
            <w:tcBorders>
              <w:top w:val="nil"/>
              <w:left w:val="nil"/>
              <w:right w:val="nil"/>
            </w:tcBorders>
            <w:shd w:val="clear" w:color="auto" w:fill="auto"/>
            <w:noWrap/>
            <w:vAlign w:val="bottom"/>
          </w:tcPr>
          <w:p w14:paraId="15BADEDE" w14:textId="77777777" w:rsidR="001D7BB6" w:rsidRPr="00CA617A" w:rsidRDefault="001D7BB6" w:rsidP="001D7BB6">
            <w:pPr>
              <w:rPr>
                <w:rFonts w:ascii="Arial" w:hAnsi="Arial" w:cs="Arial"/>
                <w:b/>
                <w:bCs/>
                <w:color w:val="000000"/>
                <w:lang w:val="en-GB"/>
              </w:rPr>
            </w:pPr>
          </w:p>
        </w:tc>
        <w:tc>
          <w:tcPr>
            <w:tcW w:w="1711" w:type="dxa"/>
            <w:tcBorders>
              <w:top w:val="nil"/>
              <w:left w:val="nil"/>
              <w:bottom w:val="double" w:sz="4" w:space="0" w:color="auto"/>
              <w:right w:val="nil"/>
            </w:tcBorders>
            <w:shd w:val="clear" w:color="auto" w:fill="auto"/>
            <w:noWrap/>
            <w:vAlign w:val="bottom"/>
          </w:tcPr>
          <w:p w14:paraId="3D049642" w14:textId="77777777" w:rsidR="001D7BB6" w:rsidRPr="00860DEC" w:rsidRDefault="001D7BB6" w:rsidP="001D7BB6">
            <w:pPr>
              <w:jc w:val="right"/>
              <w:rPr>
                <w:rFonts w:ascii="Arial" w:hAnsi="Arial" w:cs="Arial"/>
                <w:b/>
                <w:bCs/>
                <w:color w:val="000000"/>
                <w:lang w:val="en-GB"/>
              </w:rPr>
            </w:pPr>
            <w:r w:rsidRPr="00860DEC">
              <w:rPr>
                <w:rFonts w:ascii="Arial" w:hAnsi="Arial" w:cs="Arial"/>
                <w:color w:val="000000"/>
                <w:lang w:val="en-GB"/>
              </w:rPr>
              <w:t>$196,543</w:t>
            </w:r>
          </w:p>
        </w:tc>
      </w:tr>
      <w:tr w:rsidR="001D7BB6" w:rsidRPr="00CA617A" w14:paraId="26906775" w14:textId="77777777" w:rsidTr="00023CB9">
        <w:trPr>
          <w:trHeight w:val="288"/>
          <w:jc w:val="center"/>
        </w:trPr>
        <w:tc>
          <w:tcPr>
            <w:tcW w:w="6480" w:type="dxa"/>
            <w:tcBorders>
              <w:top w:val="nil"/>
              <w:left w:val="nil"/>
              <w:bottom w:val="nil"/>
              <w:right w:val="nil"/>
            </w:tcBorders>
            <w:shd w:val="clear" w:color="auto" w:fill="auto"/>
            <w:noWrap/>
            <w:vAlign w:val="bottom"/>
          </w:tcPr>
          <w:p w14:paraId="0630E57C" w14:textId="77777777" w:rsidR="001D7BB6" w:rsidRPr="00CA617A" w:rsidRDefault="001D7BB6" w:rsidP="00023CB9">
            <w:pPr>
              <w:tabs>
                <w:tab w:val="left" w:pos="387"/>
              </w:tabs>
              <w:rPr>
                <w:rFonts w:ascii="Arial" w:hAnsi="Arial" w:cs="Arial"/>
                <w:b/>
                <w:bCs/>
                <w:color w:val="000000"/>
                <w:lang w:val="en-GB"/>
              </w:rPr>
            </w:pPr>
          </w:p>
        </w:tc>
        <w:tc>
          <w:tcPr>
            <w:tcW w:w="1350" w:type="dxa"/>
            <w:tcBorders>
              <w:top w:val="nil"/>
              <w:left w:val="nil"/>
              <w:right w:val="nil"/>
            </w:tcBorders>
            <w:shd w:val="clear" w:color="auto" w:fill="auto"/>
            <w:noWrap/>
            <w:vAlign w:val="bottom"/>
            <w:hideMark/>
          </w:tcPr>
          <w:p w14:paraId="1CE06CF0" w14:textId="77777777" w:rsidR="001D7BB6" w:rsidRPr="00CA617A" w:rsidRDefault="001D7BB6" w:rsidP="001D7BB6">
            <w:pPr>
              <w:rPr>
                <w:rFonts w:ascii="Arial" w:hAnsi="Arial" w:cs="Arial"/>
                <w:b/>
                <w:bCs/>
                <w:color w:val="000000"/>
                <w:lang w:val="en-GB"/>
              </w:rPr>
            </w:pPr>
          </w:p>
        </w:tc>
        <w:tc>
          <w:tcPr>
            <w:tcW w:w="1711" w:type="dxa"/>
            <w:tcBorders>
              <w:top w:val="double" w:sz="4" w:space="0" w:color="auto"/>
              <w:left w:val="nil"/>
              <w:right w:val="nil"/>
            </w:tcBorders>
            <w:shd w:val="clear" w:color="auto" w:fill="auto"/>
            <w:noWrap/>
            <w:vAlign w:val="bottom"/>
          </w:tcPr>
          <w:p w14:paraId="68BFF113" w14:textId="77777777" w:rsidR="001D7BB6" w:rsidRPr="00CA617A" w:rsidRDefault="001D7BB6" w:rsidP="001D7BB6">
            <w:pPr>
              <w:rPr>
                <w:rFonts w:ascii="Arial" w:hAnsi="Arial" w:cs="Arial"/>
                <w:bCs/>
                <w:color w:val="000000"/>
                <w:u w:val="double"/>
                <w:lang w:val="en-GB"/>
              </w:rPr>
            </w:pPr>
          </w:p>
        </w:tc>
      </w:tr>
    </w:tbl>
    <w:p w14:paraId="48C14CBC" w14:textId="77777777" w:rsidR="001D7BB6" w:rsidRPr="00CA617A" w:rsidRDefault="001D7BB6" w:rsidP="004D4552">
      <w:pPr>
        <w:pStyle w:val="ExhibitText"/>
        <w:rPr>
          <w:lang w:val="en-GB"/>
        </w:rPr>
      </w:pPr>
    </w:p>
    <w:p w14:paraId="32FB4EA6" w14:textId="38B99E71" w:rsidR="00664DEA" w:rsidRDefault="00664DEA" w:rsidP="004D4552">
      <w:pPr>
        <w:pStyle w:val="Footnote"/>
        <w:rPr>
          <w:lang w:val="en-GB"/>
        </w:rPr>
      </w:pPr>
      <w:r>
        <w:rPr>
          <w:lang w:val="en-GB"/>
        </w:rPr>
        <w:t>Note: *</w:t>
      </w:r>
      <w:r w:rsidRPr="00664DEA">
        <w:t>Between January 15, 2019 and March 31, 2019, the bonds had been amortized by $87; **dividends were last declared on November 28, 2018.</w:t>
      </w:r>
    </w:p>
    <w:p w14:paraId="2C183161" w14:textId="0FD9D634" w:rsidR="00B87DC0" w:rsidRPr="00CA617A" w:rsidRDefault="004D4552" w:rsidP="004D4552">
      <w:pPr>
        <w:pStyle w:val="Footnote"/>
        <w:rPr>
          <w:lang w:val="en-GB"/>
        </w:rPr>
      </w:pPr>
      <w:r w:rsidRPr="00CA617A">
        <w:rPr>
          <w:lang w:val="en-GB"/>
        </w:rPr>
        <w:t xml:space="preserve">Source: Created by </w:t>
      </w:r>
      <w:r w:rsidR="00664DEA">
        <w:rPr>
          <w:lang w:val="en-GB"/>
        </w:rPr>
        <w:t xml:space="preserve">the </w:t>
      </w:r>
      <w:r w:rsidRPr="00CA617A">
        <w:rPr>
          <w:lang w:val="en-GB"/>
        </w:rPr>
        <w:t>authors.</w:t>
      </w:r>
    </w:p>
    <w:sectPr w:rsidR="00B87DC0" w:rsidRPr="00CA617A"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AC28B" w14:textId="77777777" w:rsidR="009214A8" w:rsidRDefault="009214A8" w:rsidP="00D75295">
      <w:r>
        <w:separator/>
      </w:r>
    </w:p>
  </w:endnote>
  <w:endnote w:type="continuationSeparator" w:id="0">
    <w:p w14:paraId="2E6FBEA8" w14:textId="77777777" w:rsidR="009214A8" w:rsidRDefault="009214A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3A02A" w14:textId="77777777" w:rsidR="009214A8" w:rsidRDefault="009214A8" w:rsidP="00D75295">
      <w:r>
        <w:separator/>
      </w:r>
    </w:p>
  </w:footnote>
  <w:footnote w:type="continuationSeparator" w:id="0">
    <w:p w14:paraId="01FB5C3E" w14:textId="77777777" w:rsidR="009214A8" w:rsidRDefault="009214A8" w:rsidP="00D75295">
      <w:r>
        <w:continuationSeparator/>
      </w:r>
    </w:p>
  </w:footnote>
  <w:footnote w:id="1">
    <w:p w14:paraId="70D1024B" w14:textId="6F21E972" w:rsidR="00B060B9" w:rsidRPr="004647F9" w:rsidRDefault="00B060B9">
      <w:pPr>
        <w:pStyle w:val="FootnoteText"/>
        <w:rPr>
          <w:lang w:val="en-CA"/>
        </w:rPr>
      </w:pPr>
      <w:r>
        <w:rPr>
          <w:rStyle w:val="FootnoteReference"/>
        </w:rPr>
        <w:footnoteRef/>
      </w:r>
      <w:r w:rsidRPr="00163922">
        <w:rPr>
          <w:rFonts w:ascii="Arial" w:hAnsi="Arial" w:cs="Arial"/>
          <w:sz w:val="17"/>
          <w:szCs w:val="17"/>
        </w:rPr>
        <w:t xml:space="preserve"> All currency amounts are in CA$ unless otherwise specified.</w:t>
      </w:r>
    </w:p>
  </w:footnote>
  <w:footnote w:id="2">
    <w:p w14:paraId="64CA47EF" w14:textId="003AEEAC" w:rsidR="004D4552" w:rsidRPr="004D4552" w:rsidRDefault="004D4552" w:rsidP="004D4552">
      <w:pPr>
        <w:pStyle w:val="FootnoteText"/>
        <w:rPr>
          <w:rFonts w:ascii="Arial" w:hAnsi="Arial" w:cs="Arial"/>
          <w:sz w:val="17"/>
          <w:szCs w:val="17"/>
        </w:rPr>
      </w:pPr>
      <w:r w:rsidRPr="004D4552">
        <w:rPr>
          <w:rStyle w:val="FootnoteReference"/>
          <w:rFonts w:ascii="Arial" w:hAnsi="Arial" w:cs="Arial"/>
          <w:sz w:val="17"/>
          <w:szCs w:val="17"/>
        </w:rPr>
        <w:footnoteRef/>
      </w:r>
      <w:r w:rsidRPr="004D4552">
        <w:rPr>
          <w:rFonts w:ascii="Arial" w:hAnsi="Arial" w:cs="Arial"/>
          <w:sz w:val="17"/>
          <w:szCs w:val="17"/>
        </w:rPr>
        <w:t xml:space="preserve"> The 8.5 per cent bonds were callable at 107 at the option of </w:t>
      </w:r>
      <w:r w:rsidR="00CF6B0D">
        <w:rPr>
          <w:rFonts w:ascii="Arial" w:hAnsi="Arial" w:cs="Arial"/>
          <w:sz w:val="17"/>
          <w:szCs w:val="17"/>
        </w:rPr>
        <w:t>BeanCountr</w:t>
      </w:r>
      <w:r w:rsidRPr="004D4552">
        <w:rPr>
          <w:rFonts w:ascii="Arial" w:hAnsi="Arial" w:cs="Arial"/>
          <w:sz w:val="17"/>
          <w:szCs w:val="17"/>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A1AC5D2"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68BB">
      <w:rPr>
        <w:rFonts w:ascii="Arial" w:hAnsi="Arial"/>
        <w:b/>
        <w:noProof/>
      </w:rPr>
      <w:t>2</w:t>
    </w:r>
    <w:r>
      <w:rPr>
        <w:rFonts w:ascii="Arial" w:hAnsi="Arial"/>
        <w:b/>
      </w:rPr>
      <w:fldChar w:fldCharType="end"/>
    </w:r>
    <w:r>
      <w:rPr>
        <w:rFonts w:ascii="Arial" w:hAnsi="Arial"/>
        <w:b/>
      </w:rPr>
      <w:tab/>
    </w:r>
    <w:r w:rsidR="007117FA">
      <w:rPr>
        <w:rFonts w:ascii="Arial" w:hAnsi="Arial"/>
        <w:b/>
      </w:rPr>
      <w:t>9B21B006</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05240"/>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450C5"/>
    <w:rsid w:val="00152682"/>
    <w:rsid w:val="00154FC9"/>
    <w:rsid w:val="00157847"/>
    <w:rsid w:val="001901C0"/>
    <w:rsid w:val="0019241A"/>
    <w:rsid w:val="00192A18"/>
    <w:rsid w:val="001A22D1"/>
    <w:rsid w:val="001A752D"/>
    <w:rsid w:val="001A757E"/>
    <w:rsid w:val="001B5032"/>
    <w:rsid w:val="001B59E4"/>
    <w:rsid w:val="001C7777"/>
    <w:rsid w:val="001D344B"/>
    <w:rsid w:val="001D7BB6"/>
    <w:rsid w:val="001E364F"/>
    <w:rsid w:val="001F4222"/>
    <w:rsid w:val="00203AA1"/>
    <w:rsid w:val="00213E98"/>
    <w:rsid w:val="00230150"/>
    <w:rsid w:val="0023081A"/>
    <w:rsid w:val="00233111"/>
    <w:rsid w:val="00265FA8"/>
    <w:rsid w:val="002B40FF"/>
    <w:rsid w:val="002C4E29"/>
    <w:rsid w:val="002F460C"/>
    <w:rsid w:val="002F48D6"/>
    <w:rsid w:val="002F76B0"/>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47F9"/>
    <w:rsid w:val="00465348"/>
    <w:rsid w:val="004979A5"/>
    <w:rsid w:val="004A25E0"/>
    <w:rsid w:val="004B1CCB"/>
    <w:rsid w:val="004B632F"/>
    <w:rsid w:val="004D3FB1"/>
    <w:rsid w:val="004D4552"/>
    <w:rsid w:val="004D6F21"/>
    <w:rsid w:val="004D73A5"/>
    <w:rsid w:val="005160F1"/>
    <w:rsid w:val="00524F2F"/>
    <w:rsid w:val="00527441"/>
    <w:rsid w:val="00527E5C"/>
    <w:rsid w:val="00532CF5"/>
    <w:rsid w:val="005528CB"/>
    <w:rsid w:val="00566771"/>
    <w:rsid w:val="00581E2E"/>
    <w:rsid w:val="00584F15"/>
    <w:rsid w:val="0059514B"/>
    <w:rsid w:val="005A1B0F"/>
    <w:rsid w:val="005B4CE6"/>
    <w:rsid w:val="005B5EFE"/>
    <w:rsid w:val="006163F7"/>
    <w:rsid w:val="00627C63"/>
    <w:rsid w:val="0063350B"/>
    <w:rsid w:val="00642D8E"/>
    <w:rsid w:val="00652606"/>
    <w:rsid w:val="00664DEA"/>
    <w:rsid w:val="006946EE"/>
    <w:rsid w:val="006A58A9"/>
    <w:rsid w:val="006A606D"/>
    <w:rsid w:val="006C0371"/>
    <w:rsid w:val="006C08B6"/>
    <w:rsid w:val="006C0B1A"/>
    <w:rsid w:val="006C6065"/>
    <w:rsid w:val="006C7F9F"/>
    <w:rsid w:val="006E2F6D"/>
    <w:rsid w:val="006E523C"/>
    <w:rsid w:val="006E58F6"/>
    <w:rsid w:val="006E77E1"/>
    <w:rsid w:val="006F131D"/>
    <w:rsid w:val="007051ED"/>
    <w:rsid w:val="00711642"/>
    <w:rsid w:val="007117FA"/>
    <w:rsid w:val="007507C6"/>
    <w:rsid w:val="00751E0B"/>
    <w:rsid w:val="00752BCD"/>
    <w:rsid w:val="00766DA1"/>
    <w:rsid w:val="00780D94"/>
    <w:rsid w:val="007866A6"/>
    <w:rsid w:val="007A130D"/>
    <w:rsid w:val="007D1A2D"/>
    <w:rsid w:val="007D32E6"/>
    <w:rsid w:val="007D4102"/>
    <w:rsid w:val="007E54A7"/>
    <w:rsid w:val="007F43B7"/>
    <w:rsid w:val="00807FAE"/>
    <w:rsid w:val="00821FFC"/>
    <w:rsid w:val="008271CA"/>
    <w:rsid w:val="008467D5"/>
    <w:rsid w:val="008A4A6D"/>
    <w:rsid w:val="008A4DC4"/>
    <w:rsid w:val="008B438C"/>
    <w:rsid w:val="008D06CA"/>
    <w:rsid w:val="008D3A46"/>
    <w:rsid w:val="008F2385"/>
    <w:rsid w:val="009067A4"/>
    <w:rsid w:val="009214A8"/>
    <w:rsid w:val="00930885"/>
    <w:rsid w:val="00933D68"/>
    <w:rsid w:val="009340DB"/>
    <w:rsid w:val="0094618C"/>
    <w:rsid w:val="0095684B"/>
    <w:rsid w:val="009568BB"/>
    <w:rsid w:val="00972498"/>
    <w:rsid w:val="0097481F"/>
    <w:rsid w:val="009748C7"/>
    <w:rsid w:val="00974CC6"/>
    <w:rsid w:val="00976AD4"/>
    <w:rsid w:val="00995547"/>
    <w:rsid w:val="009A312F"/>
    <w:rsid w:val="009A5348"/>
    <w:rsid w:val="009B0AB7"/>
    <w:rsid w:val="009C76D5"/>
    <w:rsid w:val="009F7AA4"/>
    <w:rsid w:val="00A10AD7"/>
    <w:rsid w:val="00A17841"/>
    <w:rsid w:val="00A323B0"/>
    <w:rsid w:val="00A559DB"/>
    <w:rsid w:val="00A569EA"/>
    <w:rsid w:val="00A676A0"/>
    <w:rsid w:val="00AF35FC"/>
    <w:rsid w:val="00AF5556"/>
    <w:rsid w:val="00B03639"/>
    <w:rsid w:val="00B060B9"/>
    <w:rsid w:val="00B0652A"/>
    <w:rsid w:val="00B40937"/>
    <w:rsid w:val="00B423EF"/>
    <w:rsid w:val="00B453DE"/>
    <w:rsid w:val="00B62497"/>
    <w:rsid w:val="00B72597"/>
    <w:rsid w:val="00B87DC0"/>
    <w:rsid w:val="00B901F9"/>
    <w:rsid w:val="00BC4D98"/>
    <w:rsid w:val="00BD4D35"/>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617A"/>
    <w:rsid w:val="00CA757B"/>
    <w:rsid w:val="00CC1787"/>
    <w:rsid w:val="00CC182C"/>
    <w:rsid w:val="00CD0824"/>
    <w:rsid w:val="00CD2908"/>
    <w:rsid w:val="00CD2920"/>
    <w:rsid w:val="00CF6B0D"/>
    <w:rsid w:val="00D03A82"/>
    <w:rsid w:val="00D13667"/>
    <w:rsid w:val="00D15344"/>
    <w:rsid w:val="00D23F57"/>
    <w:rsid w:val="00D31BEC"/>
    <w:rsid w:val="00D562DB"/>
    <w:rsid w:val="00D63150"/>
    <w:rsid w:val="00D636BA"/>
    <w:rsid w:val="00D64A32"/>
    <w:rsid w:val="00D64EFC"/>
    <w:rsid w:val="00D75295"/>
    <w:rsid w:val="00D76CE9"/>
    <w:rsid w:val="00D97F12"/>
    <w:rsid w:val="00DA6095"/>
    <w:rsid w:val="00DB42E7"/>
    <w:rsid w:val="00DC09D8"/>
    <w:rsid w:val="00DE01A6"/>
    <w:rsid w:val="00DE7A98"/>
    <w:rsid w:val="00DF32C2"/>
    <w:rsid w:val="00E30E84"/>
    <w:rsid w:val="00E471A7"/>
    <w:rsid w:val="00E635CF"/>
    <w:rsid w:val="00EB1E3B"/>
    <w:rsid w:val="00EC6E0A"/>
    <w:rsid w:val="00ED4E18"/>
    <w:rsid w:val="00ED7922"/>
    <w:rsid w:val="00EE02C4"/>
    <w:rsid w:val="00EE1F37"/>
    <w:rsid w:val="00F00D2B"/>
    <w:rsid w:val="00F0159C"/>
    <w:rsid w:val="00F105B7"/>
    <w:rsid w:val="00F13220"/>
    <w:rsid w:val="00F17A21"/>
    <w:rsid w:val="00F32713"/>
    <w:rsid w:val="00F36FC2"/>
    <w:rsid w:val="00F37B27"/>
    <w:rsid w:val="00F46556"/>
    <w:rsid w:val="00F50E91"/>
    <w:rsid w:val="00F56799"/>
    <w:rsid w:val="00F57D29"/>
    <w:rsid w:val="00F60786"/>
    <w:rsid w:val="00F91BC7"/>
    <w:rsid w:val="00F96201"/>
    <w:rsid w:val="00FA1BBC"/>
    <w:rsid w:val="00FD06F4"/>
    <w:rsid w:val="00FD0B18"/>
    <w:rsid w:val="00FD2FAD"/>
    <w:rsid w:val="00FD41A0"/>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9AA937"/>
  <w15:docId w15:val="{2E361AC2-4DED-47BE-AE09-DE392136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EC851-333C-4D3A-86B3-A1A1CEEAC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Product Assistant</cp:lastModifiedBy>
  <cp:revision>3</cp:revision>
  <cp:lastPrinted>2015-03-04T20:34:00Z</cp:lastPrinted>
  <dcterms:created xsi:type="dcterms:W3CDTF">2023-03-07T15:40:00Z</dcterms:created>
  <dcterms:modified xsi:type="dcterms:W3CDTF">2023-03-07T15:44:00Z</dcterms:modified>
</cp:coreProperties>
</file>